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215265</wp:posOffset>
            </wp:positionH>
            <wp:positionV relativeFrom="page">
              <wp:posOffset>576580</wp:posOffset>
            </wp:positionV>
            <wp:extent cx="7118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534035</wp:posOffset>
            </wp:positionV>
            <wp:extent cx="71183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16510"/>
                    </a:xfrm>
                    <a:prstGeom prst="rect">
                      <a:avLst/>
                    </a:prstGeom>
                    <a:noFill/>
                  </pic:spPr>
                </pic:pic>
              </a:graphicData>
            </a:graphic>
          </wp:anchor>
        </w:drawing>
        <w:t>UNITED STATES SECURITIES AND EXCHANGE COMMISSION</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Form 10-K</w:t>
      </w:r>
    </w:p>
    <w:p>
      <w:pPr>
        <w:spacing w:after="0" w:line="112" w:lineRule="exact"/>
        <w:rPr>
          <w:sz w:val="24"/>
          <w:szCs w:val="24"/>
          <w:color w:val="auto"/>
        </w:rPr>
      </w:pPr>
    </w:p>
    <w:p>
      <w:pPr>
        <w:ind w:left="540" w:hanging="517"/>
        <w:spacing w:after="0"/>
        <w:tabs>
          <w:tab w:leader="none" w:pos="54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45" w:lineRule="exact"/>
        <w:rPr>
          <w:sz w:val="24"/>
          <w:szCs w:val="24"/>
          <w:color w:val="auto"/>
        </w:rPr>
      </w:pPr>
    </w:p>
    <w:p>
      <w:pPr>
        <w:ind w:left="540"/>
        <w:spacing w:after="0"/>
        <w:tabs>
          <w:tab w:leader="none" w:pos="284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4"/>
          <w:szCs w:val="14"/>
          <w:b w:val="1"/>
          <w:bCs w:val="1"/>
          <w:color w:val="auto"/>
        </w:rPr>
        <w:t>December 31, 2022</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ind w:left="560" w:hanging="523"/>
        <w:spacing w:after="0" w:line="180" w:lineRule="auto"/>
        <w:tabs>
          <w:tab w:leader="none" w:pos="560" w:val="left"/>
        </w:tabs>
        <w:numPr>
          <w:ilvl w:val="0"/>
          <w:numId w:val="2"/>
        </w:numPr>
        <w:rPr>
          <w:rFonts w:ascii="MS PGothic" w:cs="MS PGothic" w:eastAsia="MS PGothic" w:hAnsi="MS PGothic"/>
          <w:sz w:val="31"/>
          <w:szCs w:val="31"/>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287" w:lineRule="exact"/>
        <w:rPr>
          <w:sz w:val="24"/>
          <w:szCs w:val="24"/>
          <w:color w:val="auto"/>
        </w:rPr>
      </w:pPr>
    </w:p>
    <w:p>
      <w:pPr>
        <w:ind w:left="560"/>
        <w:spacing w:after="0"/>
        <w:tabs>
          <w:tab w:leader="none" w:pos="35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3306445</wp:posOffset>
            </wp:positionH>
            <wp:positionV relativeFrom="paragraph">
              <wp:posOffset>7620</wp:posOffset>
            </wp:positionV>
            <wp:extent cx="537845" cy="537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845" cy="537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Liberty Global plc</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160"/>
          </w:cols>
          <w:pgMar w:left="320" w:top="1017" w:right="419" w:bottom="1440" w:gutter="0" w:footer="0" w:header="0"/>
        </w:sectPr>
      </w:pPr>
    </w:p>
    <w:p>
      <w:pPr>
        <w:spacing w:after="0" w:line="138" w:lineRule="exact"/>
        <w:rPr>
          <w:sz w:val="24"/>
          <w:szCs w:val="24"/>
          <w:color w:val="auto"/>
        </w:rPr>
      </w:pPr>
    </w:p>
    <w:p>
      <w:pPr>
        <w:ind w:left="3280"/>
        <w:spacing w:after="0"/>
        <w:rPr>
          <w:sz w:val="20"/>
          <w:szCs w:val="20"/>
          <w:color w:val="auto"/>
        </w:rPr>
      </w:pPr>
      <w:r>
        <w:rPr>
          <w:rFonts w:ascii="Arial" w:cs="Arial" w:eastAsia="Arial" w:hAnsi="Arial"/>
          <w:sz w:val="11"/>
          <w:szCs w:val="11"/>
          <w:b w:val="1"/>
          <w:bCs w:val="1"/>
          <w:color w:val="auto"/>
        </w:rPr>
        <w:t>England and Wales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98-1112770</w:t>
      </w:r>
    </w:p>
    <w:p>
      <w:pPr>
        <w:spacing w:after="0" w:line="56" w:lineRule="exact"/>
        <w:rPr>
          <w:sz w:val="24"/>
          <w:szCs w:val="24"/>
          <w:color w:val="auto"/>
        </w:rPr>
      </w:pPr>
    </w:p>
    <w:p>
      <w:pPr>
        <w:sectPr>
          <w:pgSz w:w="11900" w:h="16838" w:orient="portrait"/>
          <w:cols w:equalWidth="0" w:num="2">
            <w:col w:w="6380" w:space="720"/>
            <w:col w:w="4060"/>
          </w:cols>
          <w:pgMar w:left="320" w:top="1017" w:right="419" w:bottom="1440" w:gutter="0" w:footer="0" w:header="0"/>
          <w:type w:val="continuous"/>
        </w:sectPr>
      </w:pPr>
    </w:p>
    <w:p>
      <w:pPr>
        <w:spacing w:after="0" w:line="7" w:lineRule="exact"/>
        <w:rPr>
          <w:sz w:val="24"/>
          <w:szCs w:val="24"/>
          <w:color w:val="auto"/>
        </w:rPr>
      </w:pPr>
    </w:p>
    <w:p>
      <w:pPr>
        <w:ind w:left="3040"/>
        <w:spacing w:after="0"/>
        <w:rPr>
          <w:sz w:val="20"/>
          <w:szCs w:val="20"/>
          <w:color w:val="auto"/>
        </w:rPr>
      </w:pPr>
      <w:r>
        <w:rPr>
          <w:rFonts w:ascii="Arial" w:cs="Arial" w:eastAsia="Arial" w:hAnsi="Arial"/>
          <w:sz w:val="12"/>
          <w:szCs w:val="12"/>
          <w:i w:val="1"/>
          <w:iCs w:val="1"/>
          <w:color w:val="auto"/>
        </w:rPr>
        <w:t>(State or other jurisdiction of</w:t>
      </w:r>
    </w:p>
    <w:p>
      <w:pPr>
        <w:spacing w:after="0" w:line="4" w:lineRule="exact"/>
        <w:rPr>
          <w:sz w:val="24"/>
          <w:szCs w:val="24"/>
          <w:color w:val="auto"/>
        </w:rPr>
      </w:pPr>
    </w:p>
    <w:p>
      <w:pPr>
        <w:ind w:left="30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260"/>
        <w:spacing w:after="0"/>
        <w:rPr>
          <w:sz w:val="20"/>
          <w:szCs w:val="20"/>
          <w:color w:val="auto"/>
        </w:rPr>
      </w:pPr>
      <w:r>
        <w:rPr>
          <w:rFonts w:ascii="Arial" w:cs="Arial" w:eastAsia="Arial" w:hAnsi="Arial"/>
          <w:sz w:val="13"/>
          <w:szCs w:val="13"/>
          <w:i w:val="1"/>
          <w:iCs w:val="1"/>
          <w:color w:val="auto"/>
        </w:rPr>
        <w:t>(I.R.S. Employer</w:t>
      </w:r>
    </w:p>
    <w:p>
      <w:pPr>
        <w:jc w:val="center"/>
        <w:ind w:right="3260"/>
        <w:spacing w:after="0"/>
        <w:rPr>
          <w:sz w:val="20"/>
          <w:szCs w:val="20"/>
          <w:color w:val="auto"/>
        </w:rPr>
      </w:pPr>
      <w:r>
        <w:rPr>
          <w:rFonts w:ascii="Arial" w:cs="Arial" w:eastAsia="Arial" w:hAnsi="Arial"/>
          <w:sz w:val="12"/>
          <w:szCs w:val="12"/>
          <w:i w:val="1"/>
          <w:iCs w:val="1"/>
          <w:color w:val="auto"/>
        </w:rPr>
        <w:t>Identification No.)</w:t>
      </w:r>
    </w:p>
    <w:p>
      <w:pPr>
        <w:spacing w:after="0" w:line="86" w:lineRule="exact"/>
        <w:rPr>
          <w:sz w:val="24"/>
          <w:szCs w:val="24"/>
          <w:color w:val="auto"/>
        </w:rPr>
      </w:pPr>
    </w:p>
    <w:p>
      <w:pPr>
        <w:sectPr>
          <w:pgSz w:w="11900" w:h="16838" w:orient="portrait"/>
          <w:cols w:equalWidth="0" w:num="2">
            <w:col w:w="6200" w:space="720"/>
            <w:col w:w="4240"/>
          </w:cols>
          <w:pgMar w:left="320" w:top="1017" w:right="419" w:bottom="1440" w:gutter="0" w:footer="0" w:header="0"/>
          <w:type w:val="continuous"/>
        </w:sectPr>
      </w:pPr>
    </w:p>
    <w:p>
      <w:pPr>
        <w:jc w:val="center"/>
        <w:ind w:right="3500"/>
        <w:spacing w:after="0"/>
        <w:rPr>
          <w:sz w:val="20"/>
          <w:szCs w:val="20"/>
          <w:color w:val="auto"/>
        </w:rPr>
      </w:pPr>
      <w:r>
        <w:rPr>
          <w:rFonts w:ascii="Arial" w:cs="Arial" w:eastAsia="Arial" w:hAnsi="Arial"/>
          <w:sz w:val="13"/>
          <w:szCs w:val="13"/>
          <w:b w:val="1"/>
          <w:bCs w:val="1"/>
          <w:color w:val="auto"/>
        </w:rPr>
        <w:t>Griffin House</w:t>
      </w:r>
    </w:p>
    <w:p>
      <w:pPr>
        <w:spacing w:after="0" w:line="36" w:lineRule="exact"/>
        <w:rPr>
          <w:sz w:val="24"/>
          <w:szCs w:val="24"/>
          <w:color w:val="auto"/>
        </w:rPr>
      </w:pPr>
    </w:p>
    <w:p>
      <w:pPr>
        <w:jc w:val="center"/>
        <w:ind w:right="3500"/>
        <w:spacing w:after="0"/>
        <w:rPr>
          <w:sz w:val="20"/>
          <w:szCs w:val="20"/>
          <w:color w:val="auto"/>
        </w:rPr>
      </w:pPr>
      <w:r>
        <w:rPr>
          <w:rFonts w:ascii="Arial" w:cs="Arial" w:eastAsia="Arial" w:hAnsi="Arial"/>
          <w:sz w:val="12"/>
          <w:szCs w:val="12"/>
          <w:b w:val="1"/>
          <w:bCs w:val="1"/>
          <w:color w:val="auto"/>
        </w:rPr>
        <w:t>161 Hammersmith Rd</w:t>
      </w:r>
    </w:p>
    <w:p>
      <w:pPr>
        <w:spacing w:after="0" w:line="47" w:lineRule="exact"/>
        <w:rPr>
          <w:sz w:val="24"/>
          <w:szCs w:val="24"/>
          <w:color w:val="auto"/>
        </w:rPr>
      </w:pPr>
    </w:p>
    <w:p>
      <w:pPr>
        <w:jc w:val="center"/>
        <w:ind w:right="3500"/>
        <w:spacing w:after="0"/>
        <w:rPr>
          <w:sz w:val="20"/>
          <w:szCs w:val="20"/>
          <w:color w:val="auto"/>
        </w:rPr>
      </w:pPr>
      <w:r>
        <w:rPr>
          <w:rFonts w:ascii="Arial" w:cs="Arial" w:eastAsia="Arial" w:hAnsi="Arial"/>
          <w:sz w:val="13"/>
          <w:szCs w:val="13"/>
          <w:b w:val="1"/>
          <w:bCs w:val="1"/>
          <w:color w:val="auto"/>
        </w:rPr>
        <w:t>London</w:t>
      </w:r>
    </w:p>
    <w:p>
      <w:pPr>
        <w:sectPr>
          <w:pgSz w:w="11900" w:h="16838" w:orient="portrait"/>
          <w:cols w:equalWidth="0" w:num="1">
            <w:col w:w="11160"/>
          </w:cols>
          <w:pgMar w:left="320" w:top="1017" w:right="419" w:bottom="1440" w:gutter="0" w:footer="0" w:header="0"/>
          <w:type w:val="continuous"/>
        </w:sectPr>
      </w:pPr>
    </w:p>
    <w:p>
      <w:pPr>
        <w:spacing w:after="0" w:line="36" w:lineRule="exact"/>
        <w:rPr>
          <w:sz w:val="24"/>
          <w:szCs w:val="24"/>
          <w:color w:val="auto"/>
        </w:rPr>
      </w:pPr>
    </w:p>
    <w:p>
      <w:pPr>
        <w:ind w:left="3360"/>
        <w:spacing w:after="0"/>
        <w:rPr>
          <w:sz w:val="20"/>
          <w:szCs w:val="20"/>
          <w:color w:val="auto"/>
        </w:rPr>
      </w:pPr>
      <w:r>
        <w:rPr>
          <w:rFonts w:ascii="Arial" w:cs="Arial" w:eastAsia="Arial" w:hAnsi="Arial"/>
          <w:sz w:val="12"/>
          <w:szCs w:val="12"/>
          <w:b w:val="1"/>
          <w:bCs w:val="1"/>
          <w:color w:val="auto"/>
        </w:rPr>
        <w:t>United Kingdom</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W6 8BS</w:t>
      </w:r>
    </w:p>
    <w:p>
      <w:pPr>
        <w:spacing w:after="0" w:line="51" w:lineRule="exact"/>
        <w:rPr>
          <w:sz w:val="24"/>
          <w:szCs w:val="24"/>
          <w:color w:val="auto"/>
        </w:rPr>
      </w:pPr>
    </w:p>
    <w:p>
      <w:pPr>
        <w:sectPr>
          <w:pgSz w:w="11900" w:h="16838" w:orient="portrait"/>
          <w:cols w:equalWidth="0" w:num="2">
            <w:col w:w="6460" w:space="720"/>
            <w:col w:w="3980"/>
          </w:cols>
          <w:pgMar w:left="320" w:top="1017" w:right="419" w:bottom="1440" w:gutter="0" w:footer="0" w:header="0"/>
          <w:type w:val="continuous"/>
        </w:sectPr>
      </w:pPr>
    </w:p>
    <w:p>
      <w:pPr>
        <w:ind w:left="280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92" w:lineRule="exact"/>
        <w:rPr>
          <w:sz w:val="24"/>
          <w:szCs w:val="24"/>
          <w:color w:val="auto"/>
        </w:rPr>
      </w:pPr>
    </w:p>
    <w:p>
      <w:pPr>
        <w:sectPr>
          <w:pgSz w:w="11900" w:h="16838" w:orient="portrait"/>
          <w:cols w:equalWidth="0" w:num="2">
            <w:col w:w="6400" w:space="720"/>
            <w:col w:w="4040"/>
          </w:cols>
          <w:pgMar w:left="320" w:top="1017" w:right="41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 +44.208.483.6449 or 303.220.6600</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60"/>
          </w:cols>
          <w:pgMar w:left="320" w:top="1017" w:right="419" w:bottom="1440" w:gutter="0" w:footer="0" w:header="0"/>
          <w:type w:val="continuous"/>
        </w:sectPr>
      </w:pPr>
    </w:p>
    <w:p>
      <w:pPr>
        <w:spacing w:after="0" w:line="109" w:lineRule="exact"/>
        <w:rPr>
          <w:sz w:val="24"/>
          <w:szCs w:val="24"/>
          <w:color w:val="auto"/>
        </w:rPr>
      </w:pPr>
    </w:p>
    <w:p>
      <w:pPr>
        <w:ind w:left="198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520"/>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115" w:lineRule="exact"/>
        <w:rPr>
          <w:sz w:val="24"/>
          <w:szCs w:val="24"/>
          <w:color w:val="auto"/>
        </w:rPr>
      </w:pPr>
    </w:p>
    <w:p>
      <w:pPr>
        <w:sectPr>
          <w:pgSz w:w="11900" w:h="16838" w:orient="portrait"/>
          <w:cols w:equalWidth="0" w:num="3">
            <w:col w:w="4000" w:space="720"/>
            <w:col w:w="1740" w:space="720"/>
            <w:col w:w="3980"/>
          </w:cols>
          <w:pgMar w:left="320" w:top="1017" w:right="419" w:bottom="1440" w:gutter="0" w:footer="0" w:header="0"/>
          <w:type w:val="continuous"/>
        </w:sectPr>
      </w:pPr>
    </w:p>
    <w:p>
      <w:pPr>
        <w:jc w:val="center"/>
        <w:ind w:left="620"/>
        <w:spacing w:after="0"/>
        <w:rPr>
          <w:sz w:val="20"/>
          <w:szCs w:val="20"/>
          <w:color w:val="auto"/>
        </w:rPr>
      </w:pPr>
      <w:r>
        <w:rPr>
          <w:rFonts w:ascii="Arial" w:cs="Arial" w:eastAsia="Arial" w:hAnsi="Arial"/>
          <w:sz w:val="11"/>
          <w:szCs w:val="11"/>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LBTYA</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59" w:lineRule="exact"/>
        <w:rPr>
          <w:sz w:val="24"/>
          <w:szCs w:val="24"/>
          <w:color w:val="auto"/>
        </w:rPr>
      </w:pPr>
    </w:p>
    <w:p>
      <w:pPr>
        <w:sectPr>
          <w:pgSz w:w="11900" w:h="16838" w:orient="portrait"/>
          <w:cols w:equalWidth="0" w:num="3">
            <w:col w:w="4320" w:space="720"/>
            <w:col w:w="1860" w:space="720"/>
            <w:col w:w="3540"/>
          </w:cols>
          <w:pgMar w:left="320" w:top="1017" w:right="4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LBTYB</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59" w:lineRule="exact"/>
        <w:rPr>
          <w:sz w:val="24"/>
          <w:szCs w:val="24"/>
          <w:color w:val="auto"/>
        </w:rPr>
      </w:pPr>
    </w:p>
    <w:p>
      <w:pPr>
        <w:sectPr>
          <w:pgSz w:w="11900" w:h="16838" w:orient="portrait"/>
          <w:cols w:equalWidth="0" w:num="3">
            <w:col w:w="4300" w:space="720"/>
            <w:col w:w="1880" w:space="720"/>
            <w:col w:w="3540"/>
          </w:cols>
          <w:pgMar w:left="320" w:top="1017" w:right="4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LBTYK</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173" w:lineRule="exact"/>
        <w:rPr>
          <w:sz w:val="24"/>
          <w:szCs w:val="24"/>
          <w:color w:val="auto"/>
        </w:rPr>
      </w:pPr>
    </w:p>
    <w:p>
      <w:pPr>
        <w:sectPr>
          <w:pgSz w:w="11900" w:h="16838" w:orient="portrait"/>
          <w:cols w:equalWidth="0" w:num="3">
            <w:col w:w="4300" w:space="720"/>
            <w:col w:w="1880" w:space="720"/>
            <w:col w:w="3540"/>
          </w:cols>
          <w:pgMar w:left="320" w:top="1017" w:right="419" w:bottom="1440" w:gutter="0" w:footer="0" w:header="0"/>
          <w:type w:val="continuous"/>
        </w:sect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ectPr>
          <w:pgSz w:w="11900" w:h="16838" w:orient="portrait"/>
          <w:cols w:equalWidth="0" w:num="1">
            <w:col w:w="11160"/>
          </w:cols>
          <w:pgMar w:left="320" w:top="1017" w:right="419" w:bottom="1440" w:gutter="0" w:footer="0" w:header="0"/>
          <w:type w:val="continuous"/>
        </w:sectPr>
      </w:pP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1" w:lineRule="exact"/>
        <w:rPr>
          <w:sz w:val="24"/>
          <w:szCs w:val="24"/>
          <w:color w:val="auto"/>
        </w:rPr>
      </w:pPr>
    </w:p>
    <w:p>
      <w:pPr>
        <w:sectPr>
          <w:pgSz w:w="11900" w:h="16838" w:orient="portrait"/>
          <w:cols w:equalWidth="0" w:num="5">
            <w:col w:w="7100" w:space="140"/>
            <w:col w:w="220" w:space="80"/>
            <w:col w:w="120" w:space="300"/>
            <w:col w:w="180" w:space="80"/>
            <w:col w:w="2940"/>
          </w:cols>
          <w:pgMar w:left="320" w:top="1017" w:right="41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5" w:lineRule="exact"/>
        <w:rPr>
          <w:sz w:val="24"/>
          <w:szCs w:val="24"/>
          <w:color w:val="auto"/>
        </w:rPr>
      </w:pPr>
    </w:p>
    <w:p>
      <w:pPr>
        <w:sectPr>
          <w:pgSz w:w="11900" w:h="16838" w:orient="portrait"/>
          <w:cols w:equalWidth="0" w:num="5">
            <w:col w:w="7220" w:space="160"/>
            <w:col w:w="220" w:space="60"/>
            <w:col w:w="140" w:space="300"/>
            <w:col w:w="180" w:space="80"/>
            <w:col w:w="2800"/>
          </w:cols>
          <w:pgMar w:left="320" w:top="1017" w:right="419" w:bottom="1440" w:gutter="0" w:footer="0" w:header="0"/>
          <w:type w:val="continuous"/>
        </w:sectPr>
      </w:pPr>
    </w:p>
    <w:p>
      <w:pPr>
        <w:ind w:right="40"/>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440"/>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ind w:right="280"/>
        <w:spacing w:after="0" w:line="34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19" w:lineRule="exact"/>
        <w:rPr>
          <w:sz w:val="24"/>
          <w:szCs w:val="24"/>
          <w:color w:val="auto"/>
        </w:rPr>
      </w:pPr>
    </w:p>
    <w:tbl>
      <w:tblPr>
        <w:tblLayout w:type="fixed"/>
        <w:tblInd w:w="240" w:type="dxa"/>
        <w:tblCellMar>
          <w:top w:w="0" w:type="dxa"/>
          <w:left w:w="0" w:type="dxa"/>
          <w:bottom w:w="0" w:type="dxa"/>
          <w:right w:w="0" w:type="dxa"/>
        </w:tblCellMar>
      </w:tblPr>
      <w:tr>
        <w:trPr>
          <w:trHeight w:val="172"/>
        </w:trPr>
        <w:tc>
          <w:tcPr>
            <w:tcW w:w="1540" w:type="dxa"/>
            <w:vAlign w:val="bottom"/>
            <w:vMerge w:val="restart"/>
          </w:tcPr>
          <w:p>
            <w:pPr>
              <w:spacing w:after="0"/>
              <w:rPr>
                <w:sz w:val="20"/>
                <w:szCs w:val="20"/>
                <w:color w:val="auto"/>
              </w:rPr>
            </w:pPr>
            <w:r>
              <w:rPr>
                <w:rFonts w:ascii="Arial" w:cs="Arial" w:eastAsia="Arial" w:hAnsi="Arial"/>
                <w:sz w:val="15"/>
                <w:szCs w:val="15"/>
                <w:color w:val="auto"/>
                <w:w w:val="97"/>
              </w:rPr>
              <w:t>Large Accelerated Filer</w:t>
            </w:r>
          </w:p>
        </w:tc>
        <w:tc>
          <w:tcPr>
            <w:tcW w:w="1780" w:type="dxa"/>
            <w:vAlign w:val="bottom"/>
          </w:tcPr>
          <w:p>
            <w:pPr>
              <w:ind w:left="640"/>
              <w:spacing w:after="0"/>
              <w:rPr>
                <w:sz w:val="20"/>
                <w:szCs w:val="20"/>
                <w:color w:val="auto"/>
              </w:rPr>
            </w:pPr>
            <w:r>
              <w:rPr>
                <w:rFonts w:ascii="Arial" w:cs="Arial" w:eastAsia="Arial" w:hAnsi="Arial"/>
                <w:sz w:val="15"/>
                <w:szCs w:val="15"/>
                <w:color w:val="auto"/>
                <w:w w:val="99"/>
              </w:rPr>
              <w:t>Accelerated Filer</w:t>
            </w:r>
          </w:p>
        </w:tc>
        <w:tc>
          <w:tcPr>
            <w:tcW w:w="4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5"/>
                <w:szCs w:val="15"/>
                <w:color w:val="auto"/>
                <w:w w:val="99"/>
              </w:rPr>
              <w:t>Non-Accelerated Filer</w:t>
            </w:r>
          </w:p>
        </w:tc>
        <w:tc>
          <w:tcPr>
            <w:tcW w:w="46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2620" w:type="dxa"/>
            <w:vAlign w:val="bottom"/>
          </w:tcPr>
          <w:p>
            <w:pPr>
              <w:ind w:left="220"/>
              <w:spacing w:after="0"/>
              <w:rPr>
                <w:sz w:val="20"/>
                <w:szCs w:val="20"/>
                <w:color w:val="auto"/>
              </w:rPr>
            </w:pPr>
            <w:r>
              <w:rPr>
                <w:rFonts w:ascii="Arial" w:cs="Arial" w:eastAsia="Arial" w:hAnsi="Arial"/>
                <w:sz w:val="15"/>
                <w:szCs w:val="15"/>
                <w:color w:val="auto"/>
              </w:rPr>
              <w:t>Smaller Reporting Company</w:t>
            </w:r>
          </w:p>
        </w:tc>
        <w:tc>
          <w:tcPr>
            <w:tcW w:w="2400" w:type="dxa"/>
            <w:vAlign w:val="bottom"/>
          </w:tcPr>
          <w:p>
            <w:pPr>
              <w:ind w:left="180"/>
              <w:spacing w:after="0"/>
              <w:rPr>
                <w:sz w:val="20"/>
                <w:szCs w:val="20"/>
                <w:color w:val="auto"/>
              </w:rPr>
            </w:pPr>
            <w:r>
              <w:rPr>
                <w:rFonts w:ascii="Arial" w:cs="Arial" w:eastAsia="Arial" w:hAnsi="Arial"/>
                <w:sz w:val="15"/>
                <w:szCs w:val="15"/>
                <w:color w:val="auto"/>
              </w:rPr>
              <w:t>Emerging Growth Company</w:t>
            </w:r>
          </w:p>
        </w:tc>
        <w:tc>
          <w:tcPr>
            <w:tcW w:w="0" w:type="dxa"/>
            <w:vAlign w:val="bottom"/>
          </w:tcPr>
          <w:p>
            <w:pPr>
              <w:spacing w:after="0"/>
              <w:rPr>
                <w:sz w:val="1"/>
                <w:szCs w:val="1"/>
                <w:color w:val="auto"/>
              </w:rPr>
            </w:pPr>
          </w:p>
        </w:tc>
      </w:tr>
      <w:tr>
        <w:trPr>
          <w:trHeight w:val="235"/>
        </w:trPr>
        <w:tc>
          <w:tcPr>
            <w:tcW w:w="1540" w:type="dxa"/>
            <w:vAlign w:val="bottom"/>
            <w:vMerge w:val="continue"/>
          </w:tcPr>
          <w:p>
            <w:pPr>
              <w:spacing w:after="0"/>
              <w:rPr>
                <w:sz w:val="20"/>
                <w:szCs w:val="20"/>
                <w:color w:val="auto"/>
              </w:rPr>
            </w:pPr>
          </w:p>
        </w:tc>
        <w:tc>
          <w:tcPr>
            <w:tcW w:w="17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44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tcPr>
          <w:p>
            <w:pPr>
              <w:ind w:left="2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2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bl>
    <w:p>
      <w:pPr>
        <w:spacing w:after="0" w:line="76" w:lineRule="exact"/>
        <w:rPr>
          <w:sz w:val="24"/>
          <w:szCs w:val="24"/>
          <w:color w:val="auto"/>
        </w:rPr>
      </w:pPr>
    </w:p>
    <w:p>
      <w:pPr>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9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3" w:lineRule="exact"/>
        <w:rPr>
          <w:sz w:val="24"/>
          <w:szCs w:val="24"/>
          <w:color w:val="auto"/>
        </w:rPr>
      </w:pPr>
    </w:p>
    <w:p>
      <w:pPr>
        <w:ind w:right="20"/>
        <w:spacing w:after="0" w:line="315"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$9.7 billion.</w:t>
      </w:r>
    </w:p>
    <w:p>
      <w:pPr>
        <w:spacing w:after="0" w:line="1" w:lineRule="exact"/>
        <w:rPr>
          <w:sz w:val="24"/>
          <w:szCs w:val="24"/>
          <w:color w:val="auto"/>
        </w:rPr>
      </w:pPr>
    </w:p>
    <w:p>
      <w:pPr>
        <w:ind w:right="20"/>
        <w:spacing w:after="0" w:line="263" w:lineRule="auto"/>
        <w:rPr>
          <w:sz w:val="20"/>
          <w:szCs w:val="20"/>
          <w:color w:val="auto"/>
        </w:rPr>
      </w:pPr>
      <w:r>
        <w:rPr>
          <w:rFonts w:ascii="Arial" w:cs="Arial" w:eastAsia="Arial" w:hAnsi="Arial"/>
          <w:sz w:val="15"/>
          <w:szCs w:val="15"/>
          <w:color w:val="auto"/>
        </w:rPr>
        <w:t>The number of outstanding ordinary shares of Liberty Global plc as of January 31, 2023 was: 171,931,486 shares of class A ordinary shares, 12,994,000 shares of class B ordinary shares and 271,214,310 shares of class C ordinary shares.</w:t>
      </w:r>
    </w:p>
    <w:p>
      <w:pPr>
        <w:spacing w:after="0" w:line="85"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Portions of the definitive proxy statement for the Registrant’s 2023 Annual General Meeting of Shareholders are incorporated by reference in Part III of this Form </w:t>
      </w:r>
      <w:r>
        <w:rPr>
          <w:rFonts w:ascii="Arial" w:cs="Arial" w:eastAsia="Arial" w:hAnsi="Arial"/>
          <w:sz w:val="16"/>
          <w:szCs w:val="16"/>
          <w:color w:val="auto"/>
        </w:rPr>
        <w:t>10-K</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600710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711835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7118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160"/>
          </w:cols>
          <w:pgMar w:left="320" w:top="1017"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9"/>
              </w:rPr>
              <w:t>LIBERTY GLOBAL PLC</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4"/>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6"/>
              </w:rPr>
              <w:t>2022 ANNUAL REPORT ON FORM 10-K</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2"/>
        </w:trPr>
        <w:tc>
          <w:tcPr>
            <w:tcW w:w="8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71"/>
              </w:rPr>
              <w:t>Page</w:t>
            </w:r>
          </w:p>
        </w:tc>
      </w:tr>
      <w:tr>
        <w:trPr>
          <w:trHeight w:val="188"/>
        </w:trPr>
        <w:tc>
          <w:tcPr>
            <w:tcW w:w="88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Number</w:t>
            </w:r>
          </w:p>
        </w:tc>
      </w:tr>
      <w:tr>
        <w:trPr>
          <w:trHeight w:val="211"/>
        </w:trPr>
        <w:tc>
          <w:tcPr>
            <w:tcW w:w="880" w:type="dxa"/>
            <w:vAlign w:val="bottom"/>
          </w:tcPr>
          <w:p>
            <w:pPr>
              <w:spacing w:after="0"/>
              <w:rPr>
                <w:sz w:val="18"/>
                <w:szCs w:val="18"/>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w w:val="94"/>
              </w:rPr>
              <w:t>PART I</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88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Item 1.</w:t>
            </w:r>
          </w:p>
        </w:tc>
        <w:tc>
          <w:tcPr>
            <w:tcW w:w="9500" w:type="dxa"/>
            <w:vAlign w:val="bottom"/>
            <w:shd w:val="clear" w:color="auto" w:fill="CCEEFF"/>
          </w:tcPr>
          <w:p>
            <w:pPr>
              <w:ind w:left="240"/>
              <w:spacing w:after="0" w:line="186" w:lineRule="exact"/>
              <w:rPr>
                <w:sz w:val="20"/>
                <w:szCs w:val="20"/>
                <w:color w:val="auto"/>
              </w:rPr>
            </w:pPr>
            <w:r>
              <w:rPr>
                <w:rFonts w:ascii="Arial" w:cs="Arial" w:eastAsia="Arial" w:hAnsi="Arial"/>
                <w:sz w:val="18"/>
                <w:szCs w:val="18"/>
                <w:color w:val="auto"/>
              </w:rPr>
              <w:t>Business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320"/>
              <w:spacing w:after="0" w:line="186" w:lineRule="exact"/>
              <w:rPr>
                <w:sz w:val="20"/>
                <w:szCs w:val="20"/>
                <w:color w:val="auto"/>
              </w:rPr>
            </w:pPr>
            <w:r>
              <w:rPr>
                <w:rFonts w:ascii="Arial" w:cs="Arial" w:eastAsia="Arial" w:hAnsi="Arial"/>
                <w:sz w:val="18"/>
                <w:szCs w:val="18"/>
                <w:color w:val="0000FF"/>
                <w:w w:val="94"/>
              </w:rPr>
              <w:t>I-1</w:t>
            </w:r>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1A.</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Risk Factors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sz w:val="20"/>
                <w:szCs w:val="20"/>
                <w:color w:val="auto"/>
              </w:rPr>
            </w:pPr>
            <w:r>
              <w:rPr>
                <w:rFonts w:ascii="Arial" w:cs="Arial" w:eastAsia="Arial" w:hAnsi="Arial"/>
                <w:sz w:val="18"/>
                <w:szCs w:val="18"/>
                <w:color w:val="0000FF"/>
                <w:w w:val="77"/>
              </w:rPr>
              <w:t>I-26</w:t>
            </w:r>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1B.</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Unresolved Staff Comments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80"/>
              <w:spacing w:after="0" w:line="195" w:lineRule="exact"/>
              <w:rPr>
                <w:sz w:val="20"/>
                <w:szCs w:val="20"/>
                <w:color w:val="auto"/>
              </w:rPr>
            </w:pPr>
            <w:r>
              <w:rPr>
                <w:rFonts w:ascii="Arial" w:cs="Arial" w:eastAsia="Arial" w:hAnsi="Arial"/>
                <w:sz w:val="18"/>
                <w:szCs w:val="18"/>
                <w:color w:val="0000FF"/>
                <w:w w:val="77"/>
              </w:rPr>
              <w:t>I-40</w:t>
            </w:r>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2.</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Properties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sz w:val="20"/>
                <w:szCs w:val="20"/>
                <w:color w:val="auto"/>
              </w:rPr>
            </w:pPr>
            <w:r>
              <w:rPr>
                <w:rFonts w:ascii="Arial" w:cs="Arial" w:eastAsia="Arial" w:hAnsi="Arial"/>
                <w:sz w:val="18"/>
                <w:szCs w:val="18"/>
                <w:color w:val="0000FF"/>
                <w:w w:val="77"/>
              </w:rPr>
              <w:t>I-41</w:t>
            </w:r>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Legal Proceedings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80"/>
              <w:spacing w:after="0" w:line="195" w:lineRule="exact"/>
              <w:rPr>
                <w:sz w:val="20"/>
                <w:szCs w:val="20"/>
                <w:color w:val="auto"/>
              </w:rPr>
            </w:pPr>
            <w:r>
              <w:rPr>
                <w:rFonts w:ascii="Arial" w:cs="Arial" w:eastAsia="Arial" w:hAnsi="Arial"/>
                <w:sz w:val="18"/>
                <w:szCs w:val="18"/>
                <w:color w:val="0000FF"/>
                <w:w w:val="77"/>
              </w:rPr>
              <w:t>I-41</w:t>
            </w:r>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4.</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Mine Safety Disclosures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sz w:val="20"/>
                <w:szCs w:val="20"/>
                <w:color w:val="auto"/>
              </w:rPr>
            </w:pPr>
            <w:r>
              <w:rPr>
                <w:rFonts w:ascii="Arial" w:cs="Arial" w:eastAsia="Arial" w:hAnsi="Arial"/>
                <w:sz w:val="18"/>
                <w:szCs w:val="18"/>
                <w:color w:val="0000FF"/>
                <w:w w:val="77"/>
              </w:rPr>
              <w:t>I-41</w:t>
            </w:r>
          </w:p>
        </w:tc>
      </w:tr>
      <w:tr>
        <w:trPr>
          <w:trHeight w:val="261"/>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000FF"/>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w w:val="99"/>
              </w:rPr>
              <w:t>PART II</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88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Item 5.</w:t>
            </w:r>
          </w:p>
        </w:tc>
        <w:tc>
          <w:tcPr>
            <w:tcW w:w="9500" w:type="dxa"/>
            <w:vAlign w:val="bottom"/>
            <w:tcBorders>
              <w:bottom w:val="single" w:sz="8" w:color="CCEEFF"/>
            </w:tcBorders>
            <w:shd w:val="clear" w:color="auto" w:fill="CCEEFF"/>
          </w:tcPr>
          <w:p>
            <w:pPr>
              <w:ind w:left="240"/>
              <w:spacing w:after="0" w:line="185" w:lineRule="exact"/>
              <w:rPr>
                <w:sz w:val="20"/>
                <w:szCs w:val="20"/>
                <w:color w:val="auto"/>
              </w:rPr>
            </w:pPr>
            <w:r>
              <w:rPr>
                <w:rFonts w:ascii="Arial" w:cs="Arial" w:eastAsia="Arial" w:hAnsi="Arial"/>
                <w:sz w:val="18"/>
                <w:szCs w:val="18"/>
                <w:color w:val="auto"/>
              </w:rPr>
              <w:t>Market for Registrant’s Common Equity, Related Shareholder Matters and Issuer Purchases of Equity Securities</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0000FF"/>
              <w:right w:val="single" w:sz="8" w:color="CCEEFF"/>
            </w:tcBorders>
            <w:shd w:val="clear" w:color="auto" w:fill="CCEEFF"/>
          </w:tcPr>
          <w:p>
            <w:pPr>
              <w:jc w:val="center"/>
              <w:spacing w:after="0" w:line="185" w:lineRule="exact"/>
              <w:rPr>
                <w:sz w:val="20"/>
                <w:szCs w:val="20"/>
                <w:color w:val="auto"/>
              </w:rPr>
            </w:pPr>
            <w:r>
              <w:rPr>
                <w:rFonts w:ascii="Arial" w:cs="Arial" w:eastAsia="Arial" w:hAnsi="Arial"/>
                <w:sz w:val="18"/>
                <w:szCs w:val="18"/>
                <w:color w:val="0000FF"/>
                <w:w w:val="92"/>
              </w:rPr>
              <w:t>II-1</w:t>
            </w:r>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7.</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2"/>
              </w:rPr>
              <w:t>II-4</w:t>
            </w:r>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7A.</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77"/>
              </w:rPr>
              <w:t>II-34</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8.</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Financial Statements and Supplementary Data</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77"/>
              </w:rPr>
              <w:t>II-39</w:t>
            </w:r>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9.</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77"/>
              </w:rPr>
              <w:t>II-39</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9A.</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Controls and Procedures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77"/>
              </w:rPr>
              <w:t>II-39</w:t>
            </w:r>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9B.</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Other Information</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77"/>
              </w:rPr>
              <w:t>II-39</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9C.</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Disclosure Regarding Foreign Jurisdictions that Prevent Inspections</w:t>
            </w:r>
          </w:p>
        </w:tc>
        <w:tc>
          <w:tcPr>
            <w:tcW w:w="320" w:type="dxa"/>
            <w:vAlign w:val="bottom"/>
          </w:tcPr>
          <w:p>
            <w:pPr>
              <w:spacing w:after="0"/>
              <w:rPr>
                <w:sz w:val="16"/>
                <w:szCs w:val="16"/>
                <w:color w:val="auto"/>
              </w:rPr>
            </w:pPr>
          </w:p>
        </w:tc>
        <w:tc>
          <w:tcPr>
            <w:tcW w:w="540" w:type="dxa"/>
            <w:vAlign w:val="bottom"/>
            <w:gridSpan w:val="3"/>
          </w:tcPr>
          <w:p>
            <w:pPr>
              <w:jc w:val="center"/>
              <w:ind w:right="260"/>
              <w:spacing w:after="0" w:line="185" w:lineRule="exact"/>
              <w:rPr>
                <w:sz w:val="20"/>
                <w:szCs w:val="20"/>
                <w:color w:val="auto"/>
              </w:rPr>
            </w:pPr>
            <w:r>
              <w:rPr>
                <w:rFonts w:ascii="Arial" w:cs="Arial" w:eastAsia="Arial" w:hAnsi="Arial"/>
                <w:sz w:val="18"/>
                <w:szCs w:val="18"/>
                <w:color w:val="0E32E1"/>
                <w:w w:val="77"/>
              </w:rPr>
              <w:t>II-39</w:t>
            </w:r>
          </w:p>
        </w:tc>
      </w:tr>
      <w:tr>
        <w:trPr>
          <w:trHeight w:val="261"/>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E32E1"/>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rPr>
              <w:t>PART III</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8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Item 10.</w:t>
            </w:r>
          </w:p>
        </w:tc>
        <w:tc>
          <w:tcPr>
            <w:tcW w:w="950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Directors, Executive Officers and Corporate Governance</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60"/>
              <w:spacing w:after="0" w:line="185" w:lineRule="exact"/>
              <w:rPr>
                <w:sz w:val="20"/>
                <w:szCs w:val="20"/>
                <w:color w:val="auto"/>
              </w:rPr>
            </w:pPr>
            <w:r>
              <w:rPr>
                <w:rFonts w:ascii="Arial" w:cs="Arial" w:eastAsia="Arial" w:hAnsi="Arial"/>
                <w:sz w:val="18"/>
                <w:szCs w:val="18"/>
                <w:color w:val="0000FF"/>
                <w:w w:val="83"/>
              </w:rPr>
              <w:t>III-1</w:t>
            </w:r>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11.</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Executive Compensation</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sz w:val="20"/>
                <w:szCs w:val="20"/>
                <w:color w:val="auto"/>
              </w:rPr>
            </w:pPr>
            <w:r>
              <w:rPr>
                <w:rFonts w:ascii="Arial" w:cs="Arial" w:eastAsia="Arial" w:hAnsi="Arial"/>
                <w:sz w:val="18"/>
                <w:szCs w:val="18"/>
                <w:color w:val="0000FF"/>
                <w:w w:val="83"/>
              </w:rPr>
              <w:t>III-1</w:t>
            </w:r>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12.</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60"/>
              <w:spacing w:after="0" w:line="195" w:lineRule="exact"/>
              <w:rPr>
                <w:sz w:val="20"/>
                <w:szCs w:val="20"/>
                <w:color w:val="auto"/>
              </w:rPr>
            </w:pPr>
            <w:r>
              <w:rPr>
                <w:rFonts w:ascii="Arial" w:cs="Arial" w:eastAsia="Arial" w:hAnsi="Arial"/>
                <w:sz w:val="18"/>
                <w:szCs w:val="18"/>
                <w:color w:val="0000FF"/>
                <w:w w:val="83"/>
              </w:rPr>
              <w:t>III-1</w:t>
            </w:r>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13.</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sz w:val="20"/>
                <w:szCs w:val="20"/>
                <w:color w:val="auto"/>
              </w:rPr>
            </w:pPr>
            <w:r>
              <w:rPr>
                <w:rFonts w:ascii="Arial" w:cs="Arial" w:eastAsia="Arial" w:hAnsi="Arial"/>
                <w:sz w:val="18"/>
                <w:szCs w:val="18"/>
                <w:color w:val="0000FF"/>
                <w:w w:val="83"/>
              </w:rPr>
              <w:t>III-1</w:t>
            </w:r>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14.</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Principal Accountant Fees and Services</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line="195" w:lineRule="exact"/>
              <w:rPr>
                <w:sz w:val="20"/>
                <w:szCs w:val="20"/>
                <w:color w:val="auto"/>
              </w:rPr>
            </w:pPr>
            <w:r>
              <w:rPr>
                <w:rFonts w:ascii="Arial" w:cs="Arial" w:eastAsia="Arial" w:hAnsi="Arial"/>
                <w:sz w:val="18"/>
                <w:szCs w:val="18"/>
                <w:color w:val="0000FF"/>
                <w:w w:val="83"/>
              </w:rPr>
              <w:t>III-1</w:t>
            </w:r>
          </w:p>
        </w:tc>
        <w:tc>
          <w:tcPr>
            <w:tcW w:w="20" w:type="dxa"/>
            <w:vAlign w:val="bottom"/>
          </w:tcPr>
          <w:p>
            <w:pPr>
              <w:spacing w:after="0"/>
              <w:rPr>
                <w:sz w:val="18"/>
                <w:szCs w:val="18"/>
                <w:color w:val="auto"/>
              </w:rPr>
            </w:pPr>
          </w:p>
        </w:tc>
      </w:tr>
      <w:tr>
        <w:trPr>
          <w:trHeight w:val="251"/>
        </w:trPr>
        <w:tc>
          <w:tcPr>
            <w:tcW w:w="88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15.</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Exhibits, Financial Statement Schedules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78"/>
              </w:rPr>
              <w:t>IV-1</w:t>
            </w:r>
          </w:p>
        </w:tc>
        <w:tc>
          <w:tcPr>
            <w:tcW w:w="300" w:type="dxa"/>
            <w:vAlign w:val="bottom"/>
            <w:gridSpan w:val="2"/>
          </w:tcPr>
          <w:p>
            <w:pPr>
              <w:spacing w:after="0"/>
              <w:rPr>
                <w:sz w:val="16"/>
                <w:szCs w:val="16"/>
                <w:color w:val="auto"/>
              </w:rPr>
            </w:pPr>
          </w:p>
        </w:tc>
      </w:tr>
      <w:tr>
        <w:trPr>
          <w:trHeight w:val="21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16.</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Form 10-K Summary</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line="195" w:lineRule="exact"/>
              <w:rPr>
                <w:sz w:val="20"/>
                <w:szCs w:val="20"/>
                <w:color w:val="auto"/>
              </w:rPr>
            </w:pPr>
            <w:r>
              <w:rPr>
                <w:rFonts w:ascii="Arial" w:cs="Arial" w:eastAsia="Arial" w:hAnsi="Arial"/>
                <w:sz w:val="18"/>
                <w:szCs w:val="18"/>
                <w:color w:val="0000FF"/>
                <w:w w:val="78"/>
              </w:rPr>
              <w:t>IV-6</w:t>
            </w:r>
          </w:p>
        </w:tc>
        <w:tc>
          <w:tcPr>
            <w:tcW w:w="20" w:type="dxa"/>
            <w:vAlign w:val="bottom"/>
          </w:tcPr>
          <w:p>
            <w:pPr>
              <w:spacing w:after="0"/>
              <w:rPr>
                <w:sz w:val="18"/>
                <w:szCs w:val="18"/>
                <w:color w:val="auto"/>
              </w:rPr>
            </w:pPr>
          </w:p>
        </w:tc>
      </w:tr>
      <w:tr>
        <w:trPr>
          <w:trHeight w:val="1674"/>
        </w:trPr>
        <w:tc>
          <w:tcPr>
            <w:tcW w:w="880" w:type="dxa"/>
            <w:vAlign w:val="bottom"/>
            <w:tcBorders>
              <w:top w:val="single" w:sz="8" w:color="CCEEFF"/>
              <w:bottom w:val="single" w:sz="8" w:color="9A9A9A"/>
            </w:tcBorders>
          </w:tcPr>
          <w:p>
            <w:pPr>
              <w:spacing w:after="0"/>
              <w:rPr>
                <w:sz w:val="24"/>
                <w:szCs w:val="24"/>
                <w:color w:val="auto"/>
              </w:rPr>
            </w:pPr>
          </w:p>
        </w:tc>
        <w:tc>
          <w:tcPr>
            <w:tcW w:w="95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43" w:lineRule="exact"/>
        <w:rPr>
          <w:sz w:val="20"/>
          <w:szCs w:val="20"/>
          <w:color w:val="auto"/>
        </w:rPr>
      </w:pPr>
    </w:p>
    <w:p>
      <w:pPr>
        <w:jc w:val="both"/>
        <w:ind w:right="100" w:firstLine="318"/>
        <w:spacing w:after="0" w:line="304" w:lineRule="auto"/>
        <w:rPr>
          <w:sz w:val="20"/>
          <w:szCs w:val="20"/>
          <w:color w:val="auto"/>
        </w:rPr>
      </w:pPr>
      <w:r>
        <w:rPr>
          <w:rFonts w:ascii="Arial" w:cs="Arial" w:eastAsia="Arial" w:hAnsi="Arial"/>
          <w:sz w:val="15"/>
          <w:szCs w:val="15"/>
          <w:color w:val="auto"/>
        </w:rPr>
        <w:t>We are 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an international converged fixed and mobile communications company, providing world-class connectivity and entertainment services to our residential and business customers. We are focused on building fixed-mobile convergence national champions in our core European markets, and we are constantly striving to enhance and simplify our customers’ lives through quality products and services that give them the freedom to connect, converse, work and be entertained anytime, anywhere they choose. To that end, we deliver market-leading connectivity and entertainment products through next-generation networks that connect retail and wholesale customers subscribing to over 86 million (at December 31, 2022) broadband internet, video, fixed-line telephony and mobile services across our operating companies. Our primary business operations are listed below, all of which we consolidate, with the exception of the VMO2 JV and the VodafoneZiggo JV (each as defined below). Additionally, our ventures arm, Liberty Global Ventures, has investments in more than 75 companies in the fields of content, technology and infrastructure, including strategic stakes in companies such as Plume Design, Inc. (</w:t>
      </w:r>
      <w:r>
        <w:rPr>
          <w:rFonts w:ascii="Arial" w:cs="Arial" w:eastAsia="Arial" w:hAnsi="Arial"/>
          <w:sz w:val="15"/>
          <w:szCs w:val="15"/>
          <w:b w:val="1"/>
          <w:bCs w:val="1"/>
          <w:color w:val="auto"/>
        </w:rPr>
        <w:t>Plume</w:t>
      </w:r>
      <w:r>
        <w:rPr>
          <w:rFonts w:ascii="Arial" w:cs="Arial" w:eastAsia="Arial" w:hAnsi="Arial"/>
          <w:sz w:val="15"/>
          <w:szCs w:val="15"/>
          <w:color w:val="auto"/>
        </w:rPr>
        <w:t>), ITV plc (</w:t>
      </w:r>
      <w:r>
        <w:rPr>
          <w:rFonts w:ascii="Arial" w:cs="Arial" w:eastAsia="Arial" w:hAnsi="Arial"/>
          <w:sz w:val="15"/>
          <w:szCs w:val="15"/>
          <w:b w:val="1"/>
          <w:bCs w:val="1"/>
          <w:color w:val="auto"/>
        </w:rPr>
        <w:t>ITV</w:t>
      </w:r>
      <w:r>
        <w:rPr>
          <w:rFonts w:ascii="Arial" w:cs="Arial" w:eastAsia="Arial" w:hAnsi="Arial"/>
          <w:sz w:val="15"/>
          <w:szCs w:val="15"/>
          <w:color w:val="auto"/>
        </w:rPr>
        <w:t>), Televisa Univision, Inc. (</w:t>
      </w:r>
      <w:r>
        <w:rPr>
          <w:rFonts w:ascii="Arial" w:cs="Arial" w:eastAsia="Arial" w:hAnsi="Arial"/>
          <w:sz w:val="15"/>
          <w:szCs w:val="15"/>
          <w:b w:val="1"/>
          <w:bCs w:val="1"/>
          <w:color w:val="auto"/>
        </w:rPr>
        <w:t>Televisa Univision</w:t>
      </w:r>
      <w:r>
        <w:rPr>
          <w:rFonts w:ascii="Arial" w:cs="Arial" w:eastAsia="Arial" w:hAnsi="Arial"/>
          <w:sz w:val="15"/>
          <w:szCs w:val="15"/>
          <w:color w:val="auto"/>
        </w:rPr>
        <w:t>), AE Group Sàrl (</w:t>
      </w:r>
      <w:r>
        <w:rPr>
          <w:rFonts w:ascii="Arial" w:cs="Arial" w:eastAsia="Arial" w:hAnsi="Arial"/>
          <w:sz w:val="15"/>
          <w:szCs w:val="15"/>
          <w:b w:val="1"/>
          <w:bCs w:val="1"/>
          <w:color w:val="auto"/>
        </w:rPr>
        <w:t>AtlasEdge</w:t>
      </w:r>
      <w:r>
        <w:rPr>
          <w:rFonts w:ascii="Arial" w:cs="Arial" w:eastAsia="Arial" w:hAnsi="Arial"/>
          <w:sz w:val="15"/>
          <w:szCs w:val="15"/>
          <w:color w:val="auto"/>
        </w:rPr>
        <w:t>) and Formula E Holdings Ltd. (</w:t>
      </w:r>
      <w:r>
        <w:rPr>
          <w:rFonts w:ascii="Arial" w:cs="Arial" w:eastAsia="Arial" w:hAnsi="Arial"/>
          <w:sz w:val="15"/>
          <w:szCs w:val="15"/>
          <w:b w:val="1"/>
          <w:bCs w:val="1"/>
          <w:color w:val="auto"/>
        </w:rPr>
        <w:t>Formula E</w:t>
      </w:r>
      <w:r>
        <w:rPr>
          <w:rFonts w:ascii="Arial" w:cs="Arial" w:eastAsia="Arial" w:hAnsi="Arial"/>
          <w:sz w:val="15"/>
          <w:szCs w:val="15"/>
          <w:color w:val="auto"/>
        </w:rPr>
        <w: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Primary Business Operations</w:t>
      </w:r>
      <w:r>
        <w:rPr>
          <w:rFonts w:ascii="Arial" w:cs="Arial" w:eastAsia="Arial" w:hAnsi="Arial"/>
          <w:sz w:val="18"/>
          <w:szCs w:val="18"/>
          <w:color w:val="auto"/>
        </w:rPr>
        <w:t>:</w:t>
      </w:r>
    </w:p>
    <w:p>
      <w:pPr>
        <w:spacing w:after="0" w:line="116" w:lineRule="exact"/>
        <w:rPr>
          <w:sz w:val="20"/>
          <w:szCs w:val="20"/>
          <w:color w:val="auto"/>
        </w:rPr>
      </w:pPr>
    </w:p>
    <w:tbl>
      <w:tblPr>
        <w:tblLayout w:type="fixed"/>
        <w:tblInd w:w="330" w:type="dxa"/>
        <w:tblCellMar>
          <w:top w:w="0" w:type="dxa"/>
          <w:left w:w="0" w:type="dxa"/>
          <w:bottom w:w="0" w:type="dxa"/>
          <w:right w:w="0" w:type="dxa"/>
        </w:tblCellMar>
      </w:tblPr>
      <w:tr>
        <w:trPr>
          <w:trHeight w:val="199"/>
        </w:trPr>
        <w:tc>
          <w:tcPr>
            <w:tcW w:w="2740" w:type="dxa"/>
            <w:vAlign w:val="bottom"/>
            <w:tcBorders>
              <w:top w:val="single" w:sz="8" w:color="auto"/>
              <w:left w:val="single" w:sz="8" w:color="auto"/>
            </w:tcBorders>
            <w:gridSpan w:val="3"/>
          </w:tcPr>
          <w:p>
            <w:pPr>
              <w:ind w:left="1460"/>
              <w:spacing w:after="0" w:line="199" w:lineRule="exact"/>
              <w:rPr>
                <w:sz w:val="20"/>
                <w:szCs w:val="20"/>
                <w:color w:val="auto"/>
              </w:rPr>
            </w:pPr>
            <w:r>
              <w:rPr>
                <w:rFonts w:ascii="Arial" w:cs="Arial" w:eastAsia="Arial" w:hAnsi="Arial"/>
                <w:sz w:val="18"/>
                <w:szCs w:val="18"/>
                <w:b w:val="1"/>
                <w:bCs w:val="1"/>
                <w:color w:val="auto"/>
              </w:rPr>
              <w:t>Brand</w:t>
            </w:r>
          </w:p>
        </w:tc>
        <w:tc>
          <w:tcPr>
            <w:tcW w:w="1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Entity</w:t>
            </w:r>
          </w:p>
        </w:tc>
        <w:tc>
          <w:tcPr>
            <w:tcW w:w="160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Location</w:t>
            </w:r>
          </w:p>
        </w:tc>
        <w:tc>
          <w:tcPr>
            <w:tcW w:w="148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Ownership</w:t>
            </w:r>
            <w:r>
              <w:rPr>
                <w:rFonts w:ascii="Arial" w:cs="Arial" w:eastAsia="Arial" w:hAnsi="Arial"/>
                <w:sz w:val="22"/>
                <w:szCs w:val="22"/>
                <w:b w:val="1"/>
                <w:bCs w:val="1"/>
                <w:color w:val="auto"/>
                <w:vertAlign w:val="superscript"/>
              </w:rPr>
              <w:t>(1)</w:t>
            </w:r>
          </w:p>
        </w:tc>
      </w:tr>
      <w:tr>
        <w:trPr>
          <w:trHeight w:val="667"/>
        </w:trPr>
        <w:tc>
          <w:tcPr>
            <w:tcW w:w="1460" w:type="dxa"/>
            <w:vAlign w:val="bottom"/>
            <w:tcBorders>
              <w:lef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ind w:left="820"/>
              <w:spacing w:after="0"/>
              <w:rPr>
                <w:sz w:val="20"/>
                <w:szCs w:val="20"/>
                <w:color w:val="auto"/>
              </w:rPr>
            </w:pPr>
            <w:r>
              <w:rPr>
                <w:rFonts w:ascii="Arial" w:cs="Arial" w:eastAsia="Arial" w:hAnsi="Arial"/>
                <w:sz w:val="18"/>
                <w:szCs w:val="18"/>
                <w:color w:val="auto"/>
              </w:rPr>
              <w:t>Sunrise</w:t>
            </w:r>
          </w:p>
        </w:tc>
        <w:tc>
          <w:tcPr>
            <w:tcW w:w="4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ind w:left="500"/>
              <w:spacing w:after="0"/>
              <w:rPr>
                <w:sz w:val="20"/>
                <w:szCs w:val="20"/>
                <w:color w:val="auto"/>
              </w:rPr>
            </w:pPr>
            <w:r>
              <w:rPr>
                <w:rFonts w:ascii="Arial" w:cs="Arial" w:eastAsia="Arial" w:hAnsi="Arial"/>
                <w:sz w:val="18"/>
                <w:szCs w:val="18"/>
                <w:color w:val="auto"/>
              </w:rPr>
              <w:t>Switzerland</w:t>
            </w:r>
          </w:p>
        </w:tc>
        <w:tc>
          <w:tcPr>
            <w:tcW w:w="6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4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8"/>
              </w:rPr>
              <w:t>100.0%</w:t>
            </w:r>
          </w:p>
        </w:tc>
        <w:tc>
          <w:tcPr>
            <w:tcW w:w="640" w:type="dxa"/>
            <w:vAlign w:val="bottom"/>
          </w:tcPr>
          <w:p>
            <w:pPr>
              <w:spacing w:after="0"/>
              <w:rPr>
                <w:sz w:val="24"/>
                <w:szCs w:val="24"/>
                <w:color w:val="auto"/>
              </w:rPr>
            </w:pPr>
          </w:p>
        </w:tc>
      </w:tr>
      <w:tr>
        <w:trPr>
          <w:trHeight w:val="847"/>
        </w:trPr>
        <w:tc>
          <w:tcPr>
            <w:tcW w:w="146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gridSpan w:val="3"/>
          </w:tcPr>
          <w:p>
            <w:pPr>
              <w:ind w:left="820"/>
              <w:spacing w:after="0"/>
              <w:rPr>
                <w:sz w:val="20"/>
                <w:szCs w:val="20"/>
                <w:color w:val="auto"/>
              </w:rPr>
            </w:pPr>
            <w:r>
              <w:rPr>
                <w:rFonts w:ascii="Arial" w:cs="Arial" w:eastAsia="Arial" w:hAnsi="Arial"/>
                <w:sz w:val="18"/>
                <w:szCs w:val="18"/>
                <w:color w:val="auto"/>
              </w:rPr>
              <w:t>Telenet</w:t>
            </w:r>
          </w:p>
        </w:tc>
        <w:tc>
          <w:tcPr>
            <w:tcW w:w="4240" w:type="dxa"/>
            <w:vAlign w:val="bottom"/>
            <w:gridSpan w:val="3"/>
          </w:tcPr>
          <w:p>
            <w:pPr>
              <w:ind w:left="500"/>
              <w:spacing w:after="0"/>
              <w:rPr>
                <w:sz w:val="20"/>
                <w:szCs w:val="20"/>
                <w:color w:val="auto"/>
              </w:rPr>
            </w:pPr>
            <w:r>
              <w:rPr>
                <w:rFonts w:ascii="Arial" w:cs="Arial" w:eastAsia="Arial" w:hAnsi="Arial"/>
                <w:sz w:val="18"/>
                <w:szCs w:val="18"/>
                <w:color w:val="auto"/>
              </w:rPr>
              <w:t>Belgium</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0"/>
              </w:rPr>
              <w:t>61.1%</w:t>
            </w:r>
          </w:p>
        </w:tc>
        <w:tc>
          <w:tcPr>
            <w:tcW w:w="640" w:type="dxa"/>
            <w:vAlign w:val="bottom"/>
          </w:tcPr>
          <w:p>
            <w:pPr>
              <w:spacing w:after="0"/>
              <w:rPr>
                <w:sz w:val="24"/>
                <w:szCs w:val="24"/>
                <w:color w:val="auto"/>
              </w:rPr>
            </w:pPr>
          </w:p>
        </w:tc>
      </w:tr>
      <w:tr>
        <w:trPr>
          <w:trHeight w:val="662"/>
        </w:trPr>
        <w:tc>
          <w:tcPr>
            <w:tcW w:w="146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gridSpan w:val="3"/>
          </w:tcPr>
          <w:p>
            <w:pPr>
              <w:ind w:left="820"/>
              <w:spacing w:after="0"/>
              <w:rPr>
                <w:sz w:val="20"/>
                <w:szCs w:val="20"/>
                <w:color w:val="auto"/>
              </w:rPr>
            </w:pPr>
            <w:r>
              <w:rPr>
                <w:rFonts w:ascii="Arial" w:cs="Arial" w:eastAsia="Arial" w:hAnsi="Arial"/>
                <w:sz w:val="18"/>
                <w:szCs w:val="18"/>
                <w:color w:val="auto"/>
              </w:rPr>
              <w:t>Virgin Media</w:t>
            </w:r>
          </w:p>
        </w:tc>
        <w:tc>
          <w:tcPr>
            <w:tcW w:w="4240" w:type="dxa"/>
            <w:vAlign w:val="bottom"/>
            <w:gridSpan w:val="3"/>
          </w:tcPr>
          <w:p>
            <w:pPr>
              <w:ind w:left="500"/>
              <w:spacing w:after="0"/>
              <w:rPr>
                <w:sz w:val="20"/>
                <w:szCs w:val="20"/>
                <w:color w:val="auto"/>
              </w:rPr>
            </w:pPr>
            <w:r>
              <w:rPr>
                <w:rFonts w:ascii="Arial" w:cs="Arial" w:eastAsia="Arial" w:hAnsi="Arial"/>
                <w:sz w:val="18"/>
                <w:szCs w:val="18"/>
                <w:color w:val="auto"/>
              </w:rPr>
              <w:t>Ireland</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88"/>
              </w:rPr>
              <w:t>100.0%</w:t>
            </w:r>
          </w:p>
        </w:tc>
        <w:tc>
          <w:tcPr>
            <w:tcW w:w="640" w:type="dxa"/>
            <w:vAlign w:val="bottom"/>
          </w:tcPr>
          <w:p>
            <w:pPr>
              <w:spacing w:after="0"/>
              <w:rPr>
                <w:sz w:val="24"/>
                <w:szCs w:val="24"/>
                <w:color w:val="auto"/>
              </w:rPr>
            </w:pPr>
          </w:p>
        </w:tc>
      </w:tr>
      <w:tr>
        <w:trPr>
          <w:trHeight w:val="662"/>
        </w:trPr>
        <w:tc>
          <w:tcPr>
            <w:tcW w:w="146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gridSpan w:val="3"/>
          </w:tcPr>
          <w:p>
            <w:pPr>
              <w:ind w:left="820"/>
              <w:spacing w:after="0"/>
              <w:rPr>
                <w:sz w:val="20"/>
                <w:szCs w:val="20"/>
                <w:color w:val="auto"/>
              </w:rPr>
            </w:pPr>
            <w:r>
              <w:rPr>
                <w:rFonts w:ascii="Arial" w:cs="Arial" w:eastAsia="Arial" w:hAnsi="Arial"/>
                <w:sz w:val="18"/>
                <w:szCs w:val="18"/>
                <w:color w:val="auto"/>
              </w:rPr>
              <w:t>UPC Slovakia</w:t>
            </w:r>
          </w:p>
        </w:tc>
        <w:tc>
          <w:tcPr>
            <w:tcW w:w="4240" w:type="dxa"/>
            <w:vAlign w:val="bottom"/>
            <w:gridSpan w:val="3"/>
          </w:tcPr>
          <w:p>
            <w:pPr>
              <w:ind w:left="500"/>
              <w:spacing w:after="0"/>
              <w:rPr>
                <w:sz w:val="20"/>
                <w:szCs w:val="20"/>
                <w:color w:val="auto"/>
              </w:rPr>
            </w:pPr>
            <w:r>
              <w:rPr>
                <w:rFonts w:ascii="Arial" w:cs="Arial" w:eastAsia="Arial" w:hAnsi="Arial"/>
                <w:sz w:val="18"/>
                <w:szCs w:val="18"/>
                <w:color w:val="auto"/>
              </w:rPr>
              <w:t>Slovakia</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88"/>
              </w:rPr>
              <w:t>100.0%</w:t>
            </w:r>
          </w:p>
        </w:tc>
        <w:tc>
          <w:tcPr>
            <w:tcW w:w="640" w:type="dxa"/>
            <w:vAlign w:val="bottom"/>
          </w:tcPr>
          <w:p>
            <w:pPr>
              <w:spacing w:after="0"/>
              <w:rPr>
                <w:sz w:val="24"/>
                <w:szCs w:val="24"/>
                <w:color w:val="auto"/>
              </w:rPr>
            </w:pPr>
          </w:p>
        </w:tc>
      </w:tr>
      <w:tr>
        <w:trPr>
          <w:trHeight w:val="662"/>
        </w:trPr>
        <w:tc>
          <w:tcPr>
            <w:tcW w:w="146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gridSpan w:val="3"/>
          </w:tcPr>
          <w:p>
            <w:pPr>
              <w:ind w:left="820"/>
              <w:spacing w:after="0"/>
              <w:rPr>
                <w:sz w:val="20"/>
                <w:szCs w:val="20"/>
                <w:color w:val="auto"/>
              </w:rPr>
            </w:pPr>
            <w:r>
              <w:rPr>
                <w:rFonts w:ascii="Arial" w:cs="Arial" w:eastAsia="Arial" w:hAnsi="Arial"/>
                <w:sz w:val="18"/>
                <w:szCs w:val="18"/>
                <w:color w:val="auto"/>
              </w:rPr>
              <w:t>Virgin Media O2</w:t>
            </w:r>
          </w:p>
        </w:tc>
        <w:tc>
          <w:tcPr>
            <w:tcW w:w="4240" w:type="dxa"/>
            <w:vAlign w:val="bottom"/>
            <w:gridSpan w:val="3"/>
          </w:tcPr>
          <w:p>
            <w:pPr>
              <w:ind w:left="500"/>
              <w:spacing w:after="0"/>
              <w:rPr>
                <w:sz w:val="20"/>
                <w:szCs w:val="20"/>
                <w:color w:val="auto"/>
              </w:rPr>
            </w:pPr>
            <w:r>
              <w:rPr>
                <w:rFonts w:ascii="Arial" w:cs="Arial" w:eastAsia="Arial" w:hAnsi="Arial"/>
                <w:sz w:val="18"/>
                <w:szCs w:val="18"/>
                <w:color w:val="auto"/>
              </w:rPr>
              <w:t>United Kingdom (</w:t>
            </w:r>
            <w:r>
              <w:rPr>
                <w:rFonts w:ascii="Arial" w:cs="Arial" w:eastAsia="Arial" w:hAnsi="Arial"/>
                <w:sz w:val="18"/>
                <w:szCs w:val="18"/>
                <w:b w:val="1"/>
                <w:bCs w:val="1"/>
                <w:color w:val="auto"/>
              </w:rPr>
              <w:t>U.K.</w:t>
            </w:r>
            <w:r>
              <w:rPr>
                <w:rFonts w:ascii="Arial" w:cs="Arial" w:eastAsia="Arial" w:hAnsi="Arial"/>
                <w:sz w:val="18"/>
                <w:szCs w:val="18"/>
                <w:color w:val="auto"/>
              </w:rPr>
              <w:t>)</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0"/>
              </w:rPr>
              <w:t>50.0%</w:t>
            </w:r>
          </w:p>
        </w:tc>
        <w:tc>
          <w:tcPr>
            <w:tcW w:w="640" w:type="dxa"/>
            <w:vAlign w:val="bottom"/>
          </w:tcPr>
          <w:p>
            <w:pPr>
              <w:spacing w:after="0"/>
              <w:rPr>
                <w:sz w:val="24"/>
                <w:szCs w:val="24"/>
                <w:color w:val="auto"/>
              </w:rPr>
            </w:pPr>
          </w:p>
        </w:tc>
      </w:tr>
      <w:tr>
        <w:trPr>
          <w:trHeight w:val="582"/>
        </w:trPr>
        <w:tc>
          <w:tcPr>
            <w:tcW w:w="146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gridSpan w:val="3"/>
          </w:tcPr>
          <w:p>
            <w:pPr>
              <w:ind w:left="820"/>
              <w:spacing w:after="0"/>
              <w:rPr>
                <w:sz w:val="20"/>
                <w:szCs w:val="20"/>
                <w:color w:val="auto"/>
              </w:rPr>
            </w:pPr>
            <w:r>
              <w:rPr>
                <w:rFonts w:ascii="Arial" w:cs="Arial" w:eastAsia="Arial" w:hAnsi="Arial"/>
                <w:sz w:val="18"/>
                <w:szCs w:val="18"/>
                <w:color w:val="auto"/>
              </w:rPr>
              <w:t>VodafoneZiggo</w:t>
            </w:r>
          </w:p>
        </w:tc>
        <w:tc>
          <w:tcPr>
            <w:tcW w:w="4240" w:type="dxa"/>
            <w:vAlign w:val="bottom"/>
            <w:gridSpan w:val="3"/>
          </w:tcPr>
          <w:p>
            <w:pPr>
              <w:ind w:left="500"/>
              <w:spacing w:after="0"/>
              <w:rPr>
                <w:sz w:val="20"/>
                <w:szCs w:val="20"/>
                <w:color w:val="auto"/>
              </w:rPr>
            </w:pPr>
            <w:r>
              <w:rPr>
                <w:rFonts w:ascii="Arial" w:cs="Arial" w:eastAsia="Arial" w:hAnsi="Arial"/>
                <w:sz w:val="18"/>
                <w:szCs w:val="18"/>
                <w:color w:val="auto"/>
              </w:rPr>
              <w:t>Netherlands</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0"/>
              </w:rPr>
              <w:t>50.0%</w:t>
            </w:r>
          </w:p>
        </w:tc>
        <w:tc>
          <w:tcPr>
            <w:tcW w:w="640" w:type="dxa"/>
            <w:vAlign w:val="bottom"/>
          </w:tcPr>
          <w:p>
            <w:pPr>
              <w:spacing w:after="0"/>
              <w:rPr>
                <w:sz w:val="24"/>
                <w:szCs w:val="24"/>
                <w:color w:val="auto"/>
              </w:rPr>
            </w:pPr>
          </w:p>
        </w:tc>
      </w:tr>
      <w:tr>
        <w:trPr>
          <w:trHeight w:val="133"/>
        </w:trPr>
        <w:tc>
          <w:tcPr>
            <w:tcW w:w="146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-2672080</wp:posOffset>
            </wp:positionV>
            <wp:extent cx="1260475" cy="2605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0475" cy="26054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8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a result of a series of mergers that were completed on June 7, 2013, Liberty Global became the publicly-held parent company of the successors by merger of Liberty Global, Inc. (the predecessor to Liberty Global) and Virgin Media Inc. (</w:t>
      </w:r>
      <w:r>
        <w:rPr>
          <w:rFonts w:ascii="Arial" w:cs="Arial" w:eastAsia="Arial" w:hAnsi="Arial"/>
          <w:sz w:val="15"/>
          <w:szCs w:val="15"/>
          <w:b w:val="1"/>
          <w:bCs w:val="1"/>
          <w:color w:val="auto"/>
        </w:rPr>
        <w:t>Virgin Media</w:t>
      </w:r>
      <w:r>
        <w:rPr>
          <w:rFonts w:ascii="Arial" w:cs="Arial" w:eastAsia="Arial" w:hAnsi="Arial"/>
          <w:sz w:val="15"/>
          <w:szCs w:val="15"/>
          <w:color w:val="auto"/>
        </w:rPr>
        <w:t>). In this filing on Form 10-K, except where context dictates otherwise, the terms “we”, “our”, “our company” and “us” may refer, as the context requires, to Liberty Global (or its predecessor) or collectively to Liberty Global (or its predecessor) and its subsidiaries and any joint ventures. Unless otherwise indicated, convenience translations into United States (</w:t>
      </w:r>
      <w:r>
        <w:rPr>
          <w:rFonts w:ascii="Arial" w:cs="Arial" w:eastAsia="Arial" w:hAnsi="Arial"/>
          <w:sz w:val="15"/>
          <w:szCs w:val="15"/>
          <w:b w:val="1"/>
          <w:bCs w:val="1"/>
          <w:color w:val="auto"/>
        </w:rPr>
        <w:t>U.S.</w:t>
      </w:r>
      <w:r>
        <w:rPr>
          <w:rFonts w:ascii="Arial" w:cs="Arial" w:eastAsia="Arial" w:hAnsi="Arial"/>
          <w:sz w:val="15"/>
          <w:szCs w:val="15"/>
          <w:color w:val="auto"/>
        </w:rPr>
        <w:t>) dollars are calculated as of December 31, 2022, and operational data, including subscriber statistics and ownership percentages, are as of December 31, 2022.</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Acquisitions and Dispositions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completed a number of strategic acquisitions, dispositions and joint ventures over the last several years. We made or entered into these acquisitions, dispositions and joint ventures in order to execute on our strategy to concentrate on markets where we can focus on creating national champion converged businesses in core markets and unlock significant synergies.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One of our recent significant acquisitions includes:</w:t>
      </w:r>
    </w:p>
    <w:p>
      <w:pPr>
        <w:spacing w:after="0" w:line="171" w:lineRule="exact"/>
        <w:rPr>
          <w:sz w:val="20"/>
          <w:szCs w:val="20"/>
          <w:color w:val="auto"/>
        </w:rPr>
      </w:pPr>
    </w:p>
    <w:p>
      <w:pPr>
        <w:jc w:val="both"/>
        <w:ind w:left="640" w:hanging="316"/>
        <w:spacing w:after="0" w:line="320" w:lineRule="auto"/>
        <w:tabs>
          <w:tab w:leader="none" w:pos="617" w:val="left"/>
        </w:tabs>
        <w:numPr>
          <w:ilvl w:val="0"/>
          <w:numId w:val="3"/>
        </w:numPr>
        <w:rPr>
          <w:rFonts w:ascii="Arial" w:cs="Arial" w:eastAsia="Arial" w:hAnsi="Arial"/>
          <w:sz w:val="11"/>
          <w:szCs w:val="11"/>
          <w:b w:val="1"/>
          <w:bCs w:val="1"/>
          <w:i w:val="1"/>
          <w:iCs w:val="1"/>
          <w:color w:val="auto"/>
        </w:rPr>
      </w:pPr>
      <w:r>
        <w:rPr>
          <w:rFonts w:ascii="Arial" w:cs="Arial" w:eastAsia="Arial" w:hAnsi="Arial"/>
          <w:sz w:val="15"/>
          <w:szCs w:val="15"/>
          <w:color w:val="auto"/>
        </w:rPr>
        <w:t>On November 11, 2020, we completed the acquisition of Sunrise Communications Group AG (</w:t>
      </w:r>
      <w:r>
        <w:rPr>
          <w:rFonts w:ascii="Arial" w:cs="Arial" w:eastAsia="Arial" w:hAnsi="Arial"/>
          <w:sz w:val="15"/>
          <w:szCs w:val="15"/>
          <w:b w:val="1"/>
          <w:bCs w:val="1"/>
          <w:color w:val="auto"/>
        </w:rPr>
        <w:t>Sunrise</w:t>
      </w:r>
      <w:r>
        <w:rPr>
          <w:rFonts w:ascii="Arial" w:cs="Arial" w:eastAsia="Arial" w:hAnsi="Arial"/>
          <w:sz w:val="15"/>
          <w:szCs w:val="15"/>
          <w:color w:val="auto"/>
        </w:rPr>
        <w:t xml:space="preserve">) through the settlement of the all cash public tender offer to acquire all of the outstanding shares of Sunrise (the </w:t>
      </w:r>
      <w:r>
        <w:rPr>
          <w:rFonts w:ascii="Arial" w:cs="Arial" w:eastAsia="Arial" w:hAnsi="Arial"/>
          <w:sz w:val="15"/>
          <w:szCs w:val="15"/>
          <w:b w:val="1"/>
          <w:bCs w:val="1"/>
          <w:color w:val="auto"/>
        </w:rPr>
        <w:t>Sunrise Acquisition</w:t>
      </w:r>
      <w:r>
        <w:rPr>
          <w:rFonts w:ascii="Arial" w:cs="Arial" w:eastAsia="Arial" w:hAnsi="Arial"/>
          <w:sz w:val="15"/>
          <w:szCs w:val="15"/>
          <w:color w:val="auto"/>
        </w:rPr>
        <w:t>). In April 2021, we completed a statutory “squeeze-out” procedure, under applicable Swiss law, to acquire the remaining Sunrise Shares that were not acquired pursuant to the tender offer and, accordingly, we now hold 100% of the share capital of Sunrise. Our combined business in Switzerland is now referred to as Sunrise.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Joint Ventures</w:t>
      </w:r>
      <w:r>
        <w:rPr>
          <w:rFonts w:ascii="Arial" w:cs="Arial" w:eastAsia="Arial" w:hAnsi="Arial"/>
          <w:sz w:val="18"/>
          <w:szCs w:val="18"/>
          <w:color w:val="auto"/>
        </w:rPr>
        <w:t>. Our significant joint ventures include:</w:t>
      </w:r>
    </w:p>
    <w:p>
      <w:pPr>
        <w:spacing w:after="0" w:line="184" w:lineRule="exact"/>
        <w:rPr>
          <w:sz w:val="20"/>
          <w:szCs w:val="20"/>
          <w:color w:val="auto"/>
        </w:rPr>
      </w:pPr>
    </w:p>
    <w:p>
      <w:pPr>
        <w:jc w:val="both"/>
        <w:ind w:left="640" w:hanging="316"/>
        <w:spacing w:after="0" w:line="273" w:lineRule="auto"/>
        <w:tabs>
          <w:tab w:leader="none" w:pos="635"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 xml:space="preserve">On December 15, 2022, we contributed cash to a newly-formed joint venture in the U.K. (the </w:t>
      </w:r>
      <w:r>
        <w:rPr>
          <w:rFonts w:ascii="Arial" w:cs="Arial" w:eastAsia="Arial" w:hAnsi="Arial"/>
          <w:sz w:val="17"/>
          <w:szCs w:val="17"/>
          <w:b w:val="1"/>
          <w:bCs w:val="1"/>
          <w:color w:val="auto"/>
        </w:rPr>
        <w:t>nexfibre JV</w:t>
      </w:r>
      <w:r>
        <w:rPr>
          <w:rFonts w:ascii="Arial" w:cs="Arial" w:eastAsia="Arial" w:hAnsi="Arial"/>
          <w:sz w:val="17"/>
          <w:szCs w:val="17"/>
          <w:color w:val="auto"/>
        </w:rPr>
        <w:t>) that is anticipated to roll-out a new fiber network to 5-7 million new homes in the U.K. that are outside the existing footprint of the VMO2 JV (as defined below). We beneficially own 25% of the nexfibre JV, Telefónica (as defined below) beneficially owns 25% and InfraVia Capital Partners (</w:t>
      </w:r>
      <w:r>
        <w:rPr>
          <w:rFonts w:ascii="Arial" w:cs="Arial" w:eastAsia="Arial" w:hAnsi="Arial"/>
          <w:sz w:val="17"/>
          <w:szCs w:val="17"/>
          <w:b w:val="1"/>
          <w:bCs w:val="1"/>
          <w:color w:val="auto"/>
        </w:rPr>
        <w:t>InfraVia</w:t>
      </w:r>
      <w:r>
        <w:rPr>
          <w:rFonts w:ascii="Arial" w:cs="Arial" w:eastAsia="Arial" w:hAnsi="Arial"/>
          <w:sz w:val="17"/>
          <w:szCs w:val="17"/>
          <w:color w:val="auto"/>
        </w:rPr>
        <w:t>) beneficially owns the remaining 50%. We account for our 25% interest in the nexfibre JV as an equity method investment.</w:t>
      </w:r>
    </w:p>
    <w:p>
      <w:pPr>
        <w:spacing w:after="0" w:line="63" w:lineRule="exact"/>
        <w:rPr>
          <w:rFonts w:ascii="Arial" w:cs="Arial" w:eastAsia="Arial" w:hAnsi="Arial"/>
          <w:sz w:val="17"/>
          <w:szCs w:val="17"/>
          <w:i w:val="1"/>
          <w:iCs w:val="1"/>
          <w:color w:val="auto"/>
        </w:rPr>
      </w:pPr>
    </w:p>
    <w:p>
      <w:pPr>
        <w:jc w:val="both"/>
        <w:ind w:left="640" w:hanging="316"/>
        <w:spacing w:after="0" w:line="25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On September 1, 2021, we (i) contributed certain assets and liabilities to a newly-formed 50:50 joint venture (the </w:t>
      </w:r>
      <w:r>
        <w:rPr>
          <w:rFonts w:ascii="Arial" w:cs="Arial" w:eastAsia="Arial" w:hAnsi="Arial"/>
          <w:sz w:val="18"/>
          <w:szCs w:val="18"/>
          <w:b w:val="1"/>
          <w:bCs w:val="1"/>
          <w:color w:val="auto"/>
        </w:rPr>
        <w:t>AtlasEdge JV</w:t>
      </w:r>
      <w:r>
        <w:rPr>
          <w:rFonts w:ascii="Arial" w:cs="Arial" w:eastAsia="Arial" w:hAnsi="Arial"/>
          <w:sz w:val="18"/>
          <w:szCs w:val="18"/>
          <w:color w:val="auto"/>
        </w:rPr>
        <w:t>) that was established for the purpose of acquiring and commercializing European technical real estate for edge colocation and hosting services and (ii) sold certain other assets to the AtlasEdge JV. In addition, we sold certain additional assets to the AtlasEdge JV during the fourth quarter of 2021. We account for our interest in the AtlasEdge JV as an equity method investment.</w:t>
      </w:r>
    </w:p>
    <w:p>
      <w:pPr>
        <w:spacing w:after="0" w:line="76"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On June 1, 2021, Liberty Global and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completed a transaction (the </w:t>
      </w:r>
      <w:r>
        <w:rPr>
          <w:rFonts w:ascii="Arial" w:cs="Arial" w:eastAsia="Arial" w:hAnsi="Arial"/>
          <w:sz w:val="18"/>
          <w:szCs w:val="18"/>
          <w:b w:val="1"/>
          <w:bCs w:val="1"/>
          <w:color w:val="auto"/>
        </w:rPr>
        <w:t>U.K. JV Transaction</w:t>
      </w:r>
      <w:r>
        <w:rPr>
          <w:rFonts w:ascii="Arial" w:cs="Arial" w:eastAsia="Arial" w:hAnsi="Arial"/>
          <w:sz w:val="18"/>
          <w:szCs w:val="18"/>
          <w:color w:val="auto"/>
        </w:rPr>
        <w:t xml:space="preserve">) whereby (i) we contributed Virgin Media’s U.K. operations and certain other Liberty Global subsidiaries to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and (ii) Telefónica contributed its U.K. mobile business to the VMO2 JV, creating a nationwide integrated communications provider. We account for our 50% interest in the VMO2 JV as an equity method investment.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Dispositions</w:t>
      </w:r>
      <w:r>
        <w:rPr>
          <w:rFonts w:ascii="Arial" w:cs="Arial" w:eastAsia="Arial" w:hAnsi="Arial"/>
          <w:sz w:val="18"/>
          <w:szCs w:val="18"/>
          <w:color w:val="auto"/>
        </w:rPr>
        <w:t>. Our significant dispositions include:</w:t>
      </w:r>
    </w:p>
    <w:p>
      <w:pPr>
        <w:spacing w:after="0" w:line="171" w:lineRule="exact"/>
        <w:rPr>
          <w:sz w:val="20"/>
          <w:szCs w:val="20"/>
          <w:color w:val="auto"/>
        </w:rPr>
      </w:pPr>
    </w:p>
    <w:p>
      <w:pPr>
        <w:jc w:val="both"/>
        <w:ind w:left="640" w:hanging="316"/>
        <w:spacing w:after="0" w:line="27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June 1, 2022, Telenet Group Holding N.V. (</w:t>
      </w:r>
      <w:r>
        <w:rPr>
          <w:rFonts w:ascii="Arial" w:cs="Arial" w:eastAsia="Arial" w:hAnsi="Arial"/>
          <w:sz w:val="17"/>
          <w:szCs w:val="17"/>
          <w:b w:val="1"/>
          <w:bCs w:val="1"/>
          <w:color w:val="auto"/>
        </w:rPr>
        <w:t>Telenet</w:t>
      </w:r>
      <w:r>
        <w:rPr>
          <w:rFonts w:ascii="Arial" w:cs="Arial" w:eastAsia="Arial" w:hAnsi="Arial"/>
          <w:sz w:val="17"/>
          <w:szCs w:val="17"/>
          <w:color w:val="auto"/>
        </w:rPr>
        <w:t>) completed the sale of substantially all of its passive infrastructure and tower assets to DigitalBridge Investments LLC (</w:t>
      </w:r>
      <w:r>
        <w:rPr>
          <w:rFonts w:ascii="Arial" w:cs="Arial" w:eastAsia="Arial" w:hAnsi="Arial"/>
          <w:sz w:val="17"/>
          <w:szCs w:val="17"/>
          <w:b w:val="1"/>
          <w:bCs w:val="1"/>
          <w:color w:val="auto"/>
        </w:rPr>
        <w:t>DigitalBridge</w:t>
      </w:r>
      <w:r>
        <w:rPr>
          <w:rFonts w:ascii="Arial" w:cs="Arial" w:eastAsia="Arial" w:hAnsi="Arial"/>
          <w:sz w:val="17"/>
          <w:szCs w:val="17"/>
          <w:color w:val="auto"/>
        </w:rPr>
        <w:t xml:space="preserve">) (the </w:t>
      </w:r>
      <w:r>
        <w:rPr>
          <w:rFonts w:ascii="Arial" w:cs="Arial" w:eastAsia="Arial" w:hAnsi="Arial"/>
          <w:sz w:val="17"/>
          <w:szCs w:val="17"/>
          <w:b w:val="1"/>
          <w:bCs w:val="1"/>
          <w:color w:val="auto"/>
        </w:rPr>
        <w:t>Telenet Tower Sale</w:t>
      </w:r>
      <w:r>
        <w:rPr>
          <w:rFonts w:ascii="Arial" w:cs="Arial" w:eastAsia="Arial" w:hAnsi="Arial"/>
          <w:sz w:val="17"/>
          <w:szCs w:val="17"/>
          <w:color w:val="auto"/>
        </w:rPr>
        <w:t xml:space="preserve">). As part of the Telenet Tower Sale, Telenet entered into a master lease agreement to lease back the passive infrastructure and tower assets from DigitalBridge for an initial period of 15 years (the </w:t>
      </w:r>
      <w:r>
        <w:rPr>
          <w:rFonts w:ascii="Arial" w:cs="Arial" w:eastAsia="Arial" w:hAnsi="Arial"/>
          <w:sz w:val="17"/>
          <w:szCs w:val="17"/>
          <w:b w:val="1"/>
          <w:bCs w:val="1"/>
          <w:color w:val="auto"/>
        </w:rPr>
        <w:t>Telenet Tower Lease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As part of the Telenet Tower Lease Agreement, Telenet has also committed to lease back 475 build-to-suit sites over the term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Telenet will act as an agent over the construction of future towers on the build-to-suit sites.</w:t>
      </w:r>
    </w:p>
    <w:p>
      <w:pPr>
        <w:spacing w:after="0" w:line="65" w:lineRule="exact"/>
        <w:rPr>
          <w:rFonts w:ascii="Arial" w:cs="Arial" w:eastAsia="Arial" w:hAnsi="Arial"/>
          <w:sz w:val="17"/>
          <w:szCs w:val="17"/>
          <w:color w:val="auto"/>
        </w:rPr>
      </w:pPr>
    </w:p>
    <w:p>
      <w:pPr>
        <w:jc w:val="both"/>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1, 2022, we completed the sale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subsidiary of iliad S.A. (</w:t>
      </w:r>
      <w:r>
        <w:rPr>
          <w:rFonts w:ascii="Arial" w:cs="Arial" w:eastAsia="Arial" w:hAnsi="Arial"/>
          <w:sz w:val="18"/>
          <w:szCs w:val="18"/>
          <w:b w:val="1"/>
          <w:bCs w:val="1"/>
          <w:color w:val="auto"/>
        </w:rPr>
        <w:t>iliad</w:t>
      </w:r>
      <w:r>
        <w:rPr>
          <w:rFonts w:ascii="Arial" w:cs="Arial" w:eastAsia="Arial" w:hAnsi="Arial"/>
          <w:sz w:val="18"/>
          <w:szCs w:val="18"/>
          <w:color w:val="auto"/>
        </w:rPr>
        <w:t>). In connection with the sale of UPC Poland, we agreed to provide certain transitional services to iliad for a period of up to five years. These services principally comprise network and information technology-related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 w:name="page5"/>
    <w:bookmarkEnd w:id="4"/>
    <w:p>
      <w:pPr>
        <w:ind w:left="160"/>
        <w:spacing w:after="0"/>
        <w:rPr>
          <w:sz w:val="20"/>
          <w:szCs w:val="20"/>
          <w:color w:val="auto"/>
        </w:rPr>
      </w:pPr>
      <w:r>
        <w:rPr>
          <w:rFonts w:ascii="Arial" w:cs="Arial" w:eastAsia="Arial" w:hAnsi="Arial"/>
          <w:sz w:val="18"/>
          <w:szCs w:val="18"/>
          <w:i w:val="1"/>
          <w:iCs w:val="1"/>
          <w:color w:val="auto"/>
        </w:rPr>
        <w:t>Other Transactions</w:t>
      </w:r>
    </w:p>
    <w:p>
      <w:pPr>
        <w:spacing w:after="0" w:line="2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continue to evaluate a change in jurisdiction of incorporation to Bermuda, which has U.S.-style corporate laws and lower administrative costs. To the extent we determine to move forward with any re-domicile transaction, we would seek shareholder approval in advance.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Transactions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Share repurchases are an important part of our strategy in creating value for our shareholders. Pursuant to our most recent share repurchase program, our board of directors authorized us to repurchase ten percent of our outstanding shares (measured at the start of each year) during each of 2022 and 2023. Additionally, in July 2022, our board of directors authorized a further $400.0 million for 2022 share repurchases. The following table provides the details of our share repurchases during 2022: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Title of shares</w:t>
            </w: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Number of shares</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Average price paid</w:t>
            </w:r>
          </w:p>
        </w:tc>
        <w:tc>
          <w:tcPr>
            <w:tcW w:w="12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2"/>
        </w:trPr>
        <w:tc>
          <w:tcPr>
            <w:tcW w:w="690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00"/>
              <w:spacing w:after="0" w:line="211" w:lineRule="exact"/>
              <w:rPr>
                <w:sz w:val="20"/>
                <w:szCs w:val="20"/>
                <w:color w:val="auto"/>
              </w:rPr>
            </w:pPr>
            <w:r>
              <w:rPr>
                <w:rFonts w:ascii="Arial" w:cs="Arial" w:eastAsia="Arial" w:hAnsi="Arial"/>
                <w:sz w:val="16"/>
                <w:szCs w:val="16"/>
                <w:b w:val="1"/>
                <w:bCs w:val="1"/>
                <w:color w:val="auto"/>
                <w:w w:val="85"/>
              </w:rPr>
              <w:t>per share</w:t>
            </w:r>
            <w:r>
              <w:rPr>
                <w:rFonts w:ascii="Arial" w:cs="Arial" w:eastAsia="Arial" w:hAnsi="Arial"/>
                <w:sz w:val="20"/>
                <w:szCs w:val="20"/>
                <w:b w:val="1"/>
                <w:bCs w:val="1"/>
                <w:color w:val="auto"/>
                <w:w w:val="85"/>
                <w:vertAlign w:val="superscript"/>
              </w:rPr>
              <w:t>(1)</w:t>
            </w:r>
          </w:p>
        </w:tc>
        <w:tc>
          <w:tcPr>
            <w:tcW w:w="120" w:type="dxa"/>
            <w:vAlign w:val="bottom"/>
          </w:tcPr>
          <w:p>
            <w:pPr>
              <w:spacing w:after="0"/>
              <w:rPr>
                <w:sz w:val="18"/>
                <w:szCs w:val="18"/>
                <w:color w:val="auto"/>
              </w:rPr>
            </w:pPr>
          </w:p>
        </w:tc>
        <w:tc>
          <w:tcPr>
            <w:tcW w:w="1260" w:type="dxa"/>
            <w:vAlign w:val="bottom"/>
          </w:tcPr>
          <w:p>
            <w:pPr>
              <w:jc w:val="center"/>
              <w:ind w:right="16"/>
              <w:spacing w:after="0" w:line="211" w:lineRule="exact"/>
              <w:rPr>
                <w:sz w:val="20"/>
                <w:szCs w:val="20"/>
                <w:color w:val="auto"/>
              </w:rPr>
            </w:pPr>
            <w:r>
              <w:rPr>
                <w:rFonts w:ascii="Arial" w:cs="Arial" w:eastAsia="Arial" w:hAnsi="Arial"/>
                <w:sz w:val="16"/>
                <w:szCs w:val="16"/>
                <w:b w:val="1"/>
                <w:bCs w:val="1"/>
                <w:color w:val="auto"/>
                <w:w w:val="86"/>
              </w:rPr>
              <w:t>purchase price</w:t>
            </w:r>
            <w:r>
              <w:rPr>
                <w:rFonts w:ascii="Arial" w:cs="Arial" w:eastAsia="Arial" w:hAnsi="Arial"/>
                <w:sz w:val="20"/>
                <w:szCs w:val="20"/>
                <w:b w:val="1"/>
                <w:bCs w:val="1"/>
                <w:color w:val="auto"/>
                <w:w w:val="86"/>
                <w:vertAlign w:val="superscript"/>
              </w:rPr>
              <w:t>(1)</w:t>
            </w:r>
          </w:p>
        </w:tc>
        <w:tc>
          <w:tcPr>
            <w:tcW w:w="0" w:type="dxa"/>
            <w:vAlign w:val="bottom"/>
          </w:tcPr>
          <w:p>
            <w:pPr>
              <w:spacing w:after="0"/>
              <w:rPr>
                <w:sz w:val="1"/>
                <w:szCs w:val="1"/>
                <w:color w:val="auto"/>
              </w:rPr>
            </w:pPr>
          </w:p>
        </w:tc>
      </w:tr>
      <w:tr>
        <w:trPr>
          <w:trHeight w:val="199"/>
        </w:trPr>
        <w:tc>
          <w:tcPr>
            <w:tcW w:w="236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112"/>
        </w:trPr>
        <w:tc>
          <w:tcPr>
            <w:tcW w:w="23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ordinary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Class C ordinary shares</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69,381,968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2" w:lineRule="exact"/>
        <w:rPr>
          <w:sz w:val="20"/>
          <w:szCs w:val="20"/>
          <w:color w:val="auto"/>
        </w:rPr>
      </w:pPr>
    </w:p>
    <w:p>
      <w:pPr>
        <w:ind w:left="320" w:hanging="314"/>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Amounts include direct acquisition costs.</w:t>
      </w:r>
    </w:p>
    <w:p>
      <w:pPr>
        <w:spacing w:after="0" w:line="22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 further description of our share repurchases, see note 14 to our consolidated financial statements included in Part II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4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Certain statements in this Annual Report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5"/>
          <w:szCs w:val="15"/>
          <w:i w:val="1"/>
          <w:iCs w:val="1"/>
          <w:color w:val="auto"/>
        </w:rPr>
        <w:t>Item 1.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w:t>
      </w:r>
      <w:r>
        <w:rPr>
          <w:rFonts w:ascii="Arial" w:cs="Arial" w:eastAsia="Arial" w:hAnsi="Arial"/>
          <w:sz w:val="15"/>
          <w:szCs w:val="15"/>
          <w:i w:val="1"/>
          <w:iCs w:val="1"/>
          <w:color w:val="auto"/>
        </w:rPr>
        <w:t>Item 2. Properties</w:t>
      </w:r>
      <w:r>
        <w:rPr>
          <w:rFonts w:ascii="Arial" w:cs="Arial" w:eastAsia="Arial" w:hAnsi="Arial"/>
          <w:sz w:val="15"/>
          <w:szCs w:val="15"/>
          <w:color w:val="auto"/>
        </w:rPr>
        <w:t xml:space="preserve">, </w:t>
      </w:r>
      <w:r>
        <w:rPr>
          <w:rFonts w:ascii="Arial" w:cs="Arial" w:eastAsia="Arial" w:hAnsi="Arial"/>
          <w:sz w:val="15"/>
          <w:szCs w:val="15"/>
          <w:i w:val="1"/>
          <w:iCs w:val="1"/>
          <w:color w:val="auto"/>
        </w:rPr>
        <w:t>Item 7. Management’s Discussion and Analysis of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Results of Operations </w:t>
      </w:r>
      <w:r>
        <w:rPr>
          <w:rFonts w:ascii="Arial" w:cs="Arial" w:eastAsia="Arial" w:hAnsi="Arial"/>
          <w:sz w:val="15"/>
          <w:szCs w:val="15"/>
          <w:color w:val="auto"/>
        </w:rPr>
        <w:t>and</w:t>
      </w:r>
      <w:r>
        <w:rPr>
          <w:rFonts w:ascii="Arial" w:cs="Arial" w:eastAsia="Arial" w:hAnsi="Arial"/>
          <w:sz w:val="15"/>
          <w:szCs w:val="15"/>
          <w:i w:val="1"/>
          <w:iCs w:val="1"/>
          <w:color w:val="auto"/>
        </w:rPr>
        <w:t xml:space="preserve"> Item 7A. Quantitative and Qualitative Disclosures About Market Risk </w:t>
      </w:r>
      <w:r>
        <w:rPr>
          <w:rFonts w:ascii="Arial" w:cs="Arial" w:eastAsia="Arial" w:hAnsi="Arial"/>
          <w:sz w:val="15"/>
          <w:szCs w:val="15"/>
          <w:color w:val="auto"/>
        </w:rPr>
        <w:t>may contain forward-looking statements, including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our business, product, foreign currency and finance strategies, our property and equipment additions, subscriber growth and retention rates, competitive, regulatory and economic factors, the timing and impacts of proposed transactions, the maturity of our markets, the potential impact of the coronavirus (</w:t>
      </w:r>
      <w:r>
        <w:rPr>
          <w:rFonts w:ascii="Arial" w:cs="Arial" w:eastAsia="Arial" w:hAnsi="Arial"/>
          <w:sz w:val="15"/>
          <w:szCs w:val="15"/>
          <w:b w:val="1"/>
          <w:bCs w:val="1"/>
          <w:color w:val="auto"/>
        </w:rPr>
        <w:t>COVID-19</w:t>
      </w:r>
      <w:r>
        <w:rPr>
          <w:rFonts w:ascii="Arial" w:cs="Arial" w:eastAsia="Arial" w:hAnsi="Arial"/>
          <w:sz w:val="15"/>
          <w:szCs w:val="15"/>
          <w:color w:val="auto"/>
        </w:rPr>
        <w:t xml:space="preserve">) and other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and </w:t>
      </w:r>
      <w:r>
        <w:rPr>
          <w:rFonts w:ascii="Arial" w:cs="Arial" w:eastAsia="Arial" w:hAnsi="Arial"/>
          <w:sz w:val="15"/>
          <w:szCs w:val="15"/>
          <w:i w:val="1"/>
          <w:iCs w:val="1"/>
          <w:color w:val="auto"/>
        </w:rPr>
        <w:t>Item 7A. Quantitative</w:t>
      </w:r>
      <w:r>
        <w:rPr>
          <w:rFonts w:ascii="Arial" w:cs="Arial" w:eastAsia="Arial" w:hAnsi="Arial"/>
          <w:sz w:val="15"/>
          <w:szCs w:val="15"/>
          <w:color w:val="auto"/>
        </w:rPr>
        <w:t xml:space="preserve"> </w:t>
      </w:r>
      <w:r>
        <w:rPr>
          <w:rFonts w:ascii="Arial" w:cs="Arial" w:eastAsia="Arial" w:hAnsi="Arial"/>
          <w:sz w:val="15"/>
          <w:szCs w:val="15"/>
          <w:i w:val="1"/>
          <w:iCs w:val="1"/>
          <w:color w:val="auto"/>
        </w:rPr>
        <w:t>and Qualitative Disclosures About Market Risk</w:t>
      </w:r>
      <w:r>
        <w:rPr>
          <w:rFonts w:ascii="Arial" w:cs="Arial" w:eastAsia="Arial" w:hAnsi="Arial"/>
          <w:sz w:val="15"/>
          <w:szCs w:val="15"/>
          <w:color w:val="auto"/>
        </w:rPr>
        <w:t>, as well as the following list of some, but not all, of the factors that could cause actual results or events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with respect to affiliates) to differ materially from anticipated results or events:</w:t>
      </w:r>
    </w:p>
    <w:p>
      <w:pPr>
        <w:spacing w:after="0" w:line="200" w:lineRule="exact"/>
        <w:rPr>
          <w:sz w:val="20"/>
          <w:szCs w:val="20"/>
          <w:color w:val="auto"/>
        </w:rPr>
      </w:pPr>
    </w:p>
    <w:p>
      <w:pPr>
        <w:spacing w:after="0" w:line="206"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 as a result of among other things, inflationary pressures;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television viewing and mobile and broadband usage preferences and habits;</w:t>
      </w:r>
    </w:p>
    <w:p>
      <w:pPr>
        <w:spacing w:after="0" w:line="110" w:lineRule="exact"/>
        <w:rPr>
          <w:rFonts w:ascii="Arial" w:cs="Arial" w:eastAsia="Arial" w:hAnsi="Arial"/>
          <w:sz w:val="18"/>
          <w:szCs w:val="18"/>
          <w:color w:val="auto"/>
        </w:rPr>
      </w:pPr>
    </w:p>
    <w:p>
      <w:pPr>
        <w:ind w:left="320" w:hanging="316"/>
        <w:spacing w:after="0" w:line="294"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television, fixed-line telephony, mobile and business service offerings, and of new technology, programming alternatives and other products and services that we may offer in the future;</w:t>
      </w:r>
    </w:p>
    <w:p>
      <w:pPr>
        <w:spacing w:after="0" w:line="50" w:lineRule="exact"/>
        <w:rPr>
          <w:rFonts w:ascii="Arial" w:cs="Arial" w:eastAsia="Arial" w:hAnsi="Arial"/>
          <w:sz w:val="17"/>
          <w:szCs w:val="17"/>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110"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television, fixed-line telephony and mobile service offerings and our average revenue per household;</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0"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 as a result of, among other things, inflationary pressures;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0" w:lineRule="exact"/>
        <w:rPr>
          <w:rFonts w:ascii="Arial" w:cs="Arial" w:eastAsia="Arial" w:hAnsi="Arial"/>
          <w:sz w:val="18"/>
          <w:szCs w:val="18"/>
          <w:color w:val="auto"/>
        </w:rPr>
      </w:pPr>
    </w:p>
    <w:p>
      <w:pPr>
        <w:ind w:left="320" w:right="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intervention that requires opening our broadband distribution networks to competitors, such as certain regulatory obligations imposed in Belgium;</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74" w:lineRule="exact"/>
        <w:rPr>
          <w:rFonts w:ascii="Arial" w:cs="Arial" w:eastAsia="Arial" w:hAnsi="Arial"/>
          <w:sz w:val="18"/>
          <w:szCs w:val="18"/>
          <w:i w:val="1"/>
          <w:iCs w:val="1"/>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monetary policies and government regulations that may impact the availability or cost of capital and the derivative instruments that hedge certain of our financial risks;</w:t>
      </w:r>
    </w:p>
    <w:p>
      <w:pPr>
        <w:spacing w:after="0" w:line="68"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European Union (</w:t>
      </w:r>
      <w:r>
        <w:rPr>
          <w:rFonts w:ascii="Arial" w:cs="Arial" w:eastAsia="Arial" w:hAnsi="Arial"/>
          <w:sz w:val="18"/>
          <w:szCs w:val="18"/>
          <w:b w:val="1"/>
          <w:bCs w:val="1"/>
          <w:color w:val="auto"/>
        </w:rPr>
        <w:t>E.U.</w:t>
      </w:r>
      <w:r>
        <w:rPr>
          <w:rFonts w:ascii="Arial" w:cs="Arial" w:eastAsia="Arial" w:hAnsi="Arial"/>
          <w:sz w:val="18"/>
          <w:szCs w:val="18"/>
          <w:color w:val="auto"/>
        </w:rPr>
        <w:t>);</w:t>
      </w:r>
    </w:p>
    <w:p>
      <w:pPr>
        <w:spacing w:after="0" w:line="116" w:lineRule="exact"/>
        <w:rPr>
          <w:rFonts w:ascii="Arial" w:cs="Arial" w:eastAsia="Arial" w:hAnsi="Arial"/>
          <w:sz w:val="18"/>
          <w:szCs w:val="18"/>
          <w:i w:val="1"/>
          <w:iCs w:val="1"/>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 Three (Hutchison),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 in Ireland) to timely deliver quality products, equipment, software, services and access;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cost of capital for the acquisition and/or development of telecommunications networks and services;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0"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processes, of businesses we acquire;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integrating businesses or operations that we acquire or partner with on the timelines or within the budgets estimated for such integrations;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 and dispositions;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realize the expected synergies from our acquisitions and joint ventures in the amounts anticipated or on the anticipated timelines;</w:t>
      </w:r>
    </w:p>
    <w:p>
      <w:pPr>
        <w:spacing w:after="0" w:line="145" w:lineRule="exact"/>
        <w:rPr>
          <w:rFonts w:ascii="Arial" w:cs="Arial" w:eastAsia="Arial" w:hAnsi="Arial"/>
          <w:sz w:val="15"/>
          <w:szCs w:val="15"/>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profit from investments, such as our joint ventures, that we do not solely control;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882" w:right="339" w:bottom="1440" w:gutter="0" w:footer="0" w:header="0"/>
        </w:sectPr>
      </w:pPr>
    </w:p>
    <w:bookmarkStart w:id="6" w:name="page7"/>
    <w:bookmarkEnd w:id="6"/>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against, mitigate and contain loss of our and our customers’ data as a result of cyber attacks on us or any of our operating companies;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arrangements; and</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 including the ongoing invasion of Ukraine by Russia.</w:t>
      </w:r>
    </w:p>
    <w:p>
      <w:pPr>
        <w:spacing w:after="0" w:line="20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one of the world’s leading converged video, broadband and communications companies, with a commitment to providing our customers the “best in class” connectivity and entertainment services. These services are delivered to our residential and business customers over our networks and include broadband internet, video, telephony and mobile services. We design our services to enable our customers to access the digital world on their own terms, with “best in class” connectivity at the core of our strategy. Today, our extensive broadband network enables us to deliver ultra-high-speed internet service across our markets, be it through fiber, cable, a combination thereof or mobile technology. We continually strive to extend our reach and reinforce our speed leadership. In most of our footprint we offer converged fixed and mobile experiences in and out of the home, and it is our ambition to further enhance this proposition through strategic acquisitions and partnerships and through product development to offer our customers a world-class suite of products and services. As part of this strategy, Telenet, the VMO2 JV, the VodafoneZiggo JV and Sunrise deliver mobile services as mobile network operators, and Virgin Media Ireland (</w:t>
      </w:r>
      <w:r>
        <w:rPr>
          <w:rFonts w:ascii="Arial" w:cs="Arial" w:eastAsia="Arial" w:hAnsi="Arial"/>
          <w:sz w:val="15"/>
          <w:szCs w:val="15"/>
          <w:b w:val="1"/>
          <w:bCs w:val="1"/>
          <w:color w:val="auto"/>
        </w:rPr>
        <w:t>VM Ireland</w:t>
      </w:r>
      <w:r>
        <w:rPr>
          <w:rFonts w:ascii="Arial" w:cs="Arial" w:eastAsia="Arial" w:hAnsi="Arial"/>
          <w:sz w:val="15"/>
          <w:szCs w:val="15"/>
          <w:color w:val="auto"/>
        </w:rPr>
        <w:t>) delivers mobile services as an MVNO through Three (Hutchison’s) network.</w:t>
      </w:r>
    </w:p>
    <w:p>
      <w:pPr>
        <w:spacing w:after="0" w:line="18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provide residential and business telecommunication services in Ireland through VM Ireland, Belgium through Telenet, Switzerland through Sunrise and Slovakia through UPC Slovakia, and we are a leading fixed network provider in each of these countries. We also have investments in the VodafoneZiggo JV and the VMO2 JV, each of which is a fixed network leader in their respective countries.</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breakdown of our revenue by major category for our consolidated reportable segments appears in note 19 to our consolidated financial statements included in Part II of this Annual Report on Form 10-K.</w:t>
      </w:r>
    </w:p>
    <w:p>
      <w:pPr>
        <w:spacing w:after="0" w:line="20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As a trusted provider of telecommunications services for our customers, we strive to ensure the connections we make today are building for a sustainable future. Through our next-generation networks and products, digital innovations and a culture of belonging and well-being, we are purpose-driven to be a responsible, sustainable and inclusive company that offers opportunity for everyone to connect to an exciting digital world. We work to ensure that we are continuously focused on the most significant sustainability impacts of our business – that while we create impact for our customers and the communities we serve, we are not creating negative impact for our planet. We are committed to becoming carbon neutral by 2030 for our Scope 1 and 2 emissions and are working across our entire business to build our full Scope 3 ambition. Our commitment to reduce GHG emissions includes purchasing electricity from renewable sources, transitioning our fleet to electric vehicles, improving the efficiency of our networks that will allow us to meet growing connectivity demands without increasing energy consumption, tackling e-waste by reducing the use of raw materials in our products, limiting our packaging and designing our products for longer lifespans and circularity. In addition, we are working with our partners and suppliers to ensure our entire value chain shares our focus on the urgency of the climate crisis. As a founding member of the European Green Digital Coalition, we champion our wider industry as a key player in the development of carbon-reducing digital solutions, to enable other sectors to also become more sustainable. Diversity and inclusion have long been priorities for Liberty Global and our operating companies, and they will become even more integral moving forward. Over the past several years, Liberty Global, VM Ireland,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18"/>
          <w:szCs w:val="18"/>
          <w:color w:val="auto"/>
        </w:rPr>
        <w:t>Telenet, Sunrise, UPC Slovakia, the VMO2 JV and the VodafoneZiggo JV have all pursued gender diversity as a strategic goal, with an emphasis on building a gender-diverse pipeline of talent. Similarly, inclusion is a key focus area, and we are committed to providing an environment that empowers everyone to bring their full selves to work while creating a more inviting workplaces regardless of age, race, gender, ethnicity, neuroability, religion, socioeconomic status, nationality or sexual orientation.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Data</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tables present certain operating data as of December 31, 2022, with respect to the networks of our subsidiaries and significant joint ventures. The following tables reflect 100% of the data applicable to each of our subsidiaries and significant joint ventures regardless of our ownership percentage.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Homes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Fixed-Line</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Internet</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Video</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Telephony</w:t>
            </w:r>
          </w:p>
        </w:tc>
        <w:tc>
          <w:tcPr>
            <w:tcW w:w="13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Mobile</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1"/>
              </w:rPr>
              <w:t>Customer</w:t>
            </w:r>
          </w:p>
        </w:tc>
        <w:tc>
          <w:tcPr>
            <w:tcW w:w="12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Passed</w:t>
            </w:r>
            <w:r>
              <w:rPr>
                <w:rFonts w:ascii="Arial" w:cs="Arial" w:eastAsia="Arial" w:hAnsi="Arial"/>
                <w:sz w:val="9"/>
                <w:szCs w:val="9"/>
                <w:b w:val="1"/>
                <w:bCs w:val="1"/>
                <w:color w:val="auto"/>
                <w:w w:val="86"/>
              </w:rPr>
              <w:t>(1)</w:t>
            </w:r>
          </w:p>
        </w:tc>
        <w:tc>
          <w:tcPr>
            <w:tcW w:w="1340" w:type="dxa"/>
            <w:vAlign w:val="bottom"/>
            <w:gridSpan w:val="2"/>
          </w:tcPr>
          <w:p>
            <w:pPr>
              <w:jc w:val="center"/>
              <w:ind w:right="100"/>
              <w:spacing w:after="0" w:line="199" w:lineRule="exact"/>
              <w:rPr>
                <w:sz w:val="20"/>
                <w:szCs w:val="20"/>
                <w:color w:val="auto"/>
              </w:rPr>
            </w:pPr>
            <w:r>
              <w:rPr>
                <w:rFonts w:ascii="Arial" w:cs="Arial" w:eastAsia="Arial" w:hAnsi="Arial"/>
                <w:sz w:val="14"/>
                <w:szCs w:val="14"/>
                <w:b w:val="1"/>
                <w:bCs w:val="1"/>
                <w:color w:val="auto"/>
                <w:w w:val="86"/>
              </w:rPr>
              <w:t>Relationships</w:t>
            </w:r>
            <w:r>
              <w:rPr>
                <w:rFonts w:ascii="Arial" w:cs="Arial" w:eastAsia="Arial" w:hAnsi="Arial"/>
                <w:sz w:val="18"/>
                <w:szCs w:val="18"/>
                <w:b w:val="1"/>
                <w:bCs w:val="1"/>
                <w:color w:val="auto"/>
                <w:w w:val="86"/>
                <w:vertAlign w:val="superscript"/>
              </w:rPr>
              <w:t>(2)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Subscribers</w:t>
            </w:r>
            <w:r>
              <w:rPr>
                <w:rFonts w:ascii="Arial" w:cs="Arial" w:eastAsia="Arial" w:hAnsi="Arial"/>
                <w:sz w:val="9"/>
                <w:szCs w:val="9"/>
                <w:b w:val="1"/>
                <w:bCs w:val="1"/>
                <w:color w:val="auto"/>
                <w:w w:val="89"/>
              </w:rPr>
              <w:t>(3)</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Subscribers</w:t>
            </w:r>
            <w:r>
              <w:rPr>
                <w:rFonts w:ascii="Arial" w:cs="Arial" w:eastAsia="Arial" w:hAnsi="Arial"/>
                <w:sz w:val="9"/>
                <w:szCs w:val="9"/>
                <w:b w:val="1"/>
                <w:bCs w:val="1"/>
                <w:color w:val="auto"/>
                <w:w w:val="89"/>
              </w:rPr>
              <w:t>(4)</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Subscribers</w:t>
            </w:r>
            <w:r>
              <w:rPr>
                <w:rFonts w:ascii="Arial" w:cs="Arial" w:eastAsia="Arial" w:hAnsi="Arial"/>
                <w:sz w:val="9"/>
                <w:szCs w:val="9"/>
                <w:b w:val="1"/>
                <w:bCs w:val="1"/>
                <w:color w:val="auto"/>
                <w:w w:val="89"/>
              </w:rPr>
              <w:t>(5)</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RGUs</w:t>
            </w:r>
            <w:r>
              <w:rPr>
                <w:rFonts w:ascii="Arial" w:cs="Arial" w:eastAsia="Arial" w:hAnsi="Arial"/>
                <w:sz w:val="9"/>
                <w:szCs w:val="9"/>
                <w:b w:val="1"/>
                <w:bCs w:val="1"/>
                <w:color w:val="auto"/>
                <w:w w:val="96"/>
              </w:rPr>
              <w:t>(6)</w:t>
            </w:r>
          </w:p>
        </w:tc>
        <w:tc>
          <w:tcPr>
            <w:tcW w:w="1140" w:type="dxa"/>
            <w:vAlign w:val="bottom"/>
          </w:tcPr>
          <w:p>
            <w:pPr>
              <w:jc w:val="right"/>
              <w:ind w:right="83"/>
              <w:spacing w:after="0"/>
              <w:rPr>
                <w:sz w:val="20"/>
                <w:szCs w:val="20"/>
                <w:color w:val="auto"/>
              </w:rPr>
            </w:pPr>
            <w:r>
              <w:rPr>
                <w:rFonts w:ascii="Arial" w:cs="Arial" w:eastAsia="Arial" w:hAnsi="Arial"/>
                <w:sz w:val="14"/>
                <w:szCs w:val="14"/>
                <w:b w:val="1"/>
                <w:bCs w:val="1"/>
                <w:color w:val="auto"/>
              </w:rPr>
              <w:t>Subscribers</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Liberty Global:</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140"/>
              <w:spacing w:after="0"/>
              <w:rPr>
                <w:sz w:val="20"/>
                <w:szCs w:val="20"/>
                <w:color w:val="auto"/>
              </w:rPr>
            </w:pPr>
            <w:r>
              <w:rPr>
                <w:rFonts w:ascii="Arial" w:cs="Arial" w:eastAsia="Arial" w:hAnsi="Arial"/>
                <w:sz w:val="16"/>
                <w:szCs w:val="16"/>
                <w:color w:val="auto"/>
              </w:rPr>
              <w:t>Belgium</w:t>
            </w:r>
          </w:p>
        </w:tc>
        <w:tc>
          <w:tcPr>
            <w:tcW w:w="1120" w:type="dxa"/>
            <w:vAlign w:val="bottom"/>
          </w:tcPr>
          <w:p>
            <w:pPr>
              <w:jc w:val="right"/>
              <w:spacing w:after="0"/>
              <w:rPr>
                <w:sz w:val="20"/>
                <w:szCs w:val="20"/>
                <w:color w:val="auto"/>
              </w:rPr>
            </w:pPr>
            <w:r>
              <w:rPr>
                <w:rFonts w:ascii="Arial" w:cs="Arial" w:eastAsia="Arial" w:hAnsi="Arial"/>
                <w:sz w:val="16"/>
                <w:szCs w:val="16"/>
                <w:color w:val="auto"/>
              </w:rPr>
              <w:t>3,436,700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2,008,800</w:t>
            </w: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1,730,700</w:t>
            </w: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1,694,700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1,012,400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4,437,800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2,940,300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140"/>
              <w:spacing w:after="0" w:line="215" w:lineRule="exact"/>
              <w:rPr>
                <w:sz w:val="20"/>
                <w:szCs w:val="20"/>
                <w:color w:val="auto"/>
              </w:rPr>
            </w:pPr>
            <w:r>
              <w:rPr>
                <w:rFonts w:ascii="Arial" w:cs="Arial" w:eastAsia="Arial" w:hAnsi="Arial"/>
                <w:sz w:val="16"/>
                <w:szCs w:val="16"/>
                <w:color w:val="auto"/>
              </w:rPr>
              <w:t>Switzerland</w:t>
            </w:r>
            <w:r>
              <w:rPr>
                <w:rFonts w:ascii="Arial" w:cs="Arial" w:eastAsia="Arial" w:hAnsi="Arial"/>
                <w:sz w:val="20"/>
                <w:szCs w:val="20"/>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2,513,800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1,470,900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1,183,400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1,216,500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1,003,300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3,403,200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2,766,200</w:t>
            </w:r>
          </w:p>
        </w:tc>
        <w:tc>
          <w:tcPr>
            <w:tcW w:w="0" w:type="dxa"/>
            <w:vAlign w:val="bottom"/>
          </w:tcPr>
          <w:p>
            <w:pPr>
              <w:spacing w:after="0"/>
              <w:rPr>
                <w:sz w:val="1"/>
                <w:szCs w:val="1"/>
                <w:color w:val="auto"/>
              </w:rPr>
            </w:pPr>
          </w:p>
        </w:tc>
      </w:tr>
      <w:tr>
        <w:trPr>
          <w:trHeight w:val="208"/>
        </w:trPr>
        <w:tc>
          <w:tcPr>
            <w:tcW w:w="2460" w:type="dxa"/>
            <w:vAlign w:val="bottom"/>
          </w:tcPr>
          <w:p>
            <w:pPr>
              <w:ind w:left="140"/>
              <w:spacing w:after="0"/>
              <w:rPr>
                <w:sz w:val="20"/>
                <w:szCs w:val="20"/>
                <w:color w:val="auto"/>
              </w:rPr>
            </w:pPr>
            <w:r>
              <w:rPr>
                <w:rFonts w:ascii="Arial" w:cs="Arial" w:eastAsia="Arial" w:hAnsi="Arial"/>
                <w:sz w:val="16"/>
                <w:szCs w:val="16"/>
                <w:color w:val="auto"/>
              </w:rPr>
              <w:t>Ireland</w:t>
            </w:r>
          </w:p>
        </w:tc>
        <w:tc>
          <w:tcPr>
            <w:tcW w:w="1120" w:type="dxa"/>
            <w:vAlign w:val="bottom"/>
          </w:tcPr>
          <w:p>
            <w:pPr>
              <w:jc w:val="right"/>
              <w:spacing w:after="0"/>
              <w:rPr>
                <w:sz w:val="20"/>
                <w:szCs w:val="20"/>
                <w:color w:val="auto"/>
              </w:rPr>
            </w:pPr>
            <w:r>
              <w:rPr>
                <w:rFonts w:ascii="Arial" w:cs="Arial" w:eastAsia="Arial" w:hAnsi="Arial"/>
                <w:sz w:val="16"/>
                <w:szCs w:val="16"/>
                <w:color w:val="auto"/>
              </w:rPr>
              <w:t>965,000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421,100</w:t>
            </w: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382,600</w:t>
            </w: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260,700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252,200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895,500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143,800</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Slovakia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637,900</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182,400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146,400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164,900</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89,400</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460" w:type="dxa"/>
            <w:vAlign w:val="bottom"/>
          </w:tcPr>
          <w:p>
            <w:pPr>
              <w:ind w:left="2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7,553,400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4,083,200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3,443,100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3,336,800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2,357,300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9,137,200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5,850,300</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tcPr>
          <w:p>
            <w:pPr>
              <w:ind w:left="100"/>
              <w:spacing w:after="0"/>
              <w:rPr>
                <w:sz w:val="20"/>
                <w:szCs w:val="20"/>
                <w:color w:val="auto"/>
              </w:rPr>
            </w:pPr>
            <w:r>
              <w:rPr>
                <w:rFonts w:ascii="Arial" w:cs="Arial" w:eastAsia="Arial" w:hAnsi="Arial"/>
                <w:sz w:val="16"/>
                <w:szCs w:val="16"/>
                <w:color w:val="auto"/>
              </w:rPr>
              <w:t>VMO2 JV</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16,144,600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5,795,500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5,653,800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13,043,500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33,831,400</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tcBorders>
              <w:bottom w:val="single" w:sz="8" w:color="CCEEFF"/>
            </w:tcBorders>
            <w:shd w:val="clear" w:color="auto" w:fill="CCEEFF"/>
          </w:tcPr>
          <w:p>
            <w:pPr>
              <w:ind w:left="100"/>
              <w:spacing w:after="0" w:line="205" w:lineRule="exact"/>
              <w:rPr>
                <w:sz w:val="20"/>
                <w:szCs w:val="20"/>
                <w:color w:val="auto"/>
              </w:rPr>
            </w:pPr>
            <w:r>
              <w:rPr>
                <w:rFonts w:ascii="Arial" w:cs="Arial" w:eastAsia="Arial" w:hAnsi="Arial"/>
                <w:sz w:val="16"/>
                <w:szCs w:val="16"/>
                <w:color w:val="auto"/>
              </w:rPr>
              <w:t>VodafoneZiggo JV</w:t>
            </w:r>
            <w:r>
              <w:rPr>
                <w:rFonts w:ascii="Arial" w:cs="Arial" w:eastAsia="Arial" w:hAnsi="Arial"/>
                <w:sz w:val="20"/>
                <w:szCs w:val="20"/>
                <w:color w:val="auto"/>
                <w:vertAlign w:val="superscript"/>
              </w:rPr>
              <w:t>(9)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7,373,300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3,676,200</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3,307,000</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3,664,700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1,786,600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8,758,300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5,527,600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6" w:lineRule="exact"/>
        <w:rPr>
          <w:sz w:val="20"/>
          <w:szCs w:val="20"/>
          <w:color w:val="auto"/>
        </w:rPr>
      </w:pPr>
    </w:p>
    <w:p>
      <w:pPr>
        <w:jc w:val="both"/>
        <w:ind w:left="480" w:hanging="474"/>
        <w:spacing w:after="0" w:line="316"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 Due to the fact that we do not own the partner networks (defined below) used in Switzerland (see note 8 below), we do not report homes passed for Switzerland’s partner networks.</w:t>
      </w:r>
    </w:p>
    <w:p>
      <w:pPr>
        <w:spacing w:after="0" w:line="91" w:lineRule="exact"/>
        <w:rPr>
          <w:rFonts w:ascii="Arial" w:cs="Arial" w:eastAsia="Arial" w:hAnsi="Arial"/>
          <w:sz w:val="14"/>
          <w:szCs w:val="14"/>
          <w:color w:val="auto"/>
        </w:rPr>
      </w:pPr>
    </w:p>
    <w:p>
      <w:pPr>
        <w:jc w:val="both"/>
        <w:ind w:left="480" w:hanging="474"/>
        <w:spacing w:after="0" w:line="283" w:lineRule="auto"/>
        <w:tabs>
          <w:tab w:leader="none" w:pos="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Fixed-Line Customer Relationships are the number of customers who receive at least one of our internet, video or telephony services that we count as Revenue Generating Units (</w:t>
      </w:r>
      <w:r>
        <w:rPr>
          <w:rFonts w:ascii="Arial" w:cs="Arial" w:eastAsia="Arial" w:hAnsi="Arial"/>
          <w:sz w:val="15"/>
          <w:szCs w:val="15"/>
          <w:b w:val="1"/>
          <w:bCs w:val="1"/>
          <w:color w:val="auto"/>
        </w:rPr>
        <w:t>RGUs</w:t>
      </w:r>
      <w:r>
        <w:rPr>
          <w:rFonts w:ascii="Arial" w:cs="Arial" w:eastAsia="Arial" w:hAnsi="Arial"/>
          <w:sz w:val="15"/>
          <w:szCs w:val="15"/>
          <w:color w:val="auto"/>
        </w:rPr>
        <w:t>),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12" w:lineRule="exact"/>
        <w:rPr>
          <w:rFonts w:ascii="Arial" w:cs="Arial" w:eastAsia="Arial" w:hAnsi="Arial"/>
          <w:sz w:val="15"/>
          <w:szCs w:val="15"/>
          <w:color w:val="auto"/>
        </w:rPr>
      </w:pPr>
    </w:p>
    <w:p>
      <w:pPr>
        <w:jc w:val="both"/>
        <w:ind w:left="480" w:hanging="474"/>
        <w:spacing w:after="0" w:line="261"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Internet Subscribers are homes, residential multiple dwelling units or commercial units that receive internet services over our networks, or that we service through a partner network. In Switzerland, we offer a 10 Mbps internet service to our Video Subscribers without an incremental recurring fee. Our Internet Subscribers in Switzerland include approximately 45,100 subscribers who have requested and received this service.</w:t>
      </w:r>
    </w:p>
    <w:p>
      <w:pPr>
        <w:spacing w:after="0" w:line="127" w:lineRule="exact"/>
        <w:rPr>
          <w:rFonts w:ascii="Arial" w:cs="Arial" w:eastAsia="Arial" w:hAnsi="Arial"/>
          <w:sz w:val="16"/>
          <w:szCs w:val="16"/>
          <w:color w:val="auto"/>
        </w:rPr>
      </w:pPr>
    </w:p>
    <w:p>
      <w:pPr>
        <w:jc w:val="both"/>
        <w:ind w:left="480" w:hanging="474"/>
        <w:spacing w:after="0" w:line="261"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Video Subscribers are homes, residential multiple dwelling units or commercial units that receive our video services over our broadband network or through a partner network. We have approximately 30,100 “lifeline” customers that are counted on a per connection basis, representing the least expensive regulated tier of video cable service, with only a few channels.</w:t>
      </w:r>
    </w:p>
    <w:p>
      <w:pPr>
        <w:spacing w:after="0" w:line="127" w:lineRule="exact"/>
        <w:rPr>
          <w:rFonts w:ascii="Arial" w:cs="Arial" w:eastAsia="Arial" w:hAnsi="Arial"/>
          <w:sz w:val="16"/>
          <w:szCs w:val="16"/>
          <w:color w:val="auto"/>
        </w:rPr>
      </w:pPr>
    </w:p>
    <w:p>
      <w:pPr>
        <w:jc w:val="both"/>
        <w:ind w:left="480" w:hanging="474"/>
        <w:spacing w:after="0" w:line="316"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Telephony Subscribers are homes, residential multiple dwelling units or commercial units that receive voice services over our networks, or that we service through a partner network. Telephony Subscribers exclude mobile telephony subscribers. In Switzerland, we offer a basic phone service to our Video Subscribers without an incremental recurring fee. Our Telephony Subscribers in Switzerland include approximately 188,500 subscribers who have requested and received this service.</w:t>
      </w:r>
    </w:p>
    <w:p>
      <w:pPr>
        <w:spacing w:after="0" w:line="105" w:lineRule="exact"/>
        <w:rPr>
          <w:rFonts w:ascii="Arial" w:cs="Arial" w:eastAsia="Arial" w:hAnsi="Arial"/>
          <w:sz w:val="14"/>
          <w:szCs w:val="14"/>
          <w:color w:val="auto"/>
        </w:rPr>
      </w:pPr>
    </w:p>
    <w:p>
      <w:pPr>
        <w:jc w:val="both"/>
        <w:ind w:left="480" w:hanging="474"/>
        <w:spacing w:after="0" w:line="249"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RGU is, separately, a Video Subscriber, Internet Subscriber or Telephony Subscriber. A home, residential multiple dwelling unit, or commercial unit may contain one or more RGUs. For example, if a residential customer subscribed to our video service, fixed-line telephony service and broadband internet service, the customer would constitute three RGUs. Total RGUs is the sum of Video, Internet and Telephony Subscribers. RGUs generally are counted on a unique premises basis such that a given premise does not count as more than one RGU for any given service. However,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certain preferred subscribers or free service to employees) generally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ind w:left="480"/>
        <w:spacing w:after="0" w:line="264" w:lineRule="auto"/>
        <w:rPr>
          <w:sz w:val="20"/>
          <w:szCs w:val="20"/>
          <w:color w:val="auto"/>
        </w:rPr>
      </w:pPr>
      <w:r>
        <w:rPr>
          <w:rFonts w:ascii="Arial" w:cs="Arial" w:eastAsia="Arial" w:hAnsi="Arial"/>
          <w:sz w:val="16"/>
          <w:szCs w:val="16"/>
          <w:color w:val="auto"/>
        </w:rPr>
        <w:t>are not counted as RGUs. We do not include subscriptions to mobile services in our externally reported RGU counts. In this regard, our RGU counts exclude our separately reported postpaid and prepaid mobile subscribers.</w:t>
      </w:r>
    </w:p>
    <w:p>
      <w:pPr>
        <w:spacing w:after="0" w:line="134" w:lineRule="exact"/>
        <w:rPr>
          <w:sz w:val="20"/>
          <w:szCs w:val="20"/>
          <w:color w:val="auto"/>
        </w:rPr>
      </w:pPr>
    </w:p>
    <w:p>
      <w:pPr>
        <w:jc w:val="both"/>
        <w:ind w:left="480" w:hanging="474"/>
        <w:spacing w:after="0" w:line="269"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Mobile Subscriber count represents the number of active subscriber identification module (</w:t>
      </w:r>
      <w:r>
        <w:rPr>
          <w:rFonts w:ascii="Arial" w:cs="Arial" w:eastAsia="Arial" w:hAnsi="Arial"/>
          <w:sz w:val="15"/>
          <w:szCs w:val="15"/>
          <w:b w:val="1"/>
          <w:bCs w:val="1"/>
          <w:color w:val="auto"/>
        </w:rPr>
        <w:t>SIM</w:t>
      </w:r>
      <w:r>
        <w:rPr>
          <w:rFonts w:ascii="Arial" w:cs="Arial" w:eastAsia="Arial" w:hAnsi="Arial"/>
          <w:sz w:val="15"/>
          <w:szCs w:val="15"/>
          <w:color w:val="auto"/>
        </w:rPr>
        <w:t>)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subscriber count after periods of inactivity ranging from 30 to 90 days, based on industry standards within the respective country. In a number of countries, our mobile subscribers receive mobile services pursuant to prepaid contracts. As of December 31, 2022, our mobile subscriber count included approximately 440,000, 271,000, 7,968,300 and 370,700 prepaid Mobile Subscribers in Switzerland, Belgium, the VMO2 JV and the VodafoneZiggo JV, respectively. Prepaid mobile customers are excluded from the VMO2 JV’s and the VodafoneZiggo JV’s mobile subscriber counts after a period of inactivity of three months and nine months, respectively. The mobile subscriber count for the VMO2 JV includes internet of things (</w:t>
      </w:r>
      <w:r>
        <w:rPr>
          <w:rFonts w:ascii="Arial" w:cs="Arial" w:eastAsia="Arial" w:hAnsi="Arial"/>
          <w:sz w:val="15"/>
          <w:szCs w:val="15"/>
          <w:b w:val="1"/>
          <w:bCs w:val="1"/>
          <w:color w:val="auto"/>
        </w:rPr>
        <w:t>IoT</w:t>
      </w:r>
      <w:r>
        <w:rPr>
          <w:rFonts w:ascii="Arial" w:cs="Arial" w:eastAsia="Arial" w:hAnsi="Arial"/>
          <w:sz w:val="15"/>
          <w:szCs w:val="15"/>
          <w:color w:val="auto"/>
        </w:rPr>
        <w:t>) connections, which are Machine-to-Machine contract mobile connections, including Smart Metering contract connections. The mobile subscriber count for the VMO2 JV presented in the table above excludes mobile wholesale connections based on their definition.</w:t>
      </w:r>
    </w:p>
    <w:p>
      <w:pPr>
        <w:spacing w:after="0" w:line="131" w:lineRule="exact"/>
        <w:rPr>
          <w:rFonts w:ascii="Arial" w:cs="Arial" w:eastAsia="Arial" w:hAnsi="Arial"/>
          <w:sz w:val="15"/>
          <w:szCs w:val="15"/>
          <w:color w:val="auto"/>
        </w:rPr>
      </w:pPr>
    </w:p>
    <w:p>
      <w:pPr>
        <w:jc w:val="both"/>
        <w:ind w:left="480" w:hanging="474"/>
        <w:spacing w:after="0" w:line="25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service agreements, Switzerland offers broadband internet, video and telephony services over networks owned by third-party operators (</w:t>
      </w:r>
      <w:r>
        <w:rPr>
          <w:rFonts w:ascii="Arial" w:cs="Arial" w:eastAsia="Arial" w:hAnsi="Arial"/>
          <w:sz w:val="16"/>
          <w:szCs w:val="16"/>
          <w:b w:val="1"/>
          <w:bCs w:val="1"/>
          <w:color w:val="auto"/>
        </w:rPr>
        <w:t>partner networks</w:t>
      </w:r>
      <w:r>
        <w:rPr>
          <w:rFonts w:ascii="Arial" w:cs="Arial" w:eastAsia="Arial" w:hAnsi="Arial"/>
          <w:sz w:val="16"/>
          <w:szCs w:val="16"/>
          <w:color w:val="auto"/>
        </w:rPr>
        <w:t>), and following the acquisition of Sunrise, also service homes through Sunrise’s existing agreements with Swisscom, Swiss Fibre Net and local utilities. Under these agreements, RGUs are only recognized if there is a direct billing relationship with the customer. Homes passed or serviceable through the above service agreements are not included in Switzerland’s homes passed count as we do not own these networks. Including these arrangements, our operations in Switzerland have the ability to offer fixed services to the national footprint.</w:t>
      </w:r>
    </w:p>
    <w:p>
      <w:pPr>
        <w:spacing w:after="0" w:line="145" w:lineRule="exact"/>
        <w:rPr>
          <w:rFonts w:ascii="Arial" w:cs="Arial" w:eastAsia="Arial" w:hAnsi="Arial"/>
          <w:sz w:val="16"/>
          <w:szCs w:val="16"/>
          <w:color w:val="auto"/>
        </w:rPr>
      </w:pPr>
    </w:p>
    <w:p>
      <w:pPr>
        <w:ind w:left="480" w:hanging="47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related to the VodafoneZiggo JV’s fixed-line and mobile products include business and multiple dwelling unit subscribers.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General Notes to Table:</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Most of our broadband communications subsidiaries provide broadband internet, video, telephony, mobile, data or other business services. Certain of our business service revenue is derived from small or home office (</w:t>
      </w:r>
      <w:r>
        <w:rPr>
          <w:rFonts w:ascii="Arial" w:cs="Arial" w:eastAsia="Arial" w:hAnsi="Arial"/>
          <w:sz w:val="14"/>
          <w:szCs w:val="14"/>
          <w:b w:val="1"/>
          <w:bCs w:val="1"/>
          <w:color w:val="auto"/>
        </w:rPr>
        <w:t>SOHO</w:t>
      </w:r>
      <w:r>
        <w:rPr>
          <w:rFonts w:ascii="Arial" w:cs="Arial" w:eastAsia="Arial" w:hAnsi="Arial"/>
          <w:sz w:val="14"/>
          <w:szCs w:val="14"/>
          <w:color w:val="auto"/>
        </w:rPr>
        <w:t>)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business SOHO subscribers, we generally do not count customers of business services as customers or RGUs for external reporting purposes.</w:t>
      </w:r>
    </w:p>
    <w:p>
      <w:pPr>
        <w:spacing w:after="0" w:line="10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In Belgium, Telenet leases a portion of its network under a long-term finance lease arrangement. These tables include operating statistics for Telenet’s owned and leased networks.</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our bad debt collection efforts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Products and Services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main products and services are intelligent WiFi and internet services, video, mobile and telephony services.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Intelligent WiFi and Internet Services</w:t>
      </w:r>
    </w:p>
    <w:p>
      <w:pPr>
        <w:spacing w:after="0" w:line="19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Connectivity is a critical building block for vibrant communities. As highlighted by the COVID-19 pandemic, all aspects of society, including families, businesses, education and healthcare, to name a few, rely heavily on connectivity and the digital services that depend on it. To meet our customers’ expectations of seamless connectivity, we are developing a fully digital, cloud-based connectivity ecosystem that we call “</w:t>
      </w:r>
      <w:r>
        <w:rPr>
          <w:rFonts w:ascii="Arial" w:cs="Arial" w:eastAsia="Arial" w:hAnsi="Arial"/>
          <w:sz w:val="17"/>
          <w:szCs w:val="17"/>
          <w:b w:val="1"/>
          <w:bCs w:val="1"/>
          <w:color w:val="auto"/>
        </w:rPr>
        <w:t>ONE Connect</w:t>
      </w:r>
      <w:r>
        <w:rPr>
          <w:rFonts w:ascii="Arial" w:cs="Arial" w:eastAsia="Arial" w:hAnsi="Arial"/>
          <w:sz w:val="17"/>
          <w:szCs w:val="17"/>
          <w:color w:val="auto"/>
        </w:rPr>
        <w:t>,” built on top of our fiber-rich fixed broadband network and recently expanded mobile network. ONE Connect is orchestrated by a fully cloud-based digital journey, enabling fast and flexible introduction of new hardware and services, as well as cloud-to-cloud open API integration, simplifying the on-boarding of new services and devices. The devices used within our ONE Connect ecosystem are connected and protected through our security gateway and VPN, both at home and on the go. At home, our customers can benefit from the gigabit speeds enabled by our “</w:t>
      </w:r>
      <w:r>
        <w:rPr>
          <w:rFonts w:ascii="Arial" w:cs="Arial" w:eastAsia="Arial" w:hAnsi="Arial"/>
          <w:sz w:val="17"/>
          <w:szCs w:val="17"/>
          <w:b w:val="1"/>
          <w:bCs w:val="1"/>
          <w:color w:val="auto"/>
        </w:rPr>
        <w:t>Connect Box</w:t>
      </w:r>
      <w:r>
        <w:rPr>
          <w:rFonts w:ascii="Arial" w:cs="Arial" w:eastAsia="Arial" w:hAnsi="Arial"/>
          <w:sz w:val="17"/>
          <w:szCs w:val="17"/>
          <w:color w:val="auto"/>
        </w:rPr>
        <w:t>” (described below), as well as “</w:t>
      </w:r>
      <w:r>
        <w:rPr>
          <w:rFonts w:ascii="Arial" w:cs="Arial" w:eastAsia="Arial" w:hAnsi="Arial"/>
          <w:sz w:val="17"/>
          <w:szCs w:val="17"/>
          <w:b w:val="1"/>
          <w:bCs w:val="1"/>
          <w:color w:val="auto"/>
        </w:rPr>
        <w:t>Intelligent WiFi</w:t>
      </w:r>
      <w:r>
        <w:rPr>
          <w:rFonts w:ascii="Arial" w:cs="Arial" w:eastAsia="Arial" w:hAnsi="Arial"/>
          <w:sz w:val="17"/>
          <w:szCs w:val="17"/>
          <w:color w:val="auto"/>
        </w:rPr>
        <w:t>”, which has optimization functionalities, such as the ability to adapt to the number of people and devices online at any given time in order to improve and extend wireless connectivity reach and speeds. We have completed the rollout of our award-winning Intelligent WiFi across all our markets. In addition, we introduced our first “</w:t>
      </w:r>
      <w:r>
        <w:rPr>
          <w:rFonts w:ascii="Arial" w:cs="Arial" w:eastAsia="Arial" w:hAnsi="Arial"/>
          <w:sz w:val="17"/>
          <w:szCs w:val="17"/>
          <w:b w:val="1"/>
          <w:bCs w:val="1"/>
          <w:color w:val="auto"/>
        </w:rPr>
        <w:t>Smart Home</w:t>
      </w:r>
      <w:r>
        <w:rPr>
          <w:rFonts w:ascii="Arial" w:cs="Arial" w:eastAsia="Arial" w:hAnsi="Arial"/>
          <w:sz w:val="17"/>
          <w:szCs w:val="17"/>
          <w:color w:val="auto"/>
        </w:rPr>
        <w:t>” bundles in select markets, enabling those customers to take their smart home ambitions to the next level, including enhanced entertainment, home automation and home security. Finally, our “</w:t>
      </w:r>
      <w:r>
        <w:rPr>
          <w:rFonts w:ascii="Arial" w:cs="Arial" w:eastAsia="Arial" w:hAnsi="Arial"/>
          <w:sz w:val="17"/>
          <w:szCs w:val="17"/>
          <w:b w:val="1"/>
          <w:bCs w:val="1"/>
          <w:color w:val="auto"/>
        </w:rPr>
        <w:t>Connect App</w:t>
      </w:r>
      <w:r>
        <w:rPr>
          <w:rFonts w:ascii="Arial" w:cs="Arial" w:eastAsia="Arial" w:hAnsi="Arial"/>
          <w:sz w:val="17"/>
          <w:szCs w:val="17"/>
          <w:color w:val="auto"/>
        </w:rPr>
        <w:t>” is the digital touchpoint that allows customers to access and manage all of our services.</w:t>
      </w:r>
    </w:p>
    <w:p>
      <w:pPr>
        <w:spacing w:after="0" w:line="209"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Our Connect Box is a next generation Intelligent WiFi and telephony gateway that enables us to maximize the impact of our ultrafast broadband networks by providing reliable wireless connectivity anywhere in the home. This gateway can be self-installed and allows customers to customize their home WiFi service. Our latest versions of the gigabit Connect Box are based on DOCSIS 3.1 technology and WiFi 6, providing even better in-home WiFi service. Our new DOCSIS 3.1 Connect Box runs our “</w:t>
      </w:r>
      <w:r>
        <w:rPr>
          <w:rFonts w:ascii="Arial" w:cs="Arial" w:eastAsia="Arial" w:hAnsi="Arial"/>
          <w:sz w:val="15"/>
          <w:szCs w:val="15"/>
          <w:b w:val="1"/>
          <w:bCs w:val="1"/>
          <w:color w:val="auto"/>
        </w:rPr>
        <w:t>One Firmware</w:t>
      </w:r>
      <w:r>
        <w:rPr>
          <w:rFonts w:ascii="Arial" w:cs="Arial" w:eastAsia="Arial" w:hAnsi="Arial"/>
          <w:sz w:val="15"/>
          <w:szCs w:val="15"/>
          <w:color w:val="auto"/>
        </w:rPr>
        <w:t>” stack, a middleware software system based on the Reference Design Kit for Broadband (</w:t>
      </w:r>
      <w:r>
        <w:rPr>
          <w:rFonts w:ascii="Arial" w:cs="Arial" w:eastAsia="Arial" w:hAnsi="Arial"/>
          <w:sz w:val="15"/>
          <w:szCs w:val="15"/>
          <w:b w:val="1"/>
          <w:bCs w:val="1"/>
          <w:color w:val="auto"/>
        </w:rPr>
        <w:t>RDK-B</w:t>
      </w:r>
      <w:r>
        <w:rPr>
          <w:rFonts w:ascii="Arial" w:cs="Arial" w:eastAsia="Arial" w:hAnsi="Arial"/>
          <w:sz w:val="15"/>
          <w:szCs w:val="15"/>
          <w:color w:val="auto"/>
        </w:rPr>
        <w:t>). RDK-B is an open source initiative with wide participation from operators, device manufacturers and silicon vendors that standardizes core functions used in broadband devices, set-top boxes and IoT solutions. We have extended the One Firmware stack to support our ONE Connect ecosystem. One Firmware runs on system-on-a-chip (</w:t>
      </w:r>
      <w:r>
        <w:rPr>
          <w:rFonts w:ascii="Arial" w:cs="Arial" w:eastAsia="Arial" w:hAnsi="Arial"/>
          <w:sz w:val="15"/>
          <w:szCs w:val="15"/>
          <w:b w:val="1"/>
          <w:bCs w:val="1"/>
          <w:color w:val="auto"/>
        </w:rPr>
        <w:t>SOC</w:t>
      </w:r>
      <w:r>
        <w:rPr>
          <w:rFonts w:ascii="Arial" w:cs="Arial" w:eastAsia="Arial" w:hAnsi="Arial"/>
          <w:sz w:val="15"/>
          <w:szCs w:val="15"/>
          <w:color w:val="auto"/>
        </w:rPr>
        <w:t>) technology from multiple vendors and can run on any SOC that is RDK-B compliant, enabling greater speed and agility for on-boarding of new customer premises equipment (</w:t>
      </w:r>
      <w:r>
        <w:rPr>
          <w:rFonts w:ascii="Arial" w:cs="Arial" w:eastAsia="Arial" w:hAnsi="Arial"/>
          <w:sz w:val="15"/>
          <w:szCs w:val="15"/>
          <w:b w:val="1"/>
          <w:bCs w:val="1"/>
          <w:color w:val="auto"/>
        </w:rPr>
        <w:t>CPE</w:t>
      </w:r>
      <w:r>
        <w:rPr>
          <w:rFonts w:ascii="Arial" w:cs="Arial" w:eastAsia="Arial" w:hAnsi="Arial"/>
          <w:sz w:val="15"/>
          <w:szCs w:val="15"/>
          <w:color w:val="auto"/>
        </w:rPr>
        <w:t xml:space="preserve">) platforms and ecosystem features, allowing us to build once and port to many. During 2022, we continued the roll out of One Firmware to our legacy DOCSIS 3.0 WiFi 5GW and our next generation DOCSIS 3.1 WiFi 6 GW. In addition, we completed the porting activity of One Firmware to our new XGSPON and ethernet WiFi 6 gateways. To support the adoption of fiber-to-the-home, cabinet, building or node networks (fiber-to-the-home/-cabinet/-building/-node is referred to herein as </w:t>
      </w:r>
      <w:r>
        <w:rPr>
          <w:rFonts w:ascii="Arial" w:cs="Arial" w:eastAsia="Arial" w:hAnsi="Arial"/>
          <w:sz w:val="15"/>
          <w:szCs w:val="15"/>
          <w:b w:val="1"/>
          <w:bCs w:val="1"/>
          <w:color w:val="auto"/>
        </w:rPr>
        <w:t>FTTx</w:t>
      </w:r>
      <w:r>
        <w:rPr>
          <w:rFonts w:ascii="Arial" w:cs="Arial" w:eastAsia="Arial" w:hAnsi="Arial"/>
          <w:sz w:val="15"/>
          <w:szCs w:val="15"/>
          <w:color w:val="auto"/>
        </w:rPr>
        <w:t>) access in both on-net and off-net scenarios, we plan to add XGS-PON (an updated standard for passive optical networks that supports higher-speed, 10 Gbps symmetrical data transfers) and Ethernet-based Connect Boxes with WiFi 6, providing speeds up to 10 Gbps that run our One Firmware and support our ONE Connect ecosystem. Our Connect Box is available in all our markets, and during 2022, approximately 12 million of our customers have a Connect Box. In addition to our core markets, we distribute our Connect Box to other markets in Europe, Latin America and the Caribbean. Robust wireless connectivity is increasingly important with our customers spending more and more time using bandwidth-heavy services on multiple devices. We also offer our Connect App that, among other things, allows our customers to optimize their WiFi coverage and manage their connected devices. In addition, we provide Intelligent WiFi mesh boosters, which increase speed, reliability and coverage by adapting to the environment at home.</w:t>
      </w:r>
    </w:p>
    <w:p>
      <w:pPr>
        <w:spacing w:after="0" w:line="200" w:lineRule="exact"/>
        <w:rPr>
          <w:sz w:val="20"/>
          <w:szCs w:val="20"/>
          <w:color w:val="auto"/>
        </w:rPr>
      </w:pPr>
    </w:p>
    <w:p>
      <w:pPr>
        <w:spacing w:after="0" w:line="20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Internet speed is of crucial importance to our customers, as they spend more time streaming video and other bandwidth-heavy services on multiple devices. Our extensive broadband network enables us to deliver ultra-high-speed internet service across our markets. Our residential subscribers access the internet via cable modems connected to their internet capable devices, or wirelessly via a WiFi gateway device. We offer multiple tiers of broadband internet service up to gigabit speeds that is now available across our entire European footprint. The speed of service depends on the customer location and their service selected.</w:t>
      </w:r>
    </w:p>
    <w:p>
      <w:pPr>
        <w:spacing w:after="0" w:line="2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By leveraging our existing fiber-rich broadband networks, we are in a position to deliver gigabit services by deploying the next generation DOCSIS 3.1 technology. DOCSIS 3.1 technology is an international standard that defines the requirements for data transmission over a cable system. Not only does DOCSIS 3.1 technology improve our internet speeds and reliability, it allows for efficient network growth. Currently, our ultra-high-speed internet service is based primarily on DOCSIS 3.1 technology, and we offer this technology in all of our markets. As of the end of 2022, both the VMO2 JV’s and the VodafoneZiggo JV’s broadband networks were capable of offering every customer of the VMO2 JV and the VodafoneZiggo JV gigabit internet speeds.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0" w:name="page11"/>
    <w:bookmarkEnd w:id="10"/>
    <w:p>
      <w:pPr>
        <w:jc w:val="both"/>
        <w:ind w:firstLine="318"/>
        <w:spacing w:after="0" w:line="250" w:lineRule="auto"/>
        <w:rPr>
          <w:sz w:val="20"/>
          <w:szCs w:val="20"/>
          <w:color w:val="auto"/>
        </w:rPr>
      </w:pPr>
      <w:r>
        <w:rPr>
          <w:rFonts w:ascii="Arial" w:cs="Arial" w:eastAsia="Arial" w:hAnsi="Arial"/>
          <w:sz w:val="18"/>
          <w:szCs w:val="18"/>
          <w:color w:val="auto"/>
        </w:rPr>
        <w:t>We offer value-added broadband services in certain of our markets for an incremental charge. These services include Intelligent WiFi features, security (e.g., anti-virus, anti-spyware, firewall and spam protection), Smart Home services, and online storage solutions and web spaces. Subscribers to our internet service pay a monthly fee based on the tier of service selected. In addition to the monthly fee, customers pay an activation service fee upon subscribing to an internet service. This one-time fee may be waived for promotional reasons. We determine pricing for each different tier of internet service through an analysis of speed, market conditions and other factors.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Mobile Services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Mobile services are another key building block for us to provide customers with seamless connectivity. Telenet, the VMO2 JV, the VodafoneZiggo JV and Sunrise offer mobile services as mobile network providers, and VM Ireland offers mobile services as an MVNO over a third-party network through Three (Hutchison).</w:t>
      </w:r>
    </w:p>
    <w:p>
      <w:pPr>
        <w:spacing w:after="0" w:line="21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Pursuant to VM Ireland’s agreement with Three (Hutchison) to provide mobile services as an MVNO, Three (Hutchison) leases a third-party’s radio access network and owns the core network, including switching, backbone and interconnections. VM Ireland’s MVNO arrangement with Three (Hutchison) permits VM Ireland to offer its customers mobile services without needing to build and operate a cellular radio tower network.</w:t>
      </w:r>
    </w:p>
    <w:p>
      <w:pPr>
        <w:spacing w:after="0" w:line="19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each of our markets, we offer a range of mobile related services. The majority of subscribers take a post-paid service plan, which has an agreed monthly fee for a set duration (typically 1 to 2 years). The monthly fee will vary depending on the country and service package selected. Service packages can have different levels of data allowances, voice minutes and network speed, as well as differing other aspects, such as roaming charges and contract duration. Post-paid services are also offered as a bundle with fixed services, and by taking a “converged” offering, customers typically receive some benefits such as lower total cost or additional features. Post-paid services are offered to both business and retail consumers. In addition, we offer pre-paid mobile services, where the customers pay in advance for a pre-determined amount of airtime or data and which generally have no minimum contract term. In countries where we operate as a mobile service operator, we also offer a number of MVNOs, where other mobile providers use our mobile network for their mobile offering.</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Video Services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video service is, and continues to be, one of the foundations of our product offerings in our markets. Our cable operations offer multiple tiers of digital video programming and audio services, starting with a basic video service. Subscribers to our basic video service pay a fixed monthly fee and receive digital video channels (including a growing number of high definition (</w:t>
      </w:r>
      <w:r>
        <w:rPr>
          <w:rFonts w:ascii="Arial" w:cs="Arial" w:eastAsia="Arial" w:hAnsi="Arial"/>
          <w:sz w:val="18"/>
          <w:szCs w:val="18"/>
          <w:b w:val="1"/>
          <w:bCs w:val="1"/>
          <w:color w:val="auto"/>
        </w:rPr>
        <w:t>HD</w:t>
      </w:r>
      <w:r>
        <w:rPr>
          <w:rFonts w:ascii="Arial" w:cs="Arial" w:eastAsia="Arial" w:hAnsi="Arial"/>
          <w:sz w:val="18"/>
          <w:szCs w:val="18"/>
          <w:color w:val="auto"/>
        </w:rPr>
        <w:t>) and ultra-high definition 4K resolution (</w:t>
      </w:r>
      <w:r>
        <w:rPr>
          <w:rFonts w:ascii="Arial" w:cs="Arial" w:eastAsia="Arial" w:hAnsi="Arial"/>
          <w:sz w:val="18"/>
          <w:szCs w:val="18"/>
          <w:b w:val="1"/>
          <w:bCs w:val="1"/>
          <w:color w:val="auto"/>
        </w:rPr>
        <w:t>4K</w:t>
      </w:r>
      <w:r>
        <w:rPr>
          <w:rFonts w:ascii="Arial" w:cs="Arial" w:eastAsia="Arial" w:hAnsi="Arial"/>
          <w:sz w:val="18"/>
          <w:szCs w:val="18"/>
          <w:color w:val="auto"/>
        </w:rPr>
        <w:t>) channels) and several digital and analog radio channels, as well as an electronic programming guide. We tailor our video services in each country of operation based on programming preferences, culture, demographics and local regulatory requirements.</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offer a variety of premium channel packages to meet the interests of our subscribers. For an additional monthly charge, a subscriber may upgrade to one of our extended digital tier services and receive an increased number of video and radio channels, including the channels in the basic tier service and additional HD and 4K channels. Our channel offerings include general entertainment, sports, movies, series, documentaries, lifestyles, news, adult, children and ethnic and foreign channels.</w:t>
      </w:r>
    </w:p>
    <w:p>
      <w:pPr>
        <w:spacing w:after="0" w:line="21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Discounts to our monthly service fees are available to any subscriber who selects a bundle of two or more of our services (</w:t>
      </w:r>
      <w:r>
        <w:rPr>
          <w:rFonts w:ascii="Arial" w:cs="Arial" w:eastAsia="Arial" w:hAnsi="Arial"/>
          <w:sz w:val="18"/>
          <w:szCs w:val="18"/>
          <w:b w:val="1"/>
          <w:bCs w:val="1"/>
          <w:color w:val="auto"/>
        </w:rPr>
        <w:t>bundled services</w:t>
      </w:r>
      <w:r>
        <w:rPr>
          <w:rFonts w:ascii="Arial" w:cs="Arial" w:eastAsia="Arial" w:hAnsi="Arial"/>
          <w:sz w:val="18"/>
          <w:szCs w:val="18"/>
          <w:color w:val="auto"/>
        </w:rPr>
        <w:t>): video, internet, fixed-line telephony and, in most of our markets, mobile services. Bundled services consist of double-play for two services, triple-play for three services and, where available, quad-play for four services.</w:t>
      </w:r>
    </w:p>
    <w:p>
      <w:pPr>
        <w:spacing w:after="0" w:line="21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To meet customer demands, we have enhanced our video services with additional relevant content services and features, which increases viewing satisfaction and addresses individual user needs. Our latest next generation product suite is called “</w:t>
      </w:r>
      <w:r>
        <w:rPr>
          <w:rFonts w:ascii="Arial" w:cs="Arial" w:eastAsia="Arial" w:hAnsi="Arial"/>
          <w:sz w:val="15"/>
          <w:szCs w:val="15"/>
          <w:b w:val="1"/>
          <w:bCs w:val="1"/>
          <w:color w:val="auto"/>
        </w:rPr>
        <w:t>Horizon 4</w:t>
      </w:r>
      <w:r>
        <w:rPr>
          <w:rFonts w:ascii="Arial" w:cs="Arial" w:eastAsia="Arial" w:hAnsi="Arial"/>
          <w:sz w:val="15"/>
          <w:szCs w:val="15"/>
          <w:color w:val="auto"/>
        </w:rPr>
        <w:t>”, a cloud-based, multi-screen entertainment platform that combines linear television (including recording and replay features), premium video-on-demand (“</w:t>
      </w:r>
      <w:r>
        <w:rPr>
          <w:rFonts w:ascii="Arial" w:cs="Arial" w:eastAsia="Arial" w:hAnsi="Arial"/>
          <w:sz w:val="15"/>
          <w:szCs w:val="15"/>
          <w:b w:val="1"/>
          <w:bCs w:val="1"/>
          <w:color w:val="auto"/>
        </w:rPr>
        <w:t>VoD</w:t>
      </w:r>
      <w:r>
        <w:rPr>
          <w:rFonts w:ascii="Arial" w:cs="Arial" w:eastAsia="Arial" w:hAnsi="Arial"/>
          <w:sz w:val="15"/>
          <w:szCs w:val="15"/>
          <w:color w:val="auto"/>
        </w:rPr>
        <w:t>”) offerings, an increasing amount of integrated premium global and local video applications and mobile viewing into one entertainment experience. Horizon 4 comes with a state-of-the-art personal user interface that is intuitively easy to navigate. Content recommendations and favorite channel settings can be customized to individual user profiles. Video playback control, navigation shortcuts and content searches can all be conducted via a voice control button on the remote control, a feature highly appreciated by our customers. Horizon 4 is available in all of our markets on the latest set top boxes and is capable of delivering 4K video content, including high dynamic range. The platform also features a ‘Personal Home’ page that automatically aggregates content, both linear and VoD, in a streamlined user interface, based on the user’s viewing habits. It has achieved significant positive customer feedback, manifesting in high product net promoter score figures. Horizon 4 is marketed under the name “Telenet TV-Box” in Belgium, “Sunrise TV” in Switzerland,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“Virgin TV360” in the U.K., through the VMO2 JV, and Ireland and “MediaBox Next” in the Netherlands through the VodafoneZiggo JV.</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U.K., the forerunner product of Horizon 4 is based on the TiVo platform and was developed under a strategic partnership agreement with TiVo Inc. The TiVo platform is deployed on a basic set-top box as well as the Virgin Media V6 box. Similar to Horizon 4, the Virgin Media V6 box combines 4K video, including high dynamic range, with improved streaming functionalities and more processing power. The Virgin Media V6 box allows customers to record six channels simultaneously while watching a seventh channel. Customers can also start watching a program on one television and pick up where they left off on other boxes in another room or through an app on their smart phones and tablets. Over 50% of the VMO2 JV’s customers have the Virgin Media V6 box. Similar to the hardware already deployed via the VodafoneZiggo JV, over time these V6 boxes will be flashed with the latest Horizon 4 software, bringing our latest and most successful television and entertainment experience to the VMO2 JV’s customers without the need to exchange the installed hardware. Approximately 25% of the VMO2 JV’s customers are on the Horizon 4 platform.</w:t>
      </w:r>
    </w:p>
    <w:p>
      <w:pPr>
        <w:spacing w:after="0" w:line="21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summer of 2020, we launched our first IP-only streaming device in our former Polish operations, which runs the full Horizon 4 product suite and features a small puck-like form factor that can be tucked away behind a TV screen. This all-IP mini 4K capable TV box has extremely low power consumption, and its casing is made from recycled plastic, proudly winning us the Digital TV Europe’s Video Tech Innovation Sustainability Award in December 2020 as well as the Red Dot Product Design Award in 2021. We have also launched this all-IP 4K capable TV box in Switzerland, the Netherlands and the U.K. We intend to continue rolling out this product to our other markets in the coming years.</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Underpinned by this new IP-only streaming device, we launched our first subscription VoD-focused proposition in the U.K. called ‘Stream’. In addition to a slimmer channel lineup, this new package allows customers to pick and choose their favorite entertainment packages each month (e.g., Netflix, Disney+ and Prime Video) and get a 10% credit back for each subscription they add via our platform. By bundling their over the top (</w:t>
      </w:r>
      <w:r>
        <w:rPr>
          <w:rFonts w:ascii="Arial" w:cs="Arial" w:eastAsia="Arial" w:hAnsi="Arial"/>
          <w:sz w:val="18"/>
          <w:szCs w:val="18"/>
          <w:b w:val="1"/>
          <w:bCs w:val="1"/>
          <w:color w:val="auto"/>
        </w:rPr>
        <w:t>OTT</w:t>
      </w:r>
      <w:r>
        <w:rPr>
          <w:rFonts w:ascii="Arial" w:cs="Arial" w:eastAsia="Arial" w:hAnsi="Arial"/>
          <w:sz w:val="18"/>
          <w:szCs w:val="18"/>
          <w:color w:val="auto"/>
        </w:rPr>
        <w:t>) subscriptions together, customers also have an easy-to-see overview of what they are paying for and can manage them in a straightforward way, allowing for added flexibility as their viewing habits change.</w:t>
      </w:r>
    </w:p>
    <w:p>
      <w:pPr>
        <w:spacing w:after="0" w:line="213"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color w:val="auto"/>
        </w:rPr>
        <w:t>One of our key video services is “</w:t>
      </w:r>
      <w:r>
        <w:rPr>
          <w:rFonts w:ascii="Arial" w:cs="Arial" w:eastAsia="Arial" w:hAnsi="Arial"/>
          <w:sz w:val="15"/>
          <w:szCs w:val="15"/>
          <w:b w:val="1"/>
          <w:bCs w:val="1"/>
          <w:color w:val="auto"/>
        </w:rPr>
        <w:t>Replay TV</w:t>
      </w:r>
      <w:r>
        <w:rPr>
          <w:rFonts w:ascii="Arial" w:cs="Arial" w:eastAsia="Arial" w:hAnsi="Arial"/>
          <w:sz w:val="15"/>
          <w:szCs w:val="15"/>
          <w:color w:val="auto"/>
        </w:rPr>
        <w:t>”. Through Replay TV, the last seven days of content (subject to rights related to blackouts) is made available via the electronic programming guide (</w:t>
      </w:r>
      <w:r>
        <w:rPr>
          <w:rFonts w:ascii="Arial" w:cs="Arial" w:eastAsia="Arial" w:hAnsi="Arial"/>
          <w:sz w:val="15"/>
          <w:szCs w:val="15"/>
          <w:b w:val="1"/>
          <w:bCs w:val="1"/>
          <w:color w:val="auto"/>
        </w:rPr>
        <w:t>EPG</w:t>
      </w:r>
      <w:r>
        <w:rPr>
          <w:rFonts w:ascii="Arial" w:cs="Arial" w:eastAsia="Arial" w:hAnsi="Arial"/>
          <w:sz w:val="15"/>
          <w:szCs w:val="15"/>
          <w:color w:val="auto"/>
        </w:rPr>
        <w:t>) for on demand viewing. Customers can simply open the EPG, scroll back and replay linear programming instantly. This same technical solution also allows our customers to replay a television program from the start even while the live broadcast is in progress. Additionally, customers have the option of recording television programs in the cloud (or onto the hard disk drive in the set top box in the U.K., through the VMO2 JV, and in Ireland, through VM Ireland). Replay TV is one of the most used and appreciated features on our platforms.</w:t>
      </w:r>
    </w:p>
    <w:p>
      <w:pPr>
        <w:spacing w:after="0" w:line="1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most of our markets, we offer transactional VoD giving subscribers access to thousands of movies and television series. In several of our markets, our subscription VoD service is included in certain of our video offerings. This service is tailored to the specific market based on available content, consumer preferences and competitive offers, and it includes various programming, such as music, kids, documentaries, adult, sports and TV series. We continue to develop our VoD services to provide a growing collection of programming from local and international suppliers, including, among others, Disney/Fox, NBC/Universal, CBS/Paramount, Warner Bros.-Discovery and Sony. In addition, in all of our markets we offer global premium OTT services such as Netflix, YouTube and Amazon Prime Video, and we also offer local OTT services via a large portion of our set-top boxes. These types of paid subscription services can be bundled into customers’ packages like in the Stream proposition or, in many cases, added directly to customers’ bills, offering them further convenience.</w:t>
      </w:r>
    </w:p>
    <w:p>
      <w:pPr>
        <w:spacing w:after="0" w:line="215"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Most of this content is also available via our online mobile app, “</w:t>
      </w:r>
      <w:r>
        <w:rPr>
          <w:rFonts w:ascii="Arial" w:cs="Arial" w:eastAsia="Arial" w:hAnsi="Arial"/>
          <w:sz w:val="15"/>
          <w:szCs w:val="15"/>
          <w:b w:val="1"/>
          <w:bCs w:val="1"/>
          <w:color w:val="auto"/>
        </w:rPr>
        <w:t>Horizon Go</w:t>
      </w:r>
      <w:r>
        <w:rPr>
          <w:rFonts w:ascii="Arial" w:cs="Arial" w:eastAsia="Arial" w:hAnsi="Arial"/>
          <w:sz w:val="15"/>
          <w:szCs w:val="15"/>
          <w:color w:val="auto"/>
        </w:rPr>
        <w:t>”, which is available on mobile devices (iOS and Android) and, in some markets as well, via Amazon Fire TV, Apple TV and Android TV devices. Thanks to the 360 integration of Horizon 4 across multiple screens, customers can pause a program, series or movie and seamlessly continue watching from where they left off on another device, whether on a television, tablet, smart phone or laptop. Additionally, Horizon Go enables customers to remotely schedule the recording of a television program on their Horizon 4 box at home.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Telephony Services</w:t>
      </w:r>
    </w:p>
    <w:p>
      <w:pPr>
        <w:spacing w:after="0" w:line="2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Multi-feature telephony services are available through voice-over-internet-protocol (</w:t>
      </w:r>
      <w:r>
        <w:rPr>
          <w:rFonts w:ascii="Arial" w:cs="Arial" w:eastAsia="Arial" w:hAnsi="Arial"/>
          <w:sz w:val="18"/>
          <w:szCs w:val="18"/>
          <w:b w:val="1"/>
          <w:bCs w:val="1"/>
          <w:color w:val="auto"/>
        </w:rPr>
        <w:t>VoIP</w:t>
      </w:r>
      <w:r>
        <w:rPr>
          <w:rFonts w:ascii="Arial" w:cs="Arial" w:eastAsia="Arial" w:hAnsi="Arial"/>
          <w:sz w:val="18"/>
          <w:szCs w:val="18"/>
          <w:color w:val="auto"/>
        </w:rPr>
        <w:t>) technology in most of our broadband communication markets. In the U.K., the VMO2 JV also provides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jc w:val="both"/>
        <w:ind w:firstLine="318"/>
        <w:spacing w:after="0" w:line="318" w:lineRule="auto"/>
        <w:rPr>
          <w:sz w:val="20"/>
          <w:szCs w:val="20"/>
          <w:color w:val="auto"/>
        </w:rPr>
      </w:pPr>
      <w:r>
        <w:rPr>
          <w:rFonts w:ascii="Arial" w:cs="Arial" w:eastAsia="Arial" w:hAnsi="Arial"/>
          <w:sz w:val="15"/>
          <w:szCs w:val="15"/>
          <w:color w:val="auto"/>
        </w:rPr>
        <w:t>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 added services, such as a personal call manager, unified messaging and a second or third phone line at an incremental cost.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Multiple Dwelling Units and Partner Networks</w:t>
      </w:r>
    </w:p>
    <w:p>
      <w:pPr>
        <w:spacing w:after="0" w:line="2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July of 2022, Telenet entered into an agreement with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in which Telenet and Fluvius agreed to create a separate, self-funding infrastructure company in the Flanders region of Belgium (</w:t>
      </w:r>
      <w:r>
        <w:rPr>
          <w:rFonts w:ascii="Arial" w:cs="Arial" w:eastAsia="Arial" w:hAnsi="Arial"/>
          <w:sz w:val="18"/>
          <w:szCs w:val="18"/>
          <w:b w:val="1"/>
          <w:bCs w:val="1"/>
          <w:color w:val="auto"/>
        </w:rPr>
        <w:t>NetCo</w:t>
      </w:r>
      <w:r>
        <w:rPr>
          <w:rFonts w:ascii="Arial" w:cs="Arial" w:eastAsia="Arial" w:hAnsi="Arial"/>
          <w:sz w:val="18"/>
          <w:szCs w:val="18"/>
          <w:color w:val="auto"/>
        </w:rPr>
        <w:t>) that will operate the network infrastructure assets of both companies in the region. NetCo expects to further roll-out and operate a hybrid fiber coaxial (</w:t>
      </w:r>
      <w:r>
        <w:rPr>
          <w:rFonts w:ascii="Arial" w:cs="Arial" w:eastAsia="Arial" w:hAnsi="Arial"/>
          <w:sz w:val="18"/>
          <w:szCs w:val="18"/>
          <w:b w:val="1"/>
          <w:bCs w:val="1"/>
          <w:color w:val="auto"/>
        </w:rPr>
        <w:t>HFC</w:t>
      </w:r>
      <w:r>
        <w:rPr>
          <w:rFonts w:ascii="Arial" w:cs="Arial" w:eastAsia="Arial" w:hAnsi="Arial"/>
          <w:sz w:val="18"/>
          <w:szCs w:val="18"/>
          <w:color w:val="auto"/>
        </w:rPr>
        <w:t>) and fiber-to-the-home (</w:t>
      </w:r>
      <w:r>
        <w:rPr>
          <w:rFonts w:ascii="Arial" w:cs="Arial" w:eastAsia="Arial" w:hAnsi="Arial"/>
          <w:sz w:val="18"/>
          <w:szCs w:val="18"/>
          <w:b w:val="1"/>
          <w:bCs w:val="1"/>
          <w:color w:val="auto"/>
        </w:rPr>
        <w:t>FTTH</w:t>
      </w:r>
      <w:r>
        <w:rPr>
          <w:rFonts w:ascii="Arial" w:cs="Arial" w:eastAsia="Arial" w:hAnsi="Arial"/>
          <w:sz w:val="18"/>
          <w:szCs w:val="18"/>
          <w:color w:val="auto"/>
        </w:rPr>
        <w:t>) network within Telenet’s current geographic footprint. Following the closing of this transaction, Telenet will become a wholesale access client of NetCo. This transaction is subject to regulatory approval by the European Commission, which is expected to be received mid-2023. Upon closing of the transaction with Fluvius, the long-term lease that Telenet currently has with Fluvius will terminate.</w:t>
      </w:r>
    </w:p>
    <w:p>
      <w:pPr>
        <w:spacing w:after="0" w:line="215"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 xml:space="preserve">Pursuant to an agreement executed on June 28, 2008 (the </w:t>
      </w:r>
      <w:r>
        <w:rPr>
          <w:rFonts w:ascii="Arial" w:cs="Arial" w:eastAsia="Arial" w:hAnsi="Arial"/>
          <w:sz w:val="15"/>
          <w:szCs w:val="15"/>
          <w:b w:val="1"/>
          <w:bCs w:val="1"/>
          <w:color w:val="auto"/>
        </w:rPr>
        <w:t>2008 PICs Agreement</w:t>
      </w:r>
      <w:r>
        <w:rPr>
          <w:rFonts w:ascii="Arial" w:cs="Arial" w:eastAsia="Arial" w:hAnsi="Arial"/>
          <w:sz w:val="15"/>
          <w:szCs w:val="15"/>
          <w:color w:val="auto"/>
        </w:rPr>
        <w:t xml:space="preserve">) with four associations of municipalities in Belgium (the pure intercommunales or </w:t>
      </w:r>
      <w:r>
        <w:rPr>
          <w:rFonts w:ascii="Arial" w:cs="Arial" w:eastAsia="Arial" w:hAnsi="Arial"/>
          <w:sz w:val="15"/>
          <w:szCs w:val="15"/>
          <w:b w:val="1"/>
          <w:bCs w:val="1"/>
          <w:color w:val="auto"/>
        </w:rPr>
        <w:t>PICs</w:t>
      </w:r>
      <w:r>
        <w:rPr>
          <w:rFonts w:ascii="Arial" w:cs="Arial" w:eastAsia="Arial" w:hAnsi="Arial"/>
          <w:sz w:val="15"/>
          <w:szCs w:val="15"/>
          <w:color w:val="auto"/>
        </w:rPr>
        <w:t>), Telenet leases the PICs broadband communications network and, accordingly, makes its services available to all of the homes passed by the cable network owned by the PICs. Telenet has a direct customer relationship with the video subscribers on the PICs network. Pursuant to the 2008 PICs Agreement, Telenet has full rights to use substantially all of the PICs network under a long-term finance lease. Unless extended, the 2008 PICs Agreement will expire on September 23, 2046, and cannot be terminated earlier (except in the case of non-payment or bankruptcy of Telenet). For additional information on the 2008 PICs Agreement, see note 18 to our consolidated financial statements included in Part II of this Annual Report on Form 10-K.</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over 70% of Sunrise’s basic video subscribers, Sunrise maintains billing relationships with landlords or housing associations and provides basic video service to the tenants. The landlord or housing association administers the billing for the basic video service with their tenants and manages service terminations for their rental units. When tenants select triple-play bundles with or without mobile service from Sunrise, they then migrate to a direct billing relationship with us.</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Sunrise offers broadband internet, enhanced video and telephony services directly to the video cable subscribers of those partner networks that enter into service operating contracts with Sunrise. Sunrise has the direct customer billing relationship with these subscribers. By permitting Sunrise to offer some or all of its broadband internet, video and telephony products directly to those partner network subscribers, Sunrise’s service operating contracts have expanded the addressable markets for Sunrise’s digital products. In exchange for the right to provide digital products directly to the partner network subscribers, Sunrise pays to the partner network a share of the revenue generated from those subscribers. Sunrise also provides network maintenance services and engineering and construction services to its partner networks.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Services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our residential services, we offer business services in all of our operations. For business and public sector organizations, we provide a complete range of voice, advanced data, video, wireless and cloud-based services, as well as mobile and converged fixed-mobile services. Our business customers include SOHO (generally up to five employees), small business and medium and large enterprises. We also provide business services on a wholesale basis to other operators.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business services are designed to meet the specific demands of our business customers with a wide range of services, including increased data transmission speeds and virtual private networks. These services fall into five broad categories:</w:t>
      </w:r>
    </w:p>
    <w:p>
      <w:pPr>
        <w:spacing w:after="0" w:line="206" w:lineRule="exact"/>
        <w:rPr>
          <w:sz w:val="20"/>
          <w:szCs w:val="20"/>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services for fixed internet access, with a 4G connectivity backup, IP virtual private networks based on SDWAN solutions, and high-capacity point-to-point services, including dedicated cloud connections;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cloud collaboration VoIP solutions and circuit switch telephony, unified communications and conferencing options;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services for mobile voice and data, as well as managed WiFi networks;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video programming packages and select channel lineups for targeted industries or full programming packages for SOHO customers; and</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value added services, including managed security systems, cloud enabled business applications, storage and web hosting.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jc w:val="both"/>
        <w:ind w:firstLine="318"/>
        <w:spacing w:after="0" w:line="264" w:lineRule="auto"/>
        <w:rPr>
          <w:sz w:val="20"/>
          <w:szCs w:val="20"/>
          <w:color w:val="auto"/>
        </w:rPr>
      </w:pPr>
      <w:r>
        <w:rPr>
          <w:rFonts w:ascii="Arial" w:cs="Arial" w:eastAsia="Arial" w:hAnsi="Arial"/>
          <w:sz w:val="18"/>
          <w:szCs w:val="18"/>
          <w:color w:val="auto"/>
        </w:rPr>
        <w:t>Our intermediate to long-term strategy is to enhance our capabilities and offerings in the business sector so we become a preferred provider in the business market. To execute this strategy, customer experience and strategic marketing play a key role.</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business services are provided to customers at contractually established prices based on the size of the business, type of services received and the volume and duration of the service agreement. SOHO and small business customers pay business market prices on a monthly subscription basis to receive enhanced service levels and business features that support their needs. For more advanced business services, these customers generally enter into a service agreement. For medium to large business customers, we enter into individual agreements that address their needs. These agreements are generally for a period of at least one year.</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Investments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u w:val="single" w:color="auto"/>
          <w:color w:val="auto"/>
        </w:rPr>
        <w:t>VMO2 JV</w:t>
      </w:r>
      <w:r>
        <w:rPr>
          <w:rFonts w:ascii="Arial" w:cs="Arial" w:eastAsia="Arial" w:hAnsi="Arial"/>
          <w:sz w:val="17"/>
          <w:szCs w:val="17"/>
          <w:color w:val="auto"/>
        </w:rPr>
        <w:t xml:space="preserve">. Liberty Global owns 50% of the VMO2 JV, an integrated communications provider of broadband internet, video, fixed-line telephony, mobile and converged services to residential and business customers in the U.K. As part of the U.K. JV Transaction, Liberty Global entered into a shareholders agreement with Telefónica, that previously owned O2 in the U.K. (the </w:t>
      </w:r>
      <w:r>
        <w:rPr>
          <w:rFonts w:ascii="Arial" w:cs="Arial" w:eastAsia="Arial" w:hAnsi="Arial"/>
          <w:sz w:val="17"/>
          <w:szCs w:val="17"/>
          <w:b w:val="1"/>
          <w:bCs w:val="1"/>
          <w:color w:val="auto"/>
        </w:rPr>
        <w:t>U.K. JV Shareholders Agreement</w:t>
      </w:r>
      <w:r>
        <w:rPr>
          <w:rFonts w:ascii="Arial" w:cs="Arial" w:eastAsia="Arial" w:hAnsi="Arial"/>
          <w:sz w:val="17"/>
          <w:szCs w:val="17"/>
          <w:color w:val="auto"/>
        </w:rPr>
        <w:t>), which sets forth the corporate governance of the VMO2 JV, as well as, among other things, its dividend policy and non-competition provisions. The U.K. JV Shareholders Agreement mandates that the VMO2 JV distribute to Liberty Global and Telefónica on a quarterly basis a pro rata dividend equaling (unless agreed otherwise) all unrestricted cash, subject to certain minimum thresholds and financing arrangements. Subject to certain exceptions, Liberty Global may not transfer its ownership interest in the VMO2 JV without consent from Telefónica. Additional information on the U.K. JV Shareholders Agreement can be found in note 7 to our consolidated financial statements included in Part II of this Annual Report on Form 10-K.</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VMO2 JV offers gigabit internet across its entire fixed network footprint, reaching over 16.1 million homes, combined with a mobile network that offers 99% indoor and outdoor population coverage on 4G, as well as 5G services in over 1,600 towns and cities across the U.K. The VMO2 JV had over 13 million RGUs as of December 31, 2022, comprised of approximately 5.7 million broadband internet subscribers. The VMO2 JV does not report video or telephony subscribers on an individualized basis, although such subscribers are included in its total RGU figure. In addition, the VMO2 JV had approximately 33.8 million mobile subscribers and is the U.K.’s leading mobile operator in terms of connections, with 44.7 million connections across its mobile, IoT and wholesale services.</w:t>
      </w:r>
    </w:p>
    <w:p>
      <w:pPr>
        <w:spacing w:after="0" w:line="22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to gigabit broadband, the VMO2 JV provides fixed-line TV and telephony services. In 2022, the VMO2 JV launched a new flexible entertainment service called ‘Stream,’ which combines the customer’s subscription packages such as Netflix, Disney+, and Amazon Prime, as well as the free TV channels under one system while also allowing the customer to transform their TV into a voice-activated unit. The VMO2 JV’s TV customers continue to have access to the Horizon 4 minibox and its functionalities (marketed as ‘Virgin TV 360’), including ‘Catch up’, ‘Startover’ and pause live TV, the Virgin TV Go app and VoD, along with access to a range of premium subscription-based and pay per view services.</w:t>
      </w:r>
    </w:p>
    <w:p>
      <w:pPr>
        <w:spacing w:after="0" w:line="20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VMO2 JV provides a wide range of mobile telecommunications and associated value-added products and services, such as voice, messaging and data services, handsets and hardware (e.g., wearables and handsets), stand-alone mobile devices and other accessories.</w:t>
      </w:r>
    </w:p>
    <w:p>
      <w:pPr>
        <w:spacing w:after="0" w:line="200"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The VMO2 JV’s consumer convergence offering is led by its “</w:t>
      </w:r>
      <w:r>
        <w:rPr>
          <w:rFonts w:ascii="Arial" w:cs="Arial" w:eastAsia="Arial" w:hAnsi="Arial"/>
          <w:sz w:val="15"/>
          <w:szCs w:val="15"/>
          <w:b w:val="1"/>
          <w:bCs w:val="1"/>
          <w:color w:val="auto"/>
        </w:rPr>
        <w:t>Volt</w:t>
      </w:r>
      <w:r>
        <w:rPr>
          <w:rFonts w:ascii="Arial" w:cs="Arial" w:eastAsia="Arial" w:hAnsi="Arial"/>
          <w:sz w:val="15"/>
          <w:szCs w:val="15"/>
          <w:color w:val="auto"/>
        </w:rPr>
        <w:t>” proposition, offering new and existing customers that take Virgin Media broadband and eligible O2 Pay Monthly plans an upgrade to the next fixed broadband speed tier, increased mobile data and more value, including a wifi guarantee. As of December 31, 2022, Volt had surpassed 1.3 million customers, while fixed-mobile convergence penetration stood at approximately 45%.</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VMO2 JV also provides business and wholesale products and services to large enterprises, public sector entities and small and medium business customers as well as wholesale and MVNO partners.</w:t>
      </w:r>
    </w:p>
    <w:p>
      <w:pPr>
        <w:spacing w:after="0" w:line="2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u w:val="single" w:color="auto"/>
          <w:color w:val="auto"/>
        </w:rPr>
        <w:t>nexfibre JV</w:t>
      </w:r>
      <w:r>
        <w:rPr>
          <w:rFonts w:ascii="Arial" w:cs="Arial" w:eastAsia="Arial" w:hAnsi="Arial"/>
          <w:sz w:val="18"/>
          <w:szCs w:val="18"/>
          <w:color w:val="auto"/>
        </w:rPr>
        <w:t>. We own a 25% interest in the nexfibre JV, a newly formed joint venture in the U.K. that intends to construct and operate a wholesale FTTH broadband network of 5-7 million premises that does not overlap with the VMO2 JV’s existing network. Telefónica owns 25% of the nexfibre JV, and InfraVia owns the remaining 50%. The VMO2 JV will act as the anchor client for the new nexfibre JV’s fiber network. The VMO2 JV also entered into a master services agreement with the nexfibre JV to provide access to the VMO2 JV’s expertise in the telecommunications business. In combination with the VMO2 JV’s existing network and planned FTTH upgrades, the VMO2 JV and the nexfibre JV networks are expected to expand gigabit coverage to approximately 80% of the U.K. once completed.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jc w:val="both"/>
        <w:ind w:firstLine="318"/>
        <w:spacing w:after="0" w:line="251" w:lineRule="auto"/>
        <w:rPr>
          <w:sz w:val="20"/>
          <w:szCs w:val="20"/>
          <w:color w:val="auto"/>
        </w:rPr>
      </w:pPr>
      <w:r>
        <w:rPr>
          <w:rFonts w:ascii="Arial" w:cs="Arial" w:eastAsia="Arial" w:hAnsi="Arial"/>
          <w:sz w:val="18"/>
          <w:szCs w:val="18"/>
          <w:color w:val="auto"/>
        </w:rPr>
        <w:t>In connection with the formation of the nexfibre JV, we entered into shareholders agreements with Telefónica and InfraVia, providing for the governance of the nexfibre JV, including, among other things, its dividend policy and non-compete provisions. It also provides for restrictions on transfer of interests in the nexfibre JV and exit arrangements. Under the dividend policy, the nexfibre JV is required to distribute all unrestricted cash to Telefónica, InfraVia and us, subject to minimum cash requirements and financing arrangements.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u w:val="single" w:color="auto"/>
          <w:color w:val="auto"/>
        </w:rPr>
        <w:t>VodafoneZiggo JV</w:t>
      </w:r>
      <w:r>
        <w:rPr>
          <w:rFonts w:ascii="Arial" w:cs="Arial" w:eastAsia="Arial" w:hAnsi="Arial"/>
          <w:sz w:val="17"/>
          <w:szCs w:val="17"/>
          <w:color w:val="auto"/>
        </w:rPr>
        <w:t>. We own a 50% interest in the VodafoneZiggo JV, which is a leading Dutch company that provides fixed, mobile and integrated communication and entertainment services to consumers and businesses in the Netherlands. In connection with the formation of the VodafoneZiggo JV, we entered into a shareholders agreement with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providing for the governance of the VodafoneZiggo JV, including, among other things, its dividend policy and non-compete provisions. It also provides for restrictions on the transfer of interests in the VodafoneZiggo JV and exit arrangements. Under the dividend policy, the VodafoneZiggo JV is required to distribute all unrestricted cash to Vodafone and us, subject to minimum cash requirements and financing arrangements. We also entered into a framework agreement with the VodafoneZiggo JV to provide access to each partner’s expertise in the telecommunications business. For additional information on the above agreements, see note 7 to our consolidated financial statements included in Part II of this Annual Report on Form 10-K.</w:t>
      </w:r>
    </w:p>
    <w:p>
      <w:pPr>
        <w:spacing w:after="0" w:line="21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The fiber-rich broadband network of the VodafoneZiggo JV passes approximately 7.4 million homes. In 2022 the VodafoneZiggo JV began offering gigabit internet speeds for residential and business customers across its entire footprint. The VodafoneZiggo JV also offers nationwide 4G and 5G mobile coverage. At December 31, 2022, the VodafoneZiggo JV had 8.8 million RGUs, of which 3.7 million were video, 3.3 million were broadband internet and 1.8 million were fixed-line telephony. In addition, the VodafoneZiggo JV had 5.5 million mobile customers. Besides its residential services, the VodafoneZiggo JV offers extensive business services throughout the Netherlands. The operations of the VodafoneZiggo JV are subject to various regulations, which are described below under </w:t>
      </w:r>
      <w:r>
        <w:rPr>
          <w:rFonts w:ascii="Arial" w:cs="Arial" w:eastAsia="Arial" w:hAnsi="Arial"/>
          <w:sz w:val="17"/>
          <w:szCs w:val="17"/>
          <w:i w:val="1"/>
          <w:iCs w:val="1"/>
          <w:color w:val="auto"/>
        </w:rPr>
        <w:t>Regulatory Matters—Joint Venture Entities—The Netherlands</w:t>
      </w:r>
      <w:r>
        <w:rPr>
          <w:rFonts w:ascii="Arial" w:cs="Arial" w:eastAsia="Arial" w:hAnsi="Arial"/>
          <w:sz w:val="17"/>
          <w:szCs w:val="17"/>
          <w:color w:val="auto"/>
        </w:rPr>
        <w:t>.</w:t>
      </w:r>
    </w:p>
    <w:p>
      <w:pPr>
        <w:spacing w:after="0" w:line="20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The VodafoneZiggo JV’s customers continue to have access to the Horizon 4 minibox and its functionalities (marketed as “Ziggo TV”), including Replay TV, the Ziggo Go app, pause live TV and VoD, gigabit internet speeds and an extensive WiFi community network. The VodafoneZiggo JV also has its own sports channel, Ziggo Sport, and offers some exclusive programming. The VodafoneZiggo JV’s customers also have access to Vodafone’s nationwide 4G (referred to herein as </w:t>
      </w:r>
      <w:r>
        <w:rPr>
          <w:rFonts w:ascii="Arial" w:cs="Arial" w:eastAsia="Arial" w:hAnsi="Arial"/>
          <w:sz w:val="17"/>
          <w:szCs w:val="17"/>
          <w:b w:val="1"/>
          <w:bCs w:val="1"/>
          <w:color w:val="auto"/>
        </w:rPr>
        <w:t>LTE</w:t>
      </w:r>
      <w:r>
        <w:rPr>
          <w:rFonts w:ascii="Arial" w:cs="Arial" w:eastAsia="Arial" w:hAnsi="Arial"/>
          <w:sz w:val="17"/>
          <w:szCs w:val="17"/>
          <w:color w:val="auto"/>
        </w:rPr>
        <w:t>) and 5G wireless services, under either a prepaid or postpaid service plan. The VodafoneZiggo JV provides its mobile services under various licenses that have a weighted average useful life of approximately 18 years as of December 31, 2022. With its mobile services, the VodafoneZiggo JV is able to offer quad-play bundles and converged services to its residential and business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Information</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Ventures</w:t>
      </w:r>
    </w:p>
    <w:p>
      <w:pPr>
        <w:spacing w:after="0" w:line="230"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5"/>
          <w:szCs w:val="15"/>
          <w:color w:val="auto"/>
        </w:rPr>
        <w:t>Liberty Global’s investment arm, Liberty Global Ventures, has amassed a portfolio of investments in more than 75 companies across the world, investing in the fields of content, technology and infrastructure. With its long-term, founder-friendly mindset, Liberty Global Ventures makes meaningful investments in technologies that will change how people live and work tomorrow. Some of the companies in Liberty Global’s portfolio include All3Media Ltd. (</w:t>
      </w:r>
      <w:r>
        <w:rPr>
          <w:rFonts w:ascii="Arial" w:cs="Arial" w:eastAsia="Arial" w:hAnsi="Arial"/>
          <w:sz w:val="15"/>
          <w:szCs w:val="15"/>
          <w:b w:val="1"/>
          <w:bCs w:val="1"/>
          <w:color w:val="auto"/>
        </w:rPr>
        <w:t>All3Media</w:t>
      </w:r>
      <w:r>
        <w:rPr>
          <w:rFonts w:ascii="Arial" w:cs="Arial" w:eastAsia="Arial" w:hAnsi="Arial"/>
          <w:sz w:val="15"/>
          <w:szCs w:val="15"/>
          <w:color w:val="auto"/>
        </w:rPr>
        <w:t>), Plume, ITV, Lions Gate Entertainment Corp. (</w:t>
      </w:r>
      <w:r>
        <w:rPr>
          <w:rFonts w:ascii="Arial" w:cs="Arial" w:eastAsia="Arial" w:hAnsi="Arial"/>
          <w:sz w:val="15"/>
          <w:szCs w:val="15"/>
          <w:b w:val="1"/>
          <w:bCs w:val="1"/>
          <w:color w:val="auto"/>
        </w:rPr>
        <w:t>Lionsgate</w:t>
      </w:r>
      <w:r>
        <w:rPr>
          <w:rFonts w:ascii="Arial" w:cs="Arial" w:eastAsia="Arial" w:hAnsi="Arial"/>
          <w:sz w:val="15"/>
          <w:szCs w:val="15"/>
          <w:color w:val="auto"/>
        </w:rPr>
        <w:t>), Televisa Univision, AtlasEdge, Formula E, Aviatrix Systems, Inc., Pax8 Inc., Lacework Inc. and EdgeConneX Inc., among others. When advantageous, we seek to forge commercial relationships between our operating companies and the companies we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invest in, creating an even stronger partnership to help drive growth and efficiencies. The investments identified by company name above are intended to be merely illustrative, do not represent a complete list and are not necessarily the largest of our long-term investments. From time to time, we may make investments in other companies that we choose not to identify by company name for commercial, legal, strategic or other reasons.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broadband internet, video and fixed-line telephony services are primarily transmitted over an HFC network. This network is composed primarily of national and regional fiber networks, which are connected to the home over the last few hundred meters by coaxial cable. Alongside our HFC network, we are increasingly rolling out services based on FTTH and leveraging fixed wireless access (</w:t>
      </w:r>
      <w:r>
        <w:rPr>
          <w:rFonts w:ascii="Arial" w:cs="Arial" w:eastAsia="Arial" w:hAnsi="Arial"/>
          <w:sz w:val="18"/>
          <w:szCs w:val="18"/>
          <w:b w:val="1"/>
          <w:bCs w:val="1"/>
          <w:color w:val="auto"/>
        </w:rPr>
        <w:t>FWA</w:t>
      </w:r>
      <w:r>
        <w:rPr>
          <w:rFonts w:ascii="Arial" w:cs="Arial" w:eastAsia="Arial" w:hAnsi="Arial"/>
          <w:sz w:val="18"/>
          <w:szCs w:val="18"/>
          <w:color w:val="auto"/>
        </w:rPr>
        <w:t>) technologies to service customers not covered by our fixed networks in areas where it may not be cost effective to deploy fixed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 w:name="page16"/>
    <w:bookmarkEnd w:id="15"/>
    <w:p>
      <w:pPr>
        <w:jc w:val="both"/>
        <w:ind w:firstLine="318"/>
        <w:spacing w:after="0" w:line="254" w:lineRule="auto"/>
        <w:rPr>
          <w:sz w:val="20"/>
          <w:szCs w:val="20"/>
          <w:color w:val="auto"/>
        </w:rPr>
      </w:pPr>
      <w:r>
        <w:rPr>
          <w:rFonts w:ascii="Arial" w:cs="Arial" w:eastAsia="Arial" w:hAnsi="Arial"/>
          <w:sz w:val="18"/>
          <w:szCs w:val="18"/>
          <w:color w:val="auto"/>
        </w:rPr>
        <w:t>We closely monitor our network capacity and customer usage. Where necessary, we increase our capacity incrementally, for instance by splitting nodes in our cable network. We also continue to explore improvements to our services and new technologies that will enhance our customer’s connected entertainment experience. These actions include:</w:t>
      </w:r>
    </w:p>
    <w:p>
      <w:pPr>
        <w:spacing w:after="0" w:line="216"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recapturing bandwidth and optimizing our networks by:</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increasing the number of nodes in our markets;</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increasing the bandwidth of our hybrid fiber coaxial cable network to 1 GHz;</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converting analog channels to digital;</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moving channels to IP delivery;</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deploying additional DOCSIS 3.1 channels;</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replacing copper lines with modern optic fibers; and</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using digital compression technologies.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freeing spectrum for high-speed internet, VoD and other services by encouraging customers to move from analog to digital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the efficiency of our networks by moving head-end functions (encoding, transcoding and multiplexing) to cloud storage systems;</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our network to accommodate business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wireless technologies to extend our services outside of the home;</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remote access to our video services through laptops, smart phones and tablets;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the availability of the Horizon 4 minibox and Virgin TV Go, as well as Horizon 4, and related products and developing and introducing online media sharing and streaming or cloud-based video;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testing new technologies.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stated above, we are expanding our HFC and FTTH footprint. In addition, we are seeking mobile service opportunities where we have established cable networks and expanding our fixed-line networks where we have a strong mobile offering. This will allow us to offer converged fixed-line and mobile services to our customers.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settlement-free collaboration with other carriers without the cost of using a third-party network.</w:t>
      </w:r>
    </w:p>
    <w:p>
      <w:pPr>
        <w:spacing w:after="0" w:line="216" w:lineRule="exact"/>
        <w:rPr>
          <w:sz w:val="20"/>
          <w:szCs w:val="20"/>
          <w:color w:val="auto"/>
        </w:rPr>
      </w:pPr>
    </w:p>
    <w:p>
      <w:pPr>
        <w:jc w:val="both"/>
        <w:ind w:firstLine="178"/>
        <w:spacing w:after="0" w:line="304" w:lineRule="auto"/>
        <w:rPr>
          <w:sz w:val="20"/>
          <w:szCs w:val="20"/>
          <w:color w:val="auto"/>
        </w:rPr>
      </w:pPr>
      <w:r>
        <w:rPr>
          <w:rFonts w:ascii="Arial" w:cs="Arial" w:eastAsia="Arial" w:hAnsi="Arial"/>
          <w:sz w:val="15"/>
          <w:szCs w:val="15"/>
          <w:color w:val="auto"/>
        </w:rPr>
        <w:t>In support of our connectivity strategy, we are moving our customers into a gigabit society. All of our broadband networks are already capable of supporting the next generation of ultra-high-speed internet service at gigabit speeds. To provide these speeds to our subscribers, we plan to grow our base of DOCSIS 3.1 technology throughout our footprint. The use of DOCSIS 3.1 technology provides us significantly higher efficiencies on our networks and allow us to offer faster speeds, in-home WiFi and better services. The new gateways and the continued upgrades to our network in the coming years will allow us to maximize high-speed connectivity over our broadband networks and deliver gigabit services in a cost-effective manner. It will also allow us to meet the expectations of our customers for high-speed internet access both in cities and rural areas of our footprint. While DOCSIS 3.1 technology will provide up to 2.5 Gbps, in 2023, we plan to deploy XGS-PON technology across our FTTH footprint, enabling speeds of up to 10 Gbps. In addition, we have started prototyping technology that is anticipated to equally provide 10 Gbps capabilities across our HFC footprint.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Supply Sources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u w:val="single" w:color="auto"/>
          <w:color w:val="auto"/>
        </w:rPr>
        <w:t>Content</w:t>
      </w:r>
      <w:r>
        <w:rPr>
          <w:rFonts w:ascii="Arial" w:cs="Arial" w:eastAsia="Arial" w:hAnsi="Arial"/>
          <w:sz w:val="15"/>
          <w:szCs w:val="15"/>
          <w:color w:val="auto"/>
        </w:rPr>
        <w:t>. In our markets, entertainment platforms remain a key part of the telecommunication services bundle. Therefore, in addition to providing services that allow our customers to view programming when and where they want, we are investing in content that customers want. Our content strategy is based on:</w:t>
      </w:r>
    </w:p>
    <w:p>
      <w:pPr>
        <w:spacing w:after="0" w:line="137"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proposition (exceeding our customers’ entertainment desires and expectations);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(delivering the best content available);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procurement (investment in the best brands, movies, shows and sports);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partnering (strategic alignment, acquisitions and growth opportunities).</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license almost all of our programming and on-demand offerings from content providers and third-party rights holders, including broadcasters and cable programming networks. Under our channel distribution agreements, we generally pay a monthly fee on a per channel or per subscriber basis, with occasional minimum pay guarantees. For on-demand programming, we generally pay a revenue share for transactional VoD (occasionally with minimum guarantees) and either a flat fee or a monthly fee per subscriber for subscription VoD. For a majority of our agreements, we seek to include the rights to offer the licensed programming to our customers through multiple delivery platforms and through our apps for smart phones and tablets.</w:t>
      </w:r>
    </w:p>
    <w:p>
      <w:pPr>
        <w:spacing w:after="0" w:line="17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seeking licenses for content, we, including the VMO2 JV and the VodafoneZiggo JV, as applicable, partner with leading international and regional pay television providers, such as Disney, Sony, UKTV Paramount Global, AMC, NBCUniversal, RTL, BBC and Warner Bros. Discovery (including HBO). We also seek to carry in each of our markets key public and private broadcasters, and in some markets, we acquire local premium programming through select relationships with companies such as Sky plc (</w:t>
      </w:r>
      <w:r>
        <w:rPr>
          <w:rFonts w:ascii="Arial" w:cs="Arial" w:eastAsia="Arial" w:hAnsi="Arial"/>
          <w:sz w:val="15"/>
          <w:szCs w:val="15"/>
          <w:b w:val="1"/>
          <w:bCs w:val="1"/>
          <w:color w:val="auto"/>
        </w:rPr>
        <w:t>Sky</w:t>
      </w:r>
      <w:r>
        <w:rPr>
          <w:rFonts w:ascii="Arial" w:cs="Arial" w:eastAsia="Arial" w:hAnsi="Arial"/>
          <w:sz w:val="15"/>
          <w:szCs w:val="15"/>
          <w:color w:val="auto"/>
        </w:rPr>
        <w:t>), BT Group plc (</w:t>
      </w:r>
      <w:r>
        <w:rPr>
          <w:rFonts w:ascii="Arial" w:cs="Arial" w:eastAsia="Arial" w:hAnsi="Arial"/>
          <w:sz w:val="15"/>
          <w:szCs w:val="15"/>
          <w:b w:val="1"/>
          <w:bCs w:val="1"/>
          <w:color w:val="auto"/>
        </w:rPr>
        <w:t>BT</w:t>
      </w:r>
      <w:r>
        <w:rPr>
          <w:rFonts w:ascii="Arial" w:cs="Arial" w:eastAsia="Arial" w:hAnsi="Arial"/>
          <w:sz w:val="15"/>
          <w:szCs w:val="15"/>
          <w:color w:val="auto"/>
        </w:rPr>
        <w:t>), Warner Bros. Discovery and CANAL+ Polska S.A. For our VoD services, we license a variety of programming, including box sets of television series, movies, music, kids’ programming and documentaries.</w:t>
      </w:r>
    </w:p>
    <w:p>
      <w:pPr>
        <w:spacing w:after="0" w:line="17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recent years, OTT apps have become increasingly important in the content space and, as part of our content strategy, we have put in place deals with a number of global and regional app providers. We currently have arrangements with Disney (The Walt Disney Company Limited and The Walt Disney Company Benelux), Netflix International B.V. (</w:t>
      </w:r>
      <w:r>
        <w:rPr>
          <w:rFonts w:ascii="Arial" w:cs="Arial" w:eastAsia="Arial" w:hAnsi="Arial"/>
          <w:sz w:val="15"/>
          <w:szCs w:val="15"/>
          <w:b w:val="1"/>
          <w:bCs w:val="1"/>
          <w:color w:val="auto"/>
        </w:rPr>
        <w:t>Netflix</w:t>
      </w:r>
      <w:r>
        <w:rPr>
          <w:rFonts w:ascii="Arial" w:cs="Arial" w:eastAsia="Arial" w:hAnsi="Arial"/>
          <w:sz w:val="15"/>
          <w:szCs w:val="15"/>
          <w:color w:val="auto"/>
        </w:rPr>
        <w:t>) and with Amazon Europe Core S.A.R.L. (</w:t>
      </w:r>
      <w:r>
        <w:rPr>
          <w:rFonts w:ascii="Arial" w:cs="Arial" w:eastAsia="Arial" w:hAnsi="Arial"/>
          <w:sz w:val="15"/>
          <w:szCs w:val="15"/>
          <w:b w:val="1"/>
          <w:bCs w:val="1"/>
          <w:color w:val="auto"/>
        </w:rPr>
        <w:t>Amazon</w:t>
      </w:r>
      <w:r>
        <w:rPr>
          <w:rFonts w:ascii="Arial" w:cs="Arial" w:eastAsia="Arial" w:hAnsi="Arial"/>
          <w:sz w:val="15"/>
          <w:szCs w:val="15"/>
          <w:color w:val="auto"/>
        </w:rPr>
        <w:t>). Pursuant to these arrangements, Disney+, Netflix and Amazon Prime Video services, respectively, are available via certain of our set-top boxes to our video customers across many of our markets each as premium OTT services. The Disney</w:t>
      </w:r>
      <w:r>
        <w:rPr>
          <w:rFonts w:ascii="Arial" w:cs="Arial" w:eastAsia="Arial" w:hAnsi="Arial"/>
          <w:sz w:val="15"/>
          <w:szCs w:val="15"/>
          <w:i w:val="1"/>
          <w:iCs w:val="1"/>
          <w:color w:val="auto"/>
        </w:rPr>
        <w:t>+</w:t>
      </w:r>
      <w:r>
        <w:rPr>
          <w:rFonts w:ascii="Arial" w:cs="Arial" w:eastAsia="Arial" w:hAnsi="Arial"/>
          <w:sz w:val="15"/>
          <w:szCs w:val="15"/>
          <w:color w:val="auto"/>
        </w:rPr>
        <w:t xml:space="preserve"> app is available to customers in the U.K. through the VMO2 JV and in the Netherlands (launched December 2022) through the VodafoneZiggo JV. The Netflix app is available to customers in the U.K., through the VMO2 JV, the Netherlands through the VodafoneZiggo JV, Ireland, Switzerland and Belgium. The Amazon Prime Video app is currently available to our customers in the U.K. through the VMO2 JV, the Netherlands through the VodafoneZiggo JV, Ireland, Switzerland and Belgium. We also entered into an arrangement with Google Ireland Limited for the YouTube and YouTube Kids services apps which are available via certain of our set top boxes to customers in the U.K. through the VMO2 JV, the Netherlands through the VodafoneZiggo JV, Ireland, Switzerland and Belgium. In order to tailor our entertainment offerings to each market, we have added various locally relevant apps such as </w:t>
      </w:r>
      <w:r>
        <w:rPr>
          <w:rFonts w:ascii="Arial" w:cs="Arial" w:eastAsia="Arial" w:hAnsi="Arial"/>
          <w:sz w:val="15"/>
          <w:szCs w:val="15"/>
          <w:i w:val="1"/>
          <w:iCs w:val="1"/>
          <w:color w:val="auto"/>
        </w:rPr>
        <w:t>BBC iPlayer</w:t>
      </w:r>
      <w:r>
        <w:rPr>
          <w:rFonts w:ascii="Arial" w:cs="Arial" w:eastAsia="Arial" w:hAnsi="Arial"/>
          <w:sz w:val="15"/>
          <w:szCs w:val="15"/>
          <w:color w:val="auto"/>
        </w:rPr>
        <w:t xml:space="preserve"> in the U.K. through the VMO2 JV, </w:t>
      </w:r>
      <w:r>
        <w:rPr>
          <w:rFonts w:ascii="Arial" w:cs="Arial" w:eastAsia="Arial" w:hAnsi="Arial"/>
          <w:sz w:val="15"/>
          <w:szCs w:val="15"/>
          <w:i w:val="1"/>
          <w:iCs w:val="1"/>
          <w:color w:val="auto"/>
        </w:rPr>
        <w:t>NPO Start</w:t>
      </w:r>
      <w:r>
        <w:rPr>
          <w:rFonts w:ascii="Arial" w:cs="Arial" w:eastAsia="Arial" w:hAnsi="Arial"/>
          <w:sz w:val="15"/>
          <w:szCs w:val="15"/>
          <w:color w:val="auto"/>
        </w:rPr>
        <w:t xml:space="preserve"> and </w:t>
      </w:r>
      <w:r>
        <w:rPr>
          <w:rFonts w:ascii="Arial" w:cs="Arial" w:eastAsia="Arial" w:hAnsi="Arial"/>
          <w:sz w:val="15"/>
          <w:szCs w:val="15"/>
          <w:i w:val="1"/>
          <w:iCs w:val="1"/>
          <w:color w:val="auto"/>
        </w:rPr>
        <w:t>Videoland</w:t>
      </w:r>
      <w:r>
        <w:rPr>
          <w:rFonts w:ascii="Arial" w:cs="Arial" w:eastAsia="Arial" w:hAnsi="Arial"/>
          <w:sz w:val="15"/>
          <w:szCs w:val="15"/>
          <w:color w:val="auto"/>
        </w:rPr>
        <w:t xml:space="preserve"> in the Netherlands through the VodafoneZiggo JV, </w:t>
      </w:r>
      <w:r>
        <w:rPr>
          <w:rFonts w:ascii="Arial" w:cs="Arial" w:eastAsia="Arial" w:hAnsi="Arial"/>
          <w:sz w:val="15"/>
          <w:szCs w:val="15"/>
          <w:i w:val="1"/>
          <w:iCs w:val="1"/>
          <w:color w:val="auto"/>
        </w:rPr>
        <w:t>VRT Max</w:t>
      </w:r>
      <w:r>
        <w:rPr>
          <w:rFonts w:ascii="Arial" w:cs="Arial" w:eastAsia="Arial" w:hAnsi="Arial"/>
          <w:sz w:val="15"/>
          <w:szCs w:val="15"/>
          <w:color w:val="auto"/>
        </w:rPr>
        <w:t xml:space="preserve"> in Belgium and </w:t>
      </w:r>
      <w:r>
        <w:rPr>
          <w:rFonts w:ascii="Arial" w:cs="Arial" w:eastAsia="Arial" w:hAnsi="Arial"/>
          <w:sz w:val="15"/>
          <w:szCs w:val="15"/>
          <w:i w:val="1"/>
          <w:iCs w:val="1"/>
          <w:color w:val="auto"/>
        </w:rPr>
        <w:t>BluePlay</w:t>
      </w:r>
      <w:r>
        <w:rPr>
          <w:rFonts w:ascii="Arial" w:cs="Arial" w:eastAsia="Arial" w:hAnsi="Arial"/>
          <w:sz w:val="15"/>
          <w:szCs w:val="15"/>
          <w:color w:val="auto"/>
        </w:rPr>
        <w:t xml:space="preserve"> in Switzerland. In addition, we have concluded deals with the Viaplay group (previously NENT) for the Viaplay service in the Netherlands through the VodafoneZiggo JV, which launched in March 2022.</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Exclusive content is another element of our content strategy. To support this approach, we are investing in content assets. We have invested in various content companies, including ITV, All3Media, Lionsgate, Virgin Media TV, SBS Belgium, Woestijnvis and Caviar Group. We are also investing in sports, both as a broadcaster and as a rights owner. We have our own sports channels, under the </w:t>
      </w:r>
      <w:r>
        <w:rPr>
          <w:rFonts w:ascii="Arial" w:cs="Arial" w:eastAsia="Arial" w:hAnsi="Arial"/>
          <w:sz w:val="17"/>
          <w:szCs w:val="17"/>
          <w:i w:val="1"/>
          <w:iCs w:val="1"/>
          <w:color w:val="auto"/>
        </w:rPr>
        <w:t>Play Sports</w:t>
      </w:r>
      <w:r>
        <w:rPr>
          <w:rFonts w:ascii="Arial" w:cs="Arial" w:eastAsia="Arial" w:hAnsi="Arial"/>
          <w:sz w:val="17"/>
          <w:szCs w:val="17"/>
          <w:color w:val="auto"/>
        </w:rPr>
        <w:t xml:space="preserve"> brand in Belgium which is exclusively available to Telenet customers, and </w:t>
      </w:r>
      <w:r>
        <w:rPr>
          <w:rFonts w:ascii="Arial" w:cs="Arial" w:eastAsia="Arial" w:hAnsi="Arial"/>
          <w:sz w:val="17"/>
          <w:szCs w:val="17"/>
          <w:i w:val="1"/>
          <w:iCs w:val="1"/>
          <w:color w:val="auto"/>
        </w:rPr>
        <w:t>MySports</w:t>
      </w:r>
      <w:r>
        <w:rPr>
          <w:rFonts w:ascii="Arial" w:cs="Arial" w:eastAsia="Arial" w:hAnsi="Arial"/>
          <w:sz w:val="17"/>
          <w:szCs w:val="17"/>
          <w:color w:val="auto"/>
        </w:rPr>
        <w:t xml:space="preserve"> in Switzerland, which Sunrise licenses to other platforms in Switzerland. In Ireland, Virgin Media customers have access to </w:t>
      </w:r>
      <w:r>
        <w:rPr>
          <w:rFonts w:ascii="Arial" w:cs="Arial" w:eastAsia="Arial" w:hAnsi="Arial"/>
          <w:sz w:val="17"/>
          <w:szCs w:val="17"/>
          <w:i w:val="1"/>
          <w:iCs w:val="1"/>
          <w:color w:val="auto"/>
        </w:rPr>
        <w:t>VM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More </w:t>
      </w:r>
      <w:r>
        <w:rPr>
          <w:rFonts w:ascii="Arial" w:cs="Arial" w:eastAsia="Arial" w:hAnsi="Arial"/>
          <w:sz w:val="17"/>
          <w:szCs w:val="17"/>
          <w:color w:val="auto"/>
        </w:rPr>
        <w:t>which includes sports programming as well as first look products and premium content. In addition, the VodafoneZiggo JV owns</w:t>
      </w:r>
      <w:r>
        <w:rPr>
          <w:rFonts w:ascii="Arial" w:cs="Arial" w:eastAsia="Arial" w:hAnsi="Arial"/>
          <w:sz w:val="17"/>
          <w:szCs w:val="17"/>
          <w:i w:val="1"/>
          <w:iCs w:val="1"/>
          <w:color w:val="auto"/>
        </w:rPr>
        <w:t xml:space="preserve"> Ziggo Sport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commissions the production of certain shows such as </w:t>
      </w:r>
      <w:r>
        <w:rPr>
          <w:rFonts w:ascii="Arial" w:cs="Arial" w:eastAsia="Arial" w:hAnsi="Arial"/>
          <w:sz w:val="17"/>
          <w:szCs w:val="17"/>
          <w:i w:val="1"/>
          <w:iCs w:val="1"/>
          <w:color w:val="auto"/>
        </w:rPr>
        <w:t>Rondo</w:t>
      </w:r>
      <w:r>
        <w:rPr>
          <w:rFonts w:ascii="Arial" w:cs="Arial" w:eastAsia="Arial" w:hAnsi="Arial"/>
          <w:sz w:val="17"/>
          <w:szCs w:val="17"/>
          <w:color w:val="auto"/>
        </w:rPr>
        <w:t xml:space="preserve"> and </w:t>
      </w:r>
      <w:r>
        <w:rPr>
          <w:rFonts w:ascii="Arial" w:cs="Arial" w:eastAsia="Arial" w:hAnsi="Arial"/>
          <w:sz w:val="17"/>
          <w:szCs w:val="17"/>
          <w:i w:val="1"/>
          <w:iCs w:val="1"/>
          <w:color w:val="auto"/>
        </w:rPr>
        <w:t>Race Cafe</w:t>
      </w:r>
      <w:r>
        <w:rPr>
          <w:rFonts w:ascii="Arial" w:cs="Arial" w:eastAsia="Arial" w:hAnsi="Arial"/>
          <w:sz w:val="17"/>
          <w:szCs w:val="17"/>
          <w:color w:val="auto"/>
        </w:rPr>
        <w:t xml:space="preserve">. The basic </w:t>
      </w:r>
      <w:r>
        <w:rPr>
          <w:rFonts w:ascii="Arial" w:cs="Arial" w:eastAsia="Arial" w:hAnsi="Arial"/>
          <w:sz w:val="17"/>
          <w:szCs w:val="17"/>
          <w:i w:val="1"/>
          <w:iCs w:val="1"/>
          <w:color w:val="auto"/>
        </w:rPr>
        <w:t>Ziggo Sport</w:t>
      </w:r>
      <w:r>
        <w:rPr>
          <w:rFonts w:ascii="Arial" w:cs="Arial" w:eastAsia="Arial" w:hAnsi="Arial"/>
          <w:sz w:val="17"/>
          <w:szCs w:val="17"/>
          <w:color w:val="auto"/>
        </w:rPr>
        <w:t xml:space="preserve"> service is available exclusively to the VodafoneZiggo JV’s customers; however, the premium service is widely available through license arrangements.</w:t>
      </w:r>
    </w:p>
    <w:p>
      <w:pPr>
        <w:spacing w:after="0" w:line="21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addition, we have commissioned our own drama series content. Through All3Media, we co-produced a television series, known as </w:t>
      </w:r>
      <w:r>
        <w:rPr>
          <w:rFonts w:ascii="Arial" w:cs="Arial" w:eastAsia="Arial" w:hAnsi="Arial"/>
          <w:sz w:val="17"/>
          <w:szCs w:val="17"/>
          <w:i w:val="1"/>
          <w:iCs w:val="1"/>
          <w:color w:val="auto"/>
        </w:rPr>
        <w:t>The Feed</w:t>
      </w:r>
      <w:r>
        <w:rPr>
          <w:rFonts w:ascii="Arial" w:cs="Arial" w:eastAsia="Arial" w:hAnsi="Arial"/>
          <w:sz w:val="17"/>
          <w:szCs w:val="17"/>
          <w:color w:val="auto"/>
        </w:rPr>
        <w:t xml:space="preserve">, which was released in 2019 in several of our markets, and co-produced </w:t>
      </w:r>
      <w:r>
        <w:rPr>
          <w:rFonts w:ascii="Arial" w:cs="Arial" w:eastAsia="Arial" w:hAnsi="Arial"/>
          <w:sz w:val="17"/>
          <w:szCs w:val="17"/>
          <w:i w:val="1"/>
          <w:iCs w:val="1"/>
          <w:color w:val="auto"/>
        </w:rPr>
        <w:t>Blood</w:t>
      </w:r>
      <w:r>
        <w:rPr>
          <w:rFonts w:ascii="Arial" w:cs="Arial" w:eastAsia="Arial" w:hAnsi="Arial"/>
          <w:sz w:val="17"/>
          <w:szCs w:val="17"/>
          <w:color w:val="auto"/>
        </w:rPr>
        <w:t xml:space="preserve"> in Ireland, which aired in 2018 and 2020. With Lionsgate, we pre-purchased the spy thriller series </w:t>
      </w:r>
      <w:r>
        <w:rPr>
          <w:rFonts w:ascii="Arial" w:cs="Arial" w:eastAsia="Arial" w:hAnsi="Arial"/>
          <w:sz w:val="17"/>
          <w:szCs w:val="17"/>
          <w:i w:val="1"/>
          <w:iCs w:val="1"/>
          <w:color w:val="auto"/>
        </w:rPr>
        <w:t>The Rook</w:t>
      </w:r>
      <w:r>
        <w:rPr>
          <w:rFonts w:ascii="Arial" w:cs="Arial" w:eastAsia="Arial" w:hAnsi="Arial"/>
          <w:sz w:val="17"/>
          <w:szCs w:val="17"/>
          <w:color w:val="auto"/>
        </w:rPr>
        <w:t xml:space="preserve">, which premiered in 2019. In addition, we have produced the Swiss sitcom </w:t>
      </w:r>
      <w:r>
        <w:rPr>
          <w:rFonts w:ascii="Arial" w:cs="Arial" w:eastAsia="Arial" w:hAnsi="Arial"/>
          <w:sz w:val="17"/>
          <w:szCs w:val="17"/>
          <w:i w:val="1"/>
          <w:iCs w:val="1"/>
          <w:color w:val="auto"/>
        </w:rPr>
        <w:t>Fassler-Kunz</w:t>
      </w:r>
      <w:r>
        <w:rPr>
          <w:rFonts w:ascii="Arial" w:cs="Arial" w:eastAsia="Arial" w:hAnsi="Arial"/>
          <w:sz w:val="17"/>
          <w:szCs w:val="17"/>
          <w:color w:val="auto"/>
        </w:rPr>
        <w:t xml:space="preserve">, the Swiss series </w:t>
      </w:r>
      <w:r>
        <w:rPr>
          <w:rFonts w:ascii="Arial" w:cs="Arial" w:eastAsia="Arial" w:hAnsi="Arial"/>
          <w:sz w:val="17"/>
          <w:szCs w:val="17"/>
          <w:i w:val="1"/>
          <w:iCs w:val="1"/>
          <w:color w:val="auto"/>
        </w:rPr>
        <w:t>Im Heimatland</w:t>
      </w:r>
      <w:r>
        <w:rPr>
          <w:rFonts w:ascii="Arial" w:cs="Arial" w:eastAsia="Arial" w:hAnsi="Arial"/>
          <w:sz w:val="17"/>
          <w:szCs w:val="17"/>
          <w:color w:val="auto"/>
        </w:rPr>
        <w:t xml:space="preserve"> and the original Belgian series </w:t>
      </w:r>
      <w:r>
        <w:rPr>
          <w:rFonts w:ascii="Arial" w:cs="Arial" w:eastAsia="Arial" w:hAnsi="Arial"/>
          <w:sz w:val="17"/>
          <w:szCs w:val="17"/>
          <w:i w:val="1"/>
          <w:iCs w:val="1"/>
          <w:color w:val="auto"/>
        </w:rPr>
        <w:t>Chaussée d’Amour</w:t>
      </w:r>
      <w:r>
        <w:rPr>
          <w:rFonts w:ascii="Arial" w:cs="Arial" w:eastAsia="Arial" w:hAnsi="Arial"/>
          <w:sz w:val="17"/>
          <w:szCs w:val="17"/>
          <w:color w:val="auto"/>
        </w:rPr>
        <w:t xml:space="preserve"> and </w:t>
      </w:r>
      <w:r>
        <w:rPr>
          <w:rFonts w:ascii="Arial" w:cs="Arial" w:eastAsia="Arial" w:hAnsi="Arial"/>
          <w:sz w:val="17"/>
          <w:szCs w:val="17"/>
          <w:i w:val="1"/>
          <w:iCs w:val="1"/>
          <w:color w:val="auto"/>
        </w:rPr>
        <w:t>De Dag</w:t>
      </w:r>
      <w:r>
        <w:rPr>
          <w:rFonts w:ascii="Arial" w:cs="Arial" w:eastAsia="Arial" w:hAnsi="Arial"/>
          <w:sz w:val="17"/>
          <w:szCs w:val="17"/>
          <w:color w:val="auto"/>
        </w:rPr>
        <w:t xml:space="preserve"> with local production companies. These television series will primarily be available to our customers on an on-demand basis. We will also continue to commission, produce and/or co-produce content for our free-to-air (</w:t>
      </w:r>
      <w:r>
        <w:rPr>
          <w:rFonts w:ascii="Arial" w:cs="Arial" w:eastAsia="Arial" w:hAnsi="Arial"/>
          <w:sz w:val="17"/>
          <w:szCs w:val="17"/>
          <w:b w:val="1"/>
          <w:bCs w:val="1"/>
          <w:color w:val="auto"/>
        </w:rPr>
        <w:t>FTA</w:t>
      </w:r>
      <w:r>
        <w:rPr>
          <w:rFonts w:ascii="Arial" w:cs="Arial" w:eastAsia="Arial" w:hAnsi="Arial"/>
          <w:sz w:val="17"/>
          <w:szCs w:val="17"/>
          <w:color w:val="auto"/>
        </w:rPr>
        <w:t xml:space="preserve">) assets and VoD platforms in Ireland and Telenet will continue to commission, produce and/or co-produce content for its FTA assets via </w:t>
      </w:r>
      <w:r>
        <w:rPr>
          <w:rFonts w:ascii="Arial" w:cs="Arial" w:eastAsia="Arial" w:hAnsi="Arial"/>
          <w:sz w:val="17"/>
          <w:szCs w:val="17"/>
          <w:i w:val="1"/>
          <w:iCs w:val="1"/>
          <w:color w:val="auto"/>
        </w:rPr>
        <w:t>SBS Belgium</w:t>
      </w:r>
      <w:r>
        <w:rPr>
          <w:rFonts w:ascii="Arial" w:cs="Arial" w:eastAsia="Arial" w:hAnsi="Arial"/>
          <w:sz w:val="17"/>
          <w:szCs w:val="17"/>
          <w:color w:val="auto"/>
        </w:rPr>
        <w:t xml:space="preserve"> and VoD platforms in Belgium, mainly via </w:t>
      </w:r>
      <w:r>
        <w:rPr>
          <w:rFonts w:ascii="Arial" w:cs="Arial" w:eastAsia="Arial" w:hAnsi="Arial"/>
          <w:sz w:val="17"/>
          <w:szCs w:val="17"/>
          <w:i w:val="1"/>
          <w:iCs w:val="1"/>
          <w:color w:val="auto"/>
        </w:rPr>
        <w:t>Streamz</w:t>
      </w:r>
      <w:r>
        <w:rPr>
          <w:rFonts w:ascii="Arial" w:cs="Arial" w:eastAsia="Arial" w:hAnsi="Arial"/>
          <w:sz w:val="17"/>
          <w:szCs w:val="17"/>
          <w:color w:val="auto"/>
        </w:rPr>
        <w:t>, its joint venture for subscription VoD with DPG Media.</w:t>
      </w:r>
    </w:p>
    <w:p>
      <w:pPr>
        <w:spacing w:after="0" w:line="2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u w:val="single" w:color="auto"/>
          <w:color w:val="auto"/>
        </w:rPr>
        <w:t>Customer Premises Equipment</w:t>
      </w:r>
      <w:r>
        <w:rPr>
          <w:rFonts w:ascii="Arial" w:cs="Arial" w:eastAsia="Arial" w:hAnsi="Arial"/>
          <w:sz w:val="18"/>
          <w:szCs w:val="18"/>
          <w:color w:val="auto"/>
        </w:rPr>
        <w:t>. We purchase each type of CPE from a number of different suppliers. CPE includes set-top boxes, modems, WiFi routers and boosters, digital video recorders (</w:t>
      </w:r>
      <w:r>
        <w:rPr>
          <w:rFonts w:ascii="Arial" w:cs="Arial" w:eastAsia="Arial" w:hAnsi="Arial"/>
          <w:sz w:val="18"/>
          <w:szCs w:val="18"/>
          <w:b w:val="1"/>
          <w:bCs w:val="1"/>
          <w:color w:val="auto"/>
        </w:rPr>
        <w:t>DVRs</w:t>
      </w:r>
      <w:r>
        <w:rPr>
          <w:rFonts w:ascii="Arial" w:cs="Arial" w:eastAsia="Arial" w:hAnsi="Arial"/>
          <w:sz w:val="18"/>
          <w:szCs w:val="18"/>
          <w:color w:val="auto"/>
        </w:rPr>
        <w:t>), tuners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 w:name="page18"/>
    <w:bookmarkEnd w:id="17"/>
    <w:p>
      <w:pPr>
        <w:jc w:val="both"/>
        <w:ind w:firstLine="318"/>
        <w:spacing w:after="0" w:line="318" w:lineRule="auto"/>
        <w:rPr>
          <w:sz w:val="20"/>
          <w:szCs w:val="20"/>
          <w:color w:val="auto"/>
        </w:rPr>
      </w:pPr>
      <w:r>
        <w:rPr>
          <w:rFonts w:ascii="Arial" w:cs="Arial" w:eastAsia="Arial" w:hAnsi="Arial"/>
          <w:sz w:val="15"/>
          <w:szCs w:val="15"/>
          <w:u w:val="single" w:color="auto"/>
          <w:color w:val="auto"/>
        </w:rPr>
        <w:t>Software Licenses</w:t>
      </w:r>
      <w:r>
        <w:rPr>
          <w:rFonts w:ascii="Arial" w:cs="Arial" w:eastAsia="Arial" w:hAnsi="Arial"/>
          <w:sz w:val="15"/>
          <w:szCs w:val="15"/>
          <w:color w:val="auto"/>
        </w:rPr>
        <w:t>. We license software products, including email and security software, and content, such as news feeds, from several suppliers for our internet services. The agreements for these products typically require us to pay a fee for software licenses and/or a share of advertising revenue for content licenses. For our mobile network operations and our fixed-line telephony services, we license software products, such as voicemail, text messaging and caller ID, from a variety of suppliers. For these licenses we seek to enter into long-term contracts, which generally require us to pay based on usage of the services.</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mobile services in Ireland provided through an MVNO arrangement with Three (Hutchison), we are dependent on third-party wireless network providers. Our MVNO operation in Ireland has an agreement with Three (Hutchison) to carry the mobile communications traffic of our customers. We seek to enter into medium to long-term arrangements for these services. A termination of this arrangements could significantly impact our MVNO-operated mobile services in Ireland.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All of our businesses operate in highly competitive and rapidly evolving markets. The speed of technological advancements is likely to continue to increase, giving customers more options for telecommunications services and products. Our customers want access to high quality telecommunication products that provide a seamless connectivity experience. Accordingly, our ability to offer converged services (video, internet and telephony through our, fixed and mobile networks) is a key component of our strategy. In many of our markets, we compete with incumbent companies that provide converged mobile and fixed-line services, as well as companies that are established in one or more communication products. Many of these companies have extensive resources allowing them to offer competitively priced converged services. Consequently, our businesses face significant competition. Our ability to offer high-quality and attractive triple-play or quad-play bundles and fixed-mobile convergence bundles in these markets is one of our key strategies to attract and retain customers. We seek to distinguish ourselves through our multimedia gateway services, interactive video products (such as Replay TV and VoD), proprietary sports offerings, extensive content offers (for both in and out of the home) and our high-speed connectivity services backed by intelligent in-home WiFi solutions. In this section, we begin with an overview on the competitive nature of the broadband internet, video, mobile and telephony services in our markets, and then provide information on key competitors in our more material markets.</w:t>
      </w:r>
    </w:p>
    <w:p>
      <w:pPr>
        <w:spacing w:after="0" w:line="3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Internet</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businesses face competition in a rapidly evolving broadband marketplace from both incumbent and non-incumbent telecommunications companies, mobile operators and other internet service providers, many of which have substantial resources. The internet services offered by these competitors include both fixed-line broadband internet via cable, digital subscriber lines (</w:t>
      </w:r>
      <w:r>
        <w:rPr>
          <w:rFonts w:ascii="Arial" w:cs="Arial" w:eastAsia="Arial" w:hAnsi="Arial"/>
          <w:sz w:val="18"/>
          <w:szCs w:val="18"/>
          <w:b w:val="1"/>
          <w:bCs w:val="1"/>
          <w:color w:val="auto"/>
        </w:rPr>
        <w:t>DSL</w:t>
      </w:r>
      <w:r>
        <w:rPr>
          <w:rFonts w:ascii="Arial" w:cs="Arial" w:eastAsia="Arial" w:hAnsi="Arial"/>
          <w:sz w:val="18"/>
          <w:szCs w:val="18"/>
          <w:color w:val="auto"/>
        </w:rPr>
        <w:t>) or FTTx and wireless broadband. These competitors have a range of product offerings with varying speeds and pricing, as well as interactive services, data and content services offered to households and businesses. With the demand for mobile internet services increasing, competition from wireless services using various advanced technologies is an important competitive factor. In all of our markets, competitors offer high-speed mobile data via 4G or 5G networks. In this intense competitive environment, internet speed and pricing are the key criteria for customers.</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strategy is seamless speed leadership. Our focus is on increasing the maximum speed of our connections while providing a reliable customer experience and offering a variety of service tiers, prices, bundled products and a range of value-added services, including intelligent in-home connectivity solutions. We update our bundles and packages on an ongoing basis to meet the needs of our customers and to retain an attractive value-for-money ratio. Ultra-high download speeds of 1 Gbps are available throughout our operational footprints in each of the U.K., Belgium, the Netherlands, Switzerland and Ireland. We use our competitively priced ultra-high-speed internet services to encourage customers to switch to our services from other providers.</w:t>
      </w:r>
    </w:p>
    <w:p>
      <w:pPr>
        <w:spacing w:after="0" w:line="17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A notable competitive factor for us is overbuilding of our networks with FTTx technology by incumbent companies and other third parties. At the moment, we do not consider our networks to be critically overbuilt; however certain FTTx providers accelerated the rollout of their networks. We are confident that our hybrid fiber-coaxial networks can be upgraded to higher speeds, to match potential FTTx based products. Furthermore, whenever it makes operational and economic sense, we seek to capitalize on opportunities to grow our network capabilities through FTTx technology. This can be seen through the VMO2’s previously-communicated plans to upgrade its entire U.K. fixed network to full FTTx, as well as the nexfibre JV’s announced fiber project that will target building up to 7 million new FTTH homes in the coming years.</w:t>
      </w:r>
    </w:p>
    <w:p>
      <w:pPr>
        <w:spacing w:after="0" w:line="209" w:lineRule="exact"/>
        <w:rPr>
          <w:sz w:val="20"/>
          <w:szCs w:val="20"/>
          <w:color w:val="auto"/>
        </w:rPr>
      </w:pPr>
    </w:p>
    <w:p>
      <w:pPr>
        <w:jc w:val="both"/>
        <w:ind w:left="64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Telenet</w:t>
      </w:r>
      <w:r>
        <w:rPr>
          <w:rFonts w:ascii="Arial" w:cs="Arial" w:eastAsia="Arial" w:hAnsi="Arial"/>
          <w:sz w:val="18"/>
          <w:szCs w:val="18"/>
          <w:i w:val="1"/>
          <w:iCs w:val="1"/>
          <w:color w:val="auto"/>
        </w:rPr>
        <w:t>.</w:t>
      </w:r>
      <w:r>
        <w:rPr>
          <w:rFonts w:ascii="Arial" w:cs="Arial" w:eastAsia="Arial" w:hAnsi="Arial"/>
          <w:sz w:val="18"/>
          <w:szCs w:val="18"/>
          <w:color w:val="auto"/>
        </w:rPr>
        <w:t xml:space="preserve"> In the Flanders region of Belgium, Telenet is the leading provider of residential broadband internet services. Telenet’s primary competitor is Proximus NV/SA (</w:t>
      </w:r>
      <w:r>
        <w:rPr>
          <w:rFonts w:ascii="Arial" w:cs="Arial" w:eastAsia="Arial" w:hAnsi="Arial"/>
          <w:sz w:val="18"/>
          <w:szCs w:val="18"/>
          <w:b w:val="1"/>
          <w:bCs w:val="1"/>
          <w:color w:val="auto"/>
        </w:rPr>
        <w:t>Proximus</w:t>
      </w:r>
      <w:r>
        <w:rPr>
          <w:rFonts w:ascii="Arial" w:cs="Arial" w:eastAsia="Arial" w:hAnsi="Arial"/>
          <w:sz w:val="18"/>
          <w:szCs w:val="18"/>
          <w:color w:val="auto"/>
        </w:rPr>
        <w:t>). Proximus is a well-established competitor offering quad-play bundles. Proximus’ DSL and very high-speed DSL technology (</w:t>
      </w:r>
      <w:r>
        <w:rPr>
          <w:rFonts w:ascii="Arial" w:cs="Arial" w:eastAsia="Arial" w:hAnsi="Arial"/>
          <w:sz w:val="18"/>
          <w:szCs w:val="18"/>
          <w:b w:val="1"/>
          <w:bCs w:val="1"/>
          <w:color w:val="auto"/>
        </w:rPr>
        <w:t>VDSL</w:t>
      </w:r>
      <w:r>
        <w:rPr>
          <w:rFonts w:ascii="Arial" w:cs="Arial" w:eastAsia="Arial" w:hAnsi="Arial"/>
          <w:sz w:val="18"/>
          <w:szCs w:val="18"/>
          <w:color w:val="auto"/>
        </w:rPr>
        <w:t>) services provide download speeds up to 100 Mbps. Moreover, Proximus offers up to 1 Gbps speed via its fiber network that is available in selected cities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p>
      <w:pPr>
        <w:jc w:val="both"/>
        <w:ind w:left="640"/>
        <w:spacing w:after="0" w:line="308" w:lineRule="auto"/>
        <w:rPr>
          <w:sz w:val="20"/>
          <w:szCs w:val="20"/>
          <w:color w:val="auto"/>
        </w:rPr>
      </w:pPr>
      <w:r>
        <w:rPr>
          <w:rFonts w:ascii="Arial" w:cs="Arial" w:eastAsia="Arial" w:hAnsi="Arial"/>
          <w:sz w:val="15"/>
          <w:szCs w:val="15"/>
          <w:color w:val="auto"/>
        </w:rPr>
        <w:t>and is being actively deployed elsewhere in the country. Similar to its video services, Telenet faces competition in the provision of internet services from other providers who have wholesale access to Telenet’s cable network. Through such access, Orange Belgium N.V (</w:t>
      </w:r>
      <w:r>
        <w:rPr>
          <w:rFonts w:ascii="Arial" w:cs="Arial" w:eastAsia="Arial" w:hAnsi="Arial"/>
          <w:sz w:val="15"/>
          <w:szCs w:val="15"/>
          <w:b w:val="1"/>
          <w:bCs w:val="1"/>
          <w:color w:val="auto"/>
        </w:rPr>
        <w:t>Orange Belgium</w:t>
      </w:r>
      <w:r>
        <w:rPr>
          <w:rFonts w:ascii="Arial" w:cs="Arial" w:eastAsia="Arial" w:hAnsi="Arial"/>
          <w:sz w:val="15"/>
          <w:szCs w:val="15"/>
          <w:color w:val="auto"/>
        </w:rPr>
        <w:t>) currently offers its mobile subscribers a triple-play bundle including enhanced video, mobile and fixed broadband internet services. Furthermore, Orange Belgium is awaiting regulatory approval for its acquisition of VOO, a telecom operator that owns cable networks in the Wallonia region of Belgium. Telenet has signed an Memorandum of Understanding with Orange Belgium with respect to potentially gaining access to VOO’s cable network in Wallonia. Furthermore, Telenet and Fluvius entered into an agreement to create NetCo, regulatory approval for which is expected in mid-2023.</w:t>
      </w:r>
    </w:p>
    <w:p>
      <w:pPr>
        <w:spacing w:after="0" w:line="181" w:lineRule="exact"/>
        <w:rPr>
          <w:sz w:val="20"/>
          <w:szCs w:val="20"/>
          <w:color w:val="auto"/>
        </w:rPr>
      </w:pPr>
    </w:p>
    <w:p>
      <w:pPr>
        <w:jc w:val="both"/>
        <w:ind w:left="640" w:hanging="316"/>
        <w:spacing w:after="0" w:line="306"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Sunrise</w:t>
      </w:r>
      <w:r>
        <w:rPr>
          <w:rFonts w:ascii="Arial" w:cs="Arial" w:eastAsia="Arial" w:hAnsi="Arial"/>
          <w:sz w:val="15"/>
          <w:szCs w:val="15"/>
          <w:i w:val="1"/>
          <w:iCs w:val="1"/>
          <w:color w:val="auto"/>
        </w:rPr>
        <w:t>.</w:t>
      </w:r>
      <w:r>
        <w:rPr>
          <w:rFonts w:ascii="Arial" w:cs="Arial" w:eastAsia="Arial" w:hAnsi="Arial"/>
          <w:sz w:val="15"/>
          <w:szCs w:val="15"/>
          <w:color w:val="auto"/>
        </w:rPr>
        <w:t xml:space="preserve"> In Switzerland, Swisscom is the largest provider of broadband internet services, and is Sunrise’s primary competitor. Swisscom offers download speeds ranging from 100 Mbps to up to 10 Gbps, depending on the region. Swisscom continues to expand its FTTx network to Switzerland households in our footprint, as well as in our partner network footprints. Salt, a predominantly mobile player, also competes in this arena, with a focus on fixed-mobile convergence through a combination of FTTx and fixed wireless access technologies offering 10 Gbps internet speeds. In this competitive market, Sunrise offers a fixed-mobile convergence portfolio called “Sunrise Up”, enabling customers to benefit from the ultra-high-speed connectivity that is available across all of Sunrise’s customer premises and offers significant fixed and mobile cross-selling opportunities. For more information on the Sunrise Acquisition, see note 5 to our consolidated financial statements included in Part II of this Annual Report on Form 10-K.</w:t>
      </w:r>
    </w:p>
    <w:p>
      <w:pPr>
        <w:spacing w:after="0" w:line="181" w:lineRule="exact"/>
        <w:rPr>
          <w:rFonts w:ascii="Arial" w:cs="Arial" w:eastAsia="Arial" w:hAnsi="Arial"/>
          <w:sz w:val="15"/>
          <w:szCs w:val="15"/>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Significant Joint Ventures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640"/>
        <w:spacing w:after="0" w:line="248" w:lineRule="auto"/>
        <w:rPr>
          <w:rFonts w:ascii="Arial" w:cs="Arial" w:eastAsia="Arial" w:hAnsi="Arial"/>
          <w:sz w:val="18"/>
          <w:szCs w:val="18"/>
          <w:color w:val="auto"/>
        </w:rPr>
      </w:pPr>
      <w:r>
        <w:rPr>
          <w:rFonts w:ascii="Arial" w:cs="Arial" w:eastAsia="Arial" w:hAnsi="Arial"/>
          <w:sz w:val="18"/>
          <w:szCs w:val="18"/>
          <w:color w:val="auto"/>
        </w:rPr>
        <w:t>In the U.K., the VMO2 JV faces numerous competitors for broadband internet services, the largest of which is BT. BT is actively building out its FTTx network through its subsidiary, Openreach, to support its goal of covering 25 million homes by the end of 2026. In support of this mission, BT offers a range of ultrafast consumer packages with speeds of up to 900 Mbps. As noted above, the VMO2 JV has reached 1 Gbps connectivity in all of its 16.1 million premises. Moreover, the VMO2 JV announced its intention to upgrade its fixed network to full fiber-to-the-premise by the end of 2028 and extend its FTTH footprint to up to 23 million premises through its partnership with the nexfibre JV. This plan is expected to fuel connectivity innovation for consumers and businesses, create options to potentially pursue the broadband wholesale market in the U.K. and to protect from growing FTTx competition.</w:t>
      </w:r>
    </w:p>
    <w:p>
      <w:pPr>
        <w:spacing w:after="0" w:line="217" w:lineRule="exact"/>
        <w:rPr>
          <w:rFonts w:ascii="Arial" w:cs="Arial" w:eastAsia="Arial" w:hAnsi="Arial"/>
          <w:sz w:val="18"/>
          <w:szCs w:val="18"/>
          <w:color w:val="auto"/>
        </w:rPr>
      </w:pPr>
    </w:p>
    <w:p>
      <w:pPr>
        <w:jc w:val="both"/>
        <w:ind w:left="640"/>
        <w:spacing w:after="0" w:line="265" w:lineRule="auto"/>
        <w:rPr>
          <w:rFonts w:ascii="Arial" w:cs="Arial" w:eastAsia="Arial" w:hAnsi="Arial"/>
          <w:sz w:val="18"/>
          <w:szCs w:val="18"/>
          <w:color w:val="auto"/>
        </w:rPr>
      </w:pPr>
      <w:r>
        <w:rPr>
          <w:rFonts w:ascii="Arial" w:cs="Arial" w:eastAsia="Arial" w:hAnsi="Arial"/>
          <w:sz w:val="17"/>
          <w:szCs w:val="17"/>
          <w:color w:val="auto"/>
        </w:rPr>
        <w:t>The VodafoneZiggo JV’s primary competitor, Koninklijke KPN N.V. (</w:t>
      </w:r>
      <w:r>
        <w:rPr>
          <w:rFonts w:ascii="Arial" w:cs="Arial" w:eastAsia="Arial" w:hAnsi="Arial"/>
          <w:sz w:val="17"/>
          <w:szCs w:val="17"/>
          <w:b w:val="1"/>
          <w:bCs w:val="1"/>
          <w:color w:val="auto"/>
        </w:rPr>
        <w:t>KPN</w:t>
      </w:r>
      <w:r>
        <w:rPr>
          <w:rFonts w:ascii="Arial" w:cs="Arial" w:eastAsia="Arial" w:hAnsi="Arial"/>
          <w:sz w:val="17"/>
          <w:szCs w:val="17"/>
          <w:color w:val="auto"/>
        </w:rPr>
        <w:t>), offers internet protocol television (</w:t>
      </w:r>
      <w:r>
        <w:rPr>
          <w:rFonts w:ascii="Arial" w:cs="Arial" w:eastAsia="Arial" w:hAnsi="Arial"/>
          <w:sz w:val="17"/>
          <w:szCs w:val="17"/>
          <w:b w:val="1"/>
          <w:bCs w:val="1"/>
          <w:color w:val="auto"/>
        </w:rPr>
        <w:t>IPTV</w:t>
      </w:r>
      <w:r>
        <w:rPr>
          <w:rFonts w:ascii="Arial" w:cs="Arial" w:eastAsia="Arial" w:hAnsi="Arial"/>
          <w:sz w:val="17"/>
          <w:szCs w:val="17"/>
          <w:color w:val="auto"/>
        </w:rPr>
        <w:t>) over its FTTx network and through broadband internet connections using DSL or VDSL. Where KPN has enhanced its VDSL system, it offers broadband internet with download speeds of up to 200 Mbps, and on its FTTx networks, it offers download speeds of up to 1 Gbps. Portions of the VodafoneZiggo JV’s network have been overbuilt by KPN’s and other providers’ FTTx networks. In 2021, KPN and pension fund, APG, established a joint venture company called Glaspoort, that is targeting fiber rollouts in medium-dense, rural and industrials areas by connecting up to 1.2 million households and businesses by 2026. KPN will also continue to pursue its existing fiber roll-out plans in the coming years, with Glaspoort’s scope expected to accelerate KPN’s goal to reach approximately 80% FTTx coverage by 2026. We expect competitive pressure from the fiber overbuild to intensify in the coming periods. At the end of 2022, all of the VodafoneZiggo JV’s 7.4 million households had access to ultra-fast 1 Gbps connectivity to support our competitive edge and speed advantage.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Video Distribution</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video services compete primarily with traditional FTA broadcast television services, direct-to-home satellite service providers, OTT and broadcaster VoD providers, as well as other fixed-line and mobile telecommunications carriers and broadband providers offering a similar range of video services. Many of these competitors have a national footprint and offer features, pricing and video services individually and in bundles comparable to what we offer.</w:t>
      </w:r>
    </w:p>
    <w:p>
      <w:pPr>
        <w:spacing w:after="0" w:line="16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OTT video content providers utilizing our or our competitors’ high-speed internet connections are also a significant competitive factor, as are other video service providers that overlap our service areas. The OTT video providers (such as HBO Now, Amazon Prime Video, Netflix, Disney+ and AppleTV+) offer VoD service for television series, movies and programming from broadcasters. Generally, the content libraries of such services are offered for a monthly fee. Typically, these services are available on multiple devices in and out of the home. Moreover, broadcasters offer direct to customer content, including VoD, live and catch-up television via their own platforms (such as BBC iPlayer, Discovery and RTL). To retain our competitive position, we provide our subscribers with TV everywhere products and premium OTT video services through our online mobile apps, VoD and Replay TV services or through our arrangements with Netflix, Amazon, YouTube and others. Our businesses also compete to varying degrees with other sources of information and entertainment, such as online entertainment, newspapers, magazines, books, live entertainment/concerts and sporting events.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9" w:name="page20"/>
    <w:bookmarkEnd w:id="19"/>
    <w:p>
      <w:pPr>
        <w:jc w:val="both"/>
        <w:ind w:firstLine="318"/>
        <w:spacing w:after="0" w:line="249" w:lineRule="auto"/>
        <w:rPr>
          <w:sz w:val="20"/>
          <w:szCs w:val="20"/>
          <w:color w:val="auto"/>
        </w:rPr>
      </w:pPr>
      <w:r>
        <w:rPr>
          <w:rFonts w:ascii="Arial" w:cs="Arial" w:eastAsia="Arial" w:hAnsi="Arial"/>
          <w:sz w:val="18"/>
          <w:szCs w:val="18"/>
          <w:color w:val="auto"/>
        </w:rPr>
        <w:t>Our ability to attract and retain customers depends on our continued ability to acquire appealing content, provide easy to use services on acceptable terms and to deliver content on multiple devices inside and outside the home. Some competitors have obtained long-term exclusive contracts for certain programming, which limits the opportunities for other providers to offer such programs. Our operations have limited access to certain of such programming through select contracts with these companies, including Sky and BT in the U.K. Moreover, telecommunication providers increasingly offer access to OTT platforms through their systems. If exclusive content offerings increase through other providers, programming options could be a deciding factor for subscribers on selecting a video service.</w:t>
      </w:r>
    </w:p>
    <w:p>
      <w:pPr>
        <w:spacing w:after="0" w:line="22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compete on value by offering advanced digital services with a premier user interface, such as cloud recording and DVR functionality, HD/4K, VoD, voice control, OTT aggregation, Replay TV and multiscreen services via a superior user interface. We also compete by offering attractive content packages, as well as bundled services, at reasonable prices. In each of the countries where we operate, we tailor our packages to include attractive channel offerings and offer recurring discounts for bundled services and loyalty contracts, as well as integrated billing for OTT services. In addition, from time to time, we modify our digital channel offerings to improve the quality of our programming. Where mobile voice and data are available, we focus on our converged service offerings at attractive prices. In our other operations, we use the triple-play bundle as a means of driving video, as well as other products where convenience and price can be leveraged across the portfolio of services. We also continue to enhance our Horizon 4 platform to meet our customers’ desire to view programming anytime and anywhere, such as new applications and expanding its availability in our markets.</w:t>
      </w:r>
    </w:p>
    <w:p>
      <w:pPr>
        <w:spacing w:after="0" w:line="184" w:lineRule="exact"/>
        <w:rPr>
          <w:sz w:val="20"/>
          <w:szCs w:val="20"/>
          <w:color w:val="auto"/>
        </w:rPr>
      </w:pPr>
    </w:p>
    <w:p>
      <w:pPr>
        <w:jc w:val="both"/>
        <w:ind w:left="640" w:hanging="316"/>
        <w:spacing w:after="0" w:line="306"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Telenet</w:t>
      </w:r>
      <w:r>
        <w:rPr>
          <w:rFonts w:ascii="Arial" w:cs="Arial" w:eastAsia="Arial" w:hAnsi="Arial"/>
          <w:sz w:val="15"/>
          <w:szCs w:val="15"/>
          <w:i w:val="1"/>
          <w:iCs w:val="1"/>
          <w:color w:val="auto"/>
        </w:rPr>
        <w:t>.</w:t>
      </w:r>
      <w:r>
        <w:rPr>
          <w:rFonts w:ascii="Arial" w:cs="Arial" w:eastAsia="Arial" w:hAnsi="Arial"/>
          <w:sz w:val="15"/>
          <w:szCs w:val="15"/>
          <w:color w:val="auto"/>
        </w:rPr>
        <w:t xml:space="preserve"> Telenet’s principal competitor is Proximus, the incumbent telecommunications operator, which has interactive digital television, replay television, VoD, OTT and HD service as part of its video offer, as well as mobile-only video propositions tailored to the needs of younger market segments. Proximus offers customers a wide range of both individual and bundled services at competitive prices. Also, as a result of regulatory obligations, Telenet and other Belgian cable operators must give alternative providers access to their cable networks. Orange Belgium gained such access in 2016 and currently offers its mobile subscribers a triple play bundle, including mobile, enhanced video and broadband internet services. Telenet may face increased competition from other providers of video services who take advantage of the wholesale access and may be able to offer triple- and quad-play services. For more information on wholesale access, see </w:t>
      </w:r>
      <w:r>
        <w:rPr>
          <w:rFonts w:ascii="Arial" w:cs="Arial" w:eastAsia="Arial" w:hAnsi="Arial"/>
          <w:sz w:val="15"/>
          <w:szCs w:val="15"/>
          <w:i w:val="1"/>
          <w:iCs w:val="1"/>
          <w:color w:val="auto"/>
        </w:rPr>
        <w:t>Regulatory Matters—Belgium.</w:t>
      </w:r>
    </w:p>
    <w:p>
      <w:pPr>
        <w:spacing w:after="0" w:line="101" w:lineRule="exact"/>
        <w:rPr>
          <w:rFonts w:ascii="Arial" w:cs="Arial" w:eastAsia="Arial" w:hAnsi="Arial"/>
          <w:sz w:val="15"/>
          <w:szCs w:val="15"/>
          <w:color w:val="auto"/>
        </w:rPr>
      </w:pPr>
    </w:p>
    <w:p>
      <w:pPr>
        <w:jc w:val="both"/>
        <w:ind w:left="640"/>
        <w:spacing w:after="0" w:line="312" w:lineRule="auto"/>
        <w:rPr>
          <w:rFonts w:ascii="Arial" w:cs="Arial" w:eastAsia="Arial" w:hAnsi="Arial"/>
          <w:sz w:val="15"/>
          <w:szCs w:val="15"/>
          <w:color w:val="auto"/>
        </w:rPr>
      </w:pPr>
      <w:r>
        <w:rPr>
          <w:rFonts w:ascii="Arial" w:cs="Arial" w:eastAsia="Arial" w:hAnsi="Arial"/>
          <w:sz w:val="15"/>
          <w:szCs w:val="15"/>
          <w:color w:val="auto"/>
        </w:rPr>
        <w:t xml:space="preserve">In order to compete effectively against alternative providers, Telenet leverages its extensive cable network, the broad acceptance of its basic cable television services, its Telenet TV offering and its additional features, such as HD and DVR functionality, VoD offerings, its </w:t>
      </w:r>
      <w:r>
        <w:rPr>
          <w:rFonts w:ascii="Arial" w:cs="Arial" w:eastAsia="Arial" w:hAnsi="Arial"/>
          <w:sz w:val="15"/>
          <w:szCs w:val="15"/>
          <w:i w:val="1"/>
          <w:iCs w:val="1"/>
          <w:color w:val="auto"/>
        </w:rPr>
        <w:t>Play Sports</w:t>
      </w:r>
      <w:r>
        <w:rPr>
          <w:rFonts w:ascii="Arial" w:cs="Arial" w:eastAsia="Arial" w:hAnsi="Arial"/>
          <w:sz w:val="15"/>
          <w:szCs w:val="15"/>
          <w:color w:val="auto"/>
        </w:rPr>
        <w:t xml:space="preserve"> channel and original programming delivered via the Horizon 4 multimedia box. It is also using mobile services to drive its other products through its converged offerings. In addition, Telenet and DPG Media now offer a streaming platform called Streamz, which combines some of the best locally produced series and must-see international content from HBO, extensive kids’ content, films and documentaries. Streamz is available for a monthly fee.</w:t>
      </w:r>
    </w:p>
    <w:p>
      <w:pPr>
        <w:spacing w:after="0" w:line="175" w:lineRule="exact"/>
        <w:rPr>
          <w:rFonts w:ascii="Arial" w:cs="Arial" w:eastAsia="Arial" w:hAnsi="Arial"/>
          <w:sz w:val="15"/>
          <w:szCs w:val="15"/>
          <w:color w:val="auto"/>
        </w:rPr>
      </w:pPr>
    </w:p>
    <w:p>
      <w:pPr>
        <w:jc w:val="both"/>
        <w:ind w:left="640" w:hanging="316"/>
        <w:spacing w:after="0" w:line="301"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Sunrise</w:t>
      </w:r>
      <w:r>
        <w:rPr>
          <w:rFonts w:ascii="Arial" w:cs="Arial" w:eastAsia="Arial" w:hAnsi="Arial"/>
          <w:sz w:val="15"/>
          <w:szCs w:val="15"/>
          <w:i w:val="1"/>
          <w:iCs w:val="1"/>
          <w:color w:val="auto"/>
        </w:rPr>
        <w:t>.</w:t>
      </w:r>
      <w:r>
        <w:rPr>
          <w:rFonts w:ascii="Arial" w:cs="Arial" w:eastAsia="Arial" w:hAnsi="Arial"/>
          <w:sz w:val="15"/>
          <w:szCs w:val="15"/>
          <w:color w:val="auto"/>
        </w:rPr>
        <w:t xml:space="preserve"> Our main competitor in Switzerland is Swisscom, the incumbent telecommunications operator, which provides IPTV services over DSL, VDSL and FTTx networks. Swisscom offers VoD services, DVR and replay functionality, HD channels and has exclusive rights to distribute certain sports programming. Swisscom launched an advanced set-top box in the market with voice control, Smart Home integration and content aggregation beyond video, such as music streaming and gaming services. Although its presence is limited, Salt focuses on value propositions by including TV within their bundles and providing access to OTT via Apple TV. In this saturated market, price competition and high promotional intensity are significant factors. To compete effectively in Switzerland, Sunrise promotes its TV offering and a related family of products together with Replay TV and VoD, giving subscribers the ability to personalize their programming and viewing preferences while delivering an excellent user interface with voice control. Sunrise has its own sports channel, </w:t>
      </w:r>
      <w:r>
        <w:rPr>
          <w:rFonts w:ascii="Arial" w:cs="Arial" w:eastAsia="Arial" w:hAnsi="Arial"/>
          <w:sz w:val="15"/>
          <w:szCs w:val="15"/>
          <w:i w:val="1"/>
          <w:iCs w:val="1"/>
          <w:color w:val="auto"/>
        </w:rPr>
        <w:t>My Sports</w:t>
      </w:r>
      <w:r>
        <w:rPr>
          <w:rFonts w:ascii="Arial" w:cs="Arial" w:eastAsia="Arial" w:hAnsi="Arial"/>
          <w:sz w:val="15"/>
          <w:szCs w:val="15"/>
          <w:color w:val="auto"/>
        </w:rPr>
        <w:t xml:space="preserve"> and aggregates third-party apps (e.g. Netflix, Amazon Prime Video, Sky Show, YouTube and others). Sunrise has expanded its video product offering to Yallo, its ancillary brand, an important step in moving Yallo to full telecommunications functionality. Yallo customers can access over 270 channels (many in Full HD and Dolby Digital), replay services and streaming apps such as Netflix, Disney+ and Amazon Prime which come pre-installed on the TV box. For more information on the Sunrise Acquisition, see note 5 to our consolidated financial statements included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Significant Joint Ventures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640"/>
        <w:spacing w:after="0" w:line="300" w:lineRule="auto"/>
        <w:rPr>
          <w:rFonts w:ascii="Arial" w:cs="Arial" w:eastAsia="Arial" w:hAnsi="Arial"/>
          <w:sz w:val="18"/>
          <w:szCs w:val="18"/>
          <w:color w:val="auto"/>
        </w:rPr>
      </w:pPr>
      <w:r>
        <w:rPr>
          <w:rFonts w:ascii="Arial" w:cs="Arial" w:eastAsia="Arial" w:hAnsi="Arial"/>
          <w:sz w:val="15"/>
          <w:szCs w:val="15"/>
          <w:color w:val="auto"/>
        </w:rPr>
        <w:t>The VMO2 JV’s principal competitors for digital television services are Sky and FTA television providers. Other significant competitors are BT and TalkTalk Telecom Group plc (</w:t>
      </w:r>
      <w:r>
        <w:rPr>
          <w:rFonts w:ascii="Arial" w:cs="Arial" w:eastAsia="Arial" w:hAnsi="Arial"/>
          <w:sz w:val="15"/>
          <w:szCs w:val="15"/>
          <w:b w:val="1"/>
          <w:bCs w:val="1"/>
          <w:color w:val="auto"/>
        </w:rPr>
        <w:t>TalkTalk</w:t>
      </w:r>
      <w:r>
        <w:rPr>
          <w:rFonts w:ascii="Arial" w:cs="Arial" w:eastAsia="Arial" w:hAnsi="Arial"/>
          <w:sz w:val="15"/>
          <w:szCs w:val="15"/>
          <w:color w:val="auto"/>
        </w:rPr>
        <w:t xml:space="preserve">), each of which offer triple-play services, IPTV video services and multimedia home gateways. Sky owns the U.K. rights to various entertainment, sports and movie programming. Sky is both a principal competitor and an important supplier of content to the VMO2 JV. Various Sky channels, including </w:t>
      </w:r>
      <w:r>
        <w:rPr>
          <w:rFonts w:ascii="Arial" w:cs="Arial" w:eastAsia="Arial" w:hAnsi="Arial"/>
          <w:sz w:val="15"/>
          <w:szCs w:val="15"/>
          <w:i w:val="1"/>
          <w:iCs w:val="1"/>
          <w:color w:val="auto"/>
        </w:rPr>
        <w:t>Sky Sports</w:t>
      </w:r>
      <w:r>
        <w:rPr>
          <w:rFonts w:ascii="Arial" w:cs="Arial" w:eastAsia="Arial" w:hAnsi="Arial"/>
          <w:sz w:val="15"/>
          <w:szCs w:val="15"/>
          <w:color w:val="auto"/>
        </w:rPr>
        <w:t>, are available over Sky’s satellite system and our cable networks, as well as via Sky’s apps and online players and other television platforms, and some of the channels are available on BT and TalkTalk platforms. The VMO2 JV distributes several basic and premium video channels supplied by Sky. BT is also both a principal competitor and an important supplier of content to the VMO2 JV. BT owns premium BT Sport channels, providing a range of sports content, including football (soccer) from the English Premier League and its exclusive rights to the UEFA Champions League and the UEFA Europa League. The BT Sport channels are available on the VMO2 JV’s cable network as well as its competitors’ networks. The VMO2 JV is expanding its broadband network and actively promoting its 4K and HDR ready boxes running on its Horizon 4 platform (marketed as “Virgin TV360”) as well as it online streaming service, Virgin TV Go. Customers also have access to a new entertainment service, Stream, which is an all-in-one streaming TV box, combining TV channels and aggregating third-party subscription services such as Sky Sports, Netflix, and Disney+. Stream provides personalized viewing recommendations and allows customers to customize their subscription mix, billed through a single Virgin Media account.</w:t>
      </w:r>
    </w:p>
    <w:p>
      <w:pPr>
        <w:spacing w:after="0" w:line="390" w:lineRule="exact"/>
        <w:rPr>
          <w:rFonts w:ascii="Arial" w:cs="Arial" w:eastAsia="Arial" w:hAnsi="Arial"/>
          <w:sz w:val="18"/>
          <w:szCs w:val="18"/>
          <w:color w:val="auto"/>
        </w:rPr>
      </w:pPr>
    </w:p>
    <w:p>
      <w:pPr>
        <w:jc w:val="both"/>
        <w:ind w:left="640"/>
        <w:spacing w:after="0" w:line="237" w:lineRule="auto"/>
        <w:rPr>
          <w:rFonts w:ascii="Arial" w:cs="Arial" w:eastAsia="Arial" w:hAnsi="Arial"/>
          <w:sz w:val="18"/>
          <w:szCs w:val="18"/>
          <w:color w:val="auto"/>
        </w:rPr>
      </w:pPr>
      <w:r>
        <w:rPr>
          <w:rFonts w:ascii="Arial" w:cs="Arial" w:eastAsia="Arial" w:hAnsi="Arial"/>
          <w:sz w:val="18"/>
          <w:szCs w:val="18"/>
          <w:color w:val="auto"/>
        </w:rPr>
        <w:t>The VodafoneZiggo JV primarily competes with KPN with respect to video distribution, which provides IPTV services over DSL, VDSL and FTTx networks. KPN offers many of the same interactive video service features as the VodafoneZiggo JV does including VoD services, DVR, replay functionality and HD channels. KPN also offers its customers bundling packages that include its video products, creating a highly competitive market for the VodafoneZiggo JV’s products and services.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Mobile and Telephony Services</w:t>
      </w:r>
    </w:p>
    <w:p>
      <w:pPr>
        <w:spacing w:after="0" w:line="237" w:lineRule="exact"/>
        <w:rPr>
          <w:sz w:val="20"/>
          <w:szCs w:val="20"/>
          <w:color w:val="auto"/>
        </w:rPr>
      </w:pPr>
    </w:p>
    <w:p>
      <w:pPr>
        <w:jc w:val="both"/>
        <w:ind w:firstLine="244"/>
        <w:spacing w:after="0" w:line="307" w:lineRule="auto"/>
        <w:rPr>
          <w:sz w:val="20"/>
          <w:szCs w:val="20"/>
          <w:color w:val="auto"/>
        </w:rPr>
      </w:pPr>
      <w:r>
        <w:rPr>
          <w:rFonts w:ascii="Arial" w:cs="Arial" w:eastAsia="Arial" w:hAnsi="Arial"/>
          <w:sz w:val="15"/>
          <w:szCs w:val="15"/>
          <w:color w:val="auto"/>
        </w:rPr>
        <w:t>In Belgium, as a mobile network operator (</w:t>
      </w:r>
      <w:r>
        <w:rPr>
          <w:rFonts w:ascii="Arial" w:cs="Arial" w:eastAsia="Arial" w:hAnsi="Arial"/>
          <w:sz w:val="15"/>
          <w:szCs w:val="15"/>
          <w:b w:val="1"/>
          <w:bCs w:val="1"/>
          <w:color w:val="auto"/>
        </w:rPr>
        <w:t>MNO</w:t>
      </w:r>
      <w:r>
        <w:rPr>
          <w:rFonts w:ascii="Arial" w:cs="Arial" w:eastAsia="Arial" w:hAnsi="Arial"/>
          <w:sz w:val="15"/>
          <w:szCs w:val="15"/>
          <w:color w:val="auto"/>
        </w:rPr>
        <w:t>), we are one of the larger mobile providers based on number of SIM cards. The same is true for the VodafoneZiggo JV in the Netherlands. We also substantially expanded our mobile business with the acquisition of Sunrise in Switzerland and through the joint venture with Telefónica’s U.K. brand, O2, in the U.K. In the markets where we are an MNO, we continue to deploy additional bandwidth and look to acquire additional spectrum to deliver our wide range of services to our customers and expand our 4G and 5G services. Competition remains significant across each of our markets. We offer various calling plans, such as unlimited calling, national or international calling and use converged bundles and benefits to cross-sell mobile to our existing fixed customers. Our ability to offer fixed-mobile convergence services is a key driver of growth. Furthermore, in order to address lower segments of the market, we operate with ancillary mobile brands, such as Base (Belgium), Yallow (Switzerland) and Hollandsnieuwe (Netherlands).</w:t>
      </w:r>
    </w:p>
    <w:p>
      <w:pPr>
        <w:spacing w:after="0" w:line="182" w:lineRule="exact"/>
        <w:rPr>
          <w:sz w:val="20"/>
          <w:szCs w:val="20"/>
          <w:color w:val="auto"/>
        </w:rPr>
      </w:pPr>
    </w:p>
    <w:p>
      <w:pPr>
        <w:jc w:val="both"/>
        <w:ind w:firstLine="173"/>
        <w:spacing w:after="0" w:line="251" w:lineRule="auto"/>
        <w:rPr>
          <w:sz w:val="20"/>
          <w:szCs w:val="20"/>
          <w:color w:val="auto"/>
        </w:rPr>
      </w:pPr>
      <w:r>
        <w:rPr>
          <w:rFonts w:ascii="Arial" w:cs="Arial" w:eastAsia="Arial" w:hAnsi="Arial"/>
          <w:sz w:val="18"/>
          <w:szCs w:val="18"/>
          <w:color w:val="auto"/>
        </w:rPr>
        <w:t>The market for fixed-line telephony services is saturated in all of our markets. Changes in market share are driven by the combination of price and quality of services provided and the inclusion of telephony services in bundled offerings. Our fixed-line telephony services compete against the incumbent telecommunications operators. In all of our markets, we also compete with other VoIP operators offering service across broadband lines. In addition, our businesses face competition from other FTTx-based providers or other indirect access providers.</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each of our markets, we face competition with a dominant fixed-line telephony provider, most of which also have competitive mobile offers based on 4G or 5G services. In our largest markets, the key dominant telephony providers are Proximus (Belgium) and Swisscom (Switzerland). These telephony competitors are also the largest mobile operators in these markets based on number of SIM cards. These competitors include their mobile products in bundles with fixed-line services. Moreover, there is a fundamental shift in customer preference towards mobile and OTT. As a result, we expect our fixed telephony user base to continue its decline in favor of mobile connectivity and OTT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8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2022, our consolidated subsidiaries had an aggregate of approximately 10,100 full-time equivalent employees, including approximately 3,660 in Belgium, 2,980 in Switzerland, 1,260 in the U.K., 940 in the Republic of Ireland, 870 in the Netherlands, 280 in Slovakia and 110 in the United States. With respect to our significant nonconsolidated joint ventures, the VMO2 JV employs approximately 16,350 people and the VodafoneZiggo JV employs approximately 6,170 people. None of the above figures include contractors or temporary employees.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ind w:firstLine="318"/>
        <w:spacing w:after="0" w:line="254" w:lineRule="auto"/>
        <w:rPr>
          <w:sz w:val="20"/>
          <w:szCs w:val="20"/>
          <w:color w:val="auto"/>
        </w:rPr>
      </w:pPr>
      <w:r>
        <w:rPr>
          <w:rFonts w:ascii="Arial" w:cs="Arial" w:eastAsia="Arial" w:hAnsi="Arial"/>
          <w:sz w:val="18"/>
          <w:szCs w:val="18"/>
          <w:color w:val="auto"/>
        </w:rPr>
        <w:t>A majority of our European employees are represented by workers councils. We strive to maintain a positive relationship with all of our employees, as well as the workers councils representing them where applicable. There have been no significant interruptions of our operations in recent years due to labor disputes.</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challenging our employees to achieve their full potential, become purposeful leaders and to </w:t>
      </w:r>
      <w:r>
        <w:rPr>
          <w:rFonts w:ascii="Arial" w:cs="Arial" w:eastAsia="Arial" w:hAnsi="Arial"/>
          <w:sz w:val="17"/>
          <w:szCs w:val="17"/>
          <w:i w:val="1"/>
          <w:iCs w:val="1"/>
          <w:color w:val="auto"/>
        </w:rPr>
        <w:t>Grow With Us</w:t>
      </w:r>
      <w:r>
        <w:rPr>
          <w:rFonts w:ascii="Arial" w:cs="Arial" w:eastAsia="Arial" w:hAnsi="Arial"/>
          <w:sz w:val="17"/>
          <w:szCs w:val="17"/>
          <w:color w:val="auto"/>
        </w:rPr>
        <w:t xml:space="preserve">, we commit significant resources and make ongoing investments toward the development of our employees’ leadership skills. Our skills development offerings cover key talent communities - from graduates and apprentices, to people managers, emerging leaders and senior leaders. Such programs include our Finance, Technology, CyberSecurity and People graduate schemes that thrust new graduates into our fast-paced and dynamic business model, giving them immediate real-world experience along with structured support from the company, so that each graduate exits their program prepared to be a leader of tomorrow. Liberty Global also aims to prepare its future senior leadership through its </w:t>
      </w:r>
      <w:r>
        <w:rPr>
          <w:rFonts w:ascii="Arial" w:cs="Arial" w:eastAsia="Arial" w:hAnsi="Arial"/>
          <w:sz w:val="17"/>
          <w:szCs w:val="17"/>
          <w:i w:val="1"/>
          <w:iCs w:val="1"/>
          <w:color w:val="auto"/>
        </w:rPr>
        <w:t>Fast Forward</w:t>
      </w:r>
      <w:r>
        <w:rPr>
          <w:rFonts w:ascii="Arial" w:cs="Arial" w:eastAsia="Arial" w:hAnsi="Arial"/>
          <w:sz w:val="17"/>
          <w:szCs w:val="17"/>
          <w:color w:val="auto"/>
        </w:rPr>
        <w:t xml:space="preserve"> program, a year-long program in which high performing individuals are trained and challenged to become Liberty Global’s leaders of tomorrow. We invest significantly in our employees, because we recognize that when each employee is supported and given the opportunity to succeed, our company as a whole flourishes.</w:t>
      </w:r>
    </w:p>
    <w:p>
      <w:pPr>
        <w:spacing w:after="0" w:line="21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committed to building a diverse, inclusive and equitable culture, where everyone belongs. We have been actively challenging our own behaviors and each other to create such culture. Being diverse, inclusive and equitable is important to our employees’ experience and performance, talent acquisition and retention, and it brings us closer to the communities in which we live and operate. In 2022, we built upon our Diversity, Equity &amp; Inclusion (</w:t>
      </w:r>
      <w:r>
        <w:rPr>
          <w:rFonts w:ascii="Arial" w:cs="Arial" w:eastAsia="Arial" w:hAnsi="Arial"/>
          <w:sz w:val="15"/>
          <w:szCs w:val="15"/>
          <w:b w:val="1"/>
          <w:bCs w:val="1"/>
          <w:color w:val="auto"/>
        </w:rPr>
        <w:t>DE&amp;I</w:t>
      </w:r>
      <w:r>
        <w:rPr>
          <w:rFonts w:ascii="Arial" w:cs="Arial" w:eastAsia="Arial" w:hAnsi="Arial"/>
          <w:sz w:val="15"/>
          <w:szCs w:val="15"/>
          <w:color w:val="auto"/>
        </w:rPr>
        <w:t>) ambitions. We have continued to work with our DE&amp;I Council, composed of our CEO and 19 executive representatives from around the company that meets regularly to discuss company strategies, initiatives and policies concerning DE&amp;I. We have worked closely with our five Employee Resource Groups (</w:t>
      </w:r>
      <w:r>
        <w:rPr>
          <w:rFonts w:ascii="Arial" w:cs="Arial" w:eastAsia="Arial" w:hAnsi="Arial"/>
          <w:sz w:val="15"/>
          <w:szCs w:val="15"/>
          <w:b w:val="1"/>
          <w:bCs w:val="1"/>
          <w:color w:val="auto"/>
        </w:rPr>
        <w:t>ERGs</w:t>
      </w:r>
      <w:r>
        <w:rPr>
          <w:rFonts w:ascii="Arial" w:cs="Arial" w:eastAsia="Arial" w:hAnsi="Arial"/>
          <w:sz w:val="15"/>
          <w:szCs w:val="15"/>
          <w:color w:val="auto"/>
        </w:rPr>
        <w:t>) that focus on gender, race and ethnicity, multigenerational families, disability, neurodiversity and LGBTQIA+, ensuring that we are actively listening and co-creating. The VMO2 JV and VodafoneZiggo JV, along with Sunrise and VM Ireland, also have their own ERGs to provide support for their local employees and to complement Liberty Global’s DE&amp;I strategy and initiatives. In addition, our DE&amp;I Council has worked diligently to prepare concrete, implementable initiatives to further our collective DE&amp;I strategy. Such initiatives are measurable, allowing us to easily track our progress.</w:t>
      </w:r>
    </w:p>
    <w:p>
      <w:pPr>
        <w:spacing w:after="0" w:line="18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also conduct compulsory anti-bullying, anti-discrimination and anti-harassment training for all of our employees in line with our Anti-Discrimination, Harassment and Bullying policy and engage in small-group, impactful conversations, centering on discrimination and harassment in the workplace. Our venture capital arm has committed $10 million to investing in start-up companies, including through our partner, Avesta Capital, that make a positive impact on society. These companies, such as Blue Studios, Kiira Health, BoxPower, Harvest Thermal and Sunny Day Fund are specifically focused on socially conscious business practices, such as tackling economic and social inequity, as well as climate change. Liberty Global prides itself on the achievements it has made with respect to DE&amp;I, but it recognizes that there is much work still to be done, and that to grow as a company we must invest in our people so that they can be themselves at work everyday.</w:t>
      </w:r>
    </w:p>
    <w:p>
      <w:pPr>
        <w:spacing w:after="0" w:line="21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compensation program is key to our company’s success and incentivizes our management team to execute our financial and operational goals. We concentrate on attracting, retaining and motivating talented executives who can be responsive to new and different opportunities for our company and thereby create value for our customers and shareholders. The primary goals of our executive compensation program are to: motivate our executives to maximize their contributions to the company’s success, attract and retain the best leaders for our business and align our executives’ interests with creating shareholder value.</w:t>
      </w:r>
    </w:p>
    <w:p>
      <w:pPr>
        <w:spacing w:after="0" w:line="1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At Liberty Global we are committed to the health and safety of our employees and visitors to our sites and we ensure compliance with all relevant national health and safety regulations. For employees, we currently utilize a hybrid work-from-home/work-from-office work program. We have also made available a series of well-being resources based on a four-pronged strategy focused on the mental, physical, social and financial aspects of health and well-being. Included in this strategy, among other things, is access to group training sessions, private work-out facilities, bicycle reimbursement plans, in-office flu vaccinations, and private check-up visits.</w:t>
      </w:r>
    </w:p>
    <w:p>
      <w:pPr>
        <w:spacing w:after="0" w:line="2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measure employee engagement quarterly against external benchmarks defined by a leading human resources consultant. We perform in line with global industry benchmarks and exceed benchmarks set by high performing organizations in areas such as in inclusion, well-being, manager support and senior leadership communication. The high performing comparison group is comprised of organizations with strong financial performance and superior human resource practices, representing the gold standard for employee engagement. Survey results are owned by managers and executives, who are accountable for formulating action plans. In addition, we gather qualitative and quantitative insights with methods such as shorter-term pulse surveys and narrower focus groups. This approach informs decision making across key employee focus areas, including for example, well-being, work-from-home opportunities and skills development.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318"/>
        <w:spacing w:after="0" w:line="264" w:lineRule="auto"/>
        <w:rPr>
          <w:sz w:val="20"/>
          <w:szCs w:val="20"/>
          <w:color w:val="auto"/>
        </w:rPr>
      </w:pPr>
      <w:r>
        <w:rPr>
          <w:rFonts w:ascii="Arial" w:cs="Arial" w:eastAsia="Arial" w:hAnsi="Arial"/>
          <w:sz w:val="18"/>
          <w:szCs w:val="18"/>
          <w:color w:val="auto"/>
        </w:rPr>
        <w:t>Additional information on our workforce and our commitment to our employees is made available in Liberty Global’s Annual Corporate Responsibility Report, which we expect to be published on our website at the beginning of the third quarter of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Overview</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Video distribution, broadband internet, fixed-line telephony and mobile businesses are regulated in each of the countries in which we operate. The scope of regulation varies from country to country, although in some significant respects, regulation in E.U. markets is harmonized under the regulatory structure of the E.U.</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Of the six countries in our footprint, four are part of the E.U.: the Republic of Ireland, the Netherlands (nonconsolidated joint venture), Belgium and Slovakia. Our other operations are in the U.K. (nonconsolidated joint venture) and Switzerland are not in the E.U. but generally enact rules similar to that of the E.U.</w:t>
      </w:r>
    </w:p>
    <w:p>
      <w:pPr>
        <w:spacing w:after="0" w:line="21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U.K. formally left the E.U. on January 31, 2020, commonly referred to as “</w:t>
      </w:r>
      <w:r>
        <w:rPr>
          <w:rFonts w:ascii="Arial" w:cs="Arial" w:eastAsia="Arial" w:hAnsi="Arial"/>
          <w:sz w:val="15"/>
          <w:szCs w:val="15"/>
          <w:b w:val="1"/>
          <w:bCs w:val="1"/>
          <w:color w:val="auto"/>
        </w:rPr>
        <w:t>Brexit</w:t>
      </w:r>
      <w:r>
        <w:rPr>
          <w:rFonts w:ascii="Arial" w:cs="Arial" w:eastAsia="Arial" w:hAnsi="Arial"/>
          <w:sz w:val="15"/>
          <w:szCs w:val="15"/>
          <w:color w:val="auto"/>
        </w:rPr>
        <w:t>”. On December 24, 2020, the U.K. and the E.U. reached the “Trade and Cooperation Agreement” referred to as the “</w:t>
      </w:r>
      <w:r>
        <w:rPr>
          <w:rFonts w:ascii="Arial" w:cs="Arial" w:eastAsia="Arial" w:hAnsi="Arial"/>
          <w:sz w:val="15"/>
          <w:szCs w:val="15"/>
          <w:b w:val="1"/>
          <w:bCs w:val="1"/>
          <w:color w:val="auto"/>
        </w:rPr>
        <w:t>E.U.-U.K. Agreement</w:t>
      </w:r>
      <w:r>
        <w:rPr>
          <w:rFonts w:ascii="Arial" w:cs="Arial" w:eastAsia="Arial" w:hAnsi="Arial"/>
          <w:sz w:val="15"/>
          <w:szCs w:val="15"/>
          <w:color w:val="auto"/>
        </w:rPr>
        <w:t>”. Principles on state aid are also contained in the E.U.-U.K. Agreement to prevent either side from granting unfair subsidies, and to provide a dispute settlement mechanism to ensure businesses from the E.U. and the U.K. compete on a level playing field. In relation to the telecommunications sector, the U.K. and the E.U. have agreed to maintain the existing levels of liberalization in their markets, including standard provisions on authorizations, access to and use of telecoms networks, interconnection, fair and transparent regulation and the allocation of scarce resources. The E.U.-U.K. Agreement contains measures to encourage cooperation and promote fair and transparent rates for international mobile roaming. However, the U.K. previously introduced a number of measures aimed at providing safeguards for consumers, which continue to apply. Such measures include limits on the amount that customers can be charged for using mobile data abroad before having to opt in if they wish to use more data and alert warnings as customers reach various milestones in data allowances included within their packages. Additionally, the Northern Irish Protocol regulates the relationship between Northern Ireland and the Republic of Ireland, ensuring that no hard border is placed between the two, as well as keeping Northern Ireland inside the E.U. single market. The Northern Irish Protocol, while not material to our or the VMO2 JV’s operations, affects the movement of consumer premises equipment and installation personnel between Northern Ireland and the Republic of Ireland.</w:t>
      </w:r>
    </w:p>
    <w:p>
      <w:pPr>
        <w:spacing w:after="0" w:line="3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Switzerland, the distribution of radio and television is regulated under the Radio and Television Act. The provision of telecommunications services is regulated by the Telecommunications Act. In addition, the Competition Act, the Data Protection Act and the Act on the Surveillance of Post and Telecommunications are relevant to our business.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Sector Regulations</w:t>
      </w:r>
    </w:p>
    <w:p>
      <w:pPr>
        <w:spacing w:after="0" w:line="226"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 xml:space="preserve">The European Electronic Communications Code (the </w:t>
      </w:r>
      <w:r>
        <w:rPr>
          <w:rFonts w:ascii="Arial" w:cs="Arial" w:eastAsia="Arial" w:hAnsi="Arial"/>
          <w:sz w:val="15"/>
          <w:szCs w:val="15"/>
          <w:b w:val="1"/>
          <w:bCs w:val="1"/>
          <w:color w:val="auto"/>
        </w:rPr>
        <w:t>Code</w:t>
      </w:r>
      <w:r>
        <w:rPr>
          <w:rFonts w:ascii="Arial" w:cs="Arial" w:eastAsia="Arial" w:hAnsi="Arial"/>
          <w:sz w:val="15"/>
          <w:szCs w:val="15"/>
          <w:color w:val="auto"/>
        </w:rPr>
        <w:t>) is the primary source of regulation governing our E.U. operations. The Code came into effect on December 20, 2018 and has been transposed by a majority of the Member States and the U.K. into their respective national laws. On April 6, 2022, the European Commission referred a number of Member States to the Court of Justice of the European Union for being late with the transposition, including Ireland. Ireland is in the process of adopting two legislative instruments that should give effect to the Code, the European Communities (Electronic Communications) Regulations 2022 and the Communications Regulation (Enforcement) Bill 2022. The U.K. has largely transposed the Code into its national laws. Switzerland, while not part of the E.U., has a regulatory system that partially reflects the principles of the E.U. The Telecommunications Act in Switzerland regulates, in general, the transmission of information, including the transmission of radio and television signals.</w:t>
      </w:r>
    </w:p>
    <w:p>
      <w:pPr>
        <w:spacing w:after="0" w:line="18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Code primarily seeks to develop open markets for communication services within Europe. It harmonizes the rules within the E.U. for the establishment and operation of electronic communication networks, including cable television and traditional telephony networks, and the offer of electronic communication services, such as telephony (including OTT services), internet and, to some degree, television services.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 forth below are certain key provisions included in the Code that are most applicable to our operations.</w:t>
      </w:r>
    </w:p>
    <w:p>
      <w:pPr>
        <w:spacing w:after="0" w:line="237" w:lineRule="exact"/>
        <w:rPr>
          <w:sz w:val="20"/>
          <w:szCs w:val="20"/>
          <w:color w:val="auto"/>
        </w:rPr>
      </w:pPr>
    </w:p>
    <w:p>
      <w:pPr>
        <w:jc w:val="both"/>
        <w:ind w:left="640" w:hanging="316"/>
        <w:spacing w:after="0" w:line="254"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u w:val="single" w:color="auto"/>
          <w:color w:val="auto"/>
        </w:rPr>
        <w:t>Significant Market Power</w:t>
      </w:r>
      <w:r>
        <w:rPr>
          <w:rFonts w:ascii="Arial" w:cs="Arial" w:eastAsia="Arial" w:hAnsi="Arial"/>
          <w:sz w:val="18"/>
          <w:szCs w:val="18"/>
          <w:i w:val="1"/>
          <w:iCs w:val="1"/>
          <w:color w:val="auto"/>
        </w:rPr>
        <w:t>.</w:t>
      </w:r>
      <w:r>
        <w:rPr>
          <w:rFonts w:ascii="Arial" w:cs="Arial" w:eastAsia="Arial" w:hAnsi="Arial"/>
          <w:sz w:val="18"/>
          <w:szCs w:val="18"/>
          <w:color w:val="auto"/>
        </w:rPr>
        <w:t xml:space="preserve"> Specific obligations imposed by National Regulatory Authorities (</w:t>
      </w:r>
      <w:r>
        <w:rPr>
          <w:rFonts w:ascii="Arial" w:cs="Arial" w:eastAsia="Arial" w:hAnsi="Arial"/>
          <w:sz w:val="18"/>
          <w:szCs w:val="18"/>
          <w:b w:val="1"/>
          <w:bCs w:val="1"/>
          <w:color w:val="auto"/>
        </w:rPr>
        <w:t>NRAs</w:t>
      </w:r>
      <w:r>
        <w:rPr>
          <w:rFonts w:ascii="Arial" w:cs="Arial" w:eastAsia="Arial" w:hAnsi="Arial"/>
          <w:sz w:val="18"/>
          <w:szCs w:val="18"/>
          <w:color w:val="auto"/>
        </w:rPr>
        <w:t>) in E.U. Member States apply only to service providers deemed to have Significant Market Power (</w:t>
      </w:r>
      <w:r>
        <w:rPr>
          <w:rFonts w:ascii="Arial" w:cs="Arial" w:eastAsia="Arial" w:hAnsi="Arial"/>
          <w:sz w:val="18"/>
          <w:szCs w:val="18"/>
          <w:b w:val="1"/>
          <w:bCs w:val="1"/>
          <w:color w:val="auto"/>
        </w:rPr>
        <w:t>SMP</w:t>
      </w:r>
      <w:r>
        <w:rPr>
          <w:rFonts w:ascii="Arial" w:cs="Arial" w:eastAsia="Arial" w:hAnsi="Arial"/>
          <w:sz w:val="18"/>
          <w:szCs w:val="18"/>
          <w:color w:val="auto"/>
        </w:rPr>
        <w:t>) in a relevant market. For purposes of the Code, a service provider has SMP where it enjoys a position of significant economic strength, affording it the power to behave independently of competitors, customers and consumers to an appreciable extent.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ind w:left="640"/>
        <w:spacing w:after="0" w:line="251" w:lineRule="auto"/>
        <w:rPr>
          <w:sz w:val="20"/>
          <w:szCs w:val="20"/>
          <w:color w:val="auto"/>
        </w:rPr>
      </w:pPr>
      <w:r>
        <w:rPr>
          <w:rFonts w:ascii="Arial" w:cs="Arial" w:eastAsia="Arial" w:hAnsi="Arial"/>
          <w:sz w:val="18"/>
          <w:szCs w:val="18"/>
          <w:color w:val="auto"/>
        </w:rPr>
        <w:t>If a service provider is found to have SMP in any particular market, the applicable NRA must impose certain conditions on that service provider. We have been found to have SMP in certain markets in which we operate and further findings of SMP are possible, which may negatively impact our business. However, across our footprint, we have noticed an increased tendency of NRAs towards deregulation, with only a small number of markets currently being subject to this type of regulation.</w:t>
      </w:r>
    </w:p>
    <w:p>
      <w:pPr>
        <w:spacing w:after="0" w:line="153"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The U.K. has a similar system with the applicable NRA assessing markets on a forward-looking basis to determine SMP. In Switzerland, there is no such forward-looking system, rather a service provider can be regulated based on general competition law.</w:t>
      </w:r>
    </w:p>
    <w:p>
      <w:pPr>
        <w:spacing w:after="0" w:line="153" w:lineRule="exact"/>
        <w:rPr>
          <w:sz w:val="20"/>
          <w:szCs w:val="20"/>
          <w:color w:val="auto"/>
        </w:rPr>
      </w:pPr>
    </w:p>
    <w:p>
      <w:pPr>
        <w:jc w:val="both"/>
        <w:ind w:left="640" w:hanging="316"/>
        <w:spacing w:after="0" w:line="271" w:lineRule="auto"/>
        <w:tabs>
          <w:tab w:leader="none" w:pos="635" w:val="left"/>
        </w:tabs>
        <w:numPr>
          <w:ilvl w:val="0"/>
          <w:numId w:val="21"/>
        </w:numPr>
        <w:rPr>
          <w:rFonts w:ascii="Arial" w:cs="Arial" w:eastAsia="Arial" w:hAnsi="Arial"/>
          <w:sz w:val="17"/>
          <w:szCs w:val="17"/>
          <w:i w:val="1"/>
          <w:iCs w:val="1"/>
          <w:color w:val="auto"/>
        </w:rPr>
      </w:pPr>
      <w:r>
        <w:rPr>
          <w:rFonts w:ascii="Arial" w:cs="Arial" w:eastAsia="Arial" w:hAnsi="Arial"/>
          <w:sz w:val="17"/>
          <w:szCs w:val="17"/>
          <w:u w:val="single" w:color="auto"/>
          <w:color w:val="auto"/>
        </w:rPr>
        <w:t>Must-Carry Obligations</w:t>
      </w:r>
      <w:r>
        <w:rPr>
          <w:rFonts w:ascii="Arial" w:cs="Arial" w:eastAsia="Arial" w:hAnsi="Arial"/>
          <w:sz w:val="17"/>
          <w:szCs w:val="17"/>
          <w:i w:val="1"/>
          <w:iCs w:val="1"/>
          <w:color w:val="auto"/>
        </w:rPr>
        <w:t>.</w:t>
      </w:r>
      <w:r>
        <w:rPr>
          <w:rFonts w:ascii="Arial" w:cs="Arial" w:eastAsia="Arial" w:hAnsi="Arial"/>
          <w:sz w:val="17"/>
          <w:szCs w:val="17"/>
          <w:color w:val="auto"/>
        </w:rPr>
        <w:t xml:space="preserve"> Member States may impose reasonable must-carry obligations on certain service providers under their jurisdiction. Such obligations must be based on clearly defined general interest objectives, be proportionate and transparent and be subject to periodic review. The U.K. and Switzerland have a regulatory system that reflects these principles. We are subject to must carry regulations in all markets in which we operate, and we do not expect the such obligations to be curtailed in the foreseeable future.</w:t>
      </w:r>
    </w:p>
    <w:p>
      <w:pPr>
        <w:spacing w:after="0" w:line="20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NRAs may, in some cases, impose access obligations on service providers, regardless of whether they have SMP. Under the Code and the E.U. Broadband Cost Reduction Directive, service providers may be required to provide access to certain elements of their passive network infrastructure upon reasonable request if there are significant economic or physical replicability barriers. Service providers may be required to provide access to their active infrastructure as well but only if a number of additional requirements are met. The U.K. has a similar system in place, while the Telecommunications Act in Switzerland requires operators with a dominant position to grant access to other providers on a non-discriminatory manner at cost-oriented prices.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Neutrality, Roaming and Call Termination</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November 2015, the European Parliament adopted the regulation on the first E.U.-wide net neutrality regime. The regulation allows for specialized services, optimized for specific content and subjects service providers like Liberty Global, through its operating companies, to reasonable traffic management requirements. The U.K. transposed net neutrality into its national law following Brexit. In Switzerland, the Telecommunications Act introduced more transparent net neutrality regulation that allows for traffic management in limited circumstances (e.g., to fight exceptional network congestion). Customers must be informed if traffic is treated unequally and about the quality of the internet service (for both fixed and mobile internet).</w:t>
      </w:r>
    </w:p>
    <w:p>
      <w:pPr>
        <w:spacing w:after="0" w:line="17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2015 regulation mentioned above also prohibits retail roaming tariffs and sets wholesale roaming price caps. In 2019 the E.U. introduced caps on wholesale rates for intra-E.U. calls to bring these in line with the wholesale roaming caps. The Telecommunications Act in Switzerland implemented roaming obligations, including mandatory discounted roaming packages, per second or per kilobyte of roaming charges and capped fees for all roaming services. In relation to the U.K., E.U. operators are now free to raise wholesale charges for U.K. operators (and vice-versa) but may choose not to.</w:t>
      </w:r>
    </w:p>
    <w:p>
      <w:pPr>
        <w:spacing w:after="0" w:line="17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Call termination tariffs for SMP providers are set by NRAs, but for the E.U., the Code includes a system of single maximum, E.U.-wide voice termination rates for fixed and mobile. All fixed service providers are subject to a maximum fixed termination rate of €0.07 per minute, and by 2024 the single maximum rate for mobile termination will be €0.20 per minute. In the U.K., an SMP provider must provide termination on fair and reasonable terms, conditions and charges, which must be no higher than BT’s regulated charges unless certain conditions are met. Switzerland does not follow the E.U. standard, however. Call termination rates in Switzerland are unregulated and commercially negotiated by operators. If an agreement cannot be found for fixed termination rates, the parties may initiate proceedings at the Communication Commission (ComCom), which then sets cost-oriented termination rates. Overall, termination rates in Switzerland are higher than the E.U. average. In each country in which we operate, we have been found to have SMP for call termination.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Broadcasting and Content Law</w:t>
      </w:r>
    </w:p>
    <w:p>
      <w:pPr>
        <w:spacing w:after="0" w:line="2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color w:val="auto"/>
        </w:rPr>
        <w:t>The Audiovisual Media Services Directive (</w:t>
      </w:r>
      <w:r>
        <w:rPr>
          <w:rFonts w:ascii="Arial" w:cs="Arial" w:eastAsia="Arial" w:hAnsi="Arial"/>
          <w:sz w:val="18"/>
          <w:szCs w:val="18"/>
          <w:b w:val="1"/>
          <w:bCs w:val="1"/>
          <w:color w:val="auto"/>
        </w:rPr>
        <w:t>AVMSD</w:t>
      </w:r>
      <w:r>
        <w:rPr>
          <w:rFonts w:ascii="Arial" w:cs="Arial" w:eastAsia="Arial" w:hAnsi="Arial"/>
          <w:sz w:val="18"/>
          <w:szCs w:val="18"/>
          <w:color w:val="auto"/>
        </w:rPr>
        <w:t>) governs the activities of broadcasters under E.U. law. The E.U. Member States that we operate in have fully transposed the AVMSD into their respective national laws.</w:t>
      </w:r>
    </w:p>
    <w:p>
      <w:pPr>
        <w:spacing w:after="0" w:line="20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Generally, broadcasts originating in and intended for reception within an E.U. Member State must respect the laws of that Member State. Pursuant to the AVMSD, however, E.U. Member States must allow broadcast signals of broadcasters established in another E.U. Member State to be freely transmitted within their territory, so long as the broadcaster complies with the law of their home state. In addition, when we offer third-party VoD services on our network, it is the third-party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provider, and not us as the distributor, that is regulated in respect of these services. The U.K. and Switzerland have regulatory systems that also reflect these principles.</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AVMSD established quotas, applicable to both linear and non-linear services, for the transmission of European-produced programming and programs made by European producers who are independent of broadcasters. Such obligations are applicable to our businesses in the E.U. The U.K. and Switzerland have similar principles in their regulatory systems.</w:t>
      </w:r>
    </w:p>
    <w:p>
      <w:pPr>
        <w:spacing w:after="0" w:line="21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To build upon the AVMSD, the European Commission published a proposal for the Media Freedom Act in September of 2022. It is not clear at this time when this proposed law would be adopted and become effective. The new law aims to help ensure media pluralism across the E.U., as well as ownership transparency requirements, especially with respect to foreign financing and the introduction of a review mechanism for concentrations of media companies. We expect that the Media Freedom Act will impact our business, however, until the final legislation is adopted, we will not know to what extent.</w:t>
      </w:r>
    </w:p>
    <w:p>
      <w:pPr>
        <w:spacing w:after="0" w:line="17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Member States are also allowed to require service providers to contribute financially to the production of European works, including requiring financial contributions from VoD providers established in other territories that target audiences in their jurisdiction. Such obligations are applicable to (or are expected to become applicable to) certain of our businesses.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addition, European Commission regulations mandate that commercial providers of online content services (including OTT service providers) enable subscribers who are temporarily present in any Member State to access and use online content services in substantially the same manner as in their country of residence. We comply with these content portability requirements.</w:t>
      </w:r>
    </w:p>
    <w:p>
      <w:pPr>
        <w:spacing w:after="0" w:line="21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U.K., the VMO2 JV is required to hold individual licenses under the Broadcasting Acts 1990 and 1996 for any television channels (including barker channels) that it owns or operates and to provide certain other services on its cable television platform, such as electronic program guides. These television licensable content service (</w:t>
      </w:r>
      <w:r>
        <w:rPr>
          <w:rFonts w:ascii="Arial" w:cs="Arial" w:eastAsia="Arial" w:hAnsi="Arial"/>
          <w:sz w:val="17"/>
          <w:szCs w:val="17"/>
          <w:b w:val="1"/>
          <w:bCs w:val="1"/>
          <w:color w:val="auto"/>
        </w:rPr>
        <w:t>TLCS</w:t>
      </w:r>
      <w:r>
        <w:rPr>
          <w:rFonts w:ascii="Arial" w:cs="Arial" w:eastAsia="Arial" w:hAnsi="Arial"/>
          <w:sz w:val="17"/>
          <w:szCs w:val="17"/>
          <w:color w:val="auto"/>
        </w:rPr>
        <w:t>) licenses are granted and administered by the U.K. Office of Communications (</w:t>
      </w:r>
      <w:r>
        <w:rPr>
          <w:rFonts w:ascii="Arial" w:cs="Arial" w:eastAsia="Arial" w:hAnsi="Arial"/>
          <w:sz w:val="17"/>
          <w:szCs w:val="17"/>
          <w:b w:val="1"/>
          <w:bCs w:val="1"/>
          <w:color w:val="auto"/>
        </w:rPr>
        <w:t>Ofcom</w:t>
      </w:r>
      <w:r>
        <w:rPr>
          <w:rFonts w:ascii="Arial" w:cs="Arial" w:eastAsia="Arial" w:hAnsi="Arial"/>
          <w:sz w:val="17"/>
          <w:szCs w:val="17"/>
          <w:color w:val="auto"/>
        </w:rPr>
        <w:t>), the U.K.’s NRA. Under these licenses, each covered service must comply with a number of Ofcom codes, including the Broadcasting Code, and with all of Ofcom’s directions. Breach of any of the terms of a TLCS license may result in the imposition of fines and, potentially, license revocation.</w:t>
      </w:r>
    </w:p>
    <w:p>
      <w:pPr>
        <w:spacing w:after="0" w:line="20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As a provider of an on-demand program service (</w:t>
      </w:r>
      <w:r>
        <w:rPr>
          <w:rFonts w:ascii="Arial" w:cs="Arial" w:eastAsia="Arial" w:hAnsi="Arial"/>
          <w:sz w:val="18"/>
          <w:szCs w:val="18"/>
          <w:b w:val="1"/>
          <w:bCs w:val="1"/>
          <w:color w:val="auto"/>
        </w:rPr>
        <w:t>ODPS</w:t>
      </w:r>
      <w:r>
        <w:rPr>
          <w:rFonts w:ascii="Arial" w:cs="Arial" w:eastAsia="Arial" w:hAnsi="Arial"/>
          <w:sz w:val="18"/>
          <w:szCs w:val="18"/>
          <w:color w:val="auto"/>
        </w:rPr>
        <w:t>), the VMO2 JV must comply with numerous statutory obligations related to “editorial content” and notify Ofcom of its intention to provide an ODPS. Failure to notify Ofcom or comply with the relevant statutory obligations may result in the imposition of fines or, ultimately, a prohibition on providing an ODPS.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Technological Regulation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E.U. legislature is increasingly imposing additional mandatory requirements regarding energy consumption of the telecommunications equipment we provide our customers. We have been working to lower power consumption of our set-top boxes. Legislation in this area may be adopted that could adversely affect the cost and/or the functionality of equipment we deploy to customers.</w:t>
      </w:r>
    </w:p>
    <w:p>
      <w:pPr>
        <w:spacing w:after="0" w:line="21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Pursuant to an E.U. regulation on standby power (the </w:t>
      </w:r>
      <w:r>
        <w:rPr>
          <w:rFonts w:ascii="Arial" w:cs="Arial" w:eastAsia="Arial" w:hAnsi="Arial"/>
          <w:sz w:val="18"/>
          <w:szCs w:val="18"/>
          <w:b w:val="1"/>
          <w:bCs w:val="1"/>
          <w:color w:val="auto"/>
        </w:rPr>
        <w:t>Standby Regulation</w:t>
      </w:r>
      <w:r>
        <w:rPr>
          <w:rFonts w:ascii="Arial" w:cs="Arial" w:eastAsia="Arial" w:hAnsi="Arial"/>
          <w:sz w:val="18"/>
          <w:szCs w:val="18"/>
          <w:color w:val="auto"/>
        </w:rPr>
        <w:t>), many devices are required to have either a low power standby mode or off mode, unless such mode is inappropriate for the intended use of the product. In particular, the Standby Regulation sets, among other things, the maximum power consumption of networked consumer equipment while in the so-called “Networked Standby” or “High Network Availability” modes. All of the devices we purchase and/or develop comply with the requirements of the Standby Regulation.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Also, the E.U.’s Radio Equipment Directive regulates radio equipment held for sale. It sets essential requirements for safety and health, electromagnetic compatibility and the efficient use of the radio spectrum.</w:t>
      </w:r>
    </w:p>
    <w:p>
      <w:pPr>
        <w:spacing w:after="0" w:line="20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Due to a Mutual Recognition Agreement established between the E.U. and Switzerland, the Standby Regulation and the Radio Equipment Directive both apply in Switzerland. Before Brexit, the U.K. implemented the Standby Regulation and the Radio Equipment Directive into national law.</w:t>
      </w:r>
    </w:p>
    <w:p>
      <w:pPr>
        <w:spacing w:after="0" w:line="18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Through the E.U.’s Radio Spectrum Policy Program, certain spectrum has been approved for mobile broadband use. The terms under which this spectrum becomes available varies among the European countries in which we operate, and certain uses of this spectrum may interfere with services carried on our cable networks.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5" w:name="page26"/>
    <w:bookmarkEnd w:id="25"/>
    <w:p>
      <w:pPr>
        <w:ind w:left="320"/>
        <w:spacing w:after="0"/>
        <w:rPr>
          <w:sz w:val="20"/>
          <w:szCs w:val="20"/>
          <w:color w:val="auto"/>
        </w:rPr>
      </w:pPr>
      <w:r>
        <w:rPr>
          <w:rFonts w:ascii="Arial" w:cs="Arial" w:eastAsia="Arial" w:hAnsi="Arial"/>
          <w:sz w:val="18"/>
          <w:szCs w:val="18"/>
          <w:i w:val="1"/>
          <w:iCs w:val="1"/>
          <w:color w:val="auto"/>
        </w:rPr>
        <w:t>Privacy Regulation</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In January 2017, the European Commission published a proposal for a revised e-Privacy regulation. Negotiations among E.U. Member States are still in process, and we cannot predict the ultimate outcome of these negotiations. In May 2018, the General Data Protection Regulation (</w:t>
      </w:r>
      <w:r>
        <w:rPr>
          <w:rFonts w:ascii="Arial" w:cs="Arial" w:eastAsia="Arial" w:hAnsi="Arial"/>
          <w:sz w:val="15"/>
          <w:szCs w:val="15"/>
          <w:b w:val="1"/>
          <w:bCs w:val="1"/>
          <w:color w:val="auto"/>
        </w:rPr>
        <w:t>GDPR</w:t>
      </w:r>
      <w:r>
        <w:rPr>
          <w:rFonts w:ascii="Arial" w:cs="Arial" w:eastAsia="Arial" w:hAnsi="Arial"/>
          <w:sz w:val="15"/>
          <w:szCs w:val="15"/>
          <w:color w:val="auto"/>
        </w:rPr>
        <w:t>) became effective in the E.U. The GDPR sets strict standards regarding the handling, use and retention of personal data. Organizations that fail to comply face stiff penalties.</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GDPR applies to the European Economic Area (</w:t>
      </w:r>
      <w:r>
        <w:rPr>
          <w:rFonts w:ascii="Arial" w:cs="Arial" w:eastAsia="Arial" w:hAnsi="Arial"/>
          <w:sz w:val="18"/>
          <w:szCs w:val="18"/>
          <w:b w:val="1"/>
          <w:bCs w:val="1"/>
          <w:color w:val="auto"/>
        </w:rPr>
        <w:t>EEA</w:t>
      </w:r>
      <w:r>
        <w:rPr>
          <w:rFonts w:ascii="Arial" w:cs="Arial" w:eastAsia="Arial" w:hAnsi="Arial"/>
          <w:sz w:val="18"/>
          <w:szCs w:val="18"/>
          <w:color w:val="auto"/>
        </w:rPr>
        <w:t>), which includes the E.U. and a number of countries, but does not include the U.K. or Switzerland. When personal data is transferred outside the EEA, special safeguards stemming from the GDPR, such as the adoption of adequacy decisions and the use of standard contractual clauses (</w:t>
      </w:r>
      <w:r>
        <w:rPr>
          <w:rFonts w:ascii="Arial" w:cs="Arial" w:eastAsia="Arial" w:hAnsi="Arial"/>
          <w:sz w:val="18"/>
          <w:szCs w:val="18"/>
          <w:b w:val="1"/>
          <w:bCs w:val="1"/>
          <w:color w:val="auto"/>
        </w:rPr>
        <w:t>SCCs</w:t>
      </w:r>
      <w:r>
        <w:rPr>
          <w:rFonts w:ascii="Arial" w:cs="Arial" w:eastAsia="Arial" w:hAnsi="Arial"/>
          <w:sz w:val="18"/>
          <w:szCs w:val="18"/>
          <w:color w:val="auto"/>
        </w:rPr>
        <w:t>), are enforced to ensure that data is transferred in a protected manner. Adequacy decisions indicate which third countries have sufficiently similar data protection laws in place to those provided under the GDPR. Transfers to an “adequate” third country is compared to a transmission of data within the E.U.</w:t>
      </w:r>
    </w:p>
    <w:p>
      <w:pPr>
        <w:spacing w:after="0" w:line="22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June 28, 2021, the European Commission adopted an adequacy decision for the U.K., as the U.K.’s data protection system is based on the same GDPR rules that were applicable when the U.K. was a Member State. However, the adequacy decision is subject to a “sunset clause”, which establishes the automatic expiration of the decision after four years from its adoption. The adequacy findings may then be renewed if the U.K. continues to ensure an adequate level of data protection.</w:t>
      </w:r>
    </w:p>
    <w:p>
      <w:pPr>
        <w:spacing w:after="0" w:line="2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December 13, 2022, the European Commission adopted a draft adequacy decision for the E.U.-U.S. Data Privacy Framework, replacing the Privacy Shield deal which was struck down by the European Court of Justice in July 2020. U.S. companies will be able to join the E.U.-U.S. Data Privacy Framework by committing to comply with a detailed set of privacy obligations. E.U. citizens will also have access to a number of redress mechanisms in case their personal data is handled in violation of this framework, including an independent dispute resolution mechanism and a newly created ‘Data Protection Review Court’. The draft adequacy decision is now going through its adoption procedure and is expected to be finalized in the summer of 2023.</w:t>
      </w:r>
    </w:p>
    <w:p>
      <w:pPr>
        <w:spacing w:after="0" w:line="17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When a data transfer involves a third country that has not been granted an adequacy decision, our operations must use SCCs. The European Commission has issued an implementing decision on new SCCs, under which it makes clear that using standard contractual clauses does not automatically make an international data transfer GDPR compliant. Instead, the parties must perform “transfer impact assessments” in order to address any possible risks in the data transfer and take supplementary measures. The impact assessment takes into account maters such as the circumstances of the transfer, the nature of the parties, the personal data involved and the laws and practices of the country of destination.</w:t>
      </w:r>
    </w:p>
    <w:p>
      <w:pPr>
        <w:spacing w:after="0" w:line="200"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A continued flow of personal data from the EEA to Switzerland is ensured by the revised Swiss Data Protection Act (</w:t>
      </w:r>
      <w:r>
        <w:rPr>
          <w:rFonts w:ascii="Arial" w:cs="Arial" w:eastAsia="Arial" w:hAnsi="Arial"/>
          <w:sz w:val="15"/>
          <w:szCs w:val="15"/>
          <w:b w:val="1"/>
          <w:bCs w:val="1"/>
          <w:color w:val="auto"/>
        </w:rPr>
        <w:t>DPA</w:t>
      </w:r>
      <w:r>
        <w:rPr>
          <w:rFonts w:ascii="Arial" w:cs="Arial" w:eastAsia="Arial" w:hAnsi="Arial"/>
          <w:sz w:val="15"/>
          <w:szCs w:val="15"/>
          <w:color w:val="auto"/>
        </w:rPr>
        <w:t>), which is expected to come into force on September 1, 2023. The DPA ensures compatibility with E.U. law and provides for better protection of personal data, more transparency regarding the processing of data and a strengthening of the individual’s information rights (e.g., if such individual’s data is processed in a foreign country).</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Regulations</w:t>
      </w:r>
    </w:p>
    <w:p>
      <w:pPr>
        <w:spacing w:after="0" w:line="2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the industry-specific regimes discussed above, our operating companies must comply with a range of both specific and general legislation concerning cybersecurity and consumer protection, among other matters.</w:t>
      </w:r>
    </w:p>
    <w:p>
      <w:pPr>
        <w:jc w:val="both"/>
        <w:ind w:firstLine="318"/>
        <w:spacing w:after="0" w:line="308" w:lineRule="auto"/>
        <w:rPr>
          <w:sz w:val="20"/>
          <w:szCs w:val="20"/>
          <w:color w:val="auto"/>
        </w:rPr>
      </w:pPr>
      <w:r>
        <w:rPr>
          <w:rFonts w:ascii="Arial" w:cs="Arial" w:eastAsia="Arial" w:hAnsi="Arial"/>
          <w:sz w:val="15"/>
          <w:szCs w:val="15"/>
          <w:color w:val="auto"/>
        </w:rPr>
        <w:t>With respect to cybersecurity, in 2016, the E.U. adopted a directive on security of network and information systems (</w:t>
      </w:r>
      <w:r>
        <w:rPr>
          <w:rFonts w:ascii="Arial" w:cs="Arial" w:eastAsia="Arial" w:hAnsi="Arial"/>
          <w:sz w:val="15"/>
          <w:szCs w:val="15"/>
          <w:b w:val="1"/>
          <w:bCs w:val="1"/>
          <w:color w:val="auto"/>
        </w:rPr>
        <w:t>NIS Directive</w:t>
      </w:r>
      <w:r>
        <w:rPr>
          <w:rFonts w:ascii="Arial" w:cs="Arial" w:eastAsia="Arial" w:hAnsi="Arial"/>
          <w:sz w:val="15"/>
          <w:szCs w:val="15"/>
          <w:color w:val="auto"/>
        </w:rPr>
        <w:t>), which provides legal measures to boost the overall level of cybersecurity in the E.U. Our operations in the E.U. do not fall under the NIS Directive, but a transposition of the Directive in Ireland, Slovakia and the Netherlands has effectively introduced the NIS Directive concepts into those jurisdictions. The successor to the NIS Directive, a directive on measures for a high common level of cybersecurity across the E.U. (</w:t>
      </w:r>
      <w:r>
        <w:rPr>
          <w:rFonts w:ascii="Arial" w:cs="Arial" w:eastAsia="Arial" w:hAnsi="Arial"/>
          <w:sz w:val="15"/>
          <w:szCs w:val="15"/>
          <w:b w:val="1"/>
          <w:bCs w:val="1"/>
          <w:color w:val="auto"/>
        </w:rPr>
        <w:t>NIS 2 Directive</w:t>
      </w:r>
      <w:r>
        <w:rPr>
          <w:rFonts w:ascii="Arial" w:cs="Arial" w:eastAsia="Arial" w:hAnsi="Arial"/>
          <w:sz w:val="15"/>
          <w:szCs w:val="15"/>
          <w:color w:val="auto"/>
        </w:rPr>
        <w:t>), was adopted by the E.U. legislature and published on December 14, 2022. Member States will have until October 18, 2024 to transpose the directive into their national legislation.</w:t>
      </w:r>
    </w:p>
    <w:p>
      <w:pPr>
        <w:spacing w:after="0" w:line="173"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E.U. and U.K. have announced restrictions related to so-called “high risk vendors” (</w:t>
      </w:r>
      <w:r>
        <w:rPr>
          <w:rFonts w:ascii="Arial" w:cs="Arial" w:eastAsia="Arial" w:hAnsi="Arial"/>
          <w:sz w:val="17"/>
          <w:szCs w:val="17"/>
          <w:b w:val="1"/>
          <w:bCs w:val="1"/>
          <w:color w:val="auto"/>
        </w:rPr>
        <w:t>HRVs</w:t>
      </w:r>
      <w:r>
        <w:rPr>
          <w:rFonts w:ascii="Arial" w:cs="Arial" w:eastAsia="Arial" w:hAnsi="Arial"/>
          <w:sz w:val="17"/>
          <w:szCs w:val="17"/>
          <w:color w:val="auto"/>
        </w:rPr>
        <w:t>) in the telecommunications sector. The E.U. published a “toolbox” of suggested measures for regulating 5G networks, acknowledging the need for a risk assessment of 5G equipment suppliers and the need to adopt mitigating measures by E.U. governments. Some Member States are addressing security concerns by identifying individual HRVs in advance, whose equipment should be excluded or limited for all network operations in the country. Switzerland has not yet adopted a policy position on the matter, but is studying the matter with a view to the potential adoption of measures in the future.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ind w:firstLine="318"/>
        <w:spacing w:after="0" w:line="254" w:lineRule="auto"/>
        <w:rPr>
          <w:sz w:val="20"/>
          <w:szCs w:val="20"/>
          <w:color w:val="auto"/>
        </w:rPr>
      </w:pPr>
      <w:r>
        <w:rPr>
          <w:rFonts w:ascii="Arial" w:cs="Arial" w:eastAsia="Arial" w:hAnsi="Arial"/>
          <w:sz w:val="18"/>
          <w:szCs w:val="18"/>
          <w:color w:val="auto"/>
        </w:rPr>
        <w:t>The U.K.’s recent Telecoms Security Act imposes a new security framework on telecommunication providers and gives the U.K. government new powers to, among other things, direct telecommunication providers to remove HRVs from their networks. Similar legislation has also been adopted in the Netherlands and Belgium.</w:t>
      </w:r>
    </w:p>
    <w:p>
      <w:pPr>
        <w:spacing w:after="0" w:line="21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Digital Markets Act and the Digital Services Act were adopted in September and October 2022, respectively and will become effective in 2024. While the Digital Markets Act will have an immaterial impact on our business, under the Digital Services Act we will have additional obligations imposed on us, including with respect to periodic reporting, content moderation and the establishment of points of contact with national authorities and customers.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February 2022, the European Commission introduced the Data Act, which would require companies to share personal and non-personal data generated by IoT products with users and third parties, upon the user’s request. The Data Act also requires companies to share personal and non-personal data with public sector bodies in situations of exceptional need, and imposes switching and interoperability requirements on cloud services. Negotiations between the European Council and the European Parliament are still in process, and we cannot predict the ultimate outcome of these negotiations.</w:t>
      </w:r>
    </w:p>
    <w:p>
      <w:pPr>
        <w:spacing w:after="0" w:line="16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Corporate Sustainability Reporting Directive (</w:t>
      </w:r>
      <w:r>
        <w:rPr>
          <w:rFonts w:ascii="Arial" w:cs="Arial" w:eastAsia="Arial" w:hAnsi="Arial"/>
          <w:sz w:val="18"/>
          <w:szCs w:val="18"/>
          <w:b w:val="1"/>
          <w:bCs w:val="1"/>
          <w:color w:val="auto"/>
        </w:rPr>
        <w:t>CSRD</w:t>
      </w:r>
      <w:r>
        <w:rPr>
          <w:rFonts w:ascii="Arial" w:cs="Arial" w:eastAsia="Arial" w:hAnsi="Arial"/>
          <w:sz w:val="18"/>
          <w:szCs w:val="18"/>
          <w:color w:val="auto"/>
        </w:rPr>
        <w:t>) came into force on January 5, 2023. The CSRD extends and strengthens the existing rules on non-financial reporting and aims to eventually have the same standards for both sustainability reporting and financial reporting. Companies will have to report on how sustainability issues affect their business, as well as the impact of their activities on people and the environment. The CSRD also aims to simplify the reporting process for companies, providing a single framework for providing information to investors and stakeholders. The first of the reporting requirements relevant to Liberty Global will apply in 2025 (for fiscal year 2024 reporting), with additional reporting requirements coming into effect on a staggered basis until 2029.</w:t>
      </w:r>
    </w:p>
    <w:p>
      <w:pPr>
        <w:spacing w:after="0" w:line="22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companies are also subject to both national and European level regulations on competition and on consumer protection, which are largely regulated under the Code.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spacing w:after="0" w:line="20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often undergo close regulatory scrutiny from competition authorities, in particular with respect to proposed business combinations that often require clearance from the European Commission or national competition authorities, which can block, impose conditions on, or delay an acquisition, disposition or combination, thus possibly hampering our opportunities for growth. Additional scrutiny is also imposed under the national foreign direct investment screening regimes recently adopted by the U.K. and by some E.U. Member States. Such regimes which allow national governments to review and impose conditions on certain transactions involving critical infrastructures such as telecommunications. In the event conditions are imposed and we fail to meet them in a timely manner, the relevant authority or governments may impose fines and, if in connection with a transaction, may require restorative measures, such as a disposition of assets or divestiture of operations.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Belgium</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Telenet has been found to have SMP in the wholesale broadband market, obliging it to (1) provide third-party operators with access to the digital television platform (including basic digital video and analog video) and (2) make available to third-party operators a bitstream offer of broadband internet access including fixed voice as an option. The Belgian NRA has imposed monthly wholesale cable resale access prices. These rates are expected to evolve over time due to, among other reasons, broadband capacity usage.</w:t>
      </w:r>
    </w:p>
    <w:p>
      <w:pPr>
        <w:spacing w:after="0" w:line="21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obligations on Telenet may strengthen its competitors by granting them access to Telenet’s fixed network to offer competing products and services notwithstanding Telenet’s substantial investments in developing its high-performing fixed infrastructure. In addition, any access granted to competitors could</w:t>
      </w:r>
    </w:p>
    <w:p>
      <w:pPr>
        <w:spacing w:after="0" w:line="1" w:lineRule="exact"/>
        <w:rPr>
          <w:sz w:val="20"/>
          <w:szCs w:val="20"/>
          <w:color w:val="auto"/>
        </w:rPr>
      </w:pPr>
    </w:p>
    <w:p>
      <w:pPr>
        <w:jc w:val="both"/>
        <w:ind w:firstLine="6"/>
        <w:spacing w:after="0" w:line="321" w:lineRule="auto"/>
        <w:tabs>
          <w:tab w:leader="none" w:pos="2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limit the bandwidth available to Telenet to provide new or expanded products and services to its customers, and (2) adversely impact Telenet’s ability to maintain or increase its revenue and cash flows. The extent of any such adverse impacts ultimately will be dependent on the degree to which competitors take advantage of the access of Telenet’s network, the rates that Telenet receives for such access and other competitive factors or market developments.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ind w:left="160"/>
        <w:spacing w:after="0"/>
        <w:rPr>
          <w:sz w:val="20"/>
          <w:szCs w:val="20"/>
          <w:color w:val="auto"/>
        </w:rPr>
      </w:pPr>
      <w:r>
        <w:rPr>
          <w:rFonts w:ascii="Arial" w:cs="Arial" w:eastAsia="Arial" w:hAnsi="Arial"/>
          <w:sz w:val="18"/>
          <w:szCs w:val="18"/>
          <w:i w:val="1"/>
          <w:iCs w:val="1"/>
          <w:color w:val="auto"/>
        </w:rPr>
        <w:t>Significant Joint Venture Entities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United Kingdom</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u w:val="single" w:color="auto"/>
          <w:color w:val="auto"/>
        </w:rPr>
        <w:t>End of Contract Notifications and Annual Best Tariff Notifications</w:t>
      </w:r>
      <w:r>
        <w:rPr>
          <w:rFonts w:ascii="Arial" w:cs="Arial" w:eastAsia="Arial" w:hAnsi="Arial"/>
          <w:sz w:val="15"/>
          <w:szCs w:val="15"/>
          <w:color w:val="auto"/>
        </w:rPr>
        <w:t>. Specific obligations regarding end of contract and annual best tariff notifications are imposed by Ofcom on providers. These require the VMO2 JV to (i) alert customers who are approaching the end of a minimum contract term to the fact that their contract period is coming to an end and to set out the best new price that the VMO2 JV can offer them and (ii) once a year, alert customers who are out of contract to that fact and again confirm the best new price the VMO2 JV can offer them. In both cases, the VMO2 JV must also set out the price available to new customers for an equivalent service offering. These requirements have adversely impacted our and the VMO2 JV’s revenue since their implementation.</w:t>
      </w:r>
    </w:p>
    <w:p>
      <w:pPr>
        <w:spacing w:after="0" w:line="176" w:lineRule="exact"/>
        <w:rPr>
          <w:sz w:val="20"/>
          <w:szCs w:val="20"/>
          <w:color w:val="auto"/>
        </w:rPr>
      </w:pPr>
    </w:p>
    <w:p>
      <w:pPr>
        <w:jc w:val="both"/>
        <w:ind w:firstLine="159"/>
        <w:spacing w:after="0" w:line="277" w:lineRule="auto"/>
        <w:rPr>
          <w:sz w:val="20"/>
          <w:szCs w:val="20"/>
          <w:color w:val="auto"/>
        </w:rPr>
      </w:pPr>
      <w:r>
        <w:rPr>
          <w:rFonts w:ascii="Arial" w:cs="Arial" w:eastAsia="Arial" w:hAnsi="Arial"/>
          <w:sz w:val="17"/>
          <w:szCs w:val="17"/>
          <w:u w:val="single" w:color="auto"/>
          <w:color w:val="auto"/>
        </w:rPr>
        <w:t>Broadband Expansion</w:t>
      </w:r>
      <w:r>
        <w:rPr>
          <w:rFonts w:ascii="Arial" w:cs="Arial" w:eastAsia="Arial" w:hAnsi="Arial"/>
          <w:sz w:val="17"/>
          <w:szCs w:val="17"/>
          <w:color w:val="auto"/>
        </w:rPr>
        <w:t>. The U.K.’s Telecommunications Infrastructure (Leasehold Property) Act imposes building regulations that require new housing developments to have gigabit capable access. This new legislation comes as a result of the U.K. government’s push to encourage greater investment in new digital infrastructure and deliver FTTH/gigabit capable networks to approximately 85% of U.K. premises by 2025.</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Netherlands</w:t>
      </w:r>
    </w:p>
    <w:p>
      <w:pPr>
        <w:spacing w:after="0" w:line="23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From 2017 to 2021, the Netherlands’ NRA, the Autoriteit Consument &amp; Markt (</w:t>
      </w:r>
      <w:r>
        <w:rPr>
          <w:rFonts w:ascii="Arial" w:cs="Arial" w:eastAsia="Arial" w:hAnsi="Arial"/>
          <w:sz w:val="15"/>
          <w:szCs w:val="15"/>
          <w:b w:val="1"/>
          <w:bCs w:val="1"/>
          <w:color w:val="auto"/>
        </w:rPr>
        <w:t>ACM</w:t>
      </w:r>
      <w:r>
        <w:rPr>
          <w:rFonts w:ascii="Arial" w:cs="Arial" w:eastAsia="Arial" w:hAnsi="Arial"/>
          <w:sz w:val="15"/>
          <w:szCs w:val="15"/>
          <w:color w:val="auto"/>
        </w:rPr>
        <w:t>), conducted a market analysis of high-quality wholesale access. On November 18, 2021, the ACM submitted to the European Commission its intended decision to withdraw regulation of the high-quality business telecom services provided over KPN’s network. On December 16, 2021, the European Commission indicated that it had no comments, resulting in the final decision of the ACM on December 23, 2021 to completely deregulate the high-quality wholesale access market in the Netherlands.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 xml:space="preserve">All our filings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Arial" w:cs="Arial" w:eastAsia="Arial" w:hAnsi="Arial"/>
          <w:sz w:val="17"/>
          <w:szCs w:val="17"/>
          <w:i w:val="1"/>
          <w:iCs w:val="1"/>
          <w:color w:val="auto"/>
        </w:rPr>
        <w:t>www.libertyglobal.com.</w:t>
      </w:r>
      <w:r>
        <w:rPr>
          <w:rFonts w:ascii="Arial" w:cs="Arial" w:eastAsia="Arial" w:hAnsi="Arial"/>
          <w:sz w:val="17"/>
          <w:szCs w:val="17"/>
          <w:color w:val="auto"/>
        </w:rPr>
        <w:t xml:space="preserve"> The information on our website is not part of this Annual Report and is not incorporated by reference herein. The SEC also maintains a website address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risk factors described in this section have been separated into four groups:</w:t>
      </w:r>
    </w:p>
    <w:p>
      <w:pPr>
        <w:spacing w:after="0" w:line="190"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relate to the competition we or our affiliates face and the technology used in our businesses;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relate to operating in overseas markets and being subject to foreign regulation;</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relate to certain financial matters;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risks, including risks that, among other things, relate to the obstacles that may be faced by anyone who may seek to acquire us.</w:t>
      </w:r>
    </w:p>
    <w:p>
      <w:pPr>
        <w:spacing w:after="0" w:line="2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any of the events described below, individually or in combination, were to occur, our businesses, prospects, financial condition, results of operations and/or cash flows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Factors Relating to Competition and Technology</w:t>
      </w:r>
    </w:p>
    <w:p>
      <w:pPr>
        <w:spacing w:after="0" w:line="24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b w:val="1"/>
          <w:bCs w:val="1"/>
          <w:i w:val="1"/>
          <w:iCs w:val="1"/>
          <w:color w:val="auto"/>
        </w:rPr>
        <w:t xml:space="preserve">We operate in increasingly competitive markets, and there is a risk that we will not be able to effectively compete with other service providers. </w:t>
      </w:r>
      <w:r>
        <w:rPr>
          <w:rFonts w:ascii="Arial" w:cs="Arial" w:eastAsia="Arial" w:hAnsi="Arial"/>
          <w:sz w:val="15"/>
          <w:szCs w:val="15"/>
          <w:color w:val="auto"/>
        </w:rPr>
        <w:t>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for cable television, broadband internet, telephony and mobile services are highly competitive. In the provision of video services, we face competition from FTA and digital terrestrial television (</w:t>
      </w:r>
      <w:r>
        <w:rPr>
          <w:rFonts w:ascii="Arial" w:cs="Arial" w:eastAsia="Arial" w:hAnsi="Arial"/>
          <w:sz w:val="15"/>
          <w:szCs w:val="15"/>
          <w:b w:val="1"/>
          <w:bCs w:val="1"/>
          <w:color w:val="auto"/>
        </w:rPr>
        <w:t>DTT</w:t>
      </w:r>
      <w:r>
        <w:rPr>
          <w:rFonts w:ascii="Arial" w:cs="Arial" w:eastAsia="Arial" w:hAnsi="Arial"/>
          <w:sz w:val="15"/>
          <w:szCs w:val="15"/>
          <w:color w:val="auto"/>
        </w:rPr>
        <w:t>) broadcasters, video provided via satellite platforms, networks using DSL, VDSL or vectoring technology, multi-channel multi-point distribution system operators, FTTx networks, OTT video service providers,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including for both retail and wholesale products and services, as well as providers of mobile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quadruple-play bundles of services. In many countries, we also compete with other operators using local loop unbundling to provide these services, other facilities-based operators and wireless providers. Developments in DSL as well as investments into FTTx technology by the incumbent telecommunications operators and alternative providers have improved the attractiveness of our competitors’ products and services and strengthened their competitive position. Developments in wireless technologies, such as 5G and FWA, are creating additional competitive challenges.</w:t>
      </w: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some of our markets, national and local government agencies may seek to become involved, either directly or indirectly, in the establishment of FTTx networks, DTT systems or other communications systems. We intend to pursue available options to restrict such involvement or to ensure that such involvement is on commercially reasonable terms. There can be no assurance, however, that we will be successful in these pursuits. As a result, we may face competition from entities not requiring a normal commercial return on their investments. In addition, we may face more vigorous competition than would have been the case if there were no government involvement.</w:t>
      </w:r>
    </w:p>
    <w:p>
      <w:pPr>
        <w:spacing w:after="0" w:line="2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the level and intensity of competition to continue to increase from both existing competitors and the influx of new market entrants as a result of changes in the regulatory framework of the industries in which we operate, as well as strategic alliances and cooperative relationships among industry participants. Increased competition could result in increased customer churn, reductions of customer acquisition rates for some products and services and significant price and promotional competition in our markets. In combination with difficult economic environments, these competitive pressures could adversely impact our ability to increase or, in certain cases, maintain the revenue, average revenue per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RGUs, mobile subscribers, Adjusted EBITDA (as defined in note 19 to our consolidated financial statements), Adjusted EBITDA margins and liquidity of our operating segments.</w:t>
      </w:r>
    </w:p>
    <w:p>
      <w:pPr>
        <w:spacing w:after="0" w:line="22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Changes in technology may limit the competitiveness of and demand for our services. </w:t>
      </w:r>
      <w:r>
        <w:rPr>
          <w:rFonts w:ascii="Arial" w:cs="Arial" w:eastAsia="Arial" w:hAnsi="Arial"/>
          <w:sz w:val="15"/>
          <w:szCs w:val="15"/>
          <w:color w:val="auto"/>
        </w:rPr>
        <w:t>Technology in the video, telecommunications and data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or may fail to operate as intended. A lack of market acceptance of new products and services that we may offer, or the development of significant competitive products or services by others, could have a material adverse impact on our revenue and Adjusted EBITDA.</w:t>
      </w:r>
    </w:p>
    <w:p>
      <w:pPr>
        <w:spacing w:after="0" w:line="181"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b w:val="1"/>
          <w:bCs w:val="1"/>
          <w:i w:val="1"/>
          <w:iCs w:val="1"/>
          <w:color w:val="auto"/>
        </w:rPr>
        <w:t xml:space="preserve">Our significant property and equipment additions may not generate a positive return. </w:t>
      </w:r>
      <w:r>
        <w:rPr>
          <w:rFonts w:ascii="Arial" w:cs="Arial" w:eastAsia="Arial" w:hAnsi="Arial"/>
          <w:sz w:val="15"/>
          <w:szCs w:val="15"/>
          <w:color w:val="auto"/>
        </w:rPr>
        <w:t>Significant additions to our property and equipment are, or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future may be, required to add customers to our networks and to upgrade or expand our broadband communications networks and upgrade CPE to enhance our service offerings and improve the customer experience. Additions to our property and equipment, which are currently underway, require significant capital expenditures for equipment and associated labor costs to build out and/or upgrade our networks as well as for related CPE.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jc w:val="both"/>
        <w:ind w:firstLine="318"/>
        <w:spacing w:after="0" w:line="264" w:lineRule="auto"/>
        <w:rPr>
          <w:sz w:val="20"/>
          <w:szCs w:val="20"/>
          <w:color w:val="auto"/>
        </w:rPr>
      </w:pPr>
      <w:r>
        <w:rPr>
          <w:rFonts w:ascii="Arial" w:cs="Arial" w:eastAsia="Arial" w:hAnsi="Arial"/>
          <w:sz w:val="17"/>
          <w:szCs w:val="17"/>
          <w:color w:val="auto"/>
        </w:rPr>
        <w:t>No assurance can be given that any newbuilds, rebuilds, upgrades or extensions of our network will increase penetration rates, increase average monthly subscription revenue per average cable RGU or mobile subscriber, as applicable, or otherwise generate positive returns as anticipated, or that we will have adequate capital available to finance such newbuilds, rebuilds, upgrades or extensions. Additionally, costs related to our property and equipment additions could end up being greater than originally anticipated or planned. If this is the case, we may require additional financing sooner than anticipated, we may have to divert funding from other planned projects or we may have to delay or abandon some or all of our development and expansion plans or otherwise forego market opportunities. Additional financing may not be available on favorable terms, if at all, and our ability to incur additional debt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20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Arial" w:cs="Arial" w:eastAsia="Arial" w:hAnsi="Arial"/>
          <w:sz w:val="15"/>
          <w:szCs w:val="15"/>
          <w:color w:val="auto"/>
        </w:rPr>
        <w:t>The success of our video subscription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depends, in large part, on our ability to provide a wide selection of popular programming to our subscribers. In general, we do not produce our own content, and we depend on our agreements, relationships and cooperation with public and private broadcasters, rights holders and collective rights associations to obtain such content. If we fail to obtain a diverse array of popular programming for our pay television services, including a sufficient selection of HD channels as well as non-linear content (such as a selection of attractive VoD content) and rights for ancillary services such as DVR and catch 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There has also been a rise in the number of direct-to-consumer offerings from content owners which impacts negotiations and the content, rights available and restrictions imposed on us. Programming and copyright costs represent a significant portion of our operating costs and are subject to price rises in future periods due to various factors, including (i) higher costs associated with the expansion of our digital video content, including rights associated with ancillary product offerings and rights that provide for the broadcast of live sporting events and (ii) rate increases, including as a result of inflationary pressures.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are unable to obtain or retain attractively priced, competitive content, demand for our existing and future video services could decrease, thereby limiting our ability to attract new customers, maintain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 and as certain players in the OTT market, for example Netflix, Amazon and Disney, increasingly produce their own exclusive content.</w:t>
      </w:r>
    </w:p>
    <w:p>
      <w:pPr>
        <w:spacing w:after="0" w:line="206"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b w:val="1"/>
          <w:bCs w:val="1"/>
          <w:i w:val="1"/>
          <w:iCs w:val="1"/>
          <w:color w:val="auto"/>
        </w:rPr>
        <w:t xml:space="preserve">We depend on third-party suppliers and licensors to supply necessary equipment, software and certain services required for our businesses. </w:t>
      </w:r>
      <w:r>
        <w:rPr>
          <w:rFonts w:ascii="Arial" w:cs="Arial" w:eastAsia="Arial" w:hAnsi="Arial"/>
          <w:sz w:val="15"/>
          <w:szCs w:val="15"/>
          <w:color w:val="auto"/>
        </w:rPr>
        <w:t>We rely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or supply chain systems, terrorism and labor issues. As a result, we may not be able to obtain the equipment, software and services required for our businesses on a timely basis or on satisfactory terms. Any shortfall in CPE could lead to delays in completing extensions or upgrades to our networks and in connecting customers to our services and, accordingly, could adversely impact our ability to maintain or increase our RGUs, revenue and cash flows. Also, if demand exceeds the suppliers’ and licensors’ capacity or if they experience financial difficulties, the ability of our businesses to provide some services may be materially adversely affected, which in turn could affect our businesses’ ability to attract and retain customers. We have experienced certain business disruptions due to the worldwide silicon shortage, which has increased the delivery lead times and pricing of certain of our key components. We cannot predict how long such shortages will continue or what future disruptions to our business.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patents and trade secrets) and we may be required to enter into licensing arrangements on unfavorable terms, incur monetary damages or be enjoined from use of the intellectual property rights in question</w:t>
      </w:r>
      <w:r>
        <w:rPr>
          <w:rFonts w:ascii="Arial" w:cs="Arial" w:eastAsia="Arial" w:hAnsi="Arial"/>
          <w:sz w:val="15"/>
          <w:szCs w:val="15"/>
          <w:b w:val="1"/>
          <w:bCs w:val="1"/>
          <w:color w:val="auto"/>
        </w:rPr>
        <w:t>.</w:t>
      </w:r>
    </w:p>
    <w:p>
      <w:pPr>
        <w:spacing w:after="0" w:line="17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b w:val="1"/>
          <w:bCs w:val="1"/>
          <w:i w:val="1"/>
          <w:iCs w:val="1"/>
          <w:color w:val="auto"/>
        </w:rPr>
        <w:t>Spectrum cost and availability and regulation may adversely affect our business, financial condition and operating results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continue to enhance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quality of our services in certain geographic areas and deploy new technologies, including 5G, we may need to acquire additional spectrum in the future. As a result, we will continue to actively seek to make additional investment in spectrum, which could be significant.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both"/>
        <w:ind w:firstLine="318"/>
        <w:spacing w:after="0" w:line="312" w:lineRule="auto"/>
        <w:rPr>
          <w:sz w:val="20"/>
          <w:szCs w:val="20"/>
          <w:color w:val="auto"/>
        </w:rPr>
      </w:pPr>
      <w:r>
        <w:rPr>
          <w:rFonts w:ascii="Arial" w:cs="Arial" w:eastAsia="Arial" w:hAnsi="Arial"/>
          <w:sz w:val="15"/>
          <w:szCs w:val="15"/>
          <w:color w:val="auto"/>
        </w:rPr>
        <w:t>The continued interest in, and acquisition of, spectrum by existing carriers and others may reduce our ability to acquire, and increase the acquisition cost of, spectrum in the secondary market or negatively impact our ability to gain access to spectrum through other means, including government auctions. Our return on investment in spectrum depends on our ability to attract additional customers and to provide additional services and usage to existing customers. Additionally, applicable regulatory bodies may not be able to provide sufficient additional spectrum to auction. We may also be unable to secure the spectrum necessary to maintain or enhance our competitive position in auctions or in the secondary market, on favorable terms or at all.</w:t>
      </w:r>
    </w:p>
    <w:p>
      <w:pPr>
        <w:spacing w:after="0" w:line="1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regulatory bodies may impose conditions on the acquisition or use of new wireless broadband mobile spectrum that may negatively impact our ability to obtain spectrum economically or in appropriate configurations or coverage areas.</w:t>
      </w:r>
    </w:p>
    <w:p>
      <w:pPr>
        <w:spacing w:after="0" w:line="2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If we cannot acquire needed spectrum, if competitors acquire spectrum that allows them to provide competitive services or if we cannot deploy services over acquired spectrum on a timely basis without burdensome conditions, at reasonable costs, or while maintaining network quality levels, our ability to attract and retain customers and our business, financial condition and operating results could be materially adversely affected.</w:t>
      </w:r>
    </w:p>
    <w:p>
      <w:pPr>
        <w:spacing w:after="0" w:line="19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Arial" w:cs="Arial" w:eastAsia="Arial" w:hAnsi="Arial"/>
          <w:sz w:val="15"/>
          <w:szCs w:val="15"/>
          <w:color w:val="auto"/>
        </w:rPr>
        <w:t>Our services to mobile customers in Ireland rely on the use of an MVNO arrangement, currently with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(Hutchison), whereby we utilize the radio access networks of a third-party wireless network provider to carry our mobile communications traffic. If our MVNO arrangement is terminated, or if Three (Hutchison) fails to provide the services required under our MVNO arrangement, or if it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 comes to term, we may not be able to renegotiate renewal or replacement MVNO arrangement on the same or more favorable terms.</w:t>
      </w:r>
    </w:p>
    <w:p>
      <w:pPr>
        <w:spacing w:after="0" w:line="18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b w:val="1"/>
          <w:bCs w:val="1"/>
          <w:i w:val="1"/>
          <w:iCs w:val="1"/>
          <w:color w:val="auto"/>
        </w:rPr>
        <w:t xml:space="preserve">Failure in our or third-party technology or telecommunications systems, leakage of sensitive customer data, or security breaches could significantly disrupt our operations, reduce our customer base and result in fines, litigation or lost revenue. </w:t>
      </w:r>
      <w:r>
        <w:rPr>
          <w:rFonts w:ascii="Arial" w:cs="Arial" w:eastAsia="Arial" w:hAnsi="Arial"/>
          <w:sz w:val="15"/>
          <w:szCs w:val="15"/>
          <w:color w:val="auto"/>
        </w:rPr>
        <w:t>Our success depends, in part, on the continued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uninterrupted performance of our information technology and network systems, 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cable network in a particular country or geographic region is housed in a relatively small number of locations. Our and our third-party service providers’ systems and equipment (including our routers and set-top boxes) are vulnerable to damage or security breach from a variety of sources, including telecommunications failures, power loss (such as blackouts or brownouts), malicious human acts, security flaws and natural disaster or extreme weather events (including heatwaves, large storms and floods, whether or not arising from short-term or long-term changes in weather patterns). Moreover, despite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authorized access to, disable or degrade our or our third-party service providers’ systems because the techniques for doing so change frequently, are increasingly complex and sophisticated and are difficult to detect for periods of time. In addition, as discussed further below, the security measures and procedures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200" w:lineRule="exact"/>
        <w:rPr>
          <w:sz w:val="20"/>
          <w:szCs w:val="20"/>
          <w:color w:val="auto"/>
        </w:rPr>
      </w:pPr>
    </w:p>
    <w:p>
      <w:pPr>
        <w:spacing w:after="0" w:line="20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Through our operations, sales and marketing activities, we collect and store certain personal information related to our customers.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using the same methods described in the prior paragraph. As a result, data and information we gather could be subject to misappropriation, misuse, leakage, falsification or accidental release or loss of information maintained in our information technology systems and networks and those of our third-party service providers, including customer and personnel data. As a result of the increasing awareness concerning the importance of safeguarding personal information, the potential misuse of such information and legislation that has been adopted or is being considered across all of our markets regarding the protection, privacy and security of personal information, information-related risks are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increasing, particularly for businesses like ours that handle a large amount of personal data. Failure to comply with these data protection laws may result in, among other consequences, fines, litigation or regulatory actions by local, state, federal or non-U.S. authorities.</w:t>
      </w:r>
    </w:p>
    <w:p>
      <w:pPr>
        <w:spacing w:after="0" w:line="206"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Despite the precautions we have taken, unanticipated problems affecting our systems and equipment could cause business disruptions such as failures in our information technology systems, disruption in the transmission of signals over our networks, unauthorized access to the data and information we gather or similar problems. Further, although we devote significant resources to our cybersecurity programs and have implemented security measures to protect our systems and data, and to prevent, detect and respond to data security incidents, there can be no assurance that our efforts will prevent these threats. Any disruptive situation that causes loss, misappropriation, misuse or leakage of data could damage our reputation and the credibility of our operations and could subject us to potential liability, including litigation or other legal actions against us, the imposition of penalties, fines, fees or liabilities, which may not be covered by our insurance policies, and lost customers or revenue. While we maintain cyber liability insurance that provides both third-party liability and first-party liability insurance coverage, such insurance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upgrade further the security measures we employ to protect customer, employee and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 To date, other than the non-permitted access of one of Virgin Media’s databases in February of 2020, we have not been subject to cyberattacks or network disruptions that, individually or in the aggregate, have been material to our operations or financial condition. Although we have not detected another material security breach or cybersecurity incident to date, we have been the target of events of this nature and expect to be subject to similar attacks in the future.</w:t>
      </w: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We and our third-party vendors rely on the availability of raw materials used to produce our CPE. If the materials become scarce or our supply chains for obtaining such materials are disrupted, we might be forced to expend significant resources to obtain replacement materials or experience significant delays in delivering certain CPE to our customers, which could damage our reputation, credibility and business and have a negative impact on our revenue or margins.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Operations and Regulation</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Our businesses are conducted almost exclusively outside of the U.S., which gives rise to numerous operational risks. </w:t>
      </w:r>
      <w:r>
        <w:rPr>
          <w:rFonts w:ascii="Arial" w:cs="Arial" w:eastAsia="Arial" w:hAnsi="Arial"/>
          <w:sz w:val="18"/>
          <w:szCs w:val="18"/>
          <w:color w:val="auto"/>
        </w:rPr>
        <w:t>Our businesses operate almost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exclusively in countries outside the U.S. and are subject to the following inherent risks:</w:t>
      </w:r>
    </w:p>
    <w:p>
      <w:pPr>
        <w:spacing w:after="0" w:line="206"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and import restrictions, custom duties, tariffs and other trade barriers;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taxes and governmental fees;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and political instability;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foreign and domestic laws and policies that govern operations of foreign-based companies.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Operational risks that we may experience in certain countries include disruptions of services or loss of property or equipment that are critical to overseas businesses due to expropriation, nationalization, war, insurrection, terrorism or general social or political unrest.</w:t>
      </w:r>
    </w:p>
    <w:p>
      <w:pPr>
        <w:spacing w:after="0" w:line="20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i w:val="1"/>
          <w:iCs w:val="1"/>
          <w:color w:val="auto"/>
        </w:rPr>
        <w:t xml:space="preserve">We are exposed to foreign currency exchange rate risk. </w:t>
      </w:r>
      <w:r>
        <w:rPr>
          <w:rFonts w:ascii="Arial" w:cs="Arial" w:eastAsia="Arial" w:hAnsi="Arial"/>
          <w:sz w:val="17"/>
          <w:szCs w:val="17"/>
          <w:color w:val="auto"/>
        </w:rPr>
        <w:t>We are exposed to foreign currency exchange rate risk with respect to our consolidated debt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convert unmatched debt into the applicable underlying currency. At December 31, 2022, substantially all of our debt was either directly or synthetically matched to the applicable functional currencies of the underlying operations.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also exposed to foreign currency exchange rate risk in respect of our cash and cash equivalents and in respect of investments held within separately managed accounts. A substantial portion of our cash and cash equivalents is held in U.S. dollars, but we hold balances in other currencies reflecting the operational and strategic needs of the company. The investments held in our separately managed accounts are generally in U.S. dollars, and any instruments denominated in a foreign currency are generally hedged back to the U.S. dollar.</w:t>
      </w:r>
    </w:p>
    <w:p>
      <w:pPr>
        <w:spacing w:after="0" w:line="21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18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2022 was to the euro and Swiss franc, as 55.1% and 43.6% of our reported revenue during the period was derived from subsidiaries whose functional currencies are the euro and Swiss franc, respectively.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w:t>
      </w:r>
    </w:p>
    <w:p>
      <w:pPr>
        <w:spacing w:after="0" w:line="18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 xml:space="preserve">Our businesses are subject to risks of adverse regulation. </w:t>
      </w:r>
      <w:r>
        <w:rPr>
          <w:rFonts w:ascii="Arial" w:cs="Arial" w:eastAsia="Arial" w:hAnsi="Arial"/>
          <w:sz w:val="15"/>
          <w:szCs w:val="15"/>
          <w:color w:val="auto"/>
        </w:rPr>
        <w:t>Our businesses are subject to the unique regulatory regimes of the countries in which they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operate. Video distribution, broadband internet, telephony and mobile services are subject to licensing or registration eligibility rules and regulations, which vary by country. Countries in which we operate may adopt laws and regulations regarding electronic commerce, which could dampen the growth of the internet services being offered and developed by our businesses. In a number of countries, our ability to increase prices for, or change our services, including the programming packages we offer is limited by regulation or conditions imposed by competition authorities or is subject to review by regulatory authorities or is subject to termination rights of customers. More significantly, regulatory authorities may require us, particularly if we are deemed to possess SMP or there are significant economic or physical replicability barriers, to grant third parties access to our networks, facilities or services to distribute their own services or resell our services to end customers.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loss of required licenses or other adverse conditions.</w:t>
      </w:r>
    </w:p>
    <w:p>
      <w:pPr>
        <w:spacing w:after="0" w:line="3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Adverse changes in rules and regulations could:</w:t>
      </w:r>
    </w:p>
    <w:p>
      <w:pPr>
        <w:spacing w:after="0" w:line="243"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impair our ability to use our networks in ways that would generate maximum revenue and Adjusted EBITDA;</w:t>
      </w:r>
    </w:p>
    <w:p>
      <w:pPr>
        <w:spacing w:after="0" w:line="150" w:lineRule="exact"/>
        <w:rPr>
          <w:rFonts w:ascii="Arial" w:cs="Arial" w:eastAsia="Arial" w:hAnsi="Arial"/>
          <w:sz w:val="18"/>
          <w:szCs w:val="18"/>
          <w:i w:val="1"/>
          <w:iCs w:val="1"/>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 shortage of capacity on our networks, which could limit the types and variety of services we seek to provide our customers;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our ability to access spectrum for our mobile services;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strengthen our competitors by granting them access and lowering their costs to enter into our markets; and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significantly and adversely impact our results of operations.</w:t>
      </w:r>
    </w:p>
    <w:p>
      <w:pPr>
        <w:spacing w:after="0" w:line="2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Businesses, including ours, that offer multiple services, such as video distribution as well as internet, telephony, and/or mobile services, or that are vertically integrated and offer both video distribution and programming content, often face close regulatory scrutiny from competition authorities. This is particularly the case with respect to any proposed business combinations, which often require clearance from the European Commission or national competition authorities, which can block, impose conditions on, or delay an acquisition, thus possibly hampering our opportunities for growth. Additional scrutiny is also imposed under the national foreign direct investment screening regimes recently adopted by the U.K. and some E.U. Member States, which allow national governments to review and impose conditions on certain transactions involving critical infrastructures such as telecommunications. In the event conditions are imposed and we fail to meet them in a timely manner, the relevant authority or governments may impose fines and, if in connection with a transaction, may require restorative measures, such as a disposition of assets or divestiture of operations.</w:t>
      </w:r>
    </w:p>
    <w:p>
      <w:pPr>
        <w:spacing w:after="0" w:line="2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on certain other regulatory developments that could adversely impact our results of operations in future periods, see </w:t>
      </w:r>
      <w:r>
        <w:rPr>
          <w:rFonts w:ascii="Arial" w:cs="Arial" w:eastAsia="Arial" w:hAnsi="Arial"/>
          <w:sz w:val="18"/>
          <w:szCs w:val="18"/>
          <w:i w:val="1"/>
          <w:iCs w:val="1"/>
          <w:color w:val="auto"/>
        </w:rPr>
        <w:t>Legal and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and Other Contingencies </w:t>
      </w:r>
      <w:r>
        <w:rPr>
          <w:rFonts w:ascii="Arial" w:cs="Arial" w:eastAsia="Arial" w:hAnsi="Arial"/>
          <w:sz w:val="18"/>
          <w:szCs w:val="18"/>
          <w:color w:val="auto"/>
        </w:rPr>
        <w:t>in note 18 to our consolidated financial statements.</w:t>
      </w:r>
    </w:p>
    <w:p>
      <w:pPr>
        <w:spacing w:after="0" w:line="20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 xml:space="preserve">New and existing legislation, and interpretations thereof, may significantly alter the regulatory regimes applicable to us, which could adversely affect our competitive position and profitability, and we may become subject to more extensive regulation, particularly if we are deemed to possess significant market power in any of the markets in which we operate. </w:t>
      </w:r>
      <w:r>
        <w:rPr>
          <w:rFonts w:ascii="Arial" w:cs="Arial" w:eastAsia="Arial" w:hAnsi="Arial"/>
          <w:sz w:val="15"/>
          <w:szCs w:val="15"/>
          <w:color w:val="auto"/>
        </w:rPr>
        <w:t>Significant changes to the existing regulatory regimes applicable to the provision of video,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telephony, internet and mobile services have been and are still being introduced. For example, in the E.U., the Code is the primary source of communications regulation affecting our E.U. businesses, including access, user and privacy rights, video must-carry services and our competitive activities. The U.K. and Switzerland have systems that largely reflect the principles of the E.U. In addition, we are subject to regular review by national regulatory authorities in the E.U. and the U.K. concerning whether we exhibit SMP. A finding of SMP can result in our company becoming subject to open access, pricing and other requirements that could potentially advantage our competitors. This has resulted, for example, in obligations with respect to call termination for our telephony business in Europe and video and broadband internet access obligations in Belgium.</w:t>
      </w:r>
    </w:p>
    <w:p>
      <w:pPr>
        <w:spacing w:after="0" w:line="1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any laws, regulations or rules are enacted or reinterpreted so as to expand the regulation of our products and services or our disclosure obligations, they could affect our operations or require significant expenditures. For example, certain of our business operations will become subject to corporate responsibility reporting obligations pursuant to the CSRD in the coming years. We cannot predict future developments in these areas, and any changes to the regulatory framework for our products and services or our disclosure obligations could have a negative impact on our business and results of operations.</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 xml:space="preserve">The U.K.’s departure from the E.U. could have a material adverse effect on our business, financial condition, results of operations or liquidity.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U.K. formally exited the E.U. on January 31, 2020, and on December 24, 2020, entered into the E.U.-U.K. Agreement. For more information regarding the E.U.-U.K. Agreement, see </w:t>
      </w:r>
      <w:r>
        <w:rPr>
          <w:rFonts w:ascii="Arial" w:cs="Arial" w:eastAsia="Arial" w:hAnsi="Arial"/>
          <w:sz w:val="18"/>
          <w:szCs w:val="18"/>
          <w:i w:val="1"/>
          <w:iCs w:val="1"/>
          <w:color w:val="auto"/>
        </w:rPr>
        <w:t>Item 1. Business - Regulatory Matters - Overview</w:t>
      </w:r>
      <w:r>
        <w:rPr>
          <w:rFonts w:ascii="Arial" w:cs="Arial" w:eastAsia="Arial" w:hAnsi="Arial"/>
          <w:sz w:val="18"/>
          <w:szCs w:val="18"/>
          <w:color w:val="auto"/>
        </w:rPr>
        <w:t xml:space="preserve"> discussion above. Examples of the potential impact Brexit could have on our business, financial condition or results of operations include:</w:t>
      </w:r>
    </w:p>
    <w:p>
      <w:pPr>
        <w:spacing w:after="0" w:line="219" w:lineRule="exact"/>
        <w:rPr>
          <w:sz w:val="20"/>
          <w:szCs w:val="20"/>
          <w:color w:val="auto"/>
        </w:rPr>
      </w:pPr>
    </w:p>
    <w:p>
      <w:pPr>
        <w:jc w:val="both"/>
        <w:ind w:left="640" w:hanging="316"/>
        <w:spacing w:after="0" w:line="25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labor necessary to conduct our business;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disruption to our U.K. supply chain and related increased cost of supplies;</w:t>
      </w:r>
    </w:p>
    <w:p>
      <w:pPr>
        <w:spacing w:after="0" w:line="137" w:lineRule="exact"/>
        <w:rPr>
          <w:rFonts w:ascii="Arial" w:cs="Arial" w:eastAsia="Arial" w:hAnsi="Arial"/>
          <w:sz w:val="18"/>
          <w:szCs w:val="18"/>
          <w:i w:val="1"/>
          <w:iCs w:val="1"/>
          <w:color w:val="auto"/>
        </w:rPr>
      </w:pPr>
    </w:p>
    <w:p>
      <w:pPr>
        <w:ind w:left="640" w:hanging="316"/>
        <w:spacing w:after="0"/>
        <w:tabs>
          <w:tab w:leader="none" w:pos="64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a weakened U.K. economy resulting in decreased consumer demand for our products and services in the U.K.;</w:t>
      </w:r>
    </w:p>
    <w:p>
      <w:pPr>
        <w:spacing w:after="0" w:line="150" w:lineRule="exact"/>
        <w:rPr>
          <w:rFonts w:ascii="Arial" w:cs="Arial" w:eastAsia="Arial" w:hAnsi="Arial"/>
          <w:sz w:val="18"/>
          <w:szCs w:val="18"/>
          <w:i w:val="1"/>
          <w:iCs w:val="1"/>
          <w:color w:val="auto"/>
        </w:rPr>
      </w:pPr>
    </w:p>
    <w:p>
      <w:pPr>
        <w:ind w:left="640" w:hanging="316"/>
        <w:spacing w:after="0" w:line="365" w:lineRule="auto"/>
        <w:tabs>
          <w:tab w:leader="none" w:pos="635" w:val="left"/>
        </w:tabs>
        <w:numPr>
          <w:ilvl w:val="0"/>
          <w:numId w:val="27"/>
        </w:numPr>
        <w:rPr>
          <w:rFonts w:ascii="Arial" w:cs="Arial" w:eastAsia="Arial" w:hAnsi="Arial"/>
          <w:sz w:val="15"/>
          <w:szCs w:val="15"/>
          <w:i w:val="1"/>
          <w:iCs w:val="1"/>
          <w:color w:val="auto"/>
        </w:rPr>
      </w:pPr>
      <w:r>
        <w:rPr>
          <w:rFonts w:ascii="Arial" w:cs="Arial" w:eastAsia="Arial" w:hAnsi="Arial"/>
          <w:sz w:val="15"/>
          <w:szCs w:val="15"/>
          <w:color w:val="auto"/>
        </w:rPr>
        <w:t>legal uncertainty, increased compliance costs and potentially divergent national laws and regulations as the U.K. determines which E.U. laws and directives to replace or replicate, or where previously implemented by enactment of U.K. laws or regulations, to retain, amend or repeal; and</w:t>
      </w:r>
    </w:p>
    <w:p>
      <w:pPr>
        <w:spacing w:after="0" w:line="44" w:lineRule="exact"/>
        <w:rPr>
          <w:rFonts w:ascii="Arial" w:cs="Arial" w:eastAsia="Arial" w:hAnsi="Arial"/>
          <w:sz w:val="15"/>
          <w:szCs w:val="15"/>
          <w:i w:val="1"/>
          <w:iCs w:val="1"/>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various geopolitical forces may impact the global economy and our business, including, for example, other E.U. member states (in particular those member states where we have operations) proposing referendums to, or electing to, exit the E.U.</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We cannot be certain that we will be successful with respect to acquisitions, dispositions, joint ventures, partnerships or other similar transactions, or that we will achieve the anticipated benefits thereof. </w:t>
      </w:r>
      <w:r>
        <w:rPr>
          <w:rFonts w:ascii="Arial" w:cs="Arial" w:eastAsia="Arial" w:hAnsi="Arial"/>
          <w:sz w:val="18"/>
          <w:szCs w:val="18"/>
          <w:color w:val="auto"/>
        </w:rPr>
        <w:t>Historically, our businesses have grown, in part, through selective acquisitions that enabled them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of existing networks, local service offerings and region-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spacing w:after="0" w:line="303" w:lineRule="auto"/>
        <w:rPr>
          <w:sz w:val="20"/>
          <w:szCs w:val="20"/>
          <w:color w:val="auto"/>
        </w:rPr>
      </w:pPr>
      <w:r>
        <w:rPr>
          <w:rFonts w:ascii="Arial" w:cs="Arial" w:eastAsia="Arial" w:hAnsi="Arial"/>
          <w:sz w:val="15"/>
          <w:szCs w:val="15"/>
          <w:color w:val="auto"/>
        </w:rPr>
        <w:t>specific management expertise, and we have also taken advantage of attractive opportunities to sell select businesses and partner with others. We expect to seek to continue improving our company through attractive acquisitions, dispositions, joint ventures, partnerships or other similar transactions in selected markets, such as the Sunrise Acquisition in November 2020, the sale of UPC Poland in April 2022 and the Telenet Tower Sale in June 2022, as well as the formations of the VMO2 JV in June 2021, the AtlasEdge JV in September 2021 and the nexfibre JV in December 2022. Our ability to complete any transaction may be limited by many factors, including government regulation, availability of financing, our or our counterparty’s debt covenants, the prevalence of complex ownership structures among potential targets, acquirers, joint ventures or partners, disapproval by shareholders of potential targets or acquirers, and competition from other potential acquirers, including private equity funds. Even if we are successful in completing such transactions, integration and separation activities may present significant costs and challenges. We cannot be assured that we will be successful with respect to acquisitions, dispositions, joint ventures, partnerships or other similar transactions or realizing the anticipated benefits thereof.</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we anticipate that most, if not all, companies acquired by us will be located outside the U.S. Foreign companies may not have disclosure controls and procedures or internal controls over financial reporting that are as thorough or effective as those required by U.S. securities laws and applicable accounting rules. While we intend to conduct appropriate due diligence and to implement appropriate controls and procedures as we integrate acquired companies, we may not be able to certify as to the effectiveness of these companies’ disclosure controls and procedures or internal controls over financial reporting until we have fully integrated them.</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i w:val="1"/>
          <w:iCs w:val="1"/>
          <w:color w:val="auto"/>
        </w:rPr>
        <w:t xml:space="preserve">The expected synergies and benefits from our acquisitions and joint ventures may not be realized in the amounts anticipated or may not be realized within the expected time frame, and risks associated with the foregoing may also result from the extended delay in the integration of the companies.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realize the anticipated benefits of our acquisitions and joint ventures will depend, to a large extent, on our ability to integrate our businesses and the acquired or joint venture company’s business in a manner that facilitates growth opportunities and achieves the projected cost savings. In addition, some of the anticipated synergies are not expected to occur for some time following the completion of such acquisitions and joint ventures and will require substantial capital expenditures before realizing some of those synergies.</w:t>
      </w:r>
    </w:p>
    <w:p>
      <w:pPr>
        <w:spacing w:after="0" w:line="20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COVID-19 pandemic may delay, reduce or eliminate some of our anticipated synergies and other benefits, including a delay in the integration of, or inability to integrate, the business that we acquire or partner with. Even if we are able to integrate successfully, the anticipated benefits of such transactions, including the expected synergies and network benefits, may not be realized fully or at all or may take longer to realize than expected.</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incurred substantial expenses as a result of completing our various acquisitions and joint ventures. We expect that substantial additional expenses will need to be incurred in order to integrate the businesses, operations, policies, and procedures. While we have assumed that a certain level of transaction-related expenses will be incurred, factors beyond our control could affect the total amount or the timing of these expenses. Many of the expenses that will be incurred, by their nature, are difficult to estimate accurately. These expenses could exceed the costs historically borne by us and offset, in whole or in part, the expected synergies.</w:t>
      </w:r>
    </w:p>
    <w:p>
      <w:pPr>
        <w:spacing w:after="0" w:line="21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b w:val="1"/>
          <w:bCs w:val="1"/>
          <w:i w:val="1"/>
          <w:iCs w:val="1"/>
          <w:color w:val="auto"/>
        </w:rPr>
        <w:t xml:space="preserve">Our integration efforts may not be executed successfully, or such integration may be more difficult, time consuming or costly than expected. Operating costs, customer loss and business disruption, including maintaining relationships with employees, customers, suppliers or vendors, may be greater than expected. </w:t>
      </w:r>
      <w:r>
        <w:rPr>
          <w:rFonts w:ascii="Arial" w:cs="Arial" w:eastAsia="Arial" w:hAnsi="Arial"/>
          <w:sz w:val="15"/>
          <w:szCs w:val="15"/>
          <w:color w:val="auto"/>
        </w:rPr>
        <w:t>The combination of independent businesses is complex, costly and time-consuming, and may divert significant management attention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resources. This process may disrupt our business or otherwise impact our ability to compete. The overall combination of our and the businesses of those companies that we acquire or partner with may also result in material unanticipated problems, expenses, liabilities, competitive responses and impacts and loss of customers and other business relationships. The difficulties of combining the operations of the companies include, among others:</w:t>
      </w:r>
    </w:p>
    <w:p>
      <w:pPr>
        <w:spacing w:after="0" w:line="18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attention to integration matters;</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integrating operations and systems, including intellectual property and communications systems, administrative and information technology infrastructure, and supplier and vendor arrangements, including as a result of the COVID-19 pandemic;</w:t>
      </w:r>
    </w:p>
    <w:p>
      <w:pPr>
        <w:spacing w:after="0" w:line="10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conforming standards, controls, procedures and accounting and other policies;</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alignment of key performance measurements may result in a greater need to communicate and manage clear expectations while we work to integrate and align policies and practices;</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integrating employees;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ind w:left="640" w:right="2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transition of management to the combined company management team, and the need to address possible differences in corporate cultures, management philosophies, and compensation structures;</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retaining existing customers and obtaining new customers;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government regulations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known or potential unknown liabilities of the acquired businesses that are larger than expected;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potential adverse consequences and unforeseen increased expenses or liabilities associated with the applicable transaction.</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Additionally, uncertainties over the integration process could cause customers, suppliers, distributors, dealers, retailers and others to seek to change or cancel our existing business relationships or to refuse to renew existing relationships. Suppliers, distributors and content and application providers may also delay or cease developing new products for us that are necessary for the operations of our business due to uncertainties or lack of available resources. Competitors may also target our existing customers by highlighting potential uncertainties and integration difficulties.</w:t>
      </w:r>
    </w:p>
    <w:p>
      <w:pPr>
        <w:spacing w:after="0" w:line="20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Some of these factors are outside our control, and any one of them could result in lower revenues, higher costs and diversion of management time and energy, which could adversely impact our business, financial condition and operating results. In addition, even if the integration is successful, the full benefits of our acquisitions and partnerships including, among others, the synergies, cost savings or sales or growth opportunities may not be realized. As a result, it cannot be assured that we will realize the full benefits expected from such transactions within the anticipated time frames or at all.</w:t>
      </w:r>
    </w:p>
    <w:p>
      <w:pPr>
        <w:spacing w:after="0" w:line="17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Certain operations are conducted by joint ventures that we cannot operate solely for our benefit</w:t>
      </w:r>
      <w:r>
        <w:rPr>
          <w:rFonts w:ascii="Arial" w:cs="Arial" w:eastAsia="Arial" w:hAnsi="Arial"/>
          <w:sz w:val="17"/>
          <w:szCs w:val="17"/>
          <w:color w:val="auto"/>
        </w:rPr>
        <w:t>. Certain of our operations, particularly the VMO2 JV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U.K. and the VodafoneZiggo JV in the Netherlands, are conducted through joint ventures or partnerships. We share ownership and management of these joint venture with one or more parties who may or may not have the same goals, strategies, priorities or resources as we do. In general, joint ventures are intended to be operated for the benefit of all co-owners, rather than for our exclusive benefit. Operating a business as a joint venture often requires additional organizational formalities as well as time-consuming procedures for sharing information, accounting and making decisions. In certain cases, our joint venture partners must agree in order for the applicable joint venture to take certain actions. Our inability to take unilateral action that we believe is in our best interests may have an adverse effect on the financial performance of the joint venture and the return on our investment. In joint ventures, we believe our relationship with our co-owners is an important factor to the success of the joint venture, and if a co-owner changes, our relationship may be adversely affected. In addition, the benefits from a successful joint venture are shared among the co-owners, so that we do not receive all the benefits from our successful joint ventures.</w:t>
      </w:r>
    </w:p>
    <w:p>
      <w:pPr>
        <w:spacing w:after="0" w:line="21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 xml:space="preserve">Our interests in the VodafoneZiggo JV and the VMO2 JV are held pursuant to Shareholders Agreements that contain provisions relating to governance as well as transfer and exit rights, which, depending on the circumstances, may not be in the best interest of our company. </w:t>
      </w:r>
      <w:r>
        <w:rPr>
          <w:rFonts w:ascii="Arial" w:cs="Arial" w:eastAsia="Arial" w:hAnsi="Arial"/>
          <w:sz w:val="15"/>
          <w:szCs w:val="15"/>
          <w:color w:val="auto"/>
        </w:rPr>
        <w:t>Our noncontrolling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interests in the VodafoneZiggo JV and the VMO2 JV are held pursuant to shareholders’ agreements (each a </w:t>
      </w:r>
      <w:r>
        <w:rPr>
          <w:rFonts w:ascii="Arial" w:cs="Arial" w:eastAsia="Arial" w:hAnsi="Arial"/>
          <w:sz w:val="15"/>
          <w:szCs w:val="15"/>
          <w:b w:val="1"/>
          <w:bCs w:val="1"/>
          <w:color w:val="auto"/>
        </w:rPr>
        <w:t>Shareholders Agreements</w:t>
      </w:r>
      <w:r>
        <w:rPr>
          <w:rFonts w:ascii="Arial" w:cs="Arial" w:eastAsia="Arial" w:hAnsi="Arial"/>
          <w:sz w:val="15"/>
          <w:szCs w:val="15"/>
          <w:color w:val="auto"/>
        </w:rPr>
        <w:t>), which provides the terms of the governance of the VodafoneZiggo JV and the VMO2 JV, as applicable, including among others, decision-making process, information access, dividend policy and non-compete provisions. These provisions may prevent the VodafoneZiggo JV or the VMO2 JV, as applicable from making decisions or taking actions that would protect or advance the interests of our company, and could even result in the VodafoneZiggo JV or the VMO2 JV, as applicable, making decisions or taking actions that adversely impact our company. Further, our ability to access the cash of the VodafoneZiggo JV or the VMO2 JV, as applicable, pursuant to the dividend policy contained in the Shareholders Agreements may be restricted in certain circumstances. The Shareholders Agreements also provide for restrictions on the transfer of interests in the VodafoneZiggo JV and the VMO2 JV, as applicable, which could adversely affect our ability to sell our interest in the VodafoneZiggo JV or the VMO2 JV, as applicable, and/or the prices at which our interest may be sold, as well as certain exit arrangements, which could force us to sell our interest. For additional information on the VodafoneZiggo JV or the VMO2 JV and their respective Shareholders Agreement, see note 7 to our consolidated financial statements included in Part II of this Annual Report on Form 10-K.</w:t>
      </w:r>
    </w:p>
    <w:p>
      <w:pPr>
        <w:spacing w:after="0" w:line="39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We may have exposure to additional tax liabilities. </w:t>
      </w:r>
      <w:r>
        <w:rPr>
          <w:rFonts w:ascii="Arial" w:cs="Arial" w:eastAsia="Arial" w:hAnsi="Arial"/>
          <w:sz w:val="17"/>
          <w:szCs w:val="17"/>
          <w:color w:val="auto"/>
        </w:rPr>
        <w:t>We are subject to income taxes as well as non-income based taxes, such as value-added tax (</w:t>
      </w:r>
      <w:r>
        <w:rPr>
          <w:rFonts w:ascii="Arial" w:cs="Arial" w:eastAsia="Arial" w:hAnsi="Arial"/>
          <w:sz w:val="17"/>
          <w:szCs w:val="17"/>
          <w:b w:val="1"/>
          <w:bCs w:val="1"/>
          <w:color w:val="auto"/>
        </w:rPr>
        <w:t>VAT</w:t>
      </w:r>
      <w:r>
        <w:rPr>
          <w:rFonts w:ascii="Arial" w:cs="Arial" w:eastAsia="Arial" w:hAnsi="Arial"/>
          <w:sz w:val="17"/>
          <w:szCs w:val="17"/>
          <w:color w:val="auto"/>
        </w:rPr>
        <w: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U.K.,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These audits may lead to disputes with tax</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authorities which may result in litigation. Although we believe that our tax estimates are reasonable, any material differences as a result of final determinations of tax audits or tax disputes could have an adverse effect on our financial position and results of operations in the period or periods for which such determination is made.</w:t>
      </w:r>
    </w:p>
    <w:p>
      <w:pPr>
        <w:spacing w:after="0" w:line="21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are subject to changing tax laws, treaties and regulations in and between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w:t>
      </w:r>
    </w:p>
    <w:p>
      <w:pPr>
        <w:spacing w:after="0" w:line="20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 changes in the tax laws of the foreign jurisdictions in which we operate could arise as a result of the Base Erosion and Profit Shifting (</w:t>
      </w:r>
      <w:r>
        <w:rPr>
          <w:rFonts w:ascii="Arial" w:cs="Arial" w:eastAsia="Arial" w:hAnsi="Arial"/>
          <w:sz w:val="15"/>
          <w:szCs w:val="15"/>
          <w:b w:val="1"/>
          <w:bCs w:val="1"/>
          <w:color w:val="auto"/>
        </w:rPr>
        <w:t>BEPS</w:t>
      </w:r>
      <w:r>
        <w:rPr>
          <w:rFonts w:ascii="Arial" w:cs="Arial" w:eastAsia="Arial" w:hAnsi="Arial"/>
          <w:sz w:val="15"/>
          <w:szCs w:val="15"/>
          <w:color w:val="auto"/>
        </w:rPr>
        <w:t>) project undertaken by the Organizational Economic Cooperation and Development (</w:t>
      </w:r>
      <w:r>
        <w:rPr>
          <w:rFonts w:ascii="Arial" w:cs="Arial" w:eastAsia="Arial" w:hAnsi="Arial"/>
          <w:sz w:val="15"/>
          <w:szCs w:val="15"/>
          <w:b w:val="1"/>
          <w:bCs w:val="1"/>
          <w:color w:val="auto"/>
        </w:rPr>
        <w:t>OECD</w:t>
      </w:r>
      <w:r>
        <w:rPr>
          <w:rFonts w:ascii="Arial" w:cs="Arial" w:eastAsia="Arial" w:hAnsi="Arial"/>
          <w:sz w:val="15"/>
          <w:szCs w:val="15"/>
          <w:color w:val="auto"/>
        </w:rPr>
        <w:t>). The OECD represents a coalition of member countries that encompass most of the jurisdictions in which we operate. In October 2021, the OECD announced the OECD/G20 Inclusive Framework of Base Erosion and Profit Shifting, which agreed to a two-pillar solution to reform international taxation. Pillar One provides a mechanism to align taxing rights more closely with local market engagement; generally, where people or consumers are located. Pillar Two establishes a global minimum tax regime through a series of interlocking rules that would apply when a country’s income tax rate is below 15%. In most jurisdictions in which we operate, it is anticipated that the Pillar Two rules will be enacted by the end of 2023 with the income inclusion rule applying to accounting periods beginning on or after December 31, 2023 and the undertaxed profits rule taking effect for years beginning from December 31, 2024. It is possible that jurisdictions in which we do business could react to the BEPS initiatives or their own concerns by enacting tax legislation that could adversely affect our financial position through increasing our tax liabilities. Further, the BEPS project as well as legislative changes in many countries, has resulted in various initiatives that require the sharing of company financial and operation information with taxing authorities on a local or global basis. This may lead to greater audit scrutiny of profits earned in other countries as well as disagreements between jurisdictions associated with the proper allocation of profits between jurisdictions.</w:t>
      </w:r>
    </w:p>
    <w:p>
      <w:pPr>
        <w:spacing w:after="0" w:line="398"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b w:val="1"/>
          <w:bCs w:val="1"/>
          <w:i w:val="1"/>
          <w:iCs w:val="1"/>
          <w:color w:val="auto"/>
        </w:rPr>
        <w:t xml:space="preserve">The “Virgin” brand is used by certain of our consolidated subsidiaries and nonconsolidated joint ventures under licenses from Virgin Enterprises Limited and is not under the control of such subsidiaries. The activities of the group of companies utilizing the “Virgin” brand and other licensees could have a material adverse effect on the goodwill of customers towards our business as a licensee and the licenses from Virgin Enterprises Limited can be terminated in certain circumstances. </w:t>
      </w:r>
      <w:r>
        <w:rPr>
          <w:rFonts w:ascii="Arial" w:cs="Arial" w:eastAsia="Arial" w:hAnsi="Arial"/>
          <w:sz w:val="15"/>
          <w:szCs w:val="15"/>
          <w:color w:val="auto"/>
        </w:rPr>
        <w:t>The “Virgin” brand is integral to the corporate identity of our consolidated subsidiaries and nonconsolidated joint</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venture that utilize such brand. Such subsidiaries are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the VMO2 JV does business) could have a material adverse effect on our reputation and our business and results of operations. In addition, the licenses from Virgin Enterprises Limited can be terminated in certain circumstances. For example, Virgin Enterprises Limited can terminate the licenses, after providing our applicable subsidiaries with an opportunity to cure, (i) if they or any of their affiliates commit persistent and material breaches or flagrant and material breaches of the licenses, (ii) if Virgin Enterprises Limited has reasonable grounds to believe that the use (or lack of use) of the licensed trademarks by such subsidiaries has been or is likely to result in a long-term and material diminution in the value of the “Virgin” brand, or (iii) if a third-party who is not (or one of whose directors is not) a “fit and proper person”, such as a legally disqualified director or a bankrupt entity, acquires “control” of Liberty Global. Such a termination could have a material adverse effect on our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Certain Financial Matters</w:t>
      </w:r>
    </w:p>
    <w:p>
      <w:pPr>
        <w:spacing w:after="0" w:line="23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5"/>
          <w:szCs w:val="15"/>
          <w:b w:val="1"/>
          <w:bCs w:val="1"/>
          <w:i w:val="1"/>
          <w:iCs w:val="1"/>
          <w:color w:val="auto"/>
        </w:rPr>
        <w:t xml:space="preserve">Our substantial leverage could limit our ability to obtain additional financing and have other adverse effects. </w:t>
      </w:r>
      <w:r>
        <w:rPr>
          <w:rFonts w:ascii="Arial" w:cs="Arial" w:eastAsia="Arial" w:hAnsi="Arial"/>
          <w:sz w:val="15"/>
          <w:szCs w:val="15"/>
          <w:color w:val="auto"/>
        </w:rPr>
        <w:t>We seek to maintain our debt at levels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provide for attractive equity returns without assuming undue risk. In this regard, we generally seek to cause our operating subsidiaries to maintain their debt at levels that result in a consolidated debt balance that is between four and five times our consolidated Adjusted EBITDA (using consistent currency exchange rates for debt and EBITDA). As a result, we are highly leveraged. At December 31, 2022, the outstanding principal amount of our consolidated debt, together with our finance lease obligations aggregated $13.8 billion, including $0.8 billion that is classified as current on our consolidated balance sheet and $12.7 billion that is not due until 2028 or thereafter. We believe that we have sufficient resources to repay or refinance the current portion of our debt and finance lease obligations and to fund our foreseeable liquidity requirements during the next 12 months. However, as our maturing debt grows in later years, we anticipate that we will seek to refinance or otherwise extend our debt maturities. In this regard, we redeemed certain debt instruments using proceeds from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sale of UPC Polska, and targeted such redemptions at instruments with shorter maturities. As a result of unfavorable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7"/>
          <w:szCs w:val="17"/>
          <w:color w:val="auto"/>
        </w:rPr>
        <w:t>geopolitical conditions in 2022, credit markets were not offering attractive terms for issuance and thus we did not complete any refinancing transactions on our consolidated businesses.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w:t>
      </w:r>
    </w:p>
    <w:p>
      <w:pPr>
        <w:spacing w:after="0" w:line="21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 directors has approved a share repurchase program for Liberty Global in 2022. Any cash used by our company in connection with any future repurchases of our ordinary shares would not be available for other purposes, including the repayment of debt. For additional information concerning our share repurchase programs, see note 14 to our consolidated financial statements included in Part II of this Annual Report on Form 10-K.</w:t>
      </w:r>
    </w:p>
    <w:p>
      <w:pPr>
        <w:spacing w:after="0" w:line="40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Certain of our subsidiaries are subject to various debt instruments that contain restrictions on how we finance our operations and operate our businesses, which could impede our ability to engage in beneficial transactions. </w:t>
      </w:r>
      <w:r>
        <w:rPr>
          <w:rFonts w:ascii="Arial" w:cs="Arial" w:eastAsia="Arial" w:hAnsi="Arial"/>
          <w:sz w:val="17"/>
          <w:szCs w:val="17"/>
          <w:color w:val="auto"/>
        </w:rPr>
        <w:t>Certain of our subsidiaries are subject to significant financial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contained in outstanding credit agreements, indentures and similar instruments of indebtedness. These restrictions will affect, and in some cases significantly limit or prohibit, among other things, the ability of those subsidiaries to:</w:t>
      </w:r>
    </w:p>
    <w:p>
      <w:pPr>
        <w:spacing w:after="0" w:line="202"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make other upstream distributions;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sell or dispose of certain assets, including subsidiary stock;</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transactions with us or other affiliates;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their assets.</w:t>
      </w:r>
    </w:p>
    <w:p>
      <w:pPr>
        <w:spacing w:after="0" w:line="13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a result of restrictions contained in these debt instruments, the companies party thereto, and their subsidiaries, could be unable to obtain additional capital in the future to:</w:t>
      </w:r>
    </w:p>
    <w:p>
      <w:pPr>
        <w:spacing w:after="0" w:line="114"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 property and equipment additions or acquisitions that could improve their value;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meet their loan and capital commitments to their business affiliates;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 in companies in which they would otherwise invest;</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 any operating losses or future development of their business affiliates;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lower borrowing costs that are available from secured lenders or engage in advantageous transactions that monetize their assets; or</w:t>
      </w:r>
    </w:p>
    <w:p>
      <w:pPr>
        <w:spacing w:after="0" w:line="148"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 other necessary or prudent corporate activities.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most of the credit agreements to which these subsidiaries are parties include financial covenants that require them, in certain circumstances, to maintain certain leverage ratios if the drawings under the applicable 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8" w:name="page39"/>
    <w:bookmarkEnd w:id="38"/>
    <w:p>
      <w:pPr>
        <w:jc w:val="both"/>
        <w:spacing w:after="0" w:line="251" w:lineRule="auto"/>
        <w:rPr>
          <w:sz w:val="20"/>
          <w:szCs w:val="20"/>
          <w:color w:val="auto"/>
        </w:rPr>
      </w:pPr>
      <w:r>
        <w:rPr>
          <w:rFonts w:ascii="Arial" w:cs="Arial" w:eastAsia="Arial" w:hAnsi="Arial"/>
          <w:sz w:val="18"/>
          <w:szCs w:val="18"/>
          <w:color w:val="auto"/>
        </w:rPr>
        <w:t>credit agreements or indentures, the lenders or bondholders, as applicable, may accelerate the maturity of the indebtedness under those agreements or indentures, which could result in a default under other outstanding credit facilities or indentures. We cannot assure you that any of these subsidiaries will have sufficient assets to repay indebtedness outstanding under their credit agreements and indentures. Any refinancing of this indebtedness is likely to contain similar restrictive covenants.</w:t>
      </w:r>
    </w:p>
    <w:p>
      <w:pPr>
        <w:spacing w:after="0" w:line="2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We are exposed to interest rate risks. Shifts in such rates may adversely affect the debt service obligation of our subsidiaries. </w:t>
      </w:r>
      <w:r>
        <w:rPr>
          <w:rFonts w:ascii="Arial" w:cs="Arial" w:eastAsia="Arial" w:hAnsi="Arial"/>
          <w:sz w:val="18"/>
          <w:szCs w:val="18"/>
          <w:color w:val="auto"/>
        </w:rPr>
        <w:t>We are exposed to the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fluctuations in interest rates, primarily through the credit facilities of certain of our subsidiaries, which are indexed to EURIBOR, LIBOR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22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Furthermore, in November 2022, the U.K. Financial Conduct Authority proposed that certain tenors of USD LIBOR would continue to be published on a synthetic basis until the end of September 2024.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3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2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We are subject to increasing operating costs and inflation risks, which may adversely affect our results of operations. </w:t>
      </w:r>
      <w:r>
        <w:rPr>
          <w:rFonts w:ascii="Arial" w:cs="Arial" w:eastAsia="Arial" w:hAnsi="Arial"/>
          <w:sz w:val="15"/>
          <w:szCs w:val="15"/>
          <w:color w:val="auto"/>
        </w:rPr>
        <w:t>While our operations attempt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our subscription rates to offset increases in programming, inputs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programming, inputs and operating costs may rise faster than associated revenue, resulting in a material negative impact on our cash flows and net earnings (loss). We are also impacted by inflationary increases in salaries, wages, benefits, regulatory, energy and other administrative costs in certain of our markets as a result of, among other things, Russia’s war in Ukraine. In this regard, inflation rates in the countries in which we operate have recently increased, and in many countries, such increases have been significant.</w:t>
      </w:r>
    </w:p>
    <w:p>
      <w:pPr>
        <w:spacing w:after="0" w:line="18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Arial" w:cs="Arial" w:eastAsia="Arial" w:hAnsi="Arial"/>
          <w:sz w:val="18"/>
          <w:szCs w:val="18"/>
          <w:color w:val="auto"/>
        </w:rPr>
        <w:t>The current macroeconomic environment is highly volatile, with continued instability in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including ongoing trade negotiations, uncertainty over inflation, energy price fluctuations, continued escalation in geopolitical tensions and global recession fears having all contributed to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9" w:name="page40"/>
    <w:bookmarkEnd w:id="39"/>
    <w:p>
      <w:pPr>
        <w:jc w:val="both"/>
        <w:spacing w:after="0" w:line="312" w:lineRule="auto"/>
        <w:rPr>
          <w:sz w:val="20"/>
          <w:szCs w:val="20"/>
          <w:color w:val="auto"/>
        </w:rPr>
      </w:pPr>
      <w:r>
        <w:rPr>
          <w:rFonts w:ascii="Arial" w:cs="Arial" w:eastAsia="Arial" w:hAnsi="Arial"/>
          <w:sz w:val="15"/>
          <w:szCs w:val="15"/>
          <w:color w:val="auto"/>
        </w:rPr>
        <w:t xml:space="preserve">challenging global economic environment. Future developments are dependent upon a number of political and economic factors, including the additional borrowing incurred by countries during the COVID-19 pandemic and the potential for lower growth expectations, higher global interest rates and continued inflationary pressures.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Arial" w:cs="Arial" w:eastAsia="Arial" w:hAnsi="Arial"/>
          <w:sz w:val="15"/>
          <w:szCs w:val="15"/>
          <w:i w:val="1"/>
          <w:iCs w:val="1"/>
          <w:color w:val="auto"/>
        </w:rPr>
        <w:t>We are exposed to</w:t>
      </w:r>
      <w:r>
        <w:rPr>
          <w:rFonts w:ascii="Arial" w:cs="Arial" w:eastAsia="Arial" w:hAnsi="Arial"/>
          <w:sz w:val="15"/>
          <w:szCs w:val="15"/>
          <w:color w:val="auto"/>
        </w:rPr>
        <w:t xml:space="preserve"> </w:t>
      </w:r>
      <w:r>
        <w:rPr>
          <w:rFonts w:ascii="Arial" w:cs="Arial" w:eastAsia="Arial" w:hAnsi="Arial"/>
          <w:sz w:val="15"/>
          <w:szCs w:val="15"/>
          <w:i w:val="1"/>
          <w:iCs w:val="1"/>
          <w:color w:val="auto"/>
        </w:rPr>
        <w:t>sovereign debt and currency instability risks that could have an adverse impact on our liquidity, financial condition and cash flows.</w:t>
      </w:r>
    </w:p>
    <w:p>
      <w:pPr>
        <w:spacing w:after="0" w:line="1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Unfavorable economic conditions, including the current cost-of-living crises in many of the countries in which we operate, may impact a significant number of our subscribers and/or the prices we are able to charge for our products and services, and, as a result, it may be (i) more difficult for us to attract new subscribers and maintain current subscribers, (ii) more likely that subscribers will downgrade or disconnect their services and (iii) more difficult for us to maintain ARPUs at existing levels. Countries may also seek new or increased revenue sources due to fiscal deficits. Such actions may further adversely affect our company and our joint ventures. Accordingly, our ability to increase, or, in certain cases, maintain, the revenue, ARPUs, RGUs, mobile subscribers, Adjusted EBITDA, margins and liquidity of our operating segments could be adversely affected if the macroeconomic environment remains uncertain or declines further. We are currently unable to predict the extent of any of these potential adverse effects.</w:t>
      </w:r>
    </w:p>
    <w:p>
      <w:pPr>
        <w:spacing w:after="0" w:line="18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b w:val="1"/>
          <w:bCs w:val="1"/>
          <w:i w:val="1"/>
          <w:iCs w:val="1"/>
          <w:color w:val="auto"/>
        </w:rPr>
        <w:t xml:space="preserve">We are exposed to sovereign debt and currency instability risks that could have an adverse impact on our liquidity, financial condition and cash flows. </w:t>
      </w:r>
      <w:r>
        <w:rPr>
          <w:rFonts w:ascii="Arial" w:cs="Arial" w:eastAsia="Arial" w:hAnsi="Arial"/>
          <w:sz w:val="15"/>
          <w:szCs w:val="15"/>
          <w:color w:val="auto"/>
        </w:rPr>
        <w:t>Our operations are subject to macroeconomic and political risks that are outside of our control. For example, high levels of sovereign debt in the U.S. and several countries in which we or our affiliates operate, combined with structural changes arising from the COVID-19 pandemic, could potentially lead to additional fiscal reforms (including austerity measures), tax increases, sovereign debt restructurings, high corporate default rates,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We may not freely access the cash of our operating companies. </w:t>
      </w:r>
      <w:r>
        <w:rPr>
          <w:rFonts w:ascii="Arial" w:cs="Arial" w:eastAsia="Arial" w:hAnsi="Arial"/>
          <w:sz w:val="15"/>
          <w:szCs w:val="15"/>
          <w:color w:val="auto"/>
        </w:rPr>
        <w:t>Our operations are conducted through our subsidiaries. Our current sources of corporate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liquidity include (i) our cash and cash equivalents, (ii) investments held within separately managed accounts, and (iii) interest and dividend income received on our cash and cash equivalents and investments. From time to time, we also receive (a) proceeds in the form of distributions or loan repayments from our subsidiaries or affiliates, (b) proceeds upon the disposition of investments and other assets and (c) proceeds in connection with the incurrence of debt or the issuance of equity securities. The ability of our operating subsidiaries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are subject to credit agreements or indentures that restrict sales of assets and prohibit or limit the payment of dividends or the making of distributions, loans or advances to shareholders and partners, including us. In addition, because these subsidiaries are separate and distinct legal entities they have no obligation to provide us funds for payment obligations, whether by dividends, distributions, loans or other payments.</w:t>
      </w:r>
    </w:p>
    <w:p>
      <w:pPr>
        <w:spacing w:after="0" w:line="18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We are exposed to the risk of default by the counterparties to our cash and short-term investments, derivative and other financial instruments, and undrawn debt facilities. </w:t>
      </w:r>
      <w:r>
        <w:rPr>
          <w:rFonts w:ascii="Arial" w:cs="Arial" w:eastAsia="Arial" w:hAnsi="Arial"/>
          <w:sz w:val="18"/>
          <w:szCs w:val="18"/>
          <w:color w:val="auto"/>
        </w:rPr>
        <w:t>Although we seek to manage the credit risks associated with our cash and short-term investments, derivative and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and undrawn debt facilities, we are exposed to the risk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7"/>
          <w:szCs w:val="17"/>
          <w:color w:val="auto"/>
        </w:rPr>
        <w:t>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(i) we may incur losses to the extent that we are unable to recover debts owed to us, including cash deposited and the value of financial losses, (ii) we may incur significant costs to recover amounts owed to us, and such recovery may take a long period of time or may not be possible at all, (iii) our derivative liabilities may be accelerated by the default of our counterparty, (iv) we may be exposed to financial risks as a result of the termination of affected derivative contracts, and it may be costly or impossible to replace such contracts or otherwise mitigate such risks, (v) amounts available under committed credit facilities may be reduced and (vi) disruption to the credit markets could adversely impact our ability to access debt financing on favorable terms, or at all.</w:t>
      </w:r>
    </w:p>
    <w:p>
      <w:pPr>
        <w:spacing w:after="0" w:line="20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At December 31, 2022, our exposure to counterparty credit risk included (i) cash and cash equivalent and restricted cash balances of $1.7 billion, (ii) aggregate undrawn debt facilities of $1.5 billion and (iii) derivative assets with an aggregate fair value of $0.9 billion. For additional information regarding our derivative contracts and debt, see notes 8 and 11, respectively, to our consolidated financial statements included in Part II of this Annual Report on Form 10-K.</w:t>
      </w:r>
    </w:p>
    <w:p>
      <w:pPr>
        <w:spacing w:after="0" w:line="16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We may not report net earnings. </w:t>
      </w:r>
      <w:r>
        <w:rPr>
          <w:rFonts w:ascii="Arial" w:cs="Arial" w:eastAsia="Arial" w:hAnsi="Arial"/>
          <w:sz w:val="18"/>
          <w:szCs w:val="18"/>
          <w:color w:val="auto"/>
        </w:rPr>
        <w:t>We reported earnings (loss) from continuing operations of $1,105.3 million, $13,527.5 million and ($1,525.1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2022, 2021 and 2020, respectively. In light of our historical financial performance, we cannot assure you that we will report net earnings in the near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We have not historically paid any cash dividends, and we may not pay dividends consistently or at all on any class of our ordinary shares. </w:t>
      </w:r>
      <w:r>
        <w:rPr>
          <w:rFonts w:ascii="Arial" w:cs="Arial" w:eastAsia="Arial" w:hAnsi="Arial"/>
          <w:sz w:val="15"/>
          <w:szCs w:val="15"/>
          <w:color w:val="auto"/>
        </w:rPr>
        <w:t>We do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presently intend to pay cash dividends on any class of our ordinary shares for the foreseeable future. However, we have the right to pay dividends, effect securities distributions or make bonus issues on Liberty Global shares. In addition, any dividends or distributions on, or repurchases of Liberty Global shares will reduce our “Distributable Reserves” (defined as our accumulated, realized profits less accumulated, realized losses, as measured for U.K. statutory purposes) legally available to be paid as dividends by our company under English law on any of our ordinary shares.</w:t>
      </w:r>
    </w:p>
    <w:p>
      <w:pPr>
        <w:spacing w:after="0" w:line="1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The loss of certain key personnel could harm our business. </w:t>
      </w:r>
      <w:r>
        <w:rPr>
          <w:rFonts w:ascii="Arial" w:cs="Arial" w:eastAsia="Arial" w:hAnsi="Arial"/>
          <w:sz w:val="17"/>
          <w:szCs w:val="17"/>
          <w:color w:val="auto"/>
        </w:rPr>
        <w:t>We have experienced employees at both the corporate and operational levels who possess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knowledge of our business and operations. We cannot assure you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20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John C. Malone has significant voting power with respect to corporate matters considered by our shareholders. </w:t>
      </w:r>
      <w:r>
        <w:rPr>
          <w:rFonts w:ascii="Arial" w:cs="Arial" w:eastAsia="Arial" w:hAnsi="Arial"/>
          <w:sz w:val="15"/>
          <w:szCs w:val="15"/>
          <w:color w:val="auto"/>
        </w:rPr>
        <w:t>John C. Malone beneficially owns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ordinary shares of Liberty Global representing 30.65% of our aggregate voting power as of February 13, 2023. By virtue of Mr. Malone’s voting power in our company, as well as his position as Chairman of our board of directors, Mr. Malone may have significant influence over the outcome of any corporate transaction or other matters submitted to our shareholders for approval. For example, under English law and our articles of association, certain matters (including amendments to the articles of association) require the approval of 75% of the shareholders who vote (in person or by proxy) on the relevant resolution, and other certain corporate transactions or matters may require the approval of at least 75% of the outstanding shares of each class of our ordinary shares. Because Mr. Malone beneficially owns 30.65% of our aggregate voting power and 67.63% of the outstanding Class B ordinary shares of Liberty Global, he has the ability to prevent the requisite approval threshold from being met even though the other shareholders may determine that such action or transaction is beneficial for the company. Mr. Malone’s rights to vote or dispose of his equity interests in our company are not subject to any restrictions in favor of us other than as may be required by applicable law and except for customary transfer restrictions pursuant to equity award agreements.</w:t>
      </w:r>
    </w:p>
    <w:p>
      <w:pPr>
        <w:spacing w:after="0" w:line="18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It may be difficult for a third-party to acquire us, even if doing so may be beneficial to our shareholders. </w:t>
      </w:r>
      <w:r>
        <w:rPr>
          <w:rFonts w:ascii="Arial" w:cs="Arial" w:eastAsia="Arial" w:hAnsi="Arial"/>
          <w:sz w:val="18"/>
          <w:szCs w:val="18"/>
          <w:color w:val="auto"/>
        </w:rPr>
        <w:t>Certain provisions of our articles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and of English law may discourage, delay, or prevent a change in control of our company that a shareholder may consider favorable. These provisions include the following:</w:t>
      </w:r>
    </w:p>
    <w:p>
      <w:pPr>
        <w:spacing w:after="0" w:line="216" w:lineRule="exact"/>
        <w:rPr>
          <w:sz w:val="20"/>
          <w:szCs w:val="20"/>
          <w:color w:val="auto"/>
        </w:rPr>
      </w:pPr>
    </w:p>
    <w:p>
      <w:pPr>
        <w:jc w:val="both"/>
        <w:ind w:left="640" w:hanging="316"/>
        <w:spacing w:after="0" w:line="25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authorizing a capital structure with multiple classes of ordinary shares; a Class B share class that entitles the holders to 10 votes per share; a Class A share class that entitles the holders to one vote per share; and a Class C share class that, except as otherwise required by applicable law, entitles the holders to no voting rights;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the issuance of “blank check” shares (both ordinary and preference), which could be issued by our board of directors to increase the number of outstanding shares and thwart a takeover attempt;</w:t>
      </w:r>
    </w:p>
    <w:p>
      <w:pPr>
        <w:spacing w:after="0" w:line="113"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classifying our board of directors with staggered three-year terms, which may lengthen the time required to gain control of our board of directors, although under English law, shareholders of our company can remove a director without cause by ordinary resolution;</w:t>
      </w:r>
    </w:p>
    <w:p>
      <w:pPr>
        <w:spacing w:after="0" w:line="10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prohibiting shareholder action by written resolution, thereby requiring all shareholder actions to be taken at a meeting of the shareholders;</w:t>
      </w:r>
    </w:p>
    <w:p>
      <w:pPr>
        <w:spacing w:after="0" w:line="161" w:lineRule="exact"/>
        <w:rPr>
          <w:rFonts w:ascii="Arial" w:cs="Arial" w:eastAsia="Arial" w:hAnsi="Arial"/>
          <w:sz w:val="17"/>
          <w:szCs w:val="17"/>
          <w:color w:val="auto"/>
        </w:rPr>
      </w:pPr>
    </w:p>
    <w:p>
      <w:pPr>
        <w:ind w:left="640" w:hanging="316"/>
        <w:spacing w:after="0" w:line="279"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requiring the approval of 75% in value of the shareholders (or class of shareholders) and/or English court approval for certain statutory mergers or schemes of arrangements; and</w:t>
      </w:r>
    </w:p>
    <w:p>
      <w:pPr>
        <w:spacing w:after="0" w:line="10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upon by shareholders at shareholder meetings.</w:t>
      </w:r>
    </w:p>
    <w:p>
      <w:pPr>
        <w:spacing w:after="0" w:line="20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The enforcement of civil liabilities against us may be more difficult. </w:t>
      </w:r>
      <w:r>
        <w:rPr>
          <w:rFonts w:ascii="Arial" w:cs="Arial" w:eastAsia="Arial" w:hAnsi="Arial"/>
          <w:sz w:val="18"/>
          <w:szCs w:val="18"/>
          <w:color w:val="auto"/>
        </w:rPr>
        <w:t>Because we are a public limited company incorporated under the laws of England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Wales, investors could experience more difficulty enforcing judgments obtained against us in U.S. courts than would currently be the case for U.S. judgments obtained against a U.S. company. It may also be more difficult (or impossible) to bring some types of claims against us in courts sitting in England than it would be to bring similar claims against a U.S. company in a U.S. court. In particular, English law significantly limits the circumstances under which shareholders of English companies may bring derivative actions. Under English law generally, only the company can be the proper plaintiff in proceedings in respect of wrongful acts committed against us. Our articles of association provide for the exclusive jurisdiction of the English courts for shareholder lawsuits against us or our directors.</w:t>
      </w:r>
    </w:p>
    <w:p>
      <w:pPr>
        <w:spacing w:after="0" w:line="22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We are exposed to the risks arising from widespread epidemic diseases in the countries in which we operate, such as the outbreak of COVID-19, which could have a material adverse impact on our business, financial condition and results of operations. </w:t>
      </w:r>
      <w:r>
        <w:rPr>
          <w:rFonts w:ascii="Arial" w:cs="Arial" w:eastAsia="Arial" w:hAnsi="Arial"/>
          <w:sz w:val="15"/>
          <w:szCs w:val="15"/>
          <w:color w:val="auto"/>
        </w:rPr>
        <w:t>The COVID-19 pandemic and the emergency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measures imposed by governments worldwide, including travel limitations, limits on social activity and the shutdown of non-essential businesses have adversely impacted the global economy, disrupted global supply chains and created significant volatility and disruption of financial markets. While it is not currently possible to estimate the duration and severity of the adverse economic impact resulting from the preventative measures taken to contain or mitigate the spread of COVID-19, a continued period of global economic disruption may continue to have a material adverse impact on our business, financial condition and results of operations in future periods. We may also be adversely impacted by any government mandated regulations on our business that could be implemented in response to the COVID-19 pandemic. In addition, countries may seek new or increased revenue sources due to fiscal deficits that resulted from measures taken to mitigate the adverse economic impacts of COVID-19, such as, among other things, imposing new taxes on the products and services we provide. We are currently unable to predict the extent of any of these potential adverse effects.</w:t>
      </w:r>
    </w:p>
    <w:p>
      <w:pPr>
        <w:spacing w:after="0" w:line="185"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b w:val="1"/>
          <w:bCs w:val="1"/>
          <w:i w:val="1"/>
          <w:iCs w:val="1"/>
          <w:color w:val="auto"/>
        </w:rPr>
        <w:t xml:space="preserve">Geopolitical conflicts, energy shortages and other adverse incidents beyond our control could adversely affect our revenue and results of operations. </w:t>
      </w:r>
      <w:r>
        <w:rPr>
          <w:rFonts w:ascii="Arial" w:cs="Arial" w:eastAsia="Arial" w:hAnsi="Arial"/>
          <w:sz w:val="15"/>
          <w:szCs w:val="15"/>
          <w:color w:val="auto"/>
        </w:rPr>
        <w:t>Political unrest and global conflicts like the ongoing conflict between Russia and Ukraine have disrupted, and in the future may further continue to disrupt, global supply chains and heighten volatility and disruption of global financial markets. While we do not have direct operations within Russia or Ukraine, the conflict involving these nations has heightened the disruption to our supply chain, triggered inflation in our labor and energy costs and may increase our risk of cyberattacks, which could result in significant losses and damage and could damage our reputation with customers and suppliers if their confidential information is compromised. The impact of these global events on our longer-term operational and financial performance will depend on future developments, our and governmental responses to inflation, and the duration and severity of the conflict in Ukraine. Any terrorist attacks or incidents prompted by political unrest, particularly in markets that we serve, and the national and global military, diplomatic and financial response to such attacks or other threats, also may adversely affect our revenue and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2" w:name="page43"/>
    <w:bookmarkEnd w:id="4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our corporate offices in London, U.K., in Denver, Colorado, U.S. and in Amsterdam, the Netherlands. All of our other real or personal property is owned or leased by our subsidiaries and affiliates.</w:t>
      </w:r>
    </w:p>
    <w:p>
      <w:pPr>
        <w:spacing w:after="0" w:line="20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CPE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3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our subsidiaries and affiliates have become involved in litigation relating to claims arising out of their operations in the normal course of business. For additional information, see note 18 to our consolidated financial statements in Part II of this Annual Report on Form 10-K.</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43" w:lineRule="exact"/>
        <w:rPr>
          <w:sz w:val="20"/>
          <w:szCs w:val="20"/>
          <w:color w:val="auto"/>
        </w:rPr>
      </w:pPr>
    </w:p>
    <w:p>
      <w:pPr>
        <w:jc w:val="both"/>
        <w:ind w:left="640" w:hanging="634"/>
        <w:spacing w:after="0" w:line="271" w:lineRule="auto"/>
        <w:tabs>
          <w:tab w:leader="none" w:pos="62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share capital comprises Liberty Global Class A, Class B and Class C ordinary shares, which trade on the Nasdaq Global Select Market under the symbols “LBTYA,” “LBTYB,” and “LBTYK,” respectively. Share price information for securities traded on the Nasdaq Global Select Market can be found on the Nasdaq’s website at www.nasdaq.com.</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 sets forth the quarterly range of high and low sales prices of Liberty Global Class B ordinary shares for 2022 and 2021. Although Liberty Global Class B ordinary shares are traded on the Nasdaq Global Select Market, an established public trading market does not exist for the shares, as they are not actively traded.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460" w:type="dxa"/>
            <w:vAlign w:val="bottom"/>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0"/>
              </w:rPr>
              <w:t>Liberty Global Class B ordinary shares</w:t>
            </w:r>
          </w:p>
        </w:tc>
      </w:tr>
      <w:tr>
        <w:trPr>
          <w:trHeight w:val="205"/>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High</w:t>
            </w:r>
          </w:p>
        </w:tc>
        <w:tc>
          <w:tcPr>
            <w:tcW w:w="300" w:type="dxa"/>
            <w:vAlign w:val="bottom"/>
          </w:tcPr>
          <w:p>
            <w:pPr>
              <w:spacing w:after="0"/>
              <w:rPr>
                <w:sz w:val="17"/>
                <w:szCs w:val="17"/>
                <w:color w:val="auto"/>
              </w:rPr>
            </w:pPr>
          </w:p>
        </w:tc>
        <w:tc>
          <w:tcPr>
            <w:tcW w:w="1000" w:type="dxa"/>
            <w:vAlign w:val="bottom"/>
          </w:tcPr>
          <w:p>
            <w:pPr>
              <w:jc w:val="right"/>
              <w:ind w:right="413"/>
              <w:spacing w:after="0"/>
              <w:rPr>
                <w:sz w:val="20"/>
                <w:szCs w:val="20"/>
                <w:color w:val="auto"/>
              </w:rPr>
            </w:pPr>
            <w:r>
              <w:rPr>
                <w:rFonts w:ascii="Arial" w:cs="Arial" w:eastAsia="Arial" w:hAnsi="Arial"/>
                <w:sz w:val="16"/>
                <w:szCs w:val="16"/>
                <w:b w:val="1"/>
                <w:bCs w:val="1"/>
                <w:color w:val="auto"/>
              </w:rPr>
              <w:t>Low</w:t>
            </w:r>
          </w:p>
        </w:tc>
      </w:tr>
      <w:tr>
        <w:trPr>
          <w:trHeight w:val="182"/>
        </w:trPr>
        <w:tc>
          <w:tcPr>
            <w:tcW w:w="84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12"/>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12"/>
        </w:trPr>
        <w:tc>
          <w:tcPr>
            <w:tcW w:w="8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26.15</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of January 31, 2023, there were 1,225, five and 1,390 record holders of Liberty Global Class A, Class B and Class C ordinary shares, respectively. These amounts do not include the number of shareholders whose shares are nominally held by banks, brokerage houses or other institutions, but include each such institution as one record 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not paid any cash dividends on any of our ordinary shares, and we have no present intention of doing so. Any future payment of cash dividends will be determined by our board of directors in light of our earnings, financial condition and other relevant considerations, including applicable laws in England and Wales.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regarding our company’s purchase of its own equity securities during the three months ended December 31,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Total number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6"/>
              </w:rPr>
              <w:t>Value of shares</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142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4"/>
              </w:rPr>
              <w:t>of shares</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that may yet be</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88"/>
              </w:rPr>
              <w:t>price</w:t>
            </w:r>
          </w:p>
        </w:tc>
        <w:tc>
          <w:tcPr>
            <w:tcW w:w="168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purchased as part of</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repurchased</w:t>
            </w:r>
          </w:p>
        </w:tc>
        <w:tc>
          <w:tcPr>
            <w:tcW w:w="0" w:type="dxa"/>
            <w:vAlign w:val="bottom"/>
          </w:tcPr>
          <w:p>
            <w:pPr>
              <w:spacing w:after="0"/>
              <w:rPr>
                <w:sz w:val="1"/>
                <w:szCs w:val="1"/>
                <w:color w:val="auto"/>
              </w:rPr>
            </w:pPr>
          </w:p>
        </w:tc>
      </w:tr>
      <w:tr>
        <w:trPr>
          <w:trHeight w:val="159"/>
        </w:trPr>
        <w:tc>
          <w:tcPr>
            <w:tcW w:w="5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00" w:type="dxa"/>
            <w:vAlign w:val="bottom"/>
            <w:gridSpan w:val="2"/>
          </w:tcPr>
          <w:p>
            <w:pPr>
              <w:jc w:val="center"/>
              <w:ind w:right="140"/>
              <w:spacing w:after="0" w:line="159" w:lineRule="exact"/>
              <w:rPr>
                <w:sz w:val="20"/>
                <w:szCs w:val="20"/>
                <w:color w:val="auto"/>
              </w:rPr>
            </w:pPr>
            <w:r>
              <w:rPr>
                <w:rFonts w:ascii="Arial" w:cs="Arial" w:eastAsia="Arial" w:hAnsi="Arial"/>
                <w:sz w:val="16"/>
                <w:szCs w:val="16"/>
                <w:b w:val="1"/>
                <w:bCs w:val="1"/>
                <w:color w:val="auto"/>
                <w:w w:val="87"/>
              </w:rPr>
              <w:t>of shares</w:t>
            </w: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3"/>
              </w:rPr>
              <w:t>paid per</w:t>
            </w:r>
          </w:p>
        </w:tc>
        <w:tc>
          <w:tcPr>
            <w:tcW w:w="168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publicly-announced</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09"/>
        </w:trPr>
        <w:tc>
          <w:tcPr>
            <w:tcW w:w="5040" w:type="dxa"/>
            <w:vAlign w:val="bottom"/>
            <w:gridSpan w:val="2"/>
            <w:vMerge w:val="continue"/>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purchased</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 (a)</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plans or programs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248"/>
        </w:trPr>
        <w:tc>
          <w:tcPr>
            <w:tcW w:w="4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2022 through October 31, 2022:</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Class A</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Class C</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6,634,155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November 1, 2022 through November 30, 2022:</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Class A</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Class C</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2022 through December 31, 2022:</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Class A</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Class C</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 October 1, 2022 through December 31, 2022:</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Class A</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spacing w:after="0"/>
              <w:rPr>
                <w:sz w:val="20"/>
                <w:szCs w:val="20"/>
                <w:color w:val="auto"/>
              </w:rPr>
            </w:pPr>
            <w:r>
              <w:rPr>
                <w:rFonts w:ascii="Arial" w:cs="Arial" w:eastAsia="Arial" w:hAnsi="Arial"/>
                <w:sz w:val="18"/>
                <w:szCs w:val="18"/>
                <w:color w:val="auto"/>
              </w:rPr>
              <w:t>6,634,155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6,634,155</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91"/>
        </w:trPr>
        <w:tc>
          <w:tcPr>
            <w:tcW w:w="4920" w:type="dxa"/>
            <w:vAlign w:val="bottom"/>
          </w:tcPr>
          <w:p>
            <w:pPr>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2" w:lineRule="exact"/>
        <w:rPr>
          <w:rFonts w:ascii="Arial" w:cs="Arial" w:eastAsia="Arial" w:hAnsi="Arial"/>
          <w:sz w:val="18"/>
          <w:szCs w:val="18"/>
          <w:color w:val="auto"/>
        </w:rPr>
      </w:pPr>
    </w:p>
    <w:p>
      <w:pPr>
        <w:jc w:val="both"/>
        <w:ind w:left="480" w:hanging="474"/>
        <w:spacing w:after="0" w:line="318" w:lineRule="auto"/>
        <w:tabs>
          <w:tab w:leader="none" w:pos="474" w:val="left"/>
        </w:tabs>
        <w:numPr>
          <w:ilvl w:val="0"/>
          <w:numId w:val="34"/>
        </w:numPr>
        <w:rPr>
          <w:rFonts w:ascii="Arial" w:cs="Arial" w:eastAsia="Arial" w:hAnsi="Arial"/>
          <w:sz w:val="15"/>
          <w:szCs w:val="15"/>
          <w:color w:val="auto"/>
        </w:rPr>
      </w:pPr>
      <w:r>
        <w:rPr>
          <w:rFonts w:ascii="Arial" w:cs="Arial" w:eastAsia="Arial" w:hAnsi="Arial"/>
          <w:sz w:val="15"/>
          <w:szCs w:val="15"/>
          <w:color w:val="auto"/>
        </w:rPr>
        <w:t>Under our current repurchase program that was approved in July 2021, we are authorized during 2023 to repurchase 10% of our total outstanding shares as of the beginning of the year, or approximately 45.9 million shares. Based on the respective closing share prices as of December 30, 2022, this would equate to total share repurchases of approximately $0.9 billion. However, the actual U.S. dollar amount of our share repurchases during 2023 will be determined by the actual transaction date share prices during the year and could differ significantly from this amount.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4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following graph compares the changes in the cumulative total shareholder return on our Liberty Global Class A, Class B and Class C ordinary shares from January 1, 2018 to December 31, 2022, to the change in the cumulative total returns of the Nasdaq US Benchmark Telecom TR Index and the Nasdaq US Benchmark TR Index (assuming reinvestment of dividends, where applicable). The graph assumes that $100 was invested on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61595</wp:posOffset>
            </wp:positionV>
            <wp:extent cx="5731510" cy="2798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31510" cy="279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r>
      <w:tr>
        <w:trPr>
          <w:trHeight w:val="248"/>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 Class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Liberty Global - Class B</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53.45</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 Class 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Nasdaq US Benchmark Telecom TR Index</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93.18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136.23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105.87</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US Benchmark TR Index</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206"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provides an analysis of our results of operations for the years ended December 31, 2022 and 2021.</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corporate and subsidiary liquidity and consolidated statements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Critical Accounting Policies, Judgments and Estimates. </w:t>
      </w:r>
      <w:r>
        <w:rPr>
          <w:rFonts w:ascii="Arial" w:cs="Arial" w:eastAsia="Arial" w:hAnsi="Arial"/>
          <w:sz w:val="18"/>
          <w:szCs w:val="18"/>
          <w:color w:val="auto"/>
        </w:rPr>
        <w:t>This section discusses those material accounting policies that involve uncertainties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significant judgment in their application.</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This section provides discussion and analysis of the foreign currency, interest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market risk that our company faces.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Included below is an analysis of our results of operations and cash flows for 2022, as compared to 2021. An analysis of our results of operations and cash flows for 2021, as compared to 2020, can be found under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Part II of our Annual Report on Form 10-K, as amended, for the year ended December 31, 2021 (our </w:t>
      </w:r>
      <w:r>
        <w:rPr>
          <w:rFonts w:ascii="Arial" w:cs="Arial" w:eastAsia="Arial" w:hAnsi="Arial"/>
          <w:sz w:val="18"/>
          <w:szCs w:val="18"/>
          <w:b w:val="1"/>
          <w:bCs w:val="1"/>
          <w:color w:val="auto"/>
        </w:rPr>
        <w:t>2021 10-K</w:t>
      </w:r>
      <w:r>
        <w:rPr>
          <w:rFonts w:ascii="Arial" w:cs="Arial" w:eastAsia="Arial" w:hAnsi="Arial"/>
          <w:sz w:val="18"/>
          <w:szCs w:val="18"/>
          <w:color w:val="auto"/>
        </w:rPr>
        <w:t>), which is available through the Securities and Exchange Commission’s website at www.sec.gov.</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Unless otherwise indicated, convenience translations into U.S. dollars are calculated, and operational data is presented, as of December 31,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6 to our consolidated financial statements.</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On June 1, 2021, we contributed the U.K. JV Entities to the VMO2 JV and began accounting for our 50% interest in the VMO2 JV as an equity method investment. For additional information, see note 6 to our consolidated financial statements.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company delivers market-leading products through next-generation networks that connect our customers to broadband internet, video, fixed-line telephony and mobile services. At December 31, 2022, our continuing operations owned and operated networks that passed 7,553,400 homes and served 4,083,200 fixed-line customers and 5,850,300 mobile subscribers.</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Broadband internet services. </w:t>
      </w:r>
      <w:r>
        <w:rPr>
          <w:rFonts w:ascii="Arial" w:cs="Arial" w:eastAsia="Arial" w:hAnsi="Arial"/>
          <w:sz w:val="18"/>
          <w:szCs w:val="18"/>
          <w:color w:val="auto"/>
        </w:rPr>
        <w:t>We offer multiple tiers of broadband internet service up to Gigabit speeds depending on location. We continue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new technologies that allow us to increase the internet speeds we offer to our customers.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7" w:name="page48"/>
    <w:bookmarkEnd w:id="47"/>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Video services. </w:t>
      </w:r>
      <w:r>
        <w:rPr>
          <w:rFonts w:ascii="Arial" w:cs="Arial" w:eastAsia="Arial" w:hAnsi="Arial"/>
          <w:sz w:val="18"/>
          <w:szCs w:val="18"/>
          <w:color w:val="auto"/>
        </w:rPr>
        <w:t>We provide video services, including various enhanced products that enable our customers to control when they watch their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range from digital video recorders to multimedia home gateway systems capable of distributing video, voice and data content throughout the home and to multiple devices.</w:t>
      </w:r>
    </w:p>
    <w:p>
      <w:pPr>
        <w:spacing w:after="0" w:line="210"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i w:val="1"/>
          <w:iCs w:val="1"/>
          <w:color w:val="auto"/>
        </w:rPr>
        <w:t xml:space="preserve">Fixed-line telephony services. </w:t>
      </w:r>
      <w:r>
        <w:rPr>
          <w:rFonts w:ascii="Arial" w:cs="Arial" w:eastAsia="Arial" w:hAnsi="Arial"/>
          <w:sz w:val="18"/>
          <w:szCs w:val="18"/>
          <w:color w:val="auto"/>
        </w:rPr>
        <w:t>We offer fixed-line telephony services via either voice-over-internet-protocol or “</w:t>
      </w:r>
      <w:r>
        <w:rPr>
          <w:rFonts w:ascii="Arial" w:cs="Arial" w:eastAsia="Arial" w:hAnsi="Arial"/>
          <w:sz w:val="18"/>
          <w:szCs w:val="18"/>
          <w:b w:val="1"/>
          <w:bCs w:val="1"/>
          <w:color w:val="auto"/>
        </w:rPr>
        <w:t>VoIP</w:t>
      </w:r>
      <w:r>
        <w:rPr>
          <w:rFonts w:ascii="Arial" w:cs="Arial" w:eastAsia="Arial" w:hAnsi="Arial"/>
          <w:sz w:val="18"/>
          <w:szCs w:val="18"/>
          <w:color w:val="auto"/>
        </w:rPr>
        <w:t>” technology or circuit-switched</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telephony, depending on location.</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Mobile services. </w:t>
      </w:r>
      <w:r>
        <w:rPr>
          <w:rFonts w:ascii="Arial" w:cs="Arial" w:eastAsia="Arial" w:hAnsi="Arial"/>
          <w:sz w:val="15"/>
          <w:szCs w:val="15"/>
          <w:color w:val="auto"/>
        </w:rPr>
        <w:t>We offer voice and data mobile services, either over our own networks or as an MVNO over third-party networks, depending on location.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generate revenue from the sale of mobile handsets.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B2B services. </w:t>
      </w:r>
      <w:r>
        <w:rPr>
          <w:rFonts w:ascii="Arial" w:cs="Arial" w:eastAsia="Arial" w:hAnsi="Arial"/>
          <w:sz w:val="18"/>
          <w:szCs w:val="18"/>
          <w:color w:val="auto"/>
        </w:rPr>
        <w:t>Our B2B services include voice, broadband internet, data, video, wireless and cloud services.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also have significant investments in ITV, Televisa Univision, Lacework, Plume, the AtlasEdge JV, All3Media, EdgeConneX, Lionsgate,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Formula E racing series and several regional sports networks. The investments identified by company name above are intended to be merely illustrative, do not represent a complete list and are not necessarily the largest of our long-term investments. From time to time, we may make investments in other companies that we choose not to identify by company name for commercial, legal, strategic or other reasons.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additional information regarding the details of our products and services, see </w:t>
      </w:r>
      <w:r>
        <w:rPr>
          <w:rFonts w:ascii="Arial" w:cs="Arial" w:eastAsia="Arial" w:hAnsi="Arial"/>
          <w:sz w:val="15"/>
          <w:szCs w:val="15"/>
          <w:i w:val="1"/>
          <w:iCs w:val="1"/>
          <w:color w:val="auto"/>
        </w:rPr>
        <w:t>Item 1. Business</w:t>
      </w:r>
      <w:r>
        <w:rPr>
          <w:rFonts w:ascii="Arial" w:cs="Arial" w:eastAsia="Arial" w:hAnsi="Arial"/>
          <w:sz w:val="15"/>
          <w:szCs w:val="15"/>
          <w:color w:val="auto"/>
        </w:rPr>
        <w:t xml:space="preserve"> included in Part I of this Annual Report on Form 10-K.</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Strategy and Management Focus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From a strategic perspective, we are seeking to build national fixed-mobile converged communications businesses that have strong prospects for future growth. As discussed further under </w:t>
      </w:r>
      <w:r>
        <w:rPr>
          <w:rFonts w:ascii="Arial" w:cs="Arial" w:eastAsia="Arial" w:hAnsi="Arial"/>
          <w:sz w:val="18"/>
          <w:szCs w:val="18"/>
          <w:i w:val="1"/>
          <w:iCs w:val="1"/>
          <w:color w:val="auto"/>
        </w:rPr>
        <w:t>Liquidity and Capital Resources — Capitalization</w:t>
      </w:r>
      <w:r>
        <w:rPr>
          <w:rFonts w:ascii="Arial" w:cs="Arial" w:eastAsia="Arial" w:hAnsi="Arial"/>
          <w:sz w:val="18"/>
          <w:szCs w:val="18"/>
          <w:color w:val="auto"/>
        </w:rPr>
        <w:t xml:space="preserve"> below, we also seek to maintain our debt at levels that provide for attractive equity returns without assuming undue risk.</w:t>
      </w:r>
    </w:p>
    <w:p>
      <w:pPr>
        <w:spacing w:after="0" w:line="21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Arial" w:cs="Arial" w:eastAsia="Arial" w:hAnsi="Arial"/>
          <w:sz w:val="18"/>
          <w:szCs w:val="18"/>
          <w:b w:val="1"/>
          <w:bCs w:val="1"/>
          <w:color w:val="auto"/>
        </w:rPr>
        <w:t>FX</w:t>
      </w:r>
      <w:r>
        <w:rPr>
          <w:rFonts w:ascii="Arial" w:cs="Arial" w:eastAsia="Arial" w:hAnsi="Arial"/>
          <w:sz w:val="18"/>
          <w:szCs w:val="18"/>
          <w:color w:val="auto"/>
        </w:rPr>
        <w:t>) and the estimated impact of acquisitions and dispositions. While we seek to increase our customer base, we also seek to maximize the average revenue we receive from each household by increasing the penetration of our broadband internet, video, fixed-line telephony and mobile services with existing customers through product bundling and upselling.</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global COVID-19 pandemic continues to impact the economies of the countries in which we operate. However, during 2022, the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competition we face, see </w:t>
      </w:r>
      <w:r>
        <w:rPr>
          <w:rFonts w:ascii="Arial" w:cs="Arial" w:eastAsia="Arial" w:hAnsi="Arial"/>
          <w:sz w:val="17"/>
          <w:szCs w:val="17"/>
          <w:i w:val="1"/>
          <w:iCs w:val="1"/>
          <w:color w:val="auto"/>
        </w:rPr>
        <w:t>Item 1. Business — Competition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Matters </w:t>
      </w:r>
      <w:r>
        <w:rPr>
          <w:rFonts w:ascii="Arial" w:cs="Arial" w:eastAsia="Arial" w:hAnsi="Arial"/>
          <w:sz w:val="17"/>
          <w:szCs w:val="17"/>
          <w:color w:val="auto"/>
        </w:rPr>
        <w:t>included in Part I of this Annual Report on Form 10-K. For additional information regarding the revenue impact of changes in the fixed-line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regarding certain other regulatory developments that could adversely impact our results of operations in future periods, see </w:t>
      </w:r>
      <w:r>
        <w:rPr>
          <w:rFonts w:ascii="Arial" w:cs="Arial" w:eastAsia="Arial" w:hAnsi="Arial"/>
          <w:sz w:val="18"/>
          <w:szCs w:val="18"/>
          <w:i w:val="1"/>
          <w:iCs w:val="1"/>
          <w:color w:val="auto"/>
        </w:rPr>
        <w:t>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Proceedings and Other Contingencies </w:t>
      </w:r>
      <w:r>
        <w:rPr>
          <w:rFonts w:ascii="Arial" w:cs="Arial" w:eastAsia="Arial" w:hAnsi="Arial"/>
          <w:sz w:val="18"/>
          <w:szCs w:val="18"/>
          <w:color w:val="auto"/>
        </w:rPr>
        <w:t>in note 18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24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completed a number of transactions that impact the comparability of our 2022 and 2021 results of operations, the most notable of which are (i) the U.K. JV Transaction on June 1, 2021, (ii) the sale of UPC Poland on April 1, 2022 and (iii) the Telenet Tower Sale on June 1, 2022. For further information regarding our acquisitions and dispositions, see notes 5 and 6, respectively, to our consolidated financial statements.</w:t>
      </w:r>
    </w:p>
    <w:p>
      <w:pPr>
        <w:spacing w:after="0" w:line="19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2022 was to the euro and Swiss franc, as 55.1% and 43.6%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7"/>
          <w:szCs w:val="17"/>
          <w:i w:val="1"/>
          <w:iCs w:val="1"/>
          <w:color w:val="auto"/>
        </w:rPr>
        <w:t>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below. For information regarding our foreign currency risks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foreign currency exchange rates in effect for the periods covered by this Annual Report on Form 10-K, see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 Foreign Currency Risk </w:t>
      </w:r>
      <w:r>
        <w:rPr>
          <w:rFonts w:ascii="Arial" w:cs="Arial" w:eastAsia="Arial" w:hAnsi="Arial"/>
          <w:sz w:val="17"/>
          <w:szCs w:val="17"/>
          <w:color w:val="auto"/>
        </w:rPr>
        <w:t>below.</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amounts presented and discussed below represent 100% of each of our consolidated reportable segment’s results of operations. As we have the ability to control Telenet, we consolidate 100% of its revenue and expenses in our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consolidated statements of operations. Similarly, despite only holding a 50% noncontrolling interest in both the VMO2 JV and the VodafoneZiggo JV, we present 100% of the revenue and Adjusted EBITDA of those entities in the tables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19 to our consolidated financial statements. For additional information regarding the results of operations of the VMO2 JV and the VodafoneZiggo JV, refer to </w:t>
      </w:r>
      <w:r>
        <w:rPr>
          <w:rFonts w:ascii="Arial" w:cs="Arial" w:eastAsia="Arial" w:hAnsi="Arial"/>
          <w:sz w:val="18"/>
          <w:szCs w:val="18"/>
          <w:i w:val="1"/>
          <w:iCs w:val="1"/>
          <w:color w:val="auto"/>
        </w:rPr>
        <w:t>Discussion and Analysis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Results — Share of results of affiliates, net </w:t>
      </w:r>
      <w:r>
        <w:rPr>
          <w:rFonts w:ascii="Arial" w:cs="Arial" w:eastAsia="Arial" w:hAnsi="Arial"/>
          <w:sz w:val="18"/>
          <w:szCs w:val="18"/>
          <w:color w:val="auto"/>
        </w:rPr>
        <w:t>below.</w:t>
      </w:r>
    </w:p>
    <w:p>
      <w:pPr>
        <w:spacing w:after="0" w:line="2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tables presented below in this section provide the details of the revenue and Adjusted EBITDA of our reportable segments for 2022, as compared to 2021.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2022 and 2021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9" w:name="page50"/>
    <w:bookmarkEnd w:id="49"/>
    <w:p>
      <w:pPr>
        <w:jc w:val="both"/>
        <w:ind w:firstLine="318"/>
        <w:spacing w:after="0" w:line="271" w:lineRule="auto"/>
        <w:rPr>
          <w:sz w:val="20"/>
          <w:szCs w:val="20"/>
          <w:color w:val="auto"/>
        </w:rPr>
      </w:pPr>
      <w:r>
        <w:rPr>
          <w:rFonts w:ascii="Arial" w:cs="Arial" w:eastAsia="Arial" w:hAnsi="Arial"/>
          <w:sz w:val="17"/>
          <w:szCs w:val="17"/>
          <w:color w:val="auto"/>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EBITDA and Adjusted EBITDA margins to the extent of any such tax increases.</w:t>
      </w:r>
    </w:p>
    <w:p>
      <w:pPr>
        <w:spacing w:after="0" w:line="202"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regulatory oversight. 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EBITDA would be dependent on the call or text messaging patterns that are subject to the changed termination rates.</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We are subject to inflationary pressures with respect to certain costs and foreign currency exchange risk with respect to costs and expenses that are denominated in currencies other than the respective functional currencies of our reportable segments. Any cost increases that we are not able to pass on to our subscribers through rate increases would result in increased pressure on our operating margins. For additional information regarding our foreign currency exchange risks see </w:t>
      </w:r>
      <w:r>
        <w:rPr>
          <w:rFonts w:ascii="Arial" w:cs="Arial" w:eastAsia="Arial" w:hAnsi="Arial"/>
          <w:sz w:val="17"/>
          <w:szCs w:val="17"/>
          <w:i w:val="1"/>
          <w:iCs w:val="1"/>
          <w:color w:val="auto"/>
        </w:rPr>
        <w:t>Quantitative and Qualitative Disclosures about Market Risk — Foreign Currency Risk</w:t>
      </w:r>
      <w:r>
        <w:rPr>
          <w:rFonts w:ascii="Arial" w:cs="Arial" w:eastAsia="Arial" w:hAnsi="Arial"/>
          <w:sz w:val="17"/>
          <w:szCs w:val="17"/>
          <w:color w:val="auto"/>
        </w:rPr>
        <w:t xml:space="preserve"> below.</w:t>
      </w:r>
    </w:p>
    <w:p>
      <w:pPr>
        <w:spacing w:after="0" w:line="20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consolidated statements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Gain on AtlasEdge JV Transactions</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U.K. JV Transaction</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Gain on Telenet Tower Sale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Losses (gains) on debt extinguishment,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233.2</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Realized and unrealized losses (gains) due to changes in fair values of certain investments,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1,409.3</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r>
      <w:tr>
        <w:trPr>
          <w:trHeight w:val="219"/>
        </w:trPr>
        <w:tc>
          <w:tcPr>
            <w:tcW w:w="736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2,030.9</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2,227.2</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r>
      <w:tr>
        <w:trPr>
          <w:trHeight w:val="243"/>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0" w:name="page51"/>
    <w:bookmarkEnd w:id="50"/>
    <w:p>
      <w:pPr>
        <w:ind w:left="160"/>
        <w:spacing w:after="0"/>
        <w:rPr>
          <w:sz w:val="20"/>
          <w:szCs w:val="20"/>
          <w:color w:val="auto"/>
        </w:rPr>
      </w:pPr>
      <w:r>
        <w:rPr>
          <w:rFonts w:ascii="Arial" w:cs="Arial" w:eastAsia="Arial" w:hAnsi="Arial"/>
          <w:sz w:val="18"/>
          <w:szCs w:val="18"/>
          <w:b w:val="1"/>
          <w:bCs w:val="1"/>
          <w:i w:val="1"/>
          <w:iCs w:val="1"/>
          <w:color w:val="auto"/>
        </w:rPr>
        <w:t>Revenue of our Reportable Segments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reportable segments, we are experiencing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in all of our markets. This competition has an adverse impact on our ability to increase or maintain our total number of customers and/or our ARPU.</w:t>
      </w: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2200" w:type="dxa"/>
            <w:vAlign w:val="bottom"/>
            <w:gridSpan w:val="3"/>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(b)</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4,284.6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4,824.2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(539.6)</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2021 amount represents the revenue of the VMO2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ind w:left="320"/>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 in Switzerland’s revenue during 2022, as compared to 2021,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5"/>
        </w:trPr>
        <w:tc>
          <w:tcPr>
            <w:tcW w:w="7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5"/>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 (a)</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9"/>
        </w:trPr>
        <w:tc>
          <w:tcPr>
            <w:tcW w:w="7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Increase in residential mobile revenue (b)</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(c)</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9"/>
        </w:trPr>
        <w:tc>
          <w:tcPr>
            <w:tcW w:w="7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r>
      <w:tr>
        <w:trPr>
          <w:trHeight w:val="244"/>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decrease in residential fixed non-subscription revenue is primarily due to lower revenue associated with our Swiss sports channels.</w:t>
      </w:r>
    </w:p>
    <w:p>
      <w:pPr>
        <w:spacing w:after="0" w:line="254"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largely due to an increase in the average number of mobile subscribers. The increase in residential mobile non-subscription revenue is primarily attributable to an increase in revenue from handset sales.</w:t>
      </w:r>
    </w:p>
    <w:p>
      <w:pPr>
        <w:spacing w:after="0" w:line="206"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B2B non-subscription revenue is primarily due to the net effect of (i) higher revenue from wholesale services and (ii) lower revenue from telephony services.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ind w:left="320"/>
        <w:spacing w:after="0"/>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decrease in Belgium’s revenue during 2022, as compared to 2021,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5"/>
        </w:trPr>
        <w:tc>
          <w:tcPr>
            <w:tcW w:w="7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5"/>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higher ARPU. The decrease in residential mobile non-subscription revenue is primarily attributable to lower interconnect revenue.</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an increase in ARPU. The increase in B2B non-subscription revenue is largely due to higher revenue from wholesale services and an increase in interconnect revenue.</w:t>
      </w:r>
    </w:p>
    <w:p>
      <w:pPr>
        <w:spacing w:after="0" w:line="206"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 xml:space="preserve">For information concerning certain regulatory developments that could have an adverse impact on our revenue in Belgium, see </w:t>
      </w:r>
      <w:r>
        <w:rPr>
          <w:rFonts w:ascii="Arial" w:cs="Arial" w:eastAsia="Arial" w:hAnsi="Arial"/>
          <w:sz w:val="17"/>
          <w:szCs w:val="17"/>
          <w:i w:val="1"/>
          <w:iCs w:val="1"/>
          <w:color w:val="auto"/>
        </w:rPr>
        <w:t>Legal and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Proceedings and Other Contingencies — Belgium Regulatory Developments </w:t>
      </w:r>
      <w:r>
        <w:rPr>
          <w:rFonts w:ascii="Arial" w:cs="Arial" w:eastAsia="Arial" w:hAnsi="Arial"/>
          <w:sz w:val="17"/>
          <w:szCs w:val="17"/>
          <w:color w:val="auto"/>
        </w:rPr>
        <w:t>in note 18 to our consolidated financial statements.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decrease in Ireland’s revenue during 2022, as compared to 2021,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5"/>
        </w:trPr>
        <w:tc>
          <w:tcPr>
            <w:tcW w:w="7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5"/>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mobile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3" w:name="page54"/>
    <w:bookmarkEnd w:id="53"/>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Reportable Segments</w:t>
      </w:r>
    </w:p>
    <w:p>
      <w:pPr>
        <w:spacing w:after="0" w:line="243"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consolidated statements of operations. The following table sets forth the Adjusted EBITDA of our reportable segments.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6"/>
                <w:szCs w:val="16"/>
                <w:color w:val="auto"/>
              </w:rPr>
            </w:pPr>
          </w:p>
        </w:tc>
        <w:tc>
          <w:tcPr>
            <w:tcW w:w="204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38"/>
        </w:trPr>
        <w:tc>
          <w:tcPr>
            <w:tcW w:w="38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(b)</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6"/>
              </w:rPr>
              <w:t>1,845.6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2,018.0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2,265.6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(247.6)</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Adjusted EBITDA of the U.K. JV Entities through the June 1, 2021 closing of the U.K. JV Transaction.</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2021 amount represents Adjusted EBITDA of the VMO2 JV for the period beginning June 1, 2021.</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Margin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Adjusted EBITDA margins (Adjusted EBITDA divided by revenue) of each of our reportable segments:</w:t>
      </w:r>
    </w:p>
    <w:p>
      <w:pPr>
        <w:spacing w:after="0" w:line="281"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r>
      <w:tr>
        <w:trPr>
          <w:trHeight w:val="182"/>
        </w:trPr>
        <w:tc>
          <w:tcPr>
            <w:tcW w:w="8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5"/>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25"/>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520" w:type="dxa"/>
            <w:vAlign w:val="bottom"/>
          </w:tcPr>
          <w:p>
            <w:pPr>
              <w:jc w:val="right"/>
              <w:spacing w:after="0"/>
              <w:rPr>
                <w:sz w:val="20"/>
                <w:szCs w:val="20"/>
                <w:color w:val="auto"/>
              </w:rPr>
            </w:pPr>
            <w:r>
              <w:rPr>
                <w:rFonts w:ascii="Arial" w:cs="Arial" w:eastAsia="Arial" w:hAnsi="Arial"/>
                <w:sz w:val="18"/>
                <w:szCs w:val="18"/>
                <w:color w:val="auto"/>
                <w:w w:val="85"/>
              </w:rPr>
              <w:t>46.6 %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48.3 %</w:t>
            </w:r>
          </w:p>
        </w:tc>
      </w:tr>
      <w:tr>
        <w:trPr>
          <w:trHeight w:val="225"/>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r>
      <w:tr>
        <w:trPr>
          <w:trHeight w:val="251"/>
        </w:trPr>
        <w:tc>
          <w:tcPr>
            <w:tcW w:w="8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5"/>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VodafoneZiggo JV</w:t>
            </w:r>
          </w:p>
        </w:tc>
        <w:tc>
          <w:tcPr>
            <w:tcW w:w="520" w:type="dxa"/>
            <w:vAlign w:val="bottom"/>
          </w:tcPr>
          <w:p>
            <w:pPr>
              <w:jc w:val="right"/>
              <w:spacing w:after="0"/>
              <w:rPr>
                <w:sz w:val="20"/>
                <w:szCs w:val="20"/>
                <w:color w:val="auto"/>
              </w:rPr>
            </w:pPr>
            <w:r>
              <w:rPr>
                <w:rFonts w:ascii="Arial" w:cs="Arial" w:eastAsia="Arial" w:hAnsi="Arial"/>
                <w:sz w:val="18"/>
                <w:szCs w:val="18"/>
                <w:color w:val="auto"/>
                <w:w w:val="85"/>
              </w:rPr>
              <w:t>47.1 %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47.0 %</w:t>
            </w:r>
          </w:p>
        </w:tc>
      </w:tr>
    </w:tbl>
    <w:p>
      <w:pPr>
        <w:spacing w:after="0" w:line="3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Discussion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spacing w:after="0" w:line="365" w:lineRule="auto"/>
        <w:rPr>
          <w:sz w:val="20"/>
          <w:szCs w:val="20"/>
          <w:color w:val="auto"/>
        </w:rPr>
      </w:pPr>
      <w:r>
        <w:rPr>
          <w:rFonts w:ascii="Arial" w:cs="Arial" w:eastAsia="Arial" w:hAnsi="Arial"/>
          <w:sz w:val="15"/>
          <w:szCs w:val="15"/>
          <w:i w:val="1"/>
          <w:iCs w:val="1"/>
          <w:color w:val="auto"/>
        </w:rPr>
        <w:t xml:space="preserve">Analysis of our Consolidated Operating Results </w:t>
      </w:r>
      <w:r>
        <w:rPr>
          <w:rFonts w:ascii="Arial" w:cs="Arial" w:eastAsia="Arial" w:hAnsi="Arial"/>
          <w:sz w:val="15"/>
          <w:szCs w:val="15"/>
          <w:color w:val="auto"/>
        </w:rPr>
        <w:t>below. For discussion of the factors contributing to the changes in the Adjusted EBITDA margins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VMO2 JV and the VodafoneZiggo JV, see </w:t>
      </w:r>
      <w:r>
        <w:rPr>
          <w:rFonts w:ascii="Arial" w:cs="Arial" w:eastAsia="Arial" w:hAnsi="Arial"/>
          <w:sz w:val="15"/>
          <w:szCs w:val="15"/>
          <w:i w:val="1"/>
          <w:iCs w:val="1"/>
          <w:color w:val="auto"/>
        </w:rPr>
        <w:t>Discussion and Analysis of our Consolidated Operating Results — Share of results of affiliates, net</w:t>
      </w:r>
      <w:r>
        <w:rPr>
          <w:rFonts w:ascii="Arial" w:cs="Arial" w:eastAsia="Arial" w:hAnsi="Arial"/>
          <w:sz w:val="15"/>
          <w:szCs w:val="15"/>
          <w:color w:val="auto"/>
        </w:rPr>
        <w:t xml:space="preserve">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2300" w:type="dxa"/>
            <w:vAlign w:val="bottom"/>
            <w:gridSpan w:val="4"/>
            <w:vMerge w:val="restart"/>
          </w:tcPr>
          <w:p>
            <w:pPr>
              <w:ind w:left="400"/>
              <w:spacing w:after="0"/>
              <w:rPr>
                <w:sz w:val="20"/>
                <w:szCs w:val="20"/>
                <w:color w:val="auto"/>
              </w:rPr>
            </w:pPr>
            <w:r>
              <w:rPr>
                <w:rFonts w:ascii="Arial" w:cs="Arial" w:eastAsia="Arial" w:hAnsi="Arial"/>
                <w:sz w:val="16"/>
                <w:szCs w:val="16"/>
                <w:b w:val="1"/>
                <w:bCs w:val="1"/>
                <w:color w:val="auto"/>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2,371.7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(993.5)</w:t>
            </w:r>
          </w:p>
        </w:tc>
        <w:tc>
          <w:tcPr>
            <w:tcW w:w="120" w:type="dxa"/>
            <w:vAlign w:val="bottom"/>
          </w:tcPr>
          <w:p>
            <w:pPr>
              <w:spacing w:after="0"/>
              <w:rPr>
                <w:sz w:val="19"/>
                <w:szCs w:val="19"/>
                <w:color w:val="auto"/>
              </w:rPr>
            </w:pPr>
          </w:p>
        </w:tc>
        <w:tc>
          <w:tcPr>
            <w:tcW w:w="1100" w:type="dxa"/>
            <w:vAlign w:val="bottom"/>
          </w:tcPr>
          <w:p>
            <w:pPr>
              <w:jc w:val="center"/>
              <w:ind w:left="512"/>
              <w:spacing w:after="0"/>
              <w:rPr>
                <w:sz w:val="20"/>
                <w:szCs w:val="20"/>
                <w:color w:val="auto"/>
              </w:rPr>
            </w:pPr>
            <w:r>
              <w:rPr>
                <w:rFonts w:ascii="Arial" w:cs="Arial" w:eastAsia="Arial" w:hAnsi="Arial"/>
                <w:sz w:val="18"/>
                <w:szCs w:val="18"/>
                <w:color w:val="auto"/>
                <w:w w:val="89"/>
              </w:rPr>
              <w:t>(41.9)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9"/>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9"/>
              </w:rPr>
              <w:t>(54.7)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9"/>
              </w:rPr>
              <w:t>(43.8)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9"/>
              </w:rPr>
              <w:t>(41.4)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9"/>
              </w:rPr>
              <w:t>(43.7)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9"/>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9"/>
              </w:rPr>
              <w:t>(28.5)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9"/>
              </w:rPr>
              <w:t>(18.7)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9"/>
              </w:rPr>
              <w:t>(35.8)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1100" w:type="dxa"/>
            <w:vAlign w:val="bottom"/>
          </w:tcPr>
          <w:p>
            <w:pPr>
              <w:jc w:val="center"/>
              <w:ind w:left="512"/>
              <w:spacing w:after="0"/>
              <w:rPr>
                <w:sz w:val="20"/>
                <w:szCs w:val="20"/>
                <w:color w:val="auto"/>
              </w:rPr>
            </w:pPr>
            <w:r>
              <w:rPr>
                <w:rFonts w:ascii="Arial" w:cs="Arial" w:eastAsia="Arial" w:hAnsi="Arial"/>
                <w:sz w:val="18"/>
                <w:szCs w:val="18"/>
                <w:color w:val="auto"/>
                <w:w w:val="89"/>
              </w:rPr>
              <w:t>(16.8)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9"/>
              </w:rPr>
              <w:t>(30.7)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9"/>
              </w:rPr>
              <w:t>(26.1)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85"/>
              </w:rPr>
              <w:t>10.7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412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9"/>
              </w:rPr>
              <w:t>(30.2)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6"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6" w:lineRule="exact"/>
        <w:rPr>
          <w:rFonts w:ascii="Arial" w:cs="Arial" w:eastAsia="Arial" w:hAnsi="Arial"/>
          <w:sz w:val="17"/>
          <w:szCs w:val="17"/>
          <w:color w:val="auto"/>
        </w:rPr>
      </w:pPr>
    </w:p>
    <w:p>
      <w:pPr>
        <w:jc w:val="both"/>
        <w:ind w:left="480" w:hanging="474"/>
        <w:spacing w:after="0" w:line="254" w:lineRule="auto"/>
        <w:tabs>
          <w:tab w:leader="none" w:pos="4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$140.0 million and $232.6 million during 2022 and 2021,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jc w:val="both"/>
        <w:ind w:left="480" w:hanging="474"/>
        <w:spacing w:after="0" w:line="308" w:lineRule="auto"/>
        <w:tabs>
          <w:tab w:leader="none" w:pos="474" w:val="left"/>
        </w:tabs>
        <w:numPr>
          <w:ilvl w:val="0"/>
          <w:numId w:val="41"/>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180" w:lineRule="exact"/>
        <w:rPr>
          <w:rFonts w:ascii="Arial" w:cs="Arial" w:eastAsia="Arial" w:hAnsi="Arial"/>
          <w:sz w:val="15"/>
          <w:szCs w:val="15"/>
          <w:color w:val="auto"/>
        </w:rPr>
      </w:pPr>
    </w:p>
    <w:p>
      <w:pPr>
        <w:jc w:val="both"/>
        <w:ind w:left="480" w:hanging="474"/>
        <w:spacing w:after="0" w:line="254"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and NL JV Services, (ii) broadcasting revenue in Belgium and Ireland, (iii) revenue earned from transitional and other services provided to various third parties and (iv) revenue earned from the sale of CPE to the VodafoneZiggo JV.</w:t>
      </w:r>
    </w:p>
    <w:p>
      <w:pPr>
        <w:spacing w:after="0" w:line="21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Total revenue. </w:t>
      </w:r>
      <w:r>
        <w:rPr>
          <w:rFonts w:ascii="Arial" w:cs="Arial" w:eastAsia="Arial" w:hAnsi="Arial"/>
          <w:sz w:val="15"/>
          <w:szCs w:val="15"/>
          <w:color w:val="auto"/>
        </w:rPr>
        <w:t>Our consolidated revenue decreased $3,115.6 million or 30.2% during 2022, as compared to 2021. This decrease includes a decrease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$2,736.4 million attributable to the impact of the U.K. JV Transaction. On an organic basis, our consolidated revenue increased $126.3 million or 1.7%.</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 xml:space="preserve">Residential revenue. </w:t>
      </w:r>
      <w:r>
        <w:rPr>
          <w:rFonts w:ascii="Arial" w:cs="Arial" w:eastAsia="Arial" w:hAnsi="Arial"/>
          <w:sz w:val="15"/>
          <w:szCs w:val="15"/>
          <w:color w:val="auto"/>
        </w:rPr>
        <w:t>The details of the decrease in our consolidated residential revenue during 2022, as compared to 2021,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5"/>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5"/>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fixed revenue</w:t>
            </w: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4"/>
        </w:trPr>
        <w:tc>
          <w:tcPr>
            <w:tcW w:w="9940" w:type="dxa"/>
            <w:vAlign w:val="bottom"/>
          </w:tcPr>
          <w:p>
            <w:pPr>
              <w:ind w:left="280"/>
              <w:spacing w:after="0"/>
              <w:rPr>
                <w:sz w:val="20"/>
                <w:szCs w:val="20"/>
                <w:color w:val="auto"/>
              </w:rPr>
            </w:pPr>
            <w:r>
              <w:rPr>
                <w:rFonts w:ascii="Arial" w:cs="Arial" w:eastAsia="Arial" w:hAnsi="Arial"/>
                <w:sz w:val="18"/>
                <w:szCs w:val="18"/>
                <w:color w:val="auto"/>
              </w:rPr>
              <w:t>Total decrease in residential revenue</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(2,287.4)</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r>
      <w:tr>
        <w:trPr>
          <w:trHeight w:val="243"/>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decrease in residential revenue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fixed subscription revenue decreased $60.4 million or 1.9% during 2022, as compared to 2021, primarily attributable to a decrease in Switzerland.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fixed non-subscription revenue decreased $18.0 million or 15.1% during 2022, as compared to 2021, primarily due to a decrease in Switzerland.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mobile subscription revenue increased $63.6 million or 4.4% during 2022, as compared to 2021, primarily attributable to increases in Belgium and Switzerland.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mobile non-subscription revenue decreased $21.1 million or 3.5% during 2022, as compared to 2021, primarily due to a decrease in Belgium, partially offset by an increase in Switzerland.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$18.6 million or 3.4% during 2022, as compared to 2021,</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Belgium.</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B2B non-subscription revenue increased $68.6 million or 7.9% during 2022, as compared to 2021, primarily attributable to increases in Belgium and Switzerland.</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increased $75.0 million or 8.4% during 2022, as compared to 2021,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an increase in Central and Other due to the net effect of (i) an increase in revenue earned from the sale of CPE to the VodafoneZiggo JV and (ii) a decrease in revenue earned from the NL JV Services.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6" w:name="page57"/>
    <w:bookmarkEnd w:id="56"/>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230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w w:val="85"/>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the programming and other direct costs of the U.K. JV Entities through the June 1, 2021 closing of the U.K. JV Transaction.</w:t>
      </w:r>
    </w:p>
    <w:p>
      <w:pPr>
        <w:spacing w:after="0" w:line="25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programming and other direct costs of services decreased $931.9 million or 30.9% during 2022, as compared to 2021. This decrease includes a decrease of $868.1 million attributable to the impact of the U.K. JV Transaction. On an organic basis, our programming and other direct costs of services increased $60.0 million or 2.7%. This increase is primarily due to the net effect of the following factors:</w:t>
      </w:r>
    </w:p>
    <w:p>
      <w:pPr>
        <w:spacing w:after="0" w:line="216"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An increase in costs of $65.8 million in Central and Other related to the sale of CPE to the VodafoneZiggo JV;</w:t>
      </w:r>
    </w:p>
    <w:p>
      <w:pPr>
        <w:spacing w:after="0" w:line="242"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in programming and copyright costs of $22.3 million or 3.7%, attributable to lower costs for certain premium and/or basic content, primarily in Ireland and Switzerland;</w:t>
      </w:r>
    </w:p>
    <w:p>
      <w:pPr>
        <w:spacing w:after="0" w:line="206"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in interconnect and access costs of $22.3 million or 2.8%, primarily due to the net effect of (i) lower interconnect and mobile roaming costs in Switzerland and Belgium, (ii) higher leased tower costs in Switzerland and (iii) lower MVNO costs in Switzerland;</w:t>
      </w:r>
    </w:p>
    <w:p>
      <w:pPr>
        <w:spacing w:after="0" w:line="182" w:lineRule="exact"/>
        <w:rPr>
          <w:rFonts w:ascii="Arial" w:cs="Arial" w:eastAsia="Arial" w:hAnsi="Arial"/>
          <w:sz w:val="17"/>
          <w:szCs w:val="17"/>
          <w:color w:val="auto"/>
        </w:rPr>
      </w:pPr>
    </w:p>
    <w:p>
      <w:pPr>
        <w:ind w:left="640" w:hanging="31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in mobile handset and other device costs of $21.9 million or 6.7%, largely due to higher sales volumes in Switzerland; and</w:t>
      </w:r>
    </w:p>
    <w:p>
      <w:pPr>
        <w:spacing w:after="0" w:line="254"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$8.1 million associated with the impact of the classification of costs in connection with the U.K. JV Services provided by Central and Other, which, subsequent to the completion of the U.K. JV Transaction, are classified as direct costs of services. This increase was fully offset by a corresponding decrease in various SG&amp;A expense categories within Central and Other.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7" w:name="page58"/>
    <w:bookmarkEnd w:id="57"/>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180"/>
              <w:spacing w:after="0" w:line="154" w:lineRule="exact"/>
              <w:rPr>
                <w:sz w:val="20"/>
                <w:szCs w:val="20"/>
                <w:color w:val="auto"/>
              </w:rPr>
            </w:pPr>
            <w:r>
              <w:rPr>
                <w:rFonts w:ascii="Arial" w:cs="Arial" w:eastAsia="Arial" w:hAnsi="Arial"/>
                <w:sz w:val="17"/>
                <w:szCs w:val="17"/>
                <w:color w:val="auto"/>
                <w:w w:val="95"/>
              </w:rPr>
              <w:t>Total other operating expenses excluding share-based</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1"/>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other operating expenses of the U.K. JV Entities through the June 1, 2021 closing of the U.K. JV Transaction.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other operating expenses (exclusive of share-based compensation expense) decreased $387.6 million or 26.4% during 2022, as compared to 2021. This decrease includes a decrease of $405.9 million attributable to the impact of the U.K. JV Transaction. On an organic basis, our other operating expenses increased $85.8 million or 7.9%. This increase is primarily due to the following factors:</w:t>
      </w:r>
    </w:p>
    <w:p>
      <w:pPr>
        <w:spacing w:after="0" w:line="216" w:lineRule="exact"/>
        <w:rPr>
          <w:sz w:val="20"/>
          <w:szCs w:val="20"/>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business service costs of $42.4 million or 32.5%, primarily due to (i) an increase in energy costs, primarily in Belgium, and (ii) higher consulting costs, primarily in Central and Other;</w:t>
      </w:r>
    </w:p>
    <w:p>
      <w:pPr>
        <w:spacing w:after="0" w:line="206" w:lineRule="exact"/>
        <w:rPr>
          <w:rFonts w:ascii="Arial" w:cs="Arial" w:eastAsia="Arial" w:hAnsi="Arial"/>
          <w:sz w:val="18"/>
          <w:szCs w:val="18"/>
          <w:color w:val="auto"/>
        </w:rPr>
      </w:pPr>
    </w:p>
    <w:p>
      <w:pPr>
        <w:jc w:val="both"/>
        <w:ind w:left="640" w:hanging="316"/>
        <w:spacing w:after="0" w:line="251"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bad debt expense of $17.6 million or 82.3%, primarily in Switzerland. This increase includes $4.5 million recognized in Switzerland associated with the sale of certain handset receivables, for which the proceeds of CHF 110.3 million ($113.7 million at the applicable rate) were received on July 1, 2022. The expense recognized during the second quarter of 2022 represents the difference between the carrying amount of the associated receivables and the amount received pursuant to the sale; and</w:t>
      </w:r>
    </w:p>
    <w:p>
      <w:pPr>
        <w:spacing w:after="0" w:line="219"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costs of $14.2 million or 5.7%, primarily due to (i) higher network maintenance costs, primarily due to an increase in Central and Other that was only partially offset by a decrease in Switzerland, and (ii) higher information technology-related expenses in Ireland, Central and Other and Belgium.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c>
          <w:tcPr>
            <w:tcW w:w="2180" w:type="dxa"/>
            <w:vAlign w:val="bottom"/>
            <w:gridSpan w:val="3"/>
            <w:vMerge w:val="restart"/>
          </w:tcPr>
          <w:p>
            <w:pPr>
              <w:jc w:val="right"/>
              <w:ind w:right="41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3"/>
          </w:tcPr>
          <w:p>
            <w:pPr>
              <w:ind w:left="54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5"/>
              </w:rPr>
              <w:t>in millions, except percentages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18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1"/>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2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SG&amp;A expenses the U.K. JV Entities through the June 1, 2021 closing of the U.K. JV Transaction.</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1220" w:type="dxa"/>
            <w:vAlign w:val="bottom"/>
            <w:gridSpan w:val="3"/>
          </w:tcPr>
          <w:p>
            <w:pPr>
              <w:ind w:left="520"/>
              <w:spacing w:after="0"/>
              <w:rPr>
                <w:sz w:val="20"/>
                <w:szCs w:val="20"/>
                <w:color w:val="auto"/>
              </w:rPr>
            </w:pPr>
            <w:r>
              <w:rPr>
                <w:rFonts w:ascii="Arial" w:cs="Arial" w:eastAsia="Arial" w:hAnsi="Arial"/>
                <w:sz w:val="16"/>
                <w:szCs w:val="16"/>
                <w:b w:val="1"/>
                <w:bCs w:val="1"/>
                <w:color w:val="auto"/>
                <w:w w:val="95"/>
              </w:rPr>
              <w:t>Decrease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ind w:right="454"/>
              <w:spacing w:after="0"/>
              <w:rPr>
                <w:sz w:val="20"/>
                <w:szCs w:val="20"/>
                <w:color w:val="auto"/>
              </w:rPr>
            </w:pPr>
            <w:r>
              <w:rPr>
                <w:rFonts w:ascii="Arial" w:cs="Arial" w:eastAsia="Arial" w:hAnsi="Arial"/>
                <w:sz w:val="16"/>
                <w:szCs w:val="16"/>
                <w:b w:val="1"/>
                <w:bCs w:val="1"/>
                <w:color w:val="auto"/>
              </w:rPr>
              <w:t>Organic increase</w:t>
            </w:r>
          </w:p>
        </w:tc>
      </w:tr>
      <w:tr>
        <w:trPr>
          <w:trHeight w:val="205"/>
        </w:trPr>
        <w:tc>
          <w:tcPr>
            <w:tcW w:w="4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r>
      <w:tr>
        <w:trPr>
          <w:trHeight w:val="202"/>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in millions, except percentages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5"/>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4"/>
        </w:trPr>
        <w:tc>
          <w:tcPr>
            <w:tcW w:w="4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SG&amp;A expenses (exclusive of share-based compensation expense) decreased $428.4 million or 23.0% during 2022, as compared to 2021. This decrease includes a decrease of $377.1 million attributable to the impact of the U.K. JV Transaction. On an organic basis, our SG&amp;A expenses increased $32.7 million or 2.2%. This increase is primarily due to the following factors:</w:t>
      </w:r>
    </w:p>
    <w:p>
      <w:pPr>
        <w:spacing w:after="0" w:line="216" w:lineRule="exact"/>
        <w:rPr>
          <w:sz w:val="20"/>
          <w:szCs w:val="20"/>
          <w:color w:val="auto"/>
        </w:rPr>
      </w:pPr>
    </w:p>
    <w:p>
      <w:pPr>
        <w:jc w:val="both"/>
        <w:ind w:left="640" w:hanging="316"/>
        <w:spacing w:after="0" w:line="25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in business service costs of $27.2 million or 15.7%, primarily due to higher (i) travel and entertainment costs in Central and Other, (ii) energy costs in Central and Other and Belgium, (iii) facility management costs in Belgium and Central and Other and (iv) consulting costs, as a decrease in Switzerland was more than offset by increases in Belgium and Central and Other; and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9" w:name="page60"/>
    <w:bookmarkEnd w:id="59"/>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external sales and marketing costs of $14.8 million or 4.4%, primarily due to higher costs associated with advertising campaigns in Switzerland.</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5"/>
              </w:rPr>
              <w:t>Year ended December 31,</w:t>
            </w:r>
          </w:p>
        </w:tc>
      </w:tr>
      <w:tr>
        <w:trPr>
          <w:trHeight w:val="205"/>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5"/>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5"/>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19"/>
        </w:trPr>
        <w:tc>
          <w:tcPr>
            <w:tcW w:w="870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Total Liberty Global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Telenet share-based incentive awards (d)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9"/>
        </w:trPr>
        <w:tc>
          <w:tcPr>
            <w:tcW w:w="8700" w:type="dxa"/>
            <w:vAlign w:val="bottom"/>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87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Included in: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SG&amp;A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19"/>
        </w:trPr>
        <w:tc>
          <w:tcPr>
            <w:tcW w:w="870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99" w:lineRule="auto"/>
        <w:tabs>
          <w:tab w:leader="none" w:pos="477"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 April 2021, with respect to 2014 and 2015 grants, the compensation committee of our board of directors approved the extension dates of outstanding SARs and director options from a seven-year term to a ten-year term. Accordingly, the Black-Scholes fair values of the respective outstanding awards increased, resulting in the recognition of an aggregate incremental share-based compensation expense of $22.7 million during 2021.</w:t>
      </w:r>
    </w:p>
    <w:p>
      <w:pPr>
        <w:spacing w:after="0" w:line="2" w:lineRule="exact"/>
        <w:rPr>
          <w:rFonts w:ascii="Arial" w:cs="Arial" w:eastAsia="Arial" w:hAnsi="Arial"/>
          <w:sz w:val="15"/>
          <w:szCs w:val="15"/>
          <w:color w:val="auto"/>
        </w:rPr>
      </w:pPr>
    </w:p>
    <w:p>
      <w:pPr>
        <w:ind w:left="480" w:hanging="474"/>
        <w:spacing w:after="0" w:line="251" w:lineRule="auto"/>
        <w:tabs>
          <w:tab w:leader="none" w:pos="4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period, PSUs and our 2019 CEO Performance Award.</w:t>
      </w:r>
    </w:p>
    <w:p>
      <w:pPr>
        <w:spacing w:after="0" w:line="217" w:lineRule="exact"/>
        <w:rPr>
          <w:rFonts w:ascii="Arial" w:cs="Arial" w:eastAsia="Arial" w:hAnsi="Arial"/>
          <w:sz w:val="18"/>
          <w:szCs w:val="18"/>
          <w:color w:val="auto"/>
        </w:rPr>
      </w:pPr>
    </w:p>
    <w:p>
      <w:pPr>
        <w:jc w:val="both"/>
        <w:ind w:left="480" w:hanging="474"/>
        <w:spacing w:after="0" w:line="250" w:lineRule="auto"/>
        <w:tabs>
          <w:tab w:leader="none" w:pos="4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amounts include compensation expense related to the 2022 and 2021 Ventures Incentive Plans.</w:t>
      </w:r>
    </w:p>
    <w:p>
      <w:pPr>
        <w:spacing w:after="0" w:line="218"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2022, included performance- and non-performance-based stock option awards with respect to 3,519,920 Telenet shares. These stock option awards had a weighted average exercise price of €31.43 ($33.66).</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share-based compensation,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0" w:name="page61"/>
    <w:bookmarkEnd w:id="60"/>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depreciation and amortization expense was $2,171.4 million and $2,353.7 million during 2022 and 2021, respectively. Excluding the effects of FX, depreciation and amortization expense decreased $6.3 million or 0.3% during 2022, as compared to 2021. This decrease is primarily due to the net effect of (i) a decrease associated with certain assets becoming fully depreciated, primarily in Central and Other, Switzerland and Belgium and (ii) an increase associated with property and equipment additions related to the installation of CPE, the expansion and upgrade of our networks and other capital initiatives, primarily in Central and Other, Switzerland and Belgium.</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recognized impairment, restructuring and other operating items, net, of $85.1 million during 2022, as compared to ($19.0 million) during 2021.</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2022 amount primarily includes (i) a $39.6 million provision in Central and Other related to a legal contingency, (ii) abandoned lease expense of $20.2 million, primarily in Switzerland, and (iii) direct acquisition and disposition costs of $19.4 million, primarily in Belgium.</w:t>
      </w:r>
    </w:p>
    <w:p>
      <w:pPr>
        <w:spacing w:after="0" w:line="20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2021 amount primarily includes (i) a $108.6 million gain related to the settlement of certain litigation in Switzerland, (ii) restructuring charges of $58.2 million, including $53.7 million of employee severance and termination costs related to certain reorganization activities, primarily in Switzerland, and</w:t>
      </w:r>
    </w:p>
    <w:p>
      <w:pPr>
        <w:spacing w:after="0" w:line="1" w:lineRule="exact"/>
        <w:rPr>
          <w:sz w:val="20"/>
          <w:szCs w:val="20"/>
          <w:color w:val="auto"/>
        </w:rPr>
      </w:pPr>
    </w:p>
    <w:p>
      <w:pPr>
        <w:ind w:firstLine="6"/>
        <w:spacing w:after="0" w:line="251" w:lineRule="auto"/>
        <w:tabs>
          <w:tab w:leader="none" w:pos="3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acquisition and disposition costs of $53.0 million, primarily related to costs incurred in connection with the formation of the VMO2 JV and the Sunrise Acquisition.</w:t>
      </w:r>
    </w:p>
    <w:p>
      <w:pPr>
        <w:spacing w:after="0" w:line="217"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additional information regarding our impairments, see </w:t>
      </w:r>
      <w:r>
        <w:rPr>
          <w:rFonts w:ascii="Arial" w:cs="Arial" w:eastAsia="Arial" w:hAnsi="Arial"/>
          <w:sz w:val="15"/>
          <w:szCs w:val="15"/>
          <w:i w:val="1"/>
          <w:iCs w:val="1"/>
          <w:color w:val="auto"/>
        </w:rPr>
        <w:t>Critical Accounting Policies, Judgments and Estimates — Impairment of Goodwill</w:t>
      </w:r>
      <w:r>
        <w:rPr>
          <w:rFonts w:ascii="Arial" w:cs="Arial" w:eastAsia="Arial" w:hAnsi="Arial"/>
          <w:sz w:val="15"/>
          <w:szCs w:val="15"/>
          <w:color w:val="auto"/>
        </w:rPr>
        <w:t xml:space="preserve"> below.</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recognized interest expense of $589.3 million and $882.1 million during 2022 and 2021, respectively. Excluding the effects of FX, interest expense decreased $220.4 million or 25.0% during 2022, as compared to 2021. This decrease is primarily attributable to a lower average outstanding debt balance, largely due to the impact of the U.K. JV Transaction. For additional information regarding our outstanding indebtedness, see note 11 to our consolidated financial statements.</w:t>
      </w:r>
    </w:p>
    <w:p>
      <w:pPr>
        <w:spacing w:after="0" w:line="2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w:t>
      </w:r>
      <w:r>
        <w:rPr>
          <w:rFonts w:ascii="Arial" w:cs="Arial" w:eastAsia="Arial" w:hAnsi="Arial"/>
          <w:sz w:val="17"/>
          <w:szCs w:val="17"/>
          <w:i w:val="1"/>
          <w:iCs w:val="1"/>
          <w:color w:val="auto"/>
        </w:rPr>
        <w:t>Qualitative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Quantitative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1" w:name="page62"/>
    <w:bookmarkEnd w:id="61"/>
    <w:p>
      <w:pPr>
        <w:ind w:left="16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5"/>
              </w:rPr>
              <w:t>Year ended December 31,</w:t>
            </w:r>
          </w:p>
        </w:tc>
      </w:tr>
      <w:tr>
        <w:trPr>
          <w:trHeight w:val="205"/>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5"/>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r>
      <w:tr>
        <w:trPr>
          <w:trHeight w:val="218"/>
        </w:trPr>
        <w:tc>
          <w:tcPr>
            <w:tcW w:w="87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5"/>
        </w:trPr>
        <w:tc>
          <w:tcPr>
            <w:tcW w:w="8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Equity-related derivative instruments: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ITV Collar</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18"/>
        </w:trPr>
        <w:tc>
          <w:tcPr>
            <w:tcW w:w="87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equity-related derivative instruments (b)</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19"/>
        </w:trPr>
        <w:tc>
          <w:tcPr>
            <w:tcW w:w="8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8"/>
        </w:trPr>
        <w:tc>
          <w:tcPr>
            <w:tcW w:w="870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jc w:val="both"/>
        <w:ind w:left="480" w:hanging="474"/>
        <w:spacing w:after="0" w:line="248" w:lineRule="auto"/>
        <w:tabs>
          <w:tab w:leader="none" w:pos="4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gains during 2022 and 2021 are attributable to net gains associated with changes in (i) certain market interest rates and (ii) the relative value of certain currencies. In addition, the gains during 2022 and 2021 include net losses of $16.6 million and $10.7 million, respectively, resulting from changes in our credit risk valuation adjustments.</w:t>
      </w:r>
    </w:p>
    <w:p>
      <w:pPr>
        <w:spacing w:after="0" w:line="220"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information concerning the factors that impact the valuations of our equity-related derivative instruments, see note 8 to our consolidated financial statements.</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additional information concerning our derivative instruments, see note 8 to our consolidated financial statements and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2" w:name="page63"/>
    <w:bookmarkEnd w:id="62"/>
    <w:p>
      <w:pPr>
        <w:ind w:left="16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218"/>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U.S. dollar denominated debt issued by euro functional currency entities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(399.1)</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U.S. dollar denominated debt issued by British pound sterling functional currency entities</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denominated debt issued by British pound sterling functional currency entities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365" w:lineRule="auto"/>
        <w:tabs>
          <w:tab w:leader="none" w:pos="477" w:val="left"/>
        </w:tabs>
        <w:numPr>
          <w:ilvl w:val="0"/>
          <w:numId w:val="53"/>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information regarding how we manage our exposure to foreign currency risk, see </w:t>
      </w:r>
      <w:r>
        <w:rPr>
          <w:rFonts w:ascii="Arial" w:cs="Arial" w:eastAsia="Arial" w:hAnsi="Arial"/>
          <w:sz w:val="18"/>
          <w:szCs w:val="18"/>
          <w:i w:val="1"/>
          <w:iCs w:val="1"/>
          <w:color w:val="auto"/>
        </w:rPr>
        <w:t>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3" w:name="page64"/>
    <w:bookmarkEnd w:id="63"/>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net</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fair value measurements and debt, see notes 7, 9 and 11, respectively, to our consolidated financial statements. The details of our realized and unrealized gains (losses) due to changes in fair values of certain investments, net,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5"/>
              </w:rPr>
              <w:t>Year ended December 31,</w:t>
            </w:r>
          </w:p>
        </w:tc>
      </w:tr>
      <w:tr>
        <w:trPr>
          <w:trHeight w:val="205"/>
        </w:trPr>
        <w:tc>
          <w:tcPr>
            <w:tcW w:w="8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02"/>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5"/>
        </w:trPr>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Pax8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SMAs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Plume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TiBiT (a)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Lacework</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Televisa Univision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301.6</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Aviatrix</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(b)</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43"/>
        </w:trPr>
        <w:tc>
          <w:tcPr>
            <w:tcW w:w="8680" w:type="dxa"/>
            <w:vAlign w:val="bottom"/>
            <w:tcBorders>
              <w:bottom w:val="single" w:sz="8" w:color="CCEEFF"/>
            </w:tcBorders>
            <w:shd w:val="clear" w:color="auto" w:fill="CCEEFF"/>
          </w:tcPr>
          <w:p>
            <w:pPr>
              <w:ind w:left="2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investment in TiBiT was sold during the fourth quarter of 2022.</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gains of $15.7 million and $12.9 million, respectively, related to investments that were sold during the year.</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Gains (losses) on debt extinguishment,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recognized net gains (losses) on debt extinguishment of $2.8 million and ($90.6 million) during 2022 and 2021, respectively.</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gain during 2022 is attributable to (i) a net gain associated with settlement discounts of $9.8 million, (ii) the write-off of $5.5 million of unamortized deferred financing costs and discounts and (iii) the payment of $1.5 million of third-party costs.</w:t>
      </w:r>
    </w:p>
    <w:p>
      <w:pPr>
        <w:spacing w:after="0" w:line="20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loss during 2021 is attributable to (i) the write-off of $77.7 million of unamortized deferred financing costs and discounts and (ii) the payment of $12.9 million of redemption premiums.</w:t>
      </w:r>
    </w:p>
    <w:p>
      <w:pPr>
        <w:ind w:left="320"/>
        <w:spacing w:after="0"/>
        <w:rPr>
          <w:sz w:val="20"/>
          <w:szCs w:val="20"/>
          <w:color w:val="auto"/>
        </w:rPr>
      </w:pPr>
      <w:r>
        <w:rPr>
          <w:rFonts w:ascii="Arial" w:cs="Arial" w:eastAsia="Arial" w:hAnsi="Arial"/>
          <w:sz w:val="17"/>
          <w:szCs w:val="17"/>
          <w:color w:val="auto"/>
        </w:rPr>
        <w:t>For additional information concerning our gains (losses) on debt extinguishment, net, see note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4" w:name="page65"/>
    <w:bookmarkEnd w:id="64"/>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6"/>
              </w:rPr>
              <w:t>Year ended December 31,</w:t>
            </w:r>
          </w:p>
        </w:tc>
      </w:tr>
      <w:tr>
        <w:trPr>
          <w:trHeight w:val="205"/>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65"/>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Streamz</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Eltrona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Formula 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56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77" w:lineRule="auto"/>
        <w:tabs>
          <w:tab w:leader="none" w:pos="477"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89"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6"/>
              </w:rPr>
              <w:t>Year ended December 31,</w:t>
            </w:r>
          </w:p>
        </w:tc>
        <w:tc>
          <w:tcPr>
            <w:tcW w:w="0" w:type="dxa"/>
            <w:vAlign w:val="bottom"/>
          </w:tcPr>
          <w:p>
            <w:pPr>
              <w:spacing w:after="0"/>
              <w:rPr>
                <w:sz w:val="1"/>
                <w:szCs w:val="1"/>
                <w:color w:val="auto"/>
              </w:rPr>
            </w:pPr>
          </w:p>
        </w:tc>
      </w:tr>
      <w:tr>
        <w:trPr>
          <w:trHeight w:val="205"/>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w w:val="93"/>
              </w:rPr>
              <w:t>2021 (1)</w:t>
            </w:r>
          </w:p>
        </w:tc>
        <w:tc>
          <w:tcPr>
            <w:tcW w:w="0" w:type="dxa"/>
            <w:vAlign w:val="bottom"/>
          </w:tcPr>
          <w:p>
            <w:pPr>
              <w:spacing w:after="0"/>
              <w:rPr>
                <w:sz w:val="1"/>
                <w:szCs w:val="1"/>
                <w:color w:val="auto"/>
              </w:rPr>
            </w:pPr>
          </w:p>
        </w:tc>
      </w:tr>
      <w:tr>
        <w:trPr>
          <w:trHeight w:val="202"/>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4,562.2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2,716.6</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 (expense) (2)</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448.7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operating results of the VMO2 JV for the period from June 1, 2021 through December 31, 2021.</w:t>
      </w:r>
    </w:p>
    <w:p>
      <w:pPr>
        <w:spacing w:after="0" w:line="242"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depreciation and amortization expense of $4,108.5 million and $2,551.2 million, respectively.</w:t>
      </w:r>
    </w:p>
    <w:p>
      <w:pPr>
        <w:spacing w:after="0" w:line="242" w:lineRule="exact"/>
        <w:rPr>
          <w:rFonts w:ascii="Arial" w:cs="Arial" w:eastAsia="Arial" w:hAnsi="Arial"/>
          <w:sz w:val="18"/>
          <w:szCs w:val="18"/>
          <w:color w:val="auto"/>
        </w:rPr>
      </w:pPr>
    </w:p>
    <w:p>
      <w:pPr>
        <w:ind w:left="800" w:right="20" w:hanging="318"/>
        <w:spacing w:after="0" w:line="365" w:lineRule="auto"/>
        <w:tabs>
          <w:tab w:leader="none" w:pos="794"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interest expense of $1,016.2 million and $568.6 million, respectively. The 2022 amount includes a charge of £3.1 billion ($3.6 billion at the applicable rate) related to the VMO2 JV’s goodwill impairment, as described in note 7 to our consolidated financial statements.</w:t>
      </w:r>
    </w:p>
    <w:p>
      <w:pPr>
        <w:spacing w:after="0" w:line="137"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VMO2 JV was formed on June 1, 2021. As a result, the reported amounts for 2021 are based on results for the period beginning June 1, 2021. The change in the VMO2 JV’s revenue during 2022, as compared to 2021, is primarily due to the net effect of (i) an increase in mobile subscription revenue and</w:t>
      </w:r>
    </w:p>
    <w:p>
      <w:pPr>
        <w:spacing w:after="0" w:line="1" w:lineRule="exact"/>
        <w:rPr>
          <w:sz w:val="20"/>
          <w:szCs w:val="20"/>
          <w:color w:val="auto"/>
        </w:rPr>
      </w:pPr>
    </w:p>
    <w:p>
      <w:pPr>
        <w:jc w:val="both"/>
        <w:ind w:firstLine="6"/>
        <w:spacing w:after="0" w:line="248"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B2B revenue, with each revenue category as defined and reported by the VMO2 JV. The change in the VMO2 JV’s Adjusted EBITDA during 2022, as compared to 2021, is primarily due to the net effect of (a) the realization of synergies and cost efficiencies and (b) higher energy costs.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5" w:name="page66"/>
    <w:bookmarkEnd w:id="65"/>
    <w:p>
      <w:pPr>
        <w:jc w:val="both"/>
        <w:ind w:left="480" w:hanging="474"/>
        <w:spacing w:after="0" w:line="254" w:lineRule="auto"/>
        <w:tabs>
          <w:tab w:leader="none" w:pos="4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$53.8 million and $56.5 million, respectively, representing 100% of the interest earned on the VodafoneZiggo JV Receivables. The summarized results of operations of the VodafoneZiggo JV are set forth below:</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6"/>
              </w:rPr>
              <w:t>Year ended December 31,</w:t>
            </w:r>
          </w:p>
        </w:tc>
        <w:tc>
          <w:tcPr>
            <w:tcW w:w="0" w:type="dxa"/>
            <w:vAlign w:val="bottom"/>
          </w:tcPr>
          <w:p>
            <w:pPr>
              <w:spacing w:after="0"/>
              <w:rPr>
                <w:sz w:val="1"/>
                <w:szCs w:val="1"/>
                <w:color w:val="auto"/>
              </w:rPr>
            </w:pPr>
          </w:p>
        </w:tc>
      </w:tr>
      <w:tr>
        <w:trPr>
          <w:trHeight w:val="205"/>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2,018.0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2,265.6</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 (1)</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800" w:hanging="318"/>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depreciation and amortization expense of $1,610.7 million and $1,870.0 million, respectively.</w:t>
      </w:r>
    </w:p>
    <w:p>
      <w:pPr>
        <w:spacing w:after="0" w:line="242" w:lineRule="exact"/>
        <w:rPr>
          <w:rFonts w:ascii="Arial" w:cs="Arial" w:eastAsia="Arial" w:hAnsi="Arial"/>
          <w:sz w:val="18"/>
          <w:szCs w:val="18"/>
          <w:color w:val="auto"/>
        </w:rPr>
      </w:pPr>
    </w:p>
    <w:p>
      <w:pPr>
        <w:ind w:left="800" w:hanging="318"/>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interest expense of $606.4 million and $605.0 million, respectively.</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decrease in the VodafoneZiggo JV’s revenue during 2022, as compared to 2021, is primarily due to the net effect of (i) a decrease in residential fixed revenue, (ii) an increase in B2B revenue and (iii) higher residential mobile revenue. The decrease in the VodafoneZiggo JV’s Adjusted EBITDA during 2022, as compared to 2021, is primarily due to inflation-related increases in energy and staff costs. In addition, the reported revenue and Adjusted EBITDA amounts are impacted by FX.</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equity method investments, see note 7 to our consolidated financial statements.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Telenet Tower Sale</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Telenet Tower Sale, we recognized a pre-tax gain during 2022 of $700.5 million. For additional information, see note 6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U.K. JV Transaction</w:t>
      </w:r>
    </w:p>
    <w:p>
      <w:pPr>
        <w:spacing w:after="0" w:line="2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connection with the U.K. JV Transaction, we recognized a pre-tax gain during 2021 of $10,873.8 million, net of the recognition of a cumulative foreign currency translation loss of $1,198.6 million. For additional information, see note 6 to our consolidated financial statements.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AtlasEdge JV Transactions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AtlasEdge JV Transactions, we recognized a pre-tax gain during 2021 of $227.5 million, net of the recognition of a cumulative foreign currency translation loss of $1.8 million. For additional information, see note 6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recognized other income, net, of $134.4 million and $44.9 million during 2022 and 2021, respectively. These amounts include (i) interest and dividend income of $76.6 million and $13.9 million, respectively, and (ii) credits related to the non-service component of our net periodic pension costs of $33.9 million and $38.9 million,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6" w:name="page67"/>
    <w:bookmarkEnd w:id="66"/>
    <w:p>
      <w:pPr>
        <w:ind w:left="160"/>
        <w:spacing w:after="0"/>
        <w:rPr>
          <w:sz w:val="20"/>
          <w:szCs w:val="20"/>
          <w:color w:val="auto"/>
        </w:rPr>
      </w:pPr>
      <w:r>
        <w:rPr>
          <w:rFonts w:ascii="Arial" w:cs="Arial" w:eastAsia="Arial" w:hAnsi="Arial"/>
          <w:sz w:val="18"/>
          <w:szCs w:val="18"/>
          <w:i w:val="1"/>
          <w:iCs w:val="1"/>
          <w:color w:val="auto"/>
        </w:rPr>
        <w:t>Income tax benefit (expense)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recognized income tax expense of $318.9 million and $473.3 million during 2022 and 2021, respectively.</w:t>
      </w:r>
    </w:p>
    <w:p>
      <w:pPr>
        <w:spacing w:after="0" w:line="23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income tax expense during 2022 differs from the expected income tax expense of $270.6 million (based on the U.K. statutory income tax rate of 19.0%), primarily due to the net negative impact of (i) statutory rates in certain jurisdictions in which we operate that differ from the U.K. statutory income tax rate, (ii) certain permanent differences between the financial and tax accounting treatment of interest and other expenses and (iii) certain permanent differences between the financial and tax accounting treatment of items associated with investments in subsidiaries and affiliates. The negative impact of these items was partially offset by the net positive impact of non-deductible or non-taxable foreign currency exchange results.</w:t>
      </w:r>
    </w:p>
    <w:p>
      <w:pPr>
        <w:spacing w:after="0" w:line="1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income tax expense during 2021 differs from the expected income tax expense of $2,660.2 million (based on the U.K. statutory income tax rate of 19.0%), primarily due to the positive impact of the non-taxable gain associated with the U.K. JV Transaction.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income taxes, see note 13 to our consolidated financial statements.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2022 and 2021, we reported earnings from continuing operations of $1,105.3 million and $13,527.5 million, respectively, consisting of (i) operating income of $146.8 million and $1,320.3 million, respectively, (ii) net non-operating income of $1,277.4 million and $12,680.5 million, respectively, and (iii) income tax expense of $318.9 million and $473.3 million, respectively.</w:t>
      </w:r>
    </w:p>
    <w:p>
      <w:pPr>
        <w:spacing w:after="0" w:line="21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Due largely to the fact that we seek to maintain our debt at levels that provide for attractive equity returns, as discussed under </w:t>
      </w:r>
      <w:r>
        <w:rPr>
          <w:rFonts w:ascii="Arial" w:cs="Arial" w:eastAsia="Arial" w:hAnsi="Arial"/>
          <w:sz w:val="17"/>
          <w:szCs w:val="17"/>
          <w:i w:val="1"/>
          <w:iCs w:val="1"/>
          <w:color w:val="auto"/>
        </w:rPr>
        <w:t>Material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 Capitalization </w:t>
      </w:r>
      <w:r>
        <w:rPr>
          <w:rFonts w:ascii="Arial" w:cs="Arial" w:eastAsia="Arial" w:hAnsi="Arial"/>
          <w:sz w:val="17"/>
          <w:szCs w:val="17"/>
          <w:color w:val="auto"/>
        </w:rPr>
        <w:t>below, we expect we will continue to report significant levels of interest expense for the foreseeable future.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above. For information concerning the reasons for changes in specific line items in our consolidated statements of operations, see </w:t>
      </w:r>
      <w:r>
        <w:rPr>
          <w:rFonts w:ascii="Arial" w:cs="Arial" w:eastAsia="Arial" w:hAnsi="Arial"/>
          <w:sz w:val="17"/>
          <w:szCs w:val="17"/>
          <w:i w:val="1"/>
          <w:iCs w:val="1"/>
          <w:color w:val="auto"/>
        </w:rPr>
        <w:t>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above.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reported earnings from discontinued operations, net of taxes, of $34.6 million and $82.6 million during 2022 and 2021, respectively, related to the results of UPC Poland. In addition, we recognized a gain on the sale of UPC Poland of $846.4 million during 2022, which includes a cumulative foreign currency translation gain of $10.9 million. For additional information, see note 6 to our consolidated financial statements.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earnings attributable to noncontrolling interests were $513.1 million and $183.3 million during 2022 and 2021, respectively, primarily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Cash Equivalents and SMAs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and investments held under SMAs at December 31, 2022 are set forth in the following table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Liberty Global (a)</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9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Unrestricted subsidiaries (b)</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w:t>
            </w:r>
          </w:p>
        </w:tc>
      </w:tr>
      <w:tr>
        <w:trPr>
          <w:trHeight w:val="219"/>
        </w:trPr>
        <w:tc>
          <w:tcPr>
            <w:tcW w:w="98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r>
      <w:tr>
        <w:trPr>
          <w:trHeight w:val="205"/>
        </w:trPr>
        <w:tc>
          <w:tcPr>
            <w:tcW w:w="984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Telenet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r>
      <w:tr>
        <w:trPr>
          <w:trHeight w:val="225"/>
        </w:trPr>
        <w:tc>
          <w:tcPr>
            <w:tcW w:w="9840" w:type="dxa"/>
            <w:vAlign w:val="bottom"/>
          </w:tcPr>
          <w:p>
            <w:pPr>
              <w:ind w:left="340"/>
              <w:spacing w:after="0"/>
              <w:rPr>
                <w:sz w:val="20"/>
                <w:szCs w:val="20"/>
                <w:color w:val="auto"/>
              </w:rPr>
            </w:pPr>
            <w:r>
              <w:rPr>
                <w:rFonts w:ascii="Arial" w:cs="Arial" w:eastAsia="Arial" w:hAnsi="Arial"/>
                <w:sz w:val="18"/>
                <w:szCs w:val="18"/>
                <w:color w:val="auto"/>
              </w:rPr>
              <w:t>UPC Holding</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VM Ireland</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8"/>
        </w:trPr>
        <w:tc>
          <w:tcPr>
            <w:tcW w:w="98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borrowing groups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1,143.9</w:t>
            </w:r>
          </w:p>
        </w:tc>
      </w:tr>
      <w:tr>
        <w:trPr>
          <w:trHeight w:val="219"/>
        </w:trPr>
        <w:tc>
          <w:tcPr>
            <w:tcW w:w="98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cash and cash equivalents (d)</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r>
      <w:tr>
        <w:trPr>
          <w:trHeight w:val="218"/>
        </w:trPr>
        <w:tc>
          <w:tcPr>
            <w:tcW w:w="9840" w:type="dxa"/>
            <w:vAlign w:val="bottom"/>
            <w:tcBorders>
              <w:bottom w:val="single" w:sz="8" w:color="CCEEFF"/>
            </w:tcBorders>
          </w:tcPr>
          <w:p>
            <w:pPr>
              <w:ind w:left="120"/>
              <w:spacing w:after="0" w:line="204" w:lineRule="exact"/>
              <w:rPr>
                <w:sz w:val="20"/>
                <w:szCs w:val="20"/>
                <w:color w:val="auto"/>
              </w:rPr>
            </w:pPr>
            <w:r>
              <w:rPr>
                <w:rFonts w:ascii="Arial" w:cs="Arial" w:eastAsia="Arial" w:hAnsi="Arial"/>
                <w:sz w:val="18"/>
                <w:szCs w:val="18"/>
                <w:color w:val="auto"/>
              </w:rPr>
              <w:t>Investments held under SMAs (e)</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w:t>
            </w:r>
          </w:p>
        </w:tc>
      </w:tr>
      <w:tr>
        <w:trPr>
          <w:trHeight w:val="243"/>
        </w:trPr>
        <w:tc>
          <w:tcPr>
            <w:tcW w:w="9840" w:type="dxa"/>
            <w:vAlign w:val="bottom"/>
            <w:tcBorders>
              <w:bottom w:val="single" w:sz="8" w:color="CCEEFF"/>
            </w:tcBorders>
            <w:shd w:val="clear" w:color="auto" w:fill="CCEEFF"/>
          </w:tcPr>
          <w:p>
            <w:pPr>
              <w:ind w:left="640"/>
              <w:spacing w:after="0" w:line="205" w:lineRule="exact"/>
              <w:rPr>
                <w:sz w:val="20"/>
                <w:szCs w:val="20"/>
                <w:color w:val="auto"/>
              </w:rPr>
            </w:pPr>
            <w:r>
              <w:rPr>
                <w:rFonts w:ascii="Arial" w:cs="Arial" w:eastAsia="Arial" w:hAnsi="Arial"/>
                <w:sz w:val="18"/>
                <w:szCs w:val="18"/>
                <w:color w:val="auto"/>
              </w:rPr>
              <w:t>Total cash and cash equivalents and investments held under SMAs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aggregate amounts held by the parent entity and restricted subsidiaries of our borrowing groups.</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total cash and cash equivalents balance includes $1,307.9 million or 75.8% and $347.2 million or 20.1% denominated in euros and U.S. dollars, respectively.</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balance of our investments held under SMAs was denominated entirely in U.S. dollars.</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additional information regarding our cash and cash equivalents and investments held under SMAs, see the discussion under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 Cash and Investments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8" w:name="page69"/>
    <w:bookmarkEnd w:id="68"/>
    <w:p>
      <w:pPr>
        <w:ind w:left="16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1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$1.8 million of cash and cash equivalents held by Liberty Global and, subject to certain tax and legal considerations, the $580.5 million of aggregate cash and cash equivalents held by unrestricted subsidiaries, together with the $2,854.6 million of investments held under SMAs, represented available liquidity at the corporate level at December 31, 2022. Our remaining cash and cash equivalents of $1,143.9 million at December 31, 2022 were held by our borrowing groups, as set forth in the table above. As noted above, various factors may limit our ability to access the cash of our borrowing groups. For information regarding certain limitations imposed by our subsidiaries’ debt instruments at December 31, 2022, see note 11 to our consolidated financial statements.</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w:t>
      </w:r>
    </w:p>
    <w:p>
      <w:pPr>
        <w:spacing w:after="0" w:line="2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December 31, 2022, our consolidated cash and cash equivalents balance included $1,345.8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the amount of cash we receive from our subsidiaries and affiliates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0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$12.7 billion at December 31, 2022 with varying maturity dates).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2022, the aggregate amount of our share repurchases, including direct acquisition costs, was $1,702.6 million. As a U.K. incorporated company, we may only elect to repurchase shares or pay dividends to the extent of our Distributable Reserves. Under our current repurchase program, we are authorized during 2023 to repurchase 10% of our total outstanding shares as of the beginning of the year. For additional information regarding our share repurchase programs, see note 14 to our consolidated financial statements.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2022, see note 11 to our consolidated financial statements. The aforementioned sources of liquidity may be supplemented in certain cases by contributions and/or loans from Liberty Global and its unrestricted subsidiaries.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9" w:name="page70"/>
    <w:bookmarkEnd w:id="69"/>
    <w:p>
      <w:pPr>
        <w:jc w:val="both"/>
        <w:ind w:firstLine="318"/>
        <w:spacing w:after="0" w:line="249" w:lineRule="auto"/>
        <w:rPr>
          <w:sz w:val="20"/>
          <w:szCs w:val="20"/>
          <w:color w:val="auto"/>
        </w:rPr>
      </w:pPr>
      <w:r>
        <w:rPr>
          <w:rFonts w:ascii="Arial" w:cs="Arial" w:eastAsia="Arial" w:hAnsi="Arial"/>
          <w:sz w:val="18"/>
          <w:szCs w:val="18"/>
          <w:color w:val="auto"/>
        </w:rPr>
        <w:t>The liquidity of our borrowing groups generally is used to fund (i) property and equipment additions, (ii) debt service requirements and (iii) income tax payments, as well as to settle certain obligations that are not included on our December 31, 2022 consolidated balance sheet. In this regard, we have significant commitments related to (a) certain operating costs associated with our networks, (b) purchase obligations associated with CPE and certain service-related commitments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18 to our consolidated financial statements.</w:t>
      </w:r>
    </w:p>
    <w:p>
      <w:pPr>
        <w:spacing w:after="0" w:line="22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For additional information regarding our consolidated cash flows, see the discussion under </w:t>
      </w:r>
      <w:r>
        <w:rPr>
          <w:rFonts w:ascii="Arial" w:cs="Arial" w:eastAsia="Arial" w:hAnsi="Arial"/>
          <w:sz w:val="17"/>
          <w:szCs w:val="17"/>
          <w:i w:val="1"/>
          <w:iCs w:val="1"/>
          <w:color w:val="auto"/>
        </w:rPr>
        <w:t>Consolidated Statements of Cash Flows</w:t>
      </w:r>
      <w:r>
        <w:rPr>
          <w:rFonts w:ascii="Arial" w:cs="Arial" w:eastAsia="Arial" w:hAnsi="Arial"/>
          <w:sz w:val="17"/>
          <w:szCs w:val="17"/>
          <w:color w:val="auto"/>
        </w:rPr>
        <w:t xml:space="preserve"> below.</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consolidated statements of operations.</w:t>
      </w:r>
    </w:p>
    <w:p>
      <w:pPr>
        <w:spacing w:after="0" w:line="20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December 31, 2022,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December 31, 2022, the outstanding principal amount of our consolidated debt, together with our finance lease obligations, aggregated $13.8 billion, including $0.8 billion that is classified as current on our consolidated balance sheet and $12.7 billion that is not due until 2028 or thereafter. All of our consolidated debt and finance lease obligations have been borrowed or incurred by our subsidiaries at December 31, 2022.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0" w:name="page71"/>
    <w:bookmarkEnd w:id="70"/>
    <w:p>
      <w:pPr>
        <w:jc w:val="both"/>
        <w:ind w:firstLine="318"/>
        <w:spacing w:after="0" w:line="263"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debt and finance lease obligations, see notes 11 and 12, respectively, to our consolidated financial statements.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 See related discussion under</w:t>
      </w:r>
      <w:r>
        <w:rPr>
          <w:rFonts w:ascii="Arial" w:cs="Arial" w:eastAsia="Arial" w:hAnsi="Arial"/>
          <w:sz w:val="18"/>
          <w:szCs w:val="18"/>
          <w:i w:val="1"/>
          <w:iCs w:val="1"/>
          <w:color w:val="auto"/>
        </w:rPr>
        <w:t xml:space="preserve"> Quantitative and Qualitative Disclosures about Market Risk — Foreign Currency Risk </w:t>
      </w:r>
      <w:r>
        <w:rPr>
          <w:rFonts w:ascii="Arial" w:cs="Arial" w:eastAsia="Arial" w:hAnsi="Arial"/>
          <w:sz w:val="18"/>
          <w:szCs w:val="18"/>
          <w:color w:val="auto"/>
        </w:rPr>
        <w:t>below.</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2022 and 2021 consolidated statements of cash flows of our continuing operations are summarized as follows: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Change</w:t>
            </w:r>
          </w:p>
        </w:tc>
      </w:tr>
      <w:tr>
        <w:trPr>
          <w:trHeight w:val="202"/>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r>
      <w:tr>
        <w:trPr>
          <w:trHeight w:val="225"/>
        </w:trPr>
        <w:tc>
          <w:tcPr>
            <w:tcW w:w="7360" w:type="dxa"/>
            <w:vAlign w:val="bottom"/>
          </w:tcPr>
          <w:p>
            <w:pPr>
              <w:spacing w:after="0"/>
              <w:rPr>
                <w:sz w:val="20"/>
                <w:szCs w:val="20"/>
                <w:color w:val="auto"/>
              </w:rPr>
            </w:pPr>
            <w:r>
              <w:rPr>
                <w:rFonts w:ascii="Arial" w:cs="Arial" w:eastAsia="Arial" w:hAnsi="Arial"/>
                <w:sz w:val="18"/>
                <w:szCs w:val="18"/>
                <w:color w:val="auto"/>
              </w:rPr>
              <w:t>Net cash provided (used) by investing activities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7,042.1</w:t>
            </w:r>
          </w:p>
        </w:tc>
      </w:tr>
      <w:tr>
        <w:trPr>
          <w:trHeight w:val="22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r>
      <w:tr>
        <w:trPr>
          <w:trHeight w:val="225"/>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44"/>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The decrease in net cash provided by our operating activities is primarily attributable to the net effect of (i) a decrease in cash</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by our Adjusted EBITDA and related working capital items, which includes (a) the impact of the U.K. JV Transaction and (b) an increase in cash of $113.7 million (at the applicable rate) in connection with the sale of certain handset receivables in Switzerland, (ii) an increase in cash provided due to higher dividend distributions from the VMO2 JV, (iii) a decrease due to FX, (iv) an increase in cash provided due to lower payments of interest, including the impact of the U.K. JV Transaction, (v) an increase in cash provided due to higher net cash receipts related to derivative instruments, and (vi) an increase in cash provided due to higher receipts of interest. Consolidated Adjusted EBITDA is a non-GAAP measure, which investors should view as a supplement to, and not a substitute for, GAAP measures of performance included in our consolidated statements of operations.</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change in net cash provided (used) by our investing activities is primarily attributable to (i) an increase in cash of $3,424.0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associated with restricted cash contributed to the VMO2 JV in connection with the U.K. JV Transaction during the first six months of 2021, (ii) an increase in cash of $1,553.3 million in connection with the sale of UPC Poland, (iii) an increase in cash of $870.5 million associated with lower net cash paid for investments, primarily related to our investments held under SMAs, (iv) an increase in cash of $779.9 million in connection with the Telenet Tower Sale and (v) an increase in cash of $477.9 million due to higher dividend distributions received from the VMO2 JV. Capital expenditures decreased from $1,408.0 million during 2021 to $1,303.2 million during 2022 due to the net effect of (a) a decrease due to the impact of the U.K. JV Transaction, (b) a decrease due to FX and (c) an increase in our net local currency capital expenditures and related working capital movements, including the impact of lower capital-related vendor financing.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1" w:name="page72"/>
    <w:bookmarkEnd w:id="71"/>
    <w:p>
      <w:pPr>
        <w:jc w:val="both"/>
        <w:ind w:firstLine="318"/>
        <w:spacing w:after="0" w:line="248" w:lineRule="auto"/>
        <w:rPr>
          <w:sz w:val="20"/>
          <w:szCs w:val="20"/>
          <w:color w:val="auto"/>
        </w:rPr>
      </w:pPr>
      <w:r>
        <w:rPr>
          <w:rFonts w:ascii="Arial" w:cs="Arial" w:eastAsia="Arial" w:hAnsi="Arial"/>
          <w:sz w:val="18"/>
          <w:szCs w:val="18"/>
          <w:color w:val="auto"/>
        </w:rPr>
        <w:t>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19 to our consolidated financial statements. A reconciliation of our consolidated property and equipment additions to our consolidated capital expenditures, as reported in our consolidated statements of cash flows, is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w w:val="96"/>
              </w:rPr>
              <w:t>Year ended December 31,</w:t>
            </w:r>
          </w:p>
        </w:tc>
      </w:tr>
      <w:tr>
        <w:trPr>
          <w:trHeight w:val="205"/>
        </w:trPr>
        <w:tc>
          <w:tcPr>
            <w:tcW w:w="8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5"/>
        </w:trPr>
        <w:tc>
          <w:tcPr>
            <w:tcW w:w="8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(661.1)</w:t>
            </w: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44"/>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decrease in our property and equipment additions during 2022, as compared to 2021, is primarily due to the net effect of (i) a decrease due to the impact of the U.K. JV Transaction, (ii) a decrease due to FX, (iii) an increase in local currency expenditures of our subsidiaries due to the net effect of (a) an increase in expenditures for the purchase and installation of CPE, (b) an increase in expenditures for new build and upgrade projects, (c) a decrease in baseline expenditures, including network improvements and expenditures for property and facilities and information technology systems, and (d) a decrease expenditures to support new customer products and operational efficiency initiatives. During 2022 and 2021, our property and equipment additions represented 22.1% and 21.0% of revenue, respectively.</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our 2023 property and equipment additions to remain relatively stable as compared to our 2022 property and equipment additions. The actual amount of our 2023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19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increase in net cash used by our financing activities is primarily attributable to the net effect of (i) an increase in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$1,825.9 million due to higher net repayments of debt, (ii) a decrease in cash used of $287.3 million due to lower net repayments of vendor financing, including the impact of the U.K. JV Transaction, (iii) an increase in cash used of $193.6 million due to higher net payments related to derivatives and (iv) an increase in cash used of $123.0 million due to higher repurchases of Liberty Global ordinary shares.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2" w:name="page73"/>
    <w:bookmarkEnd w:id="72"/>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consolidated statements of cash flows with each item excluding any cash provided or used by our discontinued operations. Net cash provided by the operating activities of our continuing operations includes cash paid for third-party costs directly associated with successful and unsuccessful acquisitions and dispositions of $36.2 million and $80.5 million during 2022 and 2021, respectively.</w:t>
      </w:r>
    </w:p>
    <w:p>
      <w:pPr>
        <w:spacing w:after="0" w:line="20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consolidated statements of cash flows. Further, our adjusted free cash flow may differ from how other companies define and apply their definition of adjusted free cash flow.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6"/>
              </w:rPr>
              <w:t>Year ended December 31,</w:t>
            </w:r>
          </w:p>
        </w:tc>
      </w:tr>
      <w:tr>
        <w:trPr>
          <w:trHeight w:val="205"/>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65"/>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1,781.6</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(1,408.0)</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43"/>
        </w:trPr>
        <w:tc>
          <w:tcPr>
            <w:tcW w:w="86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3" w:lineRule="exact"/>
        <w:rPr>
          <w:sz w:val="20"/>
          <w:szCs w:val="20"/>
          <w:color w:val="auto"/>
        </w:rPr>
      </w:pPr>
    </w:p>
    <w:p>
      <w:pPr>
        <w:jc w:val="both"/>
        <w:ind w:left="480" w:hanging="474"/>
        <w:spacing w:after="0" w:line="308" w:lineRule="auto"/>
        <w:tabs>
          <w:tab w:leader="none" w:pos="477" w:val="left"/>
        </w:tabs>
        <w:numPr>
          <w:ilvl w:val="0"/>
          <w:numId w:val="61"/>
        </w:numPr>
        <w:rPr>
          <w:rFonts w:ascii="Arial" w:cs="Arial" w:eastAsia="Arial" w:hAnsi="Arial"/>
          <w:sz w:val="15"/>
          <w:szCs w:val="15"/>
          <w:color w:val="auto"/>
        </w:rPr>
      </w:pPr>
      <w:r>
        <w:rPr>
          <w:rFonts w:ascii="Arial" w:cs="Arial" w:eastAsia="Arial" w:hAnsi="Arial"/>
          <w:sz w:val="15"/>
          <w:szCs w:val="15"/>
          <w:color w:val="auto"/>
        </w:rPr>
        <w:t>For purposes of our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176"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Impairment of goodwill;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associated with the capitalization of property and equipment;</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Fair value measurements;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Income tax accounting.</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Carrying Value. </w:t>
      </w:r>
      <w:r>
        <w:rPr>
          <w:rFonts w:ascii="Arial" w:cs="Arial" w:eastAsia="Arial" w:hAnsi="Arial"/>
          <w:sz w:val="18"/>
          <w:szCs w:val="18"/>
          <w:color w:val="auto"/>
        </w:rPr>
        <w:t>The aggregate carrying value of our goodwill comprised 21.7% of our total assets at December 31, 2022.</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evaluate goodwill for impairment at least annually on October 1 and whenever facts and circumstances indicate that a reporting unit’s carrying amount may not be recoverable. For impairment evaluations,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spacing w:after="0" w:line="21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When required, considerable management judgment is necessary to estimate the fair value of reporting units. The equity of one of our reporting units, Telenet, is publicly traded in an active market. For this reporting unit, our fair value determination is based on quoted market prices. For other reporting units, we typically determine fair value using an income-based approach (discounted cash flows) based on assumptions in our long-range business plans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EBITDA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 the cash flows. Based on the results of our 2022 qualitative assessment of our reporting unit carrying values, we determined that it was more-likely-than-not that fair value exceeded carrying value for all of our reporting units.</w:t>
      </w:r>
    </w:p>
    <w:p>
      <w:pPr>
        <w:spacing w:after="0" w:line="1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years ended December 31, 2022, we did not record any significant impairment charges with respect to our goodwill. For additional information regarding our goodwill, see note 10 to our consolidated financial statements.</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Any such impairment charges could be significant.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4" w:name="page75"/>
    <w:bookmarkEnd w:id="74"/>
    <w:p>
      <w:pPr>
        <w:ind w:left="160"/>
        <w:spacing w:after="0"/>
        <w:rPr>
          <w:sz w:val="20"/>
          <w:szCs w:val="20"/>
          <w:color w:val="auto"/>
        </w:rPr>
      </w:pPr>
      <w:r>
        <w:rPr>
          <w:rFonts w:ascii="Arial" w:cs="Arial" w:eastAsia="Arial" w:hAnsi="Arial"/>
          <w:sz w:val="18"/>
          <w:szCs w:val="18"/>
          <w:b w:val="1"/>
          <w:bCs w:val="1"/>
          <w:i w:val="1"/>
          <w:iCs w:val="1"/>
          <w:color w:val="auto"/>
        </w:rPr>
        <w:t>Costs Associated with the Capitalization of Property and Equipment</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capitalize costs associated with the construction of new, or upgrades to existing, fixed and mobile transmission and distribution facilities, the installation of new fixed-line services and the development of internal-use software. Installation activities that are capitalized include (i) the initial connection (or drop) from our fixed-line system to a customer location, (ii) the replacement of a drop and (iii) the installation of equipment for new, or upgrades to existing, fixed-line services. The costs of other customer-facing activities, such as reconnecting customer locations where a drop already exists, disconnecting customer locations and repairing or maintaining drops, are expensed as incurred. We capitalize internal and external costs directly associated with the development of internal-use software.</w:t>
      </w:r>
    </w:p>
    <w:p>
      <w:pPr>
        <w:spacing w:after="0" w:line="22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make judgments regarding the construction, upgrade and installation activities to be capitalized and the development of internal-use software.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construction or upgrade activities or the development of internal-use software are performed.</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Recurring Valuations. </w:t>
      </w:r>
      <w:r>
        <w:rPr>
          <w:rFonts w:ascii="Arial" w:cs="Arial" w:eastAsia="Arial" w:hAnsi="Arial"/>
          <w:sz w:val="17"/>
          <w:szCs w:val="17"/>
          <w:color w:val="auto"/>
        </w:rPr>
        <w:t>We perform recurring fair value measurements with respect to our derivative instruments and our fair value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use (i) cash flow valuation models to determine the fair values of our interest rate and foreign currency derivative instruments and (ii) a Black-Scholes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See also notes 7 and 8 to our consolidated financial statements for information concerning our fair value method investments and derivative instruments, respectively.</w:t>
      </w:r>
    </w:p>
    <w:p>
      <w:pPr>
        <w:spacing w:after="0" w:line="21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Changes in the fair values of our derivative instruments and fair value method investments have had, and we believe will continue to have, a significant and volatile impact on our results of operations. During 2022, 2021 and 2020, we recognized net gains (losses) of $889.6 million, $1,357.9 million and ($833.5 million), respectively, attributable to changes in the fair values of these items.</w:t>
      </w:r>
    </w:p>
    <w:p>
      <w:pPr>
        <w:spacing w:after="0" w:line="1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further described in note 9 to our consolidated financial statements, actual amounts received or paid upon the settlement or disposition of these investments and instruments may differ materially from the recorded fair values at December 31, 2022.</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concerning the sensitivity of the fair value of certain of our more significant derivative instruments to changes in market conditions, see </w:t>
      </w:r>
      <w:r>
        <w:rPr>
          <w:rFonts w:ascii="Arial" w:cs="Arial" w:eastAsia="Arial" w:hAnsi="Arial"/>
          <w:sz w:val="18"/>
          <w:szCs w:val="18"/>
          <w:i w:val="1"/>
          <w:iCs w:val="1"/>
          <w:color w:val="auto"/>
        </w:rPr>
        <w:t xml:space="preserve">Quantitative and Qualitative Disclosures About Market Risk — Sensitivity Information </w:t>
      </w:r>
      <w:r>
        <w:rPr>
          <w:rFonts w:ascii="Arial" w:cs="Arial" w:eastAsia="Arial" w:hAnsi="Arial"/>
          <w:sz w:val="18"/>
          <w:szCs w:val="18"/>
          <w:color w:val="auto"/>
        </w:rPr>
        <w:t>below.</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Nonrecurring Valuations. </w:t>
      </w:r>
      <w:r>
        <w:rPr>
          <w:rFonts w:ascii="Arial" w:cs="Arial" w:eastAsia="Arial" w:hAnsi="Arial"/>
          <w:sz w:val="17"/>
          <w:szCs w:val="17"/>
          <w:color w:val="auto"/>
        </w:rPr>
        <w:t>Our nonrecurring valuations are primarily associated with (i) the application of acquisition accounting, (ii)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assessments and (iii) the accounting for our initial investment in significant joint ventures, each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5" w:name="page76"/>
    <w:bookmarkEnd w:id="75"/>
    <w:p>
      <w:pPr>
        <w:jc w:val="both"/>
        <w:spacing w:after="0" w:line="365" w:lineRule="auto"/>
        <w:rPr>
          <w:sz w:val="20"/>
          <w:szCs w:val="20"/>
          <w:color w:val="auto"/>
        </w:rPr>
      </w:pPr>
      <w:r>
        <w:rPr>
          <w:rFonts w:ascii="Arial" w:cs="Arial" w:eastAsia="Arial" w:hAnsi="Arial"/>
          <w:sz w:val="15"/>
          <w:szCs w:val="15"/>
          <w:color w:val="auto"/>
        </w:rPr>
        <w:t>acquisition accounting and all of our long-lived assets are subject to impairment assessments. For additional information, see note 9 to our consolidated financial statements. For information regarding our acquisitions and long-lived assets, see notes 5 and 10 to our consolidated financial statements, respectively.</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deferred tax assets are reduced by a valuation allowance if we believe that it is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2022, the aggregate valuation allowance provided against deferred tax assets was $1,586.5 million. The actual amount of deferred income tax benefits realized in future periods will likely differ from the net deferred tax assets reflected in our December 31, 2022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21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2022, the amount of unrecognized tax benefits for financial reporting purposes, but taken or expected to be taken in our tax returns, was $435.2 million, of which $337.9 million would have a favorable impact on our effective income tax rate if ultimately recognized, after considering amounts that we would expect to be offset by valuation allowances.</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2022 and 2021, our consolidated cash balances included $1,307.9 million or 75.8% and $387.3 million or 42.5%, respectively, denominated in euros and $347.2 million or 20.1% and $468.8 million or 51.5%, respectively, denominated in U.S. dollars. At December 31, 2022 and 2021, the balances of our consolidated investments held under SMAs of $2,854.6 million and $2,801.3 million, respectively, were denominated entirely in U.S. dollars.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2022,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39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and option contracts to hedge certain of these risks. For additional information concerning our foreign currency forward and option contracts, see note 8 to our consolidated financial statements.</w:t>
      </w:r>
    </w:p>
    <w:p>
      <w:pPr>
        <w:spacing w:after="0" w:line="39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2022 was to the euro and Swiss franc, as 55.1% and 43.6% of our reported revenue during the period was derived from subsidiaries whose functional currencies are the euro and Swiss franc, respectively. In addition, our reported operating results are impacted by changes in the exchange rates for other local currencies in Europe. We do not hedge against the risk that we may incur non-cash</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p>
      <w:pPr>
        <w:jc w:val="both"/>
        <w:spacing w:after="0" w:line="264" w:lineRule="auto"/>
        <w:rPr>
          <w:sz w:val="20"/>
          <w:szCs w:val="20"/>
          <w:color w:val="auto"/>
        </w:rPr>
      </w:pPr>
      <w:r>
        <w:rPr>
          <w:rFonts w:ascii="Arial" w:cs="Arial" w:eastAsia="Arial" w:hAnsi="Arial"/>
          <w:sz w:val="18"/>
          <w:szCs w:val="18"/>
          <w:color w:val="auto"/>
        </w:rPr>
        <w:t xml:space="preserve">losses upon the translation of the financial statements of our subsidiaries and affiliates into U.S. dollars. For additional information regarding certain currency instability risks,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above.</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6"/>
                <w:szCs w:val="16"/>
                <w:b w:val="1"/>
                <w:bCs w:val="1"/>
                <w:color w:val="auto"/>
              </w:rPr>
              <w:t>As of December 31,</w:t>
            </w:r>
          </w:p>
        </w:tc>
      </w:tr>
      <w:tr>
        <w:trPr>
          <w:trHeight w:val="202"/>
        </w:trPr>
        <w:tc>
          <w:tcPr>
            <w:tcW w:w="7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r>
      <w:tr>
        <w:trPr>
          <w:trHeight w:val="19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0.9337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0.8782</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Swiss franc</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0.9219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0.9114</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British pound sterling</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0.8265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0.7388</w:t>
            </w:r>
          </w:p>
        </w:tc>
      </w:tr>
      <w:tr>
        <w:trPr>
          <w:trHeight w:val="224"/>
        </w:trPr>
        <w:tc>
          <w:tcPr>
            <w:tcW w:w="7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4.3686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4.0285</w:t>
            </w:r>
          </w:p>
        </w:tc>
      </w:tr>
      <w:tr>
        <w:trPr>
          <w:trHeight w:val="514"/>
        </w:trPr>
        <w:tc>
          <w:tcPr>
            <w:tcW w:w="7460" w:type="dxa"/>
            <w:vAlign w:val="bottom"/>
          </w:tcPr>
          <w:p>
            <w:pPr>
              <w:spacing w:after="0"/>
              <w:rPr>
                <w:sz w:val="24"/>
                <w:szCs w:val="24"/>
                <w:color w:val="auto"/>
              </w:rPr>
            </w:pPr>
          </w:p>
        </w:tc>
        <w:tc>
          <w:tcPr>
            <w:tcW w:w="2880" w:type="dxa"/>
            <w:vAlign w:val="bottom"/>
            <w:tcBorders>
              <w:bottom w:val="single" w:sz="8" w:color="auto"/>
            </w:tcBorders>
            <w:gridSpan w:val="7"/>
          </w:tcPr>
          <w:p>
            <w:pPr>
              <w:ind w:left="1020"/>
              <w:spacing w:after="0"/>
              <w:rPr>
                <w:sz w:val="20"/>
                <w:szCs w:val="20"/>
                <w:color w:val="auto"/>
              </w:rPr>
            </w:pPr>
            <w:r>
              <w:rPr>
                <w:rFonts w:ascii="Arial" w:cs="Arial" w:eastAsia="Arial" w:hAnsi="Arial"/>
                <w:sz w:val="16"/>
                <w:szCs w:val="16"/>
                <w:b w:val="1"/>
                <w:bCs w:val="1"/>
                <w:color w:val="auto"/>
                <w:w w:val="94"/>
              </w:rPr>
              <w:t>Year ended December 31,</w:t>
            </w:r>
          </w:p>
        </w:tc>
        <w:tc>
          <w:tcPr>
            <w:tcW w:w="900" w:type="dxa"/>
            <w:vAlign w:val="bottom"/>
            <w:tcBorders>
              <w:bottom w:val="single" w:sz="8" w:color="auto"/>
            </w:tcBorders>
          </w:tcPr>
          <w:p>
            <w:pPr>
              <w:spacing w:after="0"/>
              <w:rPr>
                <w:sz w:val="24"/>
                <w:szCs w:val="24"/>
                <w:color w:val="auto"/>
              </w:rPr>
            </w:pPr>
          </w:p>
        </w:tc>
      </w:tr>
      <w:tr>
        <w:trPr>
          <w:trHeight w:val="202"/>
        </w:trPr>
        <w:tc>
          <w:tcPr>
            <w:tcW w:w="74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Arial" w:cs="Arial" w:eastAsia="Arial" w:hAnsi="Arial"/>
                <w:sz w:val="16"/>
                <w:szCs w:val="16"/>
                <w:b w:val="1"/>
                <w:bCs w:val="1"/>
                <w:color w:val="auto"/>
              </w:rPr>
              <w:t>2020</w:t>
            </w:r>
          </w:p>
        </w:tc>
      </w:tr>
      <w:tr>
        <w:trPr>
          <w:trHeight w:val="19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0.9509</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0.8775</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Swiss franc</w:t>
            </w:r>
          </w:p>
        </w:tc>
        <w:tc>
          <w:tcPr>
            <w:tcW w:w="1180" w:type="dxa"/>
            <w:vAlign w:val="bottom"/>
          </w:tcPr>
          <w:p>
            <w:pPr>
              <w:jc w:val="right"/>
              <w:spacing w:after="0"/>
              <w:rPr>
                <w:sz w:val="20"/>
                <w:szCs w:val="20"/>
                <w:color w:val="auto"/>
              </w:rPr>
            </w:pPr>
            <w:r>
              <w:rPr>
                <w:rFonts w:ascii="Arial" w:cs="Arial" w:eastAsia="Arial" w:hAnsi="Arial"/>
                <w:sz w:val="18"/>
                <w:szCs w:val="18"/>
                <w:color w:val="auto"/>
              </w:rPr>
              <w:t>0.9548</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0.9389</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British pound sterling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0.8112</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0.7796</w:t>
            </w:r>
          </w:p>
        </w:tc>
      </w:tr>
      <w:tr>
        <w:trPr>
          <w:trHeight w:val="224"/>
        </w:trPr>
        <w:tc>
          <w:tcPr>
            <w:tcW w:w="7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180" w:type="dxa"/>
            <w:vAlign w:val="bottom"/>
          </w:tcPr>
          <w:p>
            <w:pPr>
              <w:jc w:val="right"/>
              <w:spacing w:after="0"/>
              <w:rPr>
                <w:sz w:val="20"/>
                <w:szCs w:val="20"/>
                <w:color w:val="auto"/>
              </w:rPr>
            </w:pPr>
            <w:r>
              <w:rPr>
                <w:rFonts w:ascii="Arial" w:cs="Arial" w:eastAsia="Arial" w:hAnsi="Arial"/>
                <w:sz w:val="18"/>
                <w:szCs w:val="18"/>
                <w:color w:val="auto"/>
              </w:rPr>
              <w:t>4.4555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3.8979</w:t>
            </w: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4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are subject to inflationary pressures with respect to labor, programming and other costs. In this regard, inflation rates in the countries in which we operate have recently increased, and in many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8 to our consolidated financial statements.</w:t>
      </w:r>
    </w:p>
    <w:p>
      <w:pPr>
        <w:spacing w:after="0" w:line="21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8" w:name="page79"/>
    <w:bookmarkEnd w:id="78"/>
    <w:p>
      <w:pPr>
        <w:jc w:val="both"/>
        <w:spacing w:after="0" w:line="248" w:lineRule="auto"/>
        <w:rPr>
          <w:sz w:val="20"/>
          <w:szCs w:val="20"/>
          <w:color w:val="auto"/>
        </w:rPr>
      </w:pPr>
      <w:r>
        <w:rPr>
          <w:rFonts w:ascii="Arial" w:cs="Arial" w:eastAsia="Arial" w:hAnsi="Arial"/>
          <w:sz w:val="18"/>
          <w:szCs w:val="18"/>
          <w:color w:val="auto"/>
        </w:rPr>
        <w:t>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Furthermore, in November 2022, the U.K. Financial Conduct Authority proposed that certain tenors of USD LIBOR would continue to be published on a synthetic basis until the end of September 2024.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21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2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December 31, 2022 and 2021, the outstanding principal amount of our variable-rate indebtedness aggregated</w:t>
      </w:r>
      <w:r>
        <w:rPr>
          <w:rFonts w:ascii="Arial" w:cs="Arial" w:eastAsia="Arial" w:hAnsi="Arial"/>
          <w:sz w:val="17"/>
          <w:szCs w:val="17"/>
          <w:i w:val="1"/>
          <w:iCs w:val="1"/>
          <w:color w:val="auto"/>
        </w:rPr>
        <w:t xml:space="preserve"> </w:t>
      </w:r>
      <w:r>
        <w:rPr>
          <w:rFonts w:ascii="Arial" w:cs="Arial" w:eastAsia="Arial" w:hAnsi="Arial"/>
          <w:sz w:val="17"/>
          <w:szCs w:val="17"/>
          <w:color w:val="auto"/>
        </w:rPr>
        <w:t>$9.3 billion and $9.6 billion, respectively, and the weighted average interest rate (including margin) on such variable-rate indebtedness was approximately 5.9% and 2.7%, respectively, excluding the effects of interest rate derivative contracts, deferred financing costs, original issue premiums or discounts and commitment fees, all of which affect our overall cost of borrowing. Assuming no change in the amount outstanding at December 31, 2022,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$46.5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the derivative instruments of our subsidiary borrowing groups. Most of our cash currently is invested in either (i) AAA-rated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jc w:val="both"/>
        <w:ind w:firstLine="318"/>
        <w:spacing w:after="0" w:line="254" w:lineRule="auto"/>
        <w:rPr>
          <w:sz w:val="20"/>
          <w:szCs w:val="20"/>
          <w:color w:val="auto"/>
        </w:rPr>
      </w:pPr>
      <w:r>
        <w:rPr>
          <w:rFonts w:ascii="Arial" w:cs="Arial" w:eastAsia="Arial" w:hAnsi="Arial"/>
          <w:sz w:val="18"/>
          <w:szCs w:val="18"/>
          <w:color w:val="auto"/>
        </w:rPr>
        <w:t>At December 31, 2022 and 2021, our exposure to counterparty credit risk included (i) cash and cash equivalent and restricted cash balances of $1.7 billion and $0.9 billion, respectively, (ii) aggregate undrawn debt facilities of $1.5 billion and $1.6 billion, respectively, and (iii) derivative assets with an aggregate fair value of $922.5 million and $57.8 million, respectively.</w:t>
      </w: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21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we actively monitor the creditworthiness of our key vendors, the financial failure of a key vendor could disrupt our operations and have an adverse impact on our revenue and cash flows.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8 and 9 to our consolidated financial statements.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December 31, 2022:</w:t>
      </w:r>
    </w:p>
    <w:p>
      <w:pPr>
        <w:spacing w:after="0" w:line="243" w:lineRule="exact"/>
        <w:rPr>
          <w:sz w:val="20"/>
          <w:szCs w:val="20"/>
          <w:color w:val="auto"/>
        </w:rPr>
      </w:pPr>
    </w:p>
    <w:p>
      <w:pPr>
        <w:ind w:left="800" w:hanging="476"/>
        <w:spacing w:after="0" w:line="365" w:lineRule="auto"/>
        <w:tabs>
          <w:tab w:leader="none" w:pos="794"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€414 million ($444 million);</w:t>
      </w:r>
    </w:p>
    <w:p>
      <w:pPr>
        <w:spacing w:after="0" w:line="137" w:lineRule="exact"/>
        <w:rPr>
          <w:rFonts w:ascii="Arial" w:cs="Arial" w:eastAsia="Arial" w:hAnsi="Arial"/>
          <w:sz w:val="15"/>
          <w:szCs w:val="15"/>
          <w:color w:val="auto"/>
        </w:rPr>
      </w:pPr>
    </w:p>
    <w:p>
      <w:pPr>
        <w:ind w:left="800" w:hanging="476"/>
        <w:spacing w:after="0" w:line="365" w:lineRule="auto"/>
        <w:tabs>
          <w:tab w:leader="none" w:pos="79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euro would have decreased (increased) the aggregate fair value of the UPC Holding cross-currency and interest rate derivative contracts by approximately €325 million ($348 million);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ind w:left="800" w:hanging="476"/>
        <w:spacing w:after="0" w:line="294" w:lineRule="auto"/>
        <w:tabs>
          <w:tab w:leader="none" w:pos="8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€99 million ($106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December 31, 2022:</w:t>
      </w:r>
    </w:p>
    <w:p>
      <w:pPr>
        <w:spacing w:after="0" w:line="243" w:lineRule="exact"/>
        <w:rPr>
          <w:sz w:val="20"/>
          <w:szCs w:val="20"/>
          <w:color w:val="auto"/>
        </w:rPr>
      </w:pPr>
    </w:p>
    <w:p>
      <w:pPr>
        <w:ind w:left="800" w:right="20" w:hanging="476"/>
        <w:spacing w:after="0" w:line="294" w:lineRule="auto"/>
        <w:tabs>
          <w:tab w:leader="none" w:pos="794"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€297 million ($318 million); and</w:t>
      </w:r>
    </w:p>
    <w:p>
      <w:pPr>
        <w:spacing w:after="0" w:line="182"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€72 million ($78 million).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following table provides information regarding the projected cash flows associated with our derivative instruments. The U.S. dollar equivalents presented below are based on interest rate projections and exchange rates as of December 31, 2022. These amounts are presented for illustrative purposes only and will likely differ from the actual cash payments or receipts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Arial" w:cs="Arial" w:eastAsia="Arial" w:hAnsi="Arial"/>
          <w:sz w:val="18"/>
          <w:szCs w:val="18"/>
          <w:i w:val="1"/>
          <w:iCs w:val="1"/>
          <w:color w:val="auto"/>
        </w:rPr>
        <w:t>Counterparty Credit Risk</w:t>
      </w:r>
      <w:r>
        <w:rPr>
          <w:rFonts w:ascii="Arial" w:cs="Arial" w:eastAsia="Arial" w:hAnsi="Arial"/>
          <w:sz w:val="18"/>
          <w:szCs w:val="18"/>
          <w:color w:val="auto"/>
        </w:rPr>
        <w:t xml:space="preserve">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89"/>
              </w:rPr>
              <w:t>Payments (receipts) due during:</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5"/>
        </w:trPr>
        <w:tc>
          <w:tcPr>
            <w:tcW w:w="3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Total</w:t>
            </w:r>
          </w:p>
        </w:tc>
      </w:tr>
      <w:tr>
        <w:trPr>
          <w:trHeight w:val="202"/>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9"/>
        </w:trPr>
        <w:tc>
          <w:tcPr>
            <w:tcW w:w="3260" w:type="dxa"/>
            <w:vAlign w:val="bottom"/>
          </w:tcPr>
          <w:p>
            <w:pPr>
              <w:ind w:left="20"/>
              <w:spacing w:after="0" w:line="179" w:lineRule="exact"/>
              <w:rPr>
                <w:sz w:val="20"/>
                <w:szCs w:val="20"/>
                <w:color w:val="auto"/>
              </w:rPr>
            </w:pPr>
            <w:r>
              <w:rPr>
                <w:rFonts w:ascii="Arial" w:cs="Arial" w:eastAsia="Arial" w:hAnsi="Arial"/>
                <w:sz w:val="18"/>
                <w:szCs w:val="18"/>
                <w:color w:val="auto"/>
              </w:rPr>
              <w:t>Projected derivative cash payments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2"/>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Interest-related (a)</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(1,693.7)</w:t>
            </w:r>
          </w:p>
        </w:tc>
      </w:tr>
      <w:tr>
        <w:trPr>
          <w:trHeight w:val="225"/>
        </w:trPr>
        <w:tc>
          <w:tcPr>
            <w:tcW w:w="3260" w:type="dxa"/>
            <w:vAlign w:val="bottom"/>
          </w:tcPr>
          <w:p>
            <w:pPr>
              <w:ind w:left="140"/>
              <w:spacing w:after="0"/>
              <w:rPr>
                <w:sz w:val="20"/>
                <w:szCs w:val="20"/>
                <w:color w:val="auto"/>
              </w:rPr>
            </w:pPr>
            <w:r>
              <w:rPr>
                <w:rFonts w:ascii="Arial" w:cs="Arial" w:eastAsia="Arial" w:hAnsi="Arial"/>
                <w:sz w:val="18"/>
                <w:szCs w:val="18"/>
                <w:color w:val="auto"/>
              </w:rPr>
              <w:t>Principal-related (b)</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25"/>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8"/>
        </w:trPr>
        <w:tc>
          <w:tcPr>
            <w:tcW w:w="32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(1,562.3)</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amounts related to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of Liberty Global are filed under this Item, beginning on page II-42. Financial statement schedules are filed under Item 15 of this Annual Report on Form 10-K.</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December 31, 2022.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2022,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43" w:lineRule="exact"/>
        <w:rPr>
          <w:sz w:val="20"/>
          <w:szCs w:val="20"/>
          <w:color w:val="auto"/>
        </w:rPr>
      </w:pPr>
    </w:p>
    <w:p>
      <w:pPr>
        <w:ind w:left="460" w:hanging="256"/>
        <w:spacing w:after="0"/>
        <w:tabs>
          <w:tab w:leader="none" w:pos="4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Management’s Annual Report on Internal Control over Financial Reporting</w:t>
      </w:r>
    </w:p>
    <w:p>
      <w:pPr>
        <w:spacing w:after="0" w:line="242" w:lineRule="exact"/>
        <w:rPr>
          <w:rFonts w:ascii="Arial" w:cs="Arial" w:eastAsia="Arial" w:hAnsi="Arial"/>
          <w:sz w:val="18"/>
          <w:szCs w:val="18"/>
          <w:i w:val="1"/>
          <w:iCs w:val="1"/>
          <w:color w:val="auto"/>
        </w:rPr>
      </w:pPr>
    </w:p>
    <w:p>
      <w:pPr>
        <w:ind w:left="440"/>
        <w:spacing w:after="0"/>
        <w:rPr>
          <w:rFonts w:ascii="Arial" w:cs="Arial" w:eastAsia="Arial" w:hAnsi="Arial"/>
          <w:sz w:val="18"/>
          <w:szCs w:val="18"/>
          <w:i w:val="1"/>
          <w:iCs w:val="1"/>
          <w:color w:val="auto"/>
        </w:rPr>
      </w:pPr>
      <w:r>
        <w:rPr>
          <w:rFonts w:ascii="Arial" w:cs="Arial" w:eastAsia="Arial" w:hAnsi="Arial"/>
          <w:sz w:val="18"/>
          <w:szCs w:val="18"/>
          <w:color w:val="auto"/>
        </w:rPr>
        <w:t>Management’s annual report on internal control over financial reporting is included herein on page II-40.</w:t>
      </w:r>
    </w:p>
    <w:p>
      <w:pPr>
        <w:spacing w:after="0" w:line="242" w:lineRule="exact"/>
        <w:rPr>
          <w:rFonts w:ascii="Arial" w:cs="Arial" w:eastAsia="Arial" w:hAnsi="Arial"/>
          <w:sz w:val="18"/>
          <w:szCs w:val="18"/>
          <w:i w:val="1"/>
          <w:iCs w:val="1"/>
          <w:color w:val="auto"/>
        </w:rPr>
      </w:pPr>
    </w:p>
    <w:p>
      <w:pPr>
        <w:ind w:left="440" w:right="5980" w:hanging="236"/>
        <w:spacing w:after="0" w:line="626" w:lineRule="auto"/>
        <w:tabs>
          <w:tab w:leader="none" w:pos="452" w:val="left"/>
        </w:tabs>
        <w:numPr>
          <w:ilvl w:val="0"/>
          <w:numId w:val="6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Audit Report of the Independent Registered Public Accounting Firm </w:t>
      </w:r>
      <w:r>
        <w:rPr>
          <w:rFonts w:ascii="Arial" w:cs="Arial" w:eastAsia="Arial" w:hAnsi="Arial"/>
          <w:sz w:val="15"/>
          <w:szCs w:val="15"/>
          <w:color w:val="auto"/>
        </w:rPr>
        <w:t>The audit report of KPMG LLP is included herein on page II-41.</w:t>
      </w:r>
    </w:p>
    <w:p>
      <w:pPr>
        <w:ind w:left="440" w:hanging="236"/>
        <w:spacing w:after="0"/>
        <w:tabs>
          <w:tab w:leader="none" w:pos="44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Our management assessed the effectiveness of internal control over financial reporting as of December 31, 2022, using the criteria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Based on this evaluation, our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believes that our internal control over financial reporting was effective as of December 31, 2022. The effectiveness of our internal control over financial reporting has been audited by KPMG LLP, an independent registered public accounting firm,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4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We have audited Liberty Global plc and subsidiaries' (the Company) internal control over financial reporting as of December 31, 2022,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earnings (loss), equity, and cash flows for each of the years in the three-year period ended December 31, 2022, and the related notes and financial statement schedules I to II (collectively, the consolidated financial statements), and our report dated February 22, 2023 expressed an unqualified opinion on those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4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the accompanying consolidated balance sheets of Liberty Global plc and subsidiaries (the Company) as of December 31, 2022 and 2021, the related consolidated statements of operations, comprehensive earnings (loss), equity, and cash flows for each of the years in the three-year period ended December 31, 2022, and the related notes and financial statement schedules I to II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22, 2023 expressed an unqualified opinion on the effectiveness of the Company’s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Capitalization of external costs</w:t>
      </w:r>
    </w:p>
    <w:p>
      <w:pPr>
        <w:spacing w:after="0" w:line="243" w:lineRule="exact"/>
        <w:rPr>
          <w:sz w:val="20"/>
          <w:szCs w:val="20"/>
          <w:color w:val="auto"/>
        </w:rPr>
      </w:pPr>
    </w:p>
    <w:p>
      <w:pPr>
        <w:jc w:val="both"/>
        <w:ind w:left="320"/>
        <w:spacing w:after="0" w:line="254" w:lineRule="auto"/>
        <w:rPr>
          <w:sz w:val="20"/>
          <w:szCs w:val="20"/>
          <w:color w:val="auto"/>
        </w:rPr>
      </w:pPr>
      <w:r>
        <w:rPr>
          <w:rFonts w:ascii="Arial" w:cs="Arial" w:eastAsia="Arial" w:hAnsi="Arial"/>
          <w:sz w:val="18"/>
          <w:szCs w:val="18"/>
          <w:color w:val="auto"/>
        </w:rPr>
        <w:t>As discussed in Notes 3 and 10 to the consolidated financial statements, the Company capitalizes certain external costs for construction and installation activities and internal use software. Capitalized external costs for construction and installation activities and internal use software are recorded within property and equipment, net which has a balance of $6,504.5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5" w:name="page86"/>
    <w:bookmarkEnd w:id="85"/>
    <w:p>
      <w:pPr>
        <w:jc w:val="both"/>
        <w:ind w:left="320"/>
        <w:spacing w:after="0" w:line="254" w:lineRule="auto"/>
        <w:rPr>
          <w:sz w:val="20"/>
          <w:szCs w:val="20"/>
          <w:color w:val="auto"/>
        </w:rPr>
      </w:pPr>
      <w:r>
        <w:rPr>
          <w:rFonts w:ascii="Arial" w:cs="Arial" w:eastAsia="Arial" w:hAnsi="Arial"/>
          <w:sz w:val="18"/>
          <w:szCs w:val="18"/>
          <w:color w:val="auto"/>
        </w:rPr>
        <w:t>We identified the assessment of the capitalization of external costs for construction and installation activities and internal use software as a critical audit matter. Assessing the Company’s determination of which costs qualify for capitalization or expense required a high degree of auditor judgment to evaluate the nature of the supporting documentation.</w:t>
      </w:r>
    </w:p>
    <w:p>
      <w:pPr>
        <w:spacing w:after="0" w:line="216" w:lineRule="exact"/>
        <w:rPr>
          <w:sz w:val="20"/>
          <w:szCs w:val="20"/>
          <w:color w:val="auto"/>
        </w:rPr>
      </w:pPr>
    </w:p>
    <w:p>
      <w:pPr>
        <w:jc w:val="both"/>
        <w:ind w:left="320"/>
        <w:spacing w:after="0" w:line="303" w:lineRule="auto"/>
        <w:rPr>
          <w:sz w:val="20"/>
          <w:szCs w:val="20"/>
          <w:color w:val="auto"/>
        </w:rPr>
      </w:pPr>
      <w:r>
        <w:rPr>
          <w:rFonts w:ascii="Arial" w:cs="Arial" w:eastAsia="Arial" w:hAnsi="Arial"/>
          <w:sz w:val="15"/>
          <w:szCs w:val="15"/>
          <w:color w:val="auto"/>
        </w:rPr>
        <w:t>The following are the primary procedures we performed to address this critical audit matter. We applied auditor judgment to determine the nature of procedures to be performed over the capitalization of external costs for construction and installation activities and internal use software. This included comparing the external costs capitalized in the current year for construction and installation activities and internal use software to the historical external costs capitalized, considering the nature of the Company’s business activities, to identify, for further investigation, inconsistent trends or unexpected patterns of capitalization. We evaluated the design and tested the operating effectiveness of certain internal controls related to the capitalization of external costs for construction and installation activities and internal use software. This included controls related to (1) the Company’s identification of qualifying capital external costs and (2) the Company’s review of the nature of the underlying activity. We selected a sample of capitalized external costs in the current year and independently assessed the Company’s determination that such costs qualify for capitalization by investigating the nature of the costs based on underlying third-party documentation such as project documentation, vendor contracts and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5"/>
        </w:trPr>
        <w:tc>
          <w:tcPr>
            <w:tcW w:w="8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2021</w:t>
            </w:r>
          </w:p>
        </w:tc>
      </w:tr>
      <w:tr>
        <w:trPr>
          <w:trHeight w:val="202"/>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15"/>
        </w:trPr>
        <w:tc>
          <w:tcPr>
            <w:tcW w:w="852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1,726.2</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910.6</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2,269.6</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Current assets of discontinued operations (note 6)</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925.0</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 (notes 4 and 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5,940.5</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Investments and related notes receivable (including $2,179.0 million and $2,757.8 million, respectively, measured at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1"/>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on a recurring basis) (note 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19,703.0</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Property and equipment, net (notes 10 and 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6,981.5</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(note 10)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9,523.4</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 (note 10)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2,342.5</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 (notes 4, 8, 12 and 13)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2,426.1</w:t>
            </w: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5"/>
        </w:trPr>
        <w:tc>
          <w:tcPr>
            <w:tcW w:w="8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2021</w:t>
            </w:r>
          </w:p>
        </w:tc>
      </w:tr>
      <w:tr>
        <w:trPr>
          <w:trHeight w:val="202"/>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15"/>
        </w:trPr>
        <w:tc>
          <w:tcPr>
            <w:tcW w:w="8520" w:type="dxa"/>
            <w:vAlign w:val="bottom"/>
          </w:tcPr>
          <w:p>
            <w:pPr>
              <w:ind w:left="32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11 and 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850.3</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 (note 6)</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 12)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w:t>
            </w:r>
          </w:p>
        </w:tc>
      </w:tr>
      <w:tr>
        <w:trPr>
          <w:trHeight w:val="218"/>
        </w:trPr>
        <w:tc>
          <w:tcPr>
            <w:tcW w:w="85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4,084.8</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11 and 12)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13,974.8</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(notes 6 and 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1,226.1</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4, 8, 13 and 16)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r>
      <w:tr>
        <w:trPr>
          <w:trHeight w:val="218"/>
        </w:trPr>
        <w:tc>
          <w:tcPr>
            <w:tcW w:w="8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21,319.0</w:t>
            </w:r>
          </w:p>
        </w:tc>
      </w:tr>
      <w:tr>
        <w:trPr>
          <w:trHeight w:val="179"/>
        </w:trPr>
        <w:tc>
          <w:tcPr>
            <w:tcW w:w="8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Commitments and contingencies (notes 8, 11, 12, 13, 16 and 18)</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9"/>
        </w:trPr>
        <w:tc>
          <w:tcPr>
            <w:tcW w:w="8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Equity (note 14):</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86"/>
        </w:trPr>
        <w:tc>
          <w:tcPr>
            <w:tcW w:w="8520" w:type="dxa"/>
            <w:vAlign w:val="bottom"/>
          </w:tcPr>
          <w:p>
            <w:pPr>
              <w:ind w:left="260"/>
              <w:spacing w:after="0" w:line="186" w:lineRule="exact"/>
              <w:rPr>
                <w:sz w:val="20"/>
                <w:szCs w:val="20"/>
                <w:color w:val="auto"/>
              </w:rPr>
            </w:pPr>
            <w:r>
              <w:rPr>
                <w:rFonts w:ascii="Arial" w:cs="Arial" w:eastAsia="Arial" w:hAnsi="Arial"/>
                <w:sz w:val="18"/>
                <w:szCs w:val="18"/>
                <w:color w:val="auto"/>
                <w:w w:val="94"/>
              </w:rPr>
              <w:t>Class A ordinary shares, $0.01 nominal value. Issued and outstanding 171,917,370 and 174,310,558 shares,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4"/>
        </w:trPr>
        <w:tc>
          <w:tcPr>
            <w:tcW w:w="852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87"/>
        </w:trPr>
        <w:tc>
          <w:tcPr>
            <w:tcW w:w="85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w w:val="97"/>
              </w:rPr>
              <w:t>Class B ordinary shares, $0.01 nominal value. Issued and outstanding 12,994,000 and 12,930,839 shares,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4"/>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86"/>
        </w:trPr>
        <w:tc>
          <w:tcPr>
            <w:tcW w:w="8520" w:type="dxa"/>
            <w:vAlign w:val="bottom"/>
          </w:tcPr>
          <w:p>
            <w:pPr>
              <w:ind w:left="260"/>
              <w:spacing w:after="0" w:line="186" w:lineRule="exact"/>
              <w:rPr>
                <w:sz w:val="20"/>
                <w:szCs w:val="20"/>
                <w:color w:val="auto"/>
              </w:rPr>
            </w:pPr>
            <w:r>
              <w:rPr>
                <w:rFonts w:ascii="Arial" w:cs="Arial" w:eastAsia="Arial" w:hAnsi="Arial"/>
                <w:sz w:val="18"/>
                <w:szCs w:val="18"/>
                <w:color w:val="auto"/>
                <w:w w:val="94"/>
              </w:rPr>
              <w:t>Class C ordinary shares, $0.01 nominal value. Issued and outstanding 274,436,585 and 340,114,729 shares,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4"/>
        </w:trPr>
        <w:tc>
          <w:tcPr>
            <w:tcW w:w="852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8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r>
      <w:tr>
        <w:trPr>
          <w:trHeight w:val="225"/>
        </w:trPr>
        <w:tc>
          <w:tcPr>
            <w:tcW w:w="8520" w:type="dxa"/>
            <w:vAlign w:val="bottom"/>
          </w:tcPr>
          <w:p>
            <w:pPr>
              <w:ind w:left="260"/>
              <w:spacing w:after="0"/>
              <w:rPr>
                <w:sz w:val="20"/>
                <w:szCs w:val="20"/>
                <w:color w:val="auto"/>
              </w:rPr>
            </w:pPr>
            <w:r>
              <w:rPr>
                <w:rFonts w:ascii="Arial" w:cs="Arial" w:eastAsia="Arial" w:hAnsi="Arial"/>
                <w:sz w:val="18"/>
                <w:szCs w:val="18"/>
                <w:color w:val="auto"/>
              </w:rPr>
              <w:t>Accumulated earnings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19,617.7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18,144.5</w:t>
            </w:r>
          </w:p>
        </w:tc>
      </w:tr>
      <w:tr>
        <w:trPr>
          <w:trHeight w:val="225"/>
        </w:trPr>
        <w:tc>
          <w:tcPr>
            <w:tcW w:w="8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earnings, net of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r>
      <w:tr>
        <w:trPr>
          <w:trHeight w:val="225"/>
        </w:trPr>
        <w:tc>
          <w:tcPr>
            <w:tcW w:w="8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Treasury shares, at cost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Liberty Global shareholders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25,934.9</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r>
      <w:tr>
        <w:trPr>
          <w:trHeight w:val="218"/>
        </w:trPr>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22,573.4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25,598.0</w:t>
            </w:r>
          </w:p>
        </w:tc>
      </w:tr>
      <w:tr>
        <w:trPr>
          <w:trHeight w:val="219"/>
        </w:trPr>
        <w:tc>
          <w:tcPr>
            <w:tcW w:w="852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r>
      <w:tr>
        <w:trPr>
          <w:trHeight w:val="202"/>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20" w:type="dxa"/>
            <w:vAlign w:val="bottom"/>
            <w:gridSpan w:val="7"/>
          </w:tcPr>
          <w:p>
            <w:pPr>
              <w:jc w:val="right"/>
              <w:ind w:right="592"/>
              <w:spacing w:after="0"/>
              <w:rPr>
                <w:sz w:val="20"/>
                <w:szCs w:val="20"/>
                <w:color w:val="auto"/>
              </w:rPr>
            </w:pPr>
            <w:r>
              <w:rPr>
                <w:rFonts w:ascii="Arial" w:cs="Arial" w:eastAsia="Arial" w:hAnsi="Arial"/>
                <w:sz w:val="16"/>
                <w:szCs w:val="16"/>
                <w:b w:val="1"/>
                <w:bCs w:val="1"/>
                <w:color w:val="auto"/>
              </w:rPr>
              <w:t>in millions, except per share amounts</w:t>
            </w:r>
          </w:p>
        </w:tc>
      </w:tr>
      <w:tr>
        <w:trPr>
          <w:trHeight w:val="205"/>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4, 6, 7 and 19)</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7,195.7</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11,545.4</w:t>
            </w:r>
          </w:p>
        </w:tc>
      </w:tr>
      <w:tr>
        <w:trPr>
          <w:trHeight w:val="205"/>
        </w:trPr>
        <w:tc>
          <w:tcPr>
            <w:tcW w:w="7360" w:type="dxa"/>
            <w:vAlign w:val="bottom"/>
          </w:tcPr>
          <w:p>
            <w:pPr>
              <w:ind w:left="20"/>
              <w:spacing w:after="0" w:line="204" w:lineRule="exact"/>
              <w:rPr>
                <w:sz w:val="20"/>
                <w:szCs w:val="20"/>
                <w:color w:val="auto"/>
              </w:rPr>
            </w:pPr>
            <w:r>
              <w:rPr>
                <w:rFonts w:ascii="Arial" w:cs="Arial" w:eastAsia="Arial" w:hAnsi="Arial"/>
                <w:sz w:val="18"/>
                <w:szCs w:val="18"/>
                <w:color w:val="auto"/>
                <w:w w:val="91"/>
              </w:rPr>
              <w:t>Operating costs and expenses (exclusive of depreciation and amortization, shown separately below):</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Programming and other direct costs of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3,320.6</w:t>
            </w:r>
          </w:p>
        </w:tc>
      </w:tr>
      <w:tr>
        <w:trPr>
          <w:trHeight w:val="225"/>
        </w:trPr>
        <w:tc>
          <w:tcPr>
            <w:tcW w:w="7360" w:type="dxa"/>
            <w:vAlign w:val="bottom"/>
          </w:tcPr>
          <w:p>
            <w:pPr>
              <w:ind w:left="220"/>
              <w:spacing w:after="0"/>
              <w:rPr>
                <w:sz w:val="20"/>
                <w:szCs w:val="20"/>
                <w:color w:val="auto"/>
              </w:rPr>
            </w:pPr>
            <w:r>
              <w:rPr>
                <w:rFonts w:ascii="Arial" w:cs="Arial" w:eastAsia="Arial" w:hAnsi="Arial"/>
                <w:sz w:val="18"/>
                <w:szCs w:val="18"/>
                <w:color w:val="auto"/>
              </w:rPr>
              <w:t>Other operating (note 15)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1,719.3</w:t>
            </w: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r>
      <w:tr>
        <w:trPr>
          <w:trHeight w:val="225"/>
        </w:trPr>
        <w:tc>
          <w:tcPr>
            <w:tcW w:w="7360" w:type="dxa"/>
            <w:vAlign w:val="bottom"/>
          </w:tcPr>
          <w:p>
            <w:pPr>
              <w:ind w:left="220"/>
              <w:spacing w:after="0"/>
              <w:rPr>
                <w:sz w:val="20"/>
                <w:szCs w:val="20"/>
                <w:color w:val="auto"/>
              </w:rPr>
            </w:pPr>
            <w:r>
              <w:rPr>
                <w:rFonts w:ascii="Arial" w:cs="Arial" w:eastAsia="Arial" w:hAnsi="Arial"/>
                <w:sz w:val="18"/>
                <w:szCs w:val="18"/>
                <w:color w:val="auto"/>
              </w:rPr>
              <w:t>Depreciation and amortization (note 10)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2,227.2</w:t>
            </w: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 operating items, net (notes 5 and 16)</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18"/>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7,048.9</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9,514.5</w:t>
            </w:r>
          </w:p>
        </w:tc>
      </w:tr>
      <w:tr>
        <w:trPr>
          <w:trHeight w:val="219"/>
        </w:trPr>
        <w:tc>
          <w:tcPr>
            <w:tcW w:w="73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2,030.9</w:t>
            </w:r>
          </w:p>
        </w:tc>
      </w:tr>
      <w:tr>
        <w:trPr>
          <w:trHeight w:val="205"/>
        </w:trPr>
        <w:tc>
          <w:tcPr>
            <w:tcW w:w="736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Realized and unrealized gains (losses) on derivative instruments, net (note 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(878.7)</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r>
      <w:tr>
        <w:trPr>
          <w:trHeight w:val="173"/>
        </w:trPr>
        <w:tc>
          <w:tcPr>
            <w:tcW w:w="7360" w:type="dxa"/>
            <w:vAlign w:val="bottom"/>
          </w:tcPr>
          <w:p>
            <w:pPr>
              <w:ind w:left="140"/>
              <w:spacing w:after="0" w:line="173" w:lineRule="exact"/>
              <w:rPr>
                <w:sz w:val="20"/>
                <w:szCs w:val="20"/>
                <w:color w:val="auto"/>
              </w:rPr>
            </w:pPr>
            <w:r>
              <w:rPr>
                <w:rFonts w:ascii="Arial" w:cs="Arial" w:eastAsia="Arial" w:hAnsi="Arial"/>
                <w:sz w:val="18"/>
                <w:szCs w:val="18"/>
                <w:color w:val="auto"/>
                <w:w w:val="88"/>
              </w:rPr>
              <w:t>Realized and unrealized gains (losses) due to changes in fair values of certain investments, net (notes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7"/>
        </w:trPr>
        <w:tc>
          <w:tcPr>
            <w:tcW w:w="7360" w:type="dxa"/>
            <w:vAlign w:val="bottom"/>
          </w:tcPr>
          <w:p>
            <w:pPr>
              <w:ind w:left="300"/>
              <w:spacing w:after="0"/>
              <w:rPr>
                <w:sz w:val="20"/>
                <w:szCs w:val="20"/>
                <w:color w:val="auto"/>
              </w:rPr>
            </w:pPr>
            <w:r>
              <w:rPr>
                <w:rFonts w:ascii="Arial" w:cs="Arial" w:eastAsia="Arial" w:hAnsi="Arial"/>
                <w:sz w:val="18"/>
                <w:szCs w:val="18"/>
                <w:color w:val="auto"/>
              </w:rPr>
              <w:t>7 and 9)</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on debt extinguishment, net (note 11)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Telenet Tower Sale (note 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Gain on U.K. JV Transaction (note 6)</w:t>
            </w:r>
          </w:p>
        </w:tc>
        <w:tc>
          <w:tcPr>
            <w:tcW w:w="26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AtlasEdge JV Transactions (note 6)</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19"/>
        </w:trPr>
        <w:tc>
          <w:tcPr>
            <w:tcW w:w="7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(3,831.9)</w:t>
            </w:r>
          </w:p>
        </w:tc>
      </w:tr>
      <w:tr>
        <w:trPr>
          <w:trHeight w:val="218"/>
        </w:trPr>
        <w:tc>
          <w:tcPr>
            <w:tcW w:w="736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(note 13)</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18"/>
        </w:trPr>
        <w:tc>
          <w:tcPr>
            <w:tcW w:w="73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(1,525.1)</w:t>
            </w:r>
          </w:p>
        </w:tc>
      </w:tr>
      <w:tr>
        <w:trPr>
          <w:trHeight w:val="205"/>
        </w:trPr>
        <w:tc>
          <w:tcPr>
            <w:tcW w:w="7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Discontinued operations (note 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Earnings from discontinued operations, net of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disposal of discontinued operations, net of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19"/>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r>
      <w:tr>
        <w:trPr>
          <w:trHeight w:val="244"/>
        </w:trPr>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earnings (loss) attributable to Liberty Global shareholders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7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attributable to Liberty Global shareholders per share (note 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36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5"/>
        </w:trPr>
        <w:tc>
          <w:tcPr>
            <w:tcW w:w="7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Discontinued operations (note 6)</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8"/>
        </w:trPr>
        <w:tc>
          <w:tcPr>
            <w:tcW w:w="736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2"/>
        </w:trPr>
        <w:tc>
          <w:tcPr>
            <w:tcW w:w="73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Diluted earnings (loss) attributable to Liberty Global shareholders per share (note 3):</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736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5"/>
        </w:trPr>
        <w:tc>
          <w:tcPr>
            <w:tcW w:w="7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Discontinued operations (note 6)</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8"/>
        </w:trPr>
        <w:tc>
          <w:tcPr>
            <w:tcW w:w="736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6"/>
                <w:szCs w:val="16"/>
                <w:b w:val="1"/>
                <w:bCs w:val="1"/>
                <w:color w:val="auto"/>
                <w:w w:val="88"/>
              </w:rPr>
              <w:t>Year ended December 31,</w:t>
            </w:r>
          </w:p>
        </w:tc>
        <w:tc>
          <w:tcPr>
            <w:tcW w:w="88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2"/>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13,610.1</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w:t>
            </w:r>
          </w:p>
        </w:tc>
      </w:tr>
      <w:tr>
        <w:trPr>
          <w:trHeight w:val="205"/>
        </w:trPr>
        <w:tc>
          <w:tcPr>
            <w:tcW w:w="736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(loss), net of taxes (note 17):</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3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2,586.2</w:t>
            </w: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included in net earnings (loss) (note 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19"/>
        </w:trPr>
        <w:tc>
          <w:tcPr>
            <w:tcW w:w="73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 (loss) from discontinued operations (note 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9"/>
        </w:trPr>
        <w:tc>
          <w:tcPr>
            <w:tcW w:w="736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Other comprehensive earnings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2,581.0</w:t>
            </w:r>
          </w:p>
        </w:tc>
      </w:tr>
      <w:tr>
        <w:trPr>
          <w:trHeight w:val="218"/>
        </w:trPr>
        <w:tc>
          <w:tcPr>
            <w:tcW w:w="7360" w:type="dxa"/>
            <w:vAlign w:val="bottom"/>
          </w:tcPr>
          <w:p>
            <w:pPr>
              <w:ind w:left="540"/>
              <w:spacing w:after="0" w:line="204" w:lineRule="exact"/>
              <w:rPr>
                <w:sz w:val="20"/>
                <w:szCs w:val="20"/>
                <w:color w:val="auto"/>
              </w:rPr>
            </w:pPr>
            <w:r>
              <w:rPr>
                <w:rFonts w:ascii="Arial" w:cs="Arial" w:eastAsia="Arial" w:hAnsi="Arial"/>
                <w:sz w:val="18"/>
                <w:szCs w:val="18"/>
                <w:color w:val="auto"/>
              </w:rPr>
              <w:t>Comprehensive earnings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13,810.4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1,114.3</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18"/>
        </w:trPr>
        <w:tc>
          <w:tcPr>
            <w:tcW w:w="7360" w:type="dxa"/>
            <w:vAlign w:val="bottom"/>
          </w:tcPr>
          <w:p>
            <w:pPr>
              <w:ind w:left="540"/>
              <w:spacing w:after="0" w:line="204" w:lineRule="exact"/>
              <w:rPr>
                <w:sz w:val="20"/>
                <w:szCs w:val="20"/>
                <w:color w:val="auto"/>
              </w:rPr>
            </w:pPr>
            <w:r>
              <w:rPr>
                <w:rFonts w:ascii="Arial" w:cs="Arial" w:eastAsia="Arial" w:hAnsi="Arial"/>
                <w:sz w:val="18"/>
                <w:szCs w:val="18"/>
                <w:color w:val="auto"/>
              </w:rPr>
              <w:t>Comprehensive earnings (loss) attributable to Liberty Global shareholders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13,625.9</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30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89"/>
              </w:rPr>
              <w:t>other</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7"/>
              </w:rPr>
              <w:t>Treasury</w:t>
            </w: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6"/>
            <w:vMerge w:val="restart"/>
          </w:tcPr>
          <w:p>
            <w:pPr>
              <w:jc w:val="center"/>
              <w:ind w:left="93"/>
              <w:spacing w:after="0"/>
              <w:rPr>
                <w:sz w:val="20"/>
                <w:szCs w:val="20"/>
                <w:color w:val="auto"/>
              </w:rPr>
            </w:pPr>
            <w:r>
              <w:rPr>
                <w:rFonts w:ascii="Arial" w:cs="Arial" w:eastAsia="Arial" w:hAnsi="Arial"/>
                <w:sz w:val="16"/>
                <w:szCs w:val="16"/>
                <w:b w:val="1"/>
                <w:bCs w:val="1"/>
                <w:color w:val="auto"/>
                <w:w w:val="91"/>
              </w:rPr>
              <w:t>Ordinary 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gridSpan w:val="6"/>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1"/>
              </w:rPr>
              <w:t>paid-in</w:t>
            </w:r>
          </w:p>
        </w:tc>
        <w:tc>
          <w:tcPr>
            <w:tcW w:w="92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w w:val="87"/>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8"/>
                <w:szCs w:val="8"/>
                <w:color w:val="auto"/>
              </w:rPr>
            </w:pPr>
          </w:p>
        </w:tc>
        <w:tc>
          <w:tcPr>
            <w:tcW w:w="70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8"/>
                <w:szCs w:val="8"/>
                <w:color w:val="auto"/>
              </w:rPr>
            </w:pPr>
          </w:p>
        </w:tc>
        <w:tc>
          <w:tcPr>
            <w:tcW w:w="84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jc w:val="right"/>
              <w:ind w:right="100"/>
              <w:spacing w:after="0" w:line="159" w:lineRule="exact"/>
              <w:rPr>
                <w:sz w:val="20"/>
                <w:szCs w:val="20"/>
                <w:color w:val="auto"/>
              </w:rPr>
            </w:pPr>
            <w:r>
              <w:rPr>
                <w:rFonts w:ascii="Arial" w:cs="Arial" w:eastAsia="Arial" w:hAnsi="Arial"/>
                <w:sz w:val="16"/>
                <w:szCs w:val="16"/>
                <w:b w:val="1"/>
                <w:bCs w:val="1"/>
                <w:color w:val="auto"/>
                <w:w w:val="89"/>
              </w:rPr>
              <w:t>controlling</w:t>
            </w:r>
          </w:p>
        </w:tc>
        <w:tc>
          <w:tcPr>
            <w:tcW w:w="78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Class A</w:t>
            </w: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Class C</w:t>
            </w:r>
          </w:p>
        </w:tc>
        <w:tc>
          <w:tcPr>
            <w:tcW w:w="8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earnings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7"/>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w w:val="88"/>
              </w:rPr>
              <w:t>Balance at January 1, 2020, before</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accounting change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$ 6,136.9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13,606.2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$13,198.6</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rPr>
              <w:t>Impact of ASU No. 2016-13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(note 2)</w:t>
            </w: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167"/>
        </w:trPr>
        <w:tc>
          <w:tcPr>
            <w:tcW w:w="252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Balance at January 1, 2020 as</w:t>
            </w: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adjusted for accounting change</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13,575.9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13,168.5</w:t>
            </w:r>
          </w:p>
        </w:tc>
        <w:tc>
          <w:tcPr>
            <w:tcW w:w="0" w:type="dxa"/>
            <w:vAlign w:val="bottom"/>
          </w:tcPr>
          <w:p>
            <w:pPr>
              <w:spacing w:after="0"/>
              <w:rPr>
                <w:sz w:val="1"/>
                <w:szCs w:val="1"/>
                <w:color w:val="auto"/>
              </w:rPr>
            </w:pPr>
          </w:p>
        </w:tc>
      </w:tr>
      <w:tr>
        <w:trPr>
          <w:trHeight w:val="225"/>
        </w:trPr>
        <w:tc>
          <w:tcPr>
            <w:tcW w:w="25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(1,628.0)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(1,466.7)</w:t>
            </w: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93"/>
              </w:rPr>
              <w:t>Other comprehensive earnings,</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17)</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w w:val="87"/>
              </w:rPr>
              <w:t>Repurchases and cancellations of</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1"/>
              </w:rPr>
              <w:t>Liberty Global ordinary shares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(1,071.8)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7"/>
              </w:rPr>
              <w:t>(1,072.3)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88"/>
              </w:rPr>
              <w:t>Share-based compensation (note</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rPr>
              <w:t>Dividend distributions by</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4"/>
              </w:rPr>
              <w:t>subsidiaries to noncontrolling</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interest owners (note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99"/>
              </w:rPr>
              <w:t>Repurchases by Telenet of its</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shares</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w w:val="95"/>
              </w:rPr>
              <w:t>Adjustments due to changes in</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2"/>
              </w:rPr>
              <w:t>subsidiaries’ equity and other,</w:t>
            </w: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Balance at December 31, 2020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$13,298.4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915" w:right="3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28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89"/>
              </w:rPr>
              <w:t>other</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7"/>
              </w:rPr>
              <w:t>Treasury</w:t>
            </w: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6"/>
            <w:vMerge w:val="restart"/>
          </w:tcPr>
          <w:p>
            <w:pPr>
              <w:jc w:val="center"/>
              <w:ind w:left="113"/>
              <w:spacing w:after="0"/>
              <w:rPr>
                <w:sz w:val="20"/>
                <w:szCs w:val="20"/>
                <w:color w:val="auto"/>
              </w:rPr>
            </w:pPr>
            <w:r>
              <w:rPr>
                <w:rFonts w:ascii="Arial" w:cs="Arial" w:eastAsia="Arial" w:hAnsi="Arial"/>
                <w:sz w:val="16"/>
                <w:szCs w:val="16"/>
                <w:b w:val="1"/>
                <w:bCs w:val="1"/>
                <w:color w:val="auto"/>
                <w:w w:val="91"/>
              </w:rPr>
              <w:t>Ordinary 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5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6"/>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1"/>
              </w:rPr>
              <w:t>paid-in</w:t>
            </w:r>
          </w:p>
        </w:tc>
        <w:tc>
          <w:tcPr>
            <w:tcW w:w="92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w w:val="87"/>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9"/>
              </w:rPr>
              <w:t>controlling</w:t>
            </w:r>
          </w:p>
        </w:tc>
        <w:tc>
          <w:tcPr>
            <w:tcW w:w="80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8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earnings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7"/>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2021</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$13,298.4</w:t>
            </w:r>
          </w:p>
        </w:tc>
        <w:tc>
          <w:tcPr>
            <w:tcW w:w="0" w:type="dxa"/>
            <w:vAlign w:val="bottom"/>
          </w:tcPr>
          <w:p>
            <w:pPr>
              <w:spacing w:after="0"/>
              <w:rPr>
                <w:sz w:val="1"/>
                <w:szCs w:val="1"/>
                <w:color w:val="auto"/>
              </w:rPr>
            </w:pPr>
          </w:p>
        </w:tc>
      </w:tr>
      <w:tr>
        <w:trPr>
          <w:trHeight w:val="225"/>
        </w:trPr>
        <w:tc>
          <w:tcPr>
            <w:tcW w:w="25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13,426.8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13,610.1</w:t>
            </w: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93"/>
              </w:rPr>
              <w:t>Other comprehensive earnings,</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17)</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w w:val="87"/>
              </w:rPr>
              <w:t>Repurchases and cancellations of</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1"/>
              </w:rPr>
              <w:t>Liberty Global ordinary shares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(1,580.6)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7"/>
              </w:rPr>
              <w:t>(1,581.1)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88"/>
              </w:rPr>
              <w:t>Share-based compensation (note</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rPr>
              <w:t>Dividend distributions by</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4"/>
              </w:rPr>
              <w:t>subsidiaries to noncontrolling</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interest owners (note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99"/>
              </w:rPr>
              <w:t>Repurchases by Telenet of its</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shares</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6"/>
        </w:trPr>
        <w:tc>
          <w:tcPr>
            <w:tcW w:w="2520" w:type="dxa"/>
            <w:vAlign w:val="bottom"/>
          </w:tcPr>
          <w:p>
            <w:pPr>
              <w:ind w:left="140"/>
              <w:spacing w:after="0" w:line="186" w:lineRule="exact"/>
              <w:rPr>
                <w:sz w:val="20"/>
                <w:szCs w:val="20"/>
                <w:color w:val="auto"/>
              </w:rPr>
            </w:pPr>
            <w:r>
              <w:rPr>
                <w:rFonts w:ascii="Arial" w:cs="Arial" w:eastAsia="Arial" w:hAnsi="Arial"/>
                <w:sz w:val="18"/>
                <w:szCs w:val="18"/>
                <w:color w:val="auto"/>
                <w:w w:val="95"/>
              </w:rPr>
              <w:t>Adjustments due to changes in</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2"/>
              </w:rPr>
              <w:t>subsidiaries’ equity and other,</w:t>
            </w: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Balance at December 31, 2021</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$ 3,893.0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25,934.9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$25,598.0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other</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6"/>
            <w:vMerge w:val="restart"/>
          </w:tcPr>
          <w:p>
            <w:pPr>
              <w:jc w:val="center"/>
              <w:ind w:left="113"/>
              <w:spacing w:after="0"/>
              <w:rPr>
                <w:sz w:val="20"/>
                <w:szCs w:val="20"/>
                <w:color w:val="auto"/>
              </w:rPr>
            </w:pPr>
            <w:r>
              <w:rPr>
                <w:rFonts w:ascii="Arial" w:cs="Arial" w:eastAsia="Arial" w:hAnsi="Arial"/>
                <w:sz w:val="16"/>
                <w:szCs w:val="16"/>
                <w:b w:val="1"/>
                <w:bCs w:val="1"/>
                <w:color w:val="auto"/>
                <w:w w:val="89"/>
              </w:rPr>
              <w:t>Ordinary shares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5"/>
              </w:rPr>
              <w:t>comprehensive</w:t>
            </w:r>
          </w:p>
        </w:tc>
        <w:tc>
          <w:tcPr>
            <w:tcW w:w="7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gridSpan w:val="6"/>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100"/>
              <w:spacing w:after="0" w:line="159" w:lineRule="exact"/>
              <w:rPr>
                <w:sz w:val="20"/>
                <w:szCs w:val="20"/>
                <w:color w:val="auto"/>
              </w:rPr>
            </w:pPr>
            <w:r>
              <w:rPr>
                <w:rFonts w:ascii="Arial" w:cs="Arial" w:eastAsia="Arial" w:hAnsi="Arial"/>
                <w:sz w:val="16"/>
                <w:szCs w:val="16"/>
                <w:b w:val="1"/>
                <w:bCs w:val="1"/>
                <w:color w:val="auto"/>
                <w:w w:val="95"/>
              </w:rPr>
              <w:t>paid-in</w:t>
            </w:r>
          </w:p>
        </w:tc>
        <w:tc>
          <w:tcPr>
            <w:tcW w:w="102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earnings,</w:t>
            </w:r>
          </w:p>
        </w:tc>
        <w:tc>
          <w:tcPr>
            <w:tcW w:w="100" w:type="dxa"/>
            <w:vAlign w:val="bottom"/>
          </w:tcPr>
          <w:p>
            <w:pPr>
              <w:spacing w:after="0"/>
              <w:rPr>
                <w:sz w:val="8"/>
                <w:szCs w:val="8"/>
                <w:color w:val="auto"/>
              </w:rPr>
            </w:pPr>
          </w:p>
        </w:tc>
        <w:tc>
          <w:tcPr>
            <w:tcW w:w="680" w:type="dxa"/>
            <w:vAlign w:val="bottom"/>
            <w:gridSpan w:val="2"/>
            <w:vMerge w:val="restart"/>
          </w:tcPr>
          <w:p>
            <w:pPr>
              <w:jc w:val="center"/>
              <w:ind w:right="180"/>
              <w:spacing w:after="0" w:line="159" w:lineRule="exact"/>
              <w:rPr>
                <w:sz w:val="20"/>
                <w:szCs w:val="20"/>
                <w:color w:val="auto"/>
              </w:rPr>
            </w:pPr>
            <w:r>
              <w:rPr>
                <w:rFonts w:ascii="Arial" w:cs="Arial" w:eastAsia="Arial" w:hAnsi="Arial"/>
                <w:sz w:val="16"/>
                <w:szCs w:val="16"/>
                <w:b w:val="1"/>
                <w:bCs w:val="1"/>
                <w:color w:val="auto"/>
                <w:w w:val="82"/>
              </w:rPr>
              <w:t>shares,</w:t>
            </w:r>
          </w:p>
        </w:tc>
        <w:tc>
          <w:tcPr>
            <w:tcW w:w="160" w:type="dxa"/>
            <w:vAlign w:val="bottom"/>
          </w:tcPr>
          <w:p>
            <w:pPr>
              <w:spacing w:after="0"/>
              <w:rPr>
                <w:sz w:val="8"/>
                <w:szCs w:val="8"/>
                <w:color w:val="auto"/>
              </w:rPr>
            </w:pPr>
          </w:p>
        </w:tc>
        <w:tc>
          <w:tcPr>
            <w:tcW w:w="84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9"/>
              </w:rPr>
              <w:t>controlling</w:t>
            </w:r>
          </w:p>
        </w:tc>
        <w:tc>
          <w:tcPr>
            <w:tcW w:w="80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8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5"/>
              </w:rPr>
              <w:t>net of taxes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5"/>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7"/>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$ 3,893.0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18,144.5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$25,598.0</w:t>
            </w:r>
          </w:p>
        </w:tc>
        <w:tc>
          <w:tcPr>
            <w:tcW w:w="0" w:type="dxa"/>
            <w:vAlign w:val="bottom"/>
          </w:tcPr>
          <w:p>
            <w:pPr>
              <w:spacing w:after="0"/>
              <w:rPr>
                <w:sz w:val="1"/>
                <w:szCs w:val="1"/>
                <w:color w:val="auto"/>
              </w:rPr>
            </w:pPr>
          </w:p>
        </w:tc>
      </w:tr>
      <w:tr>
        <w:trPr>
          <w:trHeight w:val="225"/>
        </w:trPr>
        <w:tc>
          <w:tcPr>
            <w:tcW w:w="250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513.1</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1,986.3</w:t>
            </w: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ind w:left="120"/>
              <w:spacing w:after="0" w:line="187" w:lineRule="exact"/>
              <w:rPr>
                <w:sz w:val="20"/>
                <w:szCs w:val="20"/>
                <w:color w:val="auto"/>
              </w:rPr>
            </w:pPr>
            <w:r>
              <w:rPr>
                <w:rFonts w:ascii="Arial" w:cs="Arial" w:eastAsia="Arial" w:hAnsi="Arial"/>
                <w:sz w:val="18"/>
                <w:szCs w:val="18"/>
                <w:color w:val="auto"/>
                <w:w w:val="89"/>
              </w:rPr>
              <w:t>Other comprehensive loss, net of</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 (note 17)</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(3,378.8)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line="186" w:lineRule="exact"/>
              <w:rPr>
                <w:sz w:val="20"/>
                <w:szCs w:val="20"/>
                <w:color w:val="auto"/>
              </w:rPr>
            </w:pPr>
            <w:r>
              <w:rPr>
                <w:rFonts w:ascii="Arial" w:cs="Arial" w:eastAsia="Arial" w:hAnsi="Arial"/>
                <w:sz w:val="18"/>
                <w:szCs w:val="18"/>
                <w:color w:val="auto"/>
                <w:w w:val="87"/>
              </w:rPr>
              <w:t>Repurchases and cancellations of</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line="172" w:lineRule="exact"/>
              <w:rPr>
                <w:sz w:val="20"/>
                <w:szCs w:val="20"/>
                <w:color w:val="auto"/>
              </w:rPr>
            </w:pPr>
            <w:r>
              <w:rPr>
                <w:rFonts w:ascii="Arial" w:cs="Arial" w:eastAsia="Arial" w:hAnsi="Arial"/>
                <w:sz w:val="18"/>
                <w:szCs w:val="18"/>
                <w:color w:val="auto"/>
                <w:w w:val="91"/>
              </w:rPr>
              <w:t>Liberty Global ordinary shares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7"/>
              </w:rPr>
              <w:t>(1,701.9)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7"/>
              </w:rPr>
              <w:t>(1,702.6)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24"/>
        </w:trPr>
        <w:tc>
          <w:tcPr>
            <w:tcW w:w="2500" w:type="dxa"/>
            <w:vAlign w:val="bottom"/>
          </w:tcPr>
          <w:p>
            <w:pPr>
              <w:ind w:left="28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ind w:left="120"/>
              <w:spacing w:after="0" w:line="187" w:lineRule="exact"/>
              <w:rPr>
                <w:sz w:val="20"/>
                <w:szCs w:val="20"/>
                <w:color w:val="auto"/>
              </w:rPr>
            </w:pPr>
            <w:r>
              <w:rPr>
                <w:rFonts w:ascii="Arial" w:cs="Arial" w:eastAsia="Arial" w:hAnsi="Arial"/>
                <w:sz w:val="18"/>
                <w:szCs w:val="18"/>
                <w:color w:val="auto"/>
                <w:w w:val="88"/>
              </w:rPr>
              <w:t>Share-based compensation (note</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line="186" w:lineRule="exact"/>
              <w:rPr>
                <w:sz w:val="20"/>
                <w:szCs w:val="20"/>
                <w:color w:val="auto"/>
              </w:rPr>
            </w:pPr>
            <w:r>
              <w:rPr>
                <w:rFonts w:ascii="Arial" w:cs="Arial" w:eastAsia="Arial" w:hAnsi="Arial"/>
                <w:sz w:val="18"/>
                <w:szCs w:val="18"/>
                <w:color w:val="auto"/>
              </w:rPr>
              <w:t>Dividend distributions by</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line="172" w:lineRule="exact"/>
              <w:rPr>
                <w:sz w:val="20"/>
                <w:szCs w:val="20"/>
                <w:color w:val="auto"/>
              </w:rPr>
            </w:pPr>
            <w:r>
              <w:rPr>
                <w:rFonts w:ascii="Arial" w:cs="Arial" w:eastAsia="Arial" w:hAnsi="Arial"/>
                <w:sz w:val="18"/>
                <w:szCs w:val="18"/>
                <w:color w:val="auto"/>
                <w:w w:val="94"/>
              </w:rPr>
              <w:t>subsidiaries to noncontrolling</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line="172" w:lineRule="exact"/>
              <w:rPr>
                <w:sz w:val="20"/>
                <w:szCs w:val="20"/>
                <w:color w:val="auto"/>
              </w:rPr>
            </w:pPr>
            <w:r>
              <w:rPr>
                <w:rFonts w:ascii="Arial" w:cs="Arial" w:eastAsia="Arial" w:hAnsi="Arial"/>
                <w:sz w:val="18"/>
                <w:szCs w:val="18"/>
                <w:color w:val="auto"/>
              </w:rPr>
              <w:t>interest owners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4"/>
        </w:trPr>
        <w:tc>
          <w:tcPr>
            <w:tcW w:w="2500" w:type="dxa"/>
            <w:vAlign w:val="bottom"/>
          </w:tcPr>
          <w:p>
            <w:pPr>
              <w:ind w:left="26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CCEEFF"/>
          </w:tcPr>
          <w:p>
            <w:pPr>
              <w:ind w:left="120"/>
              <w:spacing w:after="0" w:line="187" w:lineRule="exact"/>
              <w:rPr>
                <w:sz w:val="20"/>
                <w:szCs w:val="20"/>
                <w:color w:val="auto"/>
              </w:rPr>
            </w:pPr>
            <w:r>
              <w:rPr>
                <w:rFonts w:ascii="Arial" w:cs="Arial" w:eastAsia="Arial" w:hAnsi="Arial"/>
                <w:sz w:val="18"/>
                <w:szCs w:val="18"/>
                <w:color w:val="auto"/>
                <w:w w:val="99"/>
              </w:rPr>
              <w:t>Repurchases by Telenet of its</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shares</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86"/>
        </w:trPr>
        <w:tc>
          <w:tcPr>
            <w:tcW w:w="2500" w:type="dxa"/>
            <w:vAlign w:val="bottom"/>
          </w:tcPr>
          <w:p>
            <w:pPr>
              <w:ind w:left="120"/>
              <w:spacing w:after="0" w:line="186" w:lineRule="exact"/>
              <w:rPr>
                <w:sz w:val="20"/>
                <w:szCs w:val="20"/>
                <w:color w:val="auto"/>
              </w:rPr>
            </w:pPr>
            <w:r>
              <w:rPr>
                <w:rFonts w:ascii="Arial" w:cs="Arial" w:eastAsia="Arial" w:hAnsi="Arial"/>
                <w:sz w:val="18"/>
                <w:szCs w:val="18"/>
                <w:color w:val="auto"/>
                <w:w w:val="95"/>
              </w:rPr>
              <w:t>Adjustments due to changes in</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line="172" w:lineRule="exact"/>
              <w:rPr>
                <w:sz w:val="20"/>
                <w:szCs w:val="20"/>
                <w:color w:val="auto"/>
              </w:rPr>
            </w:pPr>
            <w:r>
              <w:rPr>
                <w:rFonts w:ascii="Arial" w:cs="Arial" w:eastAsia="Arial" w:hAnsi="Arial"/>
                <w:sz w:val="18"/>
                <w:szCs w:val="18"/>
                <w:color w:val="auto"/>
                <w:w w:val="92"/>
              </w:rPr>
              <w:t>subsidiaries’ equity and other,</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4"/>
        </w:trPr>
        <w:tc>
          <w:tcPr>
            <w:tcW w:w="2500" w:type="dxa"/>
            <w:vAlign w:val="bottom"/>
          </w:tcPr>
          <w:p>
            <w:pPr>
              <w:ind w:left="28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Balance at December 31, 2022</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$ 2,300.8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19,617.7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22,436.4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$22,573.4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915" w:right="35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r>
      <w:tr>
        <w:trPr>
          <w:trHeight w:val="202"/>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00" w:type="dxa"/>
            <w:vAlign w:val="bottom"/>
          </w:tcPr>
          <w:p>
            <w:pPr>
              <w:ind w:left="16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13,610.1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(1,466.7)</w:t>
            </w:r>
          </w:p>
        </w:tc>
      </w:tr>
      <w:tr>
        <w:trPr>
          <w:trHeight w:val="225"/>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18"/>
        </w:trPr>
        <w:tc>
          <w:tcPr>
            <w:tcW w:w="7400" w:type="dxa"/>
            <w:vAlign w:val="bottom"/>
          </w:tcPr>
          <w:p>
            <w:pPr>
              <w:ind w:left="240"/>
              <w:spacing w:after="0" w:line="204" w:lineRule="exact"/>
              <w:rPr>
                <w:sz w:val="20"/>
                <w:szCs w:val="20"/>
                <w:color w:val="auto"/>
              </w:rPr>
            </w:pPr>
            <w:r>
              <w:rPr>
                <w:rFonts w:ascii="Arial" w:cs="Arial" w:eastAsia="Arial" w:hAnsi="Arial"/>
                <w:sz w:val="18"/>
                <w:szCs w:val="18"/>
                <w:color w:val="auto"/>
              </w:rPr>
              <w:t>Earnings (loss)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(1,525.1)</w:t>
            </w:r>
          </w:p>
        </w:tc>
      </w:tr>
      <w:tr>
        <w:trPr>
          <w:trHeight w:val="187"/>
        </w:trPr>
        <w:tc>
          <w:tcPr>
            <w:tcW w:w="7400" w:type="dxa"/>
            <w:vAlign w:val="bottom"/>
            <w:shd w:val="clear" w:color="auto" w:fill="CCEEFF"/>
          </w:tcPr>
          <w:p>
            <w:pPr>
              <w:ind w:left="240"/>
              <w:spacing w:after="0" w:line="187" w:lineRule="exact"/>
              <w:rPr>
                <w:sz w:val="20"/>
                <w:szCs w:val="20"/>
                <w:color w:val="auto"/>
              </w:rPr>
            </w:pPr>
            <w:r>
              <w:rPr>
                <w:rFonts w:ascii="Arial" w:cs="Arial" w:eastAsia="Arial" w:hAnsi="Arial"/>
                <w:sz w:val="18"/>
                <w:szCs w:val="18"/>
                <w:color w:val="auto"/>
                <w:w w:val="98"/>
              </w:rPr>
              <w:t>Adjustments to reconcile earnings (loss) from continuing operations to net cash provided by</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4"/>
        </w:trPr>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activities of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348.0</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2,227.2</w:t>
            </w: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 and non-cash interest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878.7</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w w:val="92"/>
              </w:rPr>
              <w:t>Realized and unrealized losses (gains) due to changes in fair values of certain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(gains) on debt extinguishment,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rPr>
              <w:t>Gain on Telenet Tower 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U.K. JV Transaction</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00" w:type="dxa"/>
            <w:vAlign w:val="bottom"/>
          </w:tcPr>
          <w:p>
            <w:pPr>
              <w:ind w:left="360"/>
              <w:spacing w:after="0"/>
              <w:rPr>
                <w:sz w:val="20"/>
                <w:szCs w:val="20"/>
                <w:color w:val="auto"/>
              </w:rPr>
            </w:pPr>
            <w:r>
              <w:rPr>
                <w:rFonts w:ascii="Arial" w:cs="Arial" w:eastAsia="Arial" w:hAnsi="Arial"/>
                <w:sz w:val="18"/>
                <w:szCs w:val="18"/>
                <w:color w:val="auto"/>
              </w:rPr>
              <w:t>Gain on AtlasEdge JV Transactions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Changes in operating assets and liabilities, net of the effects of acquisitions and dispositions: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00" w:type="dxa"/>
            <w:vAlign w:val="bottom"/>
          </w:tcPr>
          <w:p>
            <w:pPr>
              <w:ind w:left="580"/>
              <w:spacing w:after="0"/>
              <w:rPr>
                <w:sz w:val="20"/>
                <w:szCs w:val="20"/>
                <w:color w:val="auto"/>
              </w:rPr>
            </w:pPr>
            <w:r>
              <w:rPr>
                <w:rFonts w:ascii="Arial" w:cs="Arial" w:eastAsia="Arial" w:hAnsi="Arial"/>
                <w:sz w:val="18"/>
                <w:szCs w:val="18"/>
                <w:color w:val="auto"/>
              </w:rPr>
              <w:t>Receivables and other operating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947.3</w:t>
            </w:r>
          </w:p>
        </w:tc>
      </w:tr>
      <w:tr>
        <w:trPr>
          <w:trHeight w:val="225"/>
        </w:trPr>
        <w:tc>
          <w:tcPr>
            <w:tcW w:w="7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Payables and accruals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r>
      <w:tr>
        <w:trPr>
          <w:trHeight w:val="225"/>
        </w:trPr>
        <w:tc>
          <w:tcPr>
            <w:tcW w:w="7400" w:type="dxa"/>
            <w:vAlign w:val="bottom"/>
          </w:tcPr>
          <w:p>
            <w:pPr>
              <w:ind w:left="240"/>
              <w:spacing w:after="0"/>
              <w:rPr>
                <w:sz w:val="20"/>
                <w:szCs w:val="20"/>
                <w:color w:val="auto"/>
              </w:rPr>
            </w:pPr>
            <w:r>
              <w:rPr>
                <w:rFonts w:ascii="Arial" w:cs="Arial" w:eastAsia="Arial" w:hAnsi="Arial"/>
                <w:sz w:val="18"/>
                <w:szCs w:val="18"/>
                <w:color w:val="auto"/>
              </w:rPr>
              <w:t>Dividend distributions received from the VMO2 JV</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 distributions received from the VodafoneZiggo JV</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18"/>
        </w:trPr>
        <w:tc>
          <w:tcPr>
            <w:tcW w:w="7400" w:type="dxa"/>
            <w:vAlign w:val="bottom"/>
          </w:tcPr>
          <w:p>
            <w:pPr>
              <w:ind w:left="480"/>
              <w:spacing w:after="0" w:line="204" w:lineRule="exact"/>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4,016.8</w:t>
            </w:r>
          </w:p>
        </w:tc>
      </w:tr>
      <w:tr>
        <w:trPr>
          <w:trHeight w:val="225"/>
        </w:trPr>
        <w:tc>
          <w:tcPr>
            <w:tcW w:w="7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18"/>
        </w:trPr>
        <w:tc>
          <w:tcPr>
            <w:tcW w:w="7400" w:type="dxa"/>
            <w:vAlign w:val="bottom"/>
          </w:tcPr>
          <w:p>
            <w:pPr>
              <w:ind w:left="64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4,185.8</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400" w:top="915" w:right="39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6"/>
                <w:szCs w:val="16"/>
                <w:b w:val="1"/>
                <w:bCs w:val="1"/>
                <w:color w:val="auto"/>
                <w:w w:val="88"/>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r>
      <w:tr>
        <w:trPr>
          <w:trHeight w:val="202"/>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Cash paid for investments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(9,433.8)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(8,240.5)</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received from the sale of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6,031.9</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Cash received in connection with the sale of UPC Poland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Cash received in connection with the Telenet Tower 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distributions received from the VMO2 JV</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Cash released from the Vodafone Escrow Accounts,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received (paid) in connection with acquisitions, net of cash acquired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(5,267.8)</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Net cash received in connection with the AtlasEdge JV Transactions</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7440" w:type="dxa"/>
            <w:vAlign w:val="bottom"/>
            <w:shd w:val="clear" w:color="auto" w:fill="CCEEFF"/>
          </w:tcPr>
          <w:p>
            <w:pPr>
              <w:ind w:left="120"/>
              <w:spacing w:after="0" w:line="187" w:lineRule="exact"/>
              <w:rPr>
                <w:sz w:val="20"/>
                <w:szCs w:val="20"/>
                <w:color w:val="auto"/>
              </w:rPr>
            </w:pPr>
            <w:r>
              <w:rPr>
                <w:rFonts w:ascii="Arial" w:cs="Arial" w:eastAsia="Arial" w:hAnsi="Arial"/>
                <w:sz w:val="18"/>
                <w:szCs w:val="18"/>
                <w:color w:val="auto"/>
              </w:rPr>
              <w:t>Cash and restricted cash contributed to the VMO2 JV in connection with the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4"/>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U.K. JV Transaction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Loans to the VodafoneZiggo JV</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received in connection with the U.K. JV Transaction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19"/>
        </w:trPr>
        <w:tc>
          <w:tcPr>
            <w:tcW w:w="7440" w:type="dxa"/>
            <w:vAlign w:val="bottom"/>
            <w:tcBorders>
              <w:top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Net cash provided (used) by investing activities of continuing operations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(8,817.2)</w:t>
            </w:r>
          </w:p>
        </w:tc>
      </w:tr>
      <w:tr>
        <w:trPr>
          <w:trHeight w:val="225"/>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18"/>
        </w:trPr>
        <w:tc>
          <w:tcPr>
            <w:tcW w:w="7440" w:type="dxa"/>
            <w:vAlign w:val="bottom"/>
            <w:shd w:val="clear" w:color="auto" w:fill="CCEEFF"/>
          </w:tcPr>
          <w:p>
            <w:pPr>
              <w:ind w:left="400"/>
              <w:spacing w:after="0" w:line="205" w:lineRule="exact"/>
              <w:rPr>
                <w:sz w:val="20"/>
                <w:szCs w:val="20"/>
                <w:color w:val="auto"/>
              </w:rPr>
            </w:pPr>
            <w:r>
              <w:rPr>
                <w:rFonts w:ascii="Arial" w:cs="Arial" w:eastAsia="Arial" w:hAnsi="Arial"/>
                <w:sz w:val="18"/>
                <w:szCs w:val="18"/>
                <w:color w:val="auto"/>
              </w:rPr>
              <w:t>Net cash provided (used)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(8,874.0)</w:t>
            </w:r>
          </w:p>
        </w:tc>
      </w:tr>
      <w:tr>
        <w:trPr>
          <w:trHeight w:val="245"/>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Borrowings of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13,205.8</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Operating-related vendor financing additions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2,754.5</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(excluding vendor financing)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(8,857.1)</w:t>
            </w:r>
          </w:p>
        </w:tc>
      </w:tr>
      <w:tr>
        <w:trPr>
          <w:trHeight w:val="225"/>
        </w:trPr>
        <w:tc>
          <w:tcPr>
            <w:tcW w:w="7440" w:type="dxa"/>
            <w:vAlign w:val="bottom"/>
          </w:tcPr>
          <w:p>
            <w:pPr>
              <w:ind w:left="240"/>
              <w:spacing w:after="0"/>
              <w:rPr>
                <w:sz w:val="20"/>
                <w:szCs w:val="20"/>
                <w:color w:val="auto"/>
              </w:rPr>
            </w:pPr>
            <w:r>
              <w:rPr>
                <w:rFonts w:ascii="Arial" w:cs="Arial" w:eastAsia="Arial" w:hAnsi="Arial"/>
                <w:sz w:val="18"/>
                <w:szCs w:val="18"/>
                <w:color w:val="auto"/>
              </w:rPr>
              <w:t>Principal payments on operating-related vendor financing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(2,381.7)</w:t>
            </w:r>
          </w:p>
        </w:tc>
      </w:tr>
      <w:tr>
        <w:trPr>
          <w:trHeight w:val="225"/>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on capital-related vendor financing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25"/>
        </w:trPr>
        <w:tc>
          <w:tcPr>
            <w:tcW w:w="7440" w:type="dxa"/>
            <w:vAlign w:val="bottom"/>
          </w:tcPr>
          <w:p>
            <w:pPr>
              <w:ind w:left="240"/>
              <w:spacing w:after="0"/>
              <w:rPr>
                <w:sz w:val="20"/>
                <w:szCs w:val="20"/>
                <w:color w:val="auto"/>
              </w:rPr>
            </w:pPr>
            <w:r>
              <w:rPr>
                <w:rFonts w:ascii="Arial" w:cs="Arial" w:eastAsia="Arial" w:hAnsi="Arial"/>
                <w:sz w:val="18"/>
                <w:szCs w:val="18"/>
                <w:color w:val="auto"/>
              </w:rPr>
              <w:t>Principal payments on finance 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Liberty Global ordinary shares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Dividend distributions by subsidiaries to noncontrolling interest owners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received (paid) related to derivative instruments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Payment of financing costs and debt premiums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2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8"/>
        </w:trPr>
        <w:tc>
          <w:tcPr>
            <w:tcW w:w="7440" w:type="dxa"/>
            <w:vAlign w:val="bottom"/>
          </w:tcPr>
          <w:p>
            <w:pPr>
              <w:ind w:left="240"/>
              <w:spacing w:after="0" w:line="204" w:lineRule="exact"/>
              <w:rPr>
                <w:sz w:val="20"/>
                <w:szCs w:val="20"/>
                <w:color w:val="auto"/>
              </w:rPr>
            </w:pPr>
            <w:r>
              <w:rPr>
                <w:rFonts w:ascii="Arial" w:cs="Arial" w:eastAsia="Arial" w:hAnsi="Arial"/>
                <w:sz w:val="18"/>
                <w:szCs w:val="18"/>
                <w:color w:val="auto"/>
              </w:rPr>
              <w:t>Net cash provided (used) by financing activities of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1,104.5</w:t>
            </w:r>
          </w:p>
        </w:tc>
      </w:tr>
      <w:tr>
        <w:trPr>
          <w:trHeight w:val="225"/>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8"/>
        </w:trPr>
        <w:tc>
          <w:tcPr>
            <w:tcW w:w="7440" w:type="dxa"/>
            <w:vAlign w:val="bottom"/>
          </w:tcPr>
          <w:p>
            <w:pPr>
              <w:ind w:left="400"/>
              <w:spacing w:after="0" w:line="204" w:lineRule="exact"/>
              <w:rPr>
                <w:sz w:val="20"/>
                <w:szCs w:val="20"/>
                <w:color w:val="auto"/>
              </w:rPr>
            </w:pPr>
            <w:r>
              <w:rPr>
                <w:rFonts w:ascii="Arial" w:cs="Arial" w:eastAsia="Arial" w:hAnsi="Arial"/>
                <w:sz w:val="18"/>
                <w:szCs w:val="18"/>
                <w:color w:val="auto"/>
              </w:rPr>
              <w:t>Net cash provided (used) by financing activities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1,083.6</w:t>
            </w: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80" w:top="915" w:right="37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LIBERTY GLOBAL PLC</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6"/>
                <w:szCs w:val="16"/>
                <w:b w:val="1"/>
                <w:bCs w:val="1"/>
                <w:color w:val="auto"/>
                <w:w w:val="88"/>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r>
      <w:tr>
        <w:trPr>
          <w:trHeight w:val="202"/>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25"/>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460" w:type="dxa"/>
            <w:vAlign w:val="bottom"/>
          </w:tcPr>
          <w:p>
            <w:pPr>
              <w:ind w:left="24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(3,554.9)</w:t>
            </w:r>
          </w:p>
        </w:tc>
      </w:tr>
      <w:tr>
        <w:trPr>
          <w:trHeight w:val="225"/>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8"/>
        </w:trPr>
        <w:tc>
          <w:tcPr>
            <w:tcW w:w="7460" w:type="dxa"/>
            <w:vAlign w:val="bottom"/>
          </w:tcPr>
          <w:p>
            <w:pPr>
              <w:ind w:left="240"/>
              <w:spacing w:after="0" w:line="204"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(3,463.6)</w:t>
            </w:r>
          </w:p>
        </w:tc>
      </w:tr>
      <w:tr>
        <w:trPr>
          <w:trHeight w:val="212"/>
        </w:trPr>
        <w:tc>
          <w:tcPr>
            <w:tcW w:w="7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5"/>
        </w:trPr>
        <w:tc>
          <w:tcPr>
            <w:tcW w:w="7460" w:type="dxa"/>
            <w:vAlign w:val="bottom"/>
          </w:tcPr>
          <w:p>
            <w:pPr>
              <w:ind w:left="160"/>
              <w:spacing w:after="0"/>
              <w:rPr>
                <w:sz w:val="20"/>
                <w:szCs w:val="20"/>
                <w:color w:val="auto"/>
              </w:rPr>
            </w:pPr>
            <w:r>
              <w:rPr>
                <w:rFonts w:ascii="Arial" w:cs="Arial" w:eastAsia="Arial" w:hAnsi="Arial"/>
                <w:sz w:val="18"/>
                <w:szCs w:val="18"/>
                <w:color w:val="auto"/>
              </w:rPr>
              <w:t>Cash and cash equivalents and restricted cash: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 of year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8,180.9</w:t>
            </w:r>
          </w:p>
        </w:tc>
      </w:tr>
      <w:tr>
        <w:trPr>
          <w:trHeight w:val="225"/>
        </w:trPr>
        <w:tc>
          <w:tcPr>
            <w:tcW w:w="74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increase (decrease)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w:t>
            </w:r>
          </w:p>
        </w:tc>
      </w:tr>
      <w:tr>
        <w:trPr>
          <w:trHeight w:val="243"/>
        </w:trPr>
        <w:tc>
          <w:tcPr>
            <w:tcW w:w="7460" w:type="dxa"/>
            <w:vAlign w:val="bottom"/>
            <w:tcBorders>
              <w:bottom w:val="single" w:sz="8" w:color="CCEEFF"/>
            </w:tcBorders>
            <w:shd w:val="clear" w:color="auto" w:fill="CCEEFF"/>
          </w:tcPr>
          <w:p>
            <w:pPr>
              <w:ind w:left="480"/>
              <w:spacing w:after="0" w:line="205" w:lineRule="exact"/>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4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1,126.0</w:t>
            </w:r>
          </w:p>
        </w:tc>
      </w:tr>
      <w:tr>
        <w:trPr>
          <w:trHeight w:val="225"/>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192"/>
        </w:trPr>
        <w:tc>
          <w:tcPr>
            <w:tcW w:w="7460" w:type="dxa"/>
            <w:vAlign w:val="bottom"/>
          </w:tcPr>
          <w:p>
            <w:pPr>
              <w:ind w:left="320"/>
              <w:spacing w:after="0" w:line="192"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line="19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547.4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832.0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1,127.7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1"/>
        </w:trPr>
        <w:tc>
          <w:tcPr>
            <w:tcW w:w="74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Net cash paid for taxes: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74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25"/>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8"/>
        </w:trPr>
        <w:tc>
          <w:tcPr>
            <w:tcW w:w="7460" w:type="dxa"/>
            <w:vAlign w:val="bottom"/>
          </w:tcPr>
          <w:p>
            <w:pPr>
              <w:ind w:left="32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9"/>
        </w:trPr>
        <w:tc>
          <w:tcPr>
            <w:tcW w:w="7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Details of end of year cash and cash equivalents and restricted cash: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w:t>
            </w:r>
          </w:p>
        </w:tc>
      </w:tr>
      <w:tr>
        <w:trPr>
          <w:trHeight w:val="225"/>
        </w:trPr>
        <w:tc>
          <w:tcPr>
            <w:tcW w:w="7460" w:type="dxa"/>
            <w:vAlign w:val="bottom"/>
          </w:tcPr>
          <w:p>
            <w:pPr>
              <w:ind w:left="12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 included in assets held for sale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w:t>
            </w:r>
          </w:p>
        </w:tc>
      </w:tr>
      <w:tr>
        <w:trPr>
          <w:trHeight w:val="218"/>
        </w:trPr>
        <w:tc>
          <w:tcPr>
            <w:tcW w:w="7460" w:type="dxa"/>
            <w:vAlign w:val="bottom"/>
          </w:tcPr>
          <w:p>
            <w:pPr>
              <w:ind w:left="320"/>
              <w:spacing w:after="0" w:line="204" w:lineRule="exact"/>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4,717.3</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08"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60" w:hanging="254"/>
        <w:spacing w:after="0"/>
        <w:tabs>
          <w:tab w:leader="none" w:pos="2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3"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61.1%-owned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xml:space="preserve">). In addition, we own 50% noncontrolling interests in (a)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which provides residential and B2B communication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 xml:space="preserve">), and (b)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which provides residential and B2B communication services in the Netherlands.</w:t>
      </w:r>
    </w:p>
    <w:p>
      <w:pPr>
        <w:spacing w:after="0" w:line="22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in these consolidated financial statements, our operations in Poland are reflected as discontinued operations for all applicable periods. For additional information, see note 6.</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Through May 31, 2021, our consolidated operations also included residential and B2B communications services provided to customers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6) to the VMO2 JV and began accounting for our 50% interest in the VMO2 JV as an equity method investment. For additional information, see note 6.</w:t>
      </w:r>
    </w:p>
    <w:p>
      <w:pPr>
        <w:spacing w:after="0" w:line="21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w:t>
      </w:r>
      <w:r>
        <w:rPr>
          <w:rFonts w:ascii="Arial" w:cs="Arial" w:eastAsia="Arial" w:hAnsi="Arial"/>
          <w:sz w:val="18"/>
          <w:szCs w:val="18"/>
          <w:b w:val="1"/>
          <w:bCs w:val="1"/>
          <w:color w:val="auto"/>
        </w:rPr>
        <w:t>GAAP</w:t>
      </w:r>
      <w:r>
        <w:rPr>
          <w:rFonts w:ascii="Arial" w:cs="Arial" w:eastAsia="Arial" w:hAnsi="Arial"/>
          <w:sz w:val="18"/>
          <w:szCs w:val="18"/>
          <w:color w:val="auto"/>
        </w:rPr>
        <w:t>). 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December 31, 2022.</w:t>
      </w:r>
    </w:p>
    <w:p>
      <w:pPr>
        <w:spacing w:after="0" w:line="206" w:lineRule="exact"/>
        <w:rPr>
          <w:sz w:val="20"/>
          <w:szCs w:val="20"/>
          <w:color w:val="auto"/>
        </w:rPr>
      </w:pPr>
    </w:p>
    <w:p>
      <w:pPr>
        <w:ind w:left="260" w:hanging="254"/>
        <w:spacing w:after="0"/>
        <w:tabs>
          <w:tab w:leader="none" w:pos="2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2016-13</w:t>
      </w:r>
    </w:p>
    <w:p>
      <w:pPr>
        <w:spacing w:after="0" w:line="237"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color w:val="auto"/>
        </w:rPr>
        <w:t xml:space="preserve">In June 2016, the Financial Accounting Standards Board (the </w:t>
      </w:r>
      <w:r>
        <w:rPr>
          <w:rFonts w:ascii="Arial" w:cs="Arial" w:eastAsia="Arial" w:hAnsi="Arial"/>
          <w:sz w:val="15"/>
          <w:szCs w:val="15"/>
          <w:b w:val="1"/>
          <w:b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color w:val="auto"/>
        </w:rPr>
        <w:t>ASU</w:t>
      </w:r>
      <w:r>
        <w:rPr>
          <w:rFonts w:ascii="Arial" w:cs="Arial" w:eastAsia="Arial" w:hAnsi="Arial"/>
          <w:sz w:val="15"/>
          <w:szCs w:val="15"/>
          <w:color w:val="auto"/>
        </w:rPr>
        <w:t xml:space="preserve">) No. 2016-13, </w:t>
      </w:r>
      <w:r>
        <w:rPr>
          <w:rFonts w:ascii="Arial" w:cs="Arial" w:eastAsia="Arial" w:hAnsi="Arial"/>
          <w:sz w:val="15"/>
          <w:szCs w:val="15"/>
          <w:i w:val="1"/>
          <w:iCs w:val="1"/>
          <w:color w:val="auto"/>
        </w:rPr>
        <w:t>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Losses on Financial Statements </w:t>
      </w:r>
      <w:r>
        <w:rPr>
          <w:rFonts w:ascii="Arial" w:cs="Arial" w:eastAsia="Arial" w:hAnsi="Arial"/>
          <w:sz w:val="15"/>
          <w:szCs w:val="15"/>
          <w:color w:val="auto"/>
        </w:rPr>
        <w:t>(</w:t>
      </w:r>
      <w:r>
        <w:rPr>
          <w:rFonts w:ascii="Arial" w:cs="Arial" w:eastAsia="Arial" w:hAnsi="Arial"/>
          <w:sz w:val="15"/>
          <w:szCs w:val="15"/>
          <w:b w:val="1"/>
          <w:bCs w:val="1"/>
          <w:color w:val="auto"/>
        </w:rPr>
        <w:t>ASU 2016-13</w:t>
      </w:r>
      <w:r>
        <w:rPr>
          <w:rFonts w:ascii="Arial" w:cs="Arial" w:eastAsia="Arial" w:hAnsi="Arial"/>
          <w:sz w:val="15"/>
          <w:szCs w:val="15"/>
          <w:color w:val="auto"/>
        </w:rPr>
        <w:t>), which changes the recognition model for credit losses related to assets held at amortized cost. ASU 2016-13</w:t>
      </w:r>
      <w:r>
        <w:rPr>
          <w:rFonts w:ascii="Arial" w:cs="Arial" w:eastAsia="Arial" w:hAnsi="Arial"/>
          <w:sz w:val="15"/>
          <w:szCs w:val="15"/>
          <w:i w:val="1"/>
          <w:iCs w:val="1"/>
          <w:color w:val="auto"/>
        </w:rPr>
        <w:t xml:space="preserve"> </w:t>
      </w:r>
      <w:r>
        <w:rPr>
          <w:rFonts w:ascii="Arial" w:cs="Arial" w:eastAsia="Arial" w:hAnsi="Arial"/>
          <w:sz w:val="15"/>
          <w:szCs w:val="15"/>
          <w:color w:val="auto"/>
        </w:rPr>
        <w:t>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of $30.3 million to our accumulated earnings related to increases to our allowances for certain trade and notes receivable.</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2022-04</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September 2022, the FASB issued ASU No. 2022-04, </w:t>
      </w:r>
      <w:r>
        <w:rPr>
          <w:rFonts w:ascii="Arial" w:cs="Arial" w:eastAsia="Arial" w:hAnsi="Arial"/>
          <w:sz w:val="17"/>
          <w:szCs w:val="17"/>
          <w:i w:val="1"/>
          <w:iCs w:val="1"/>
          <w:color w:val="auto"/>
        </w:rPr>
        <w:t>Liabilities—Supplier Finance Programs</w:t>
      </w:r>
      <w:r>
        <w:rPr>
          <w:rFonts w:ascii="Arial" w:cs="Arial" w:eastAsia="Arial" w:hAnsi="Arial"/>
          <w:sz w:val="17"/>
          <w:szCs w:val="17"/>
          <w:color w:val="auto"/>
        </w:rPr>
        <w:t xml:space="preserve"> (</w:t>
      </w:r>
      <w:r>
        <w:rPr>
          <w:rFonts w:ascii="Arial" w:cs="Arial" w:eastAsia="Arial" w:hAnsi="Arial"/>
          <w:sz w:val="17"/>
          <w:szCs w:val="17"/>
          <w:b w:val="1"/>
          <w:bCs w:val="1"/>
          <w:color w:val="auto"/>
        </w:rPr>
        <w:t>ASU 2022-04</w:t>
      </w:r>
      <w:r>
        <w:rPr>
          <w:rFonts w:ascii="Arial" w:cs="Arial" w:eastAsia="Arial" w:hAnsi="Arial"/>
          <w:sz w:val="17"/>
          <w:szCs w:val="17"/>
          <w:color w:val="auto"/>
        </w:rPr>
        <w:t>), which requires additional disclosures for buyers participating in supplier financing programs, which we refer to as vendor financing, including (i) the key terms of the arrangement, (ii) the confirmed amount outstanding at the end of the period, (iii) the balance sheet presentation of related amounts and (iv) a reconciliation of the balances from period to period. ASU 2022-04 is effective for annual reporting periods beginning after December 15, 2022, including interim periods within those fiscal years, with early adoption permitted. We do not expect ASU 2022-04 to have a significant impact on our consolidated financial statements. For additional information regarding our vendor financing obligations, see note 11.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2021-08</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xml:space="preserve"> (</w:t>
      </w:r>
      <w:r>
        <w:rPr>
          <w:rFonts w:ascii="Arial" w:cs="Arial" w:eastAsia="Arial" w:hAnsi="Arial"/>
          <w:sz w:val="17"/>
          <w:szCs w:val="17"/>
          <w:b w:val="1"/>
          <w:bCs w:val="1"/>
          <w:color w:val="auto"/>
        </w:rPr>
        <w:t>ASU</w:t>
      </w:r>
      <w:r>
        <w:rPr>
          <w:rFonts w:ascii="Arial" w:cs="Arial" w:eastAsia="Arial" w:hAnsi="Arial"/>
          <w:sz w:val="17"/>
          <w:szCs w:val="17"/>
          <w:color w:val="auto"/>
        </w:rPr>
        <w:t xml:space="preserve"> </w:t>
      </w:r>
      <w:r>
        <w:rPr>
          <w:rFonts w:ascii="Arial" w:cs="Arial" w:eastAsia="Arial" w:hAnsi="Arial"/>
          <w:sz w:val="17"/>
          <w:szCs w:val="17"/>
          <w:b w:val="1"/>
          <w:bCs w:val="1"/>
          <w:color w:val="auto"/>
        </w:rPr>
        <w:t>2021-08</w:t>
      </w:r>
      <w:r>
        <w:rPr>
          <w:rFonts w:ascii="Arial" w:cs="Arial" w:eastAsia="Arial" w:hAnsi="Arial"/>
          <w:sz w:val="17"/>
          <w:szCs w:val="17"/>
          <w:color w:val="auto"/>
        </w:rPr>
        <w:t>), which requires contract assets and contract liabilities acquired in a business combination to be recognized and measured in accordance with Topic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if the acquirer had originated the contracts. ASU 2021-08 is effective for annual reporting periods beginning after December 15, 2022,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2020-04</w:t>
      </w:r>
    </w:p>
    <w:p>
      <w:pPr>
        <w:spacing w:after="0" w:line="2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April 2020, the FASB issued ASU No.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ASU 2020-04</w:t>
      </w:r>
      <w:r>
        <w:rPr>
          <w:rFonts w:ascii="Arial" w:cs="Arial" w:eastAsia="Arial" w:hAnsi="Arial"/>
          <w:sz w:val="18"/>
          <w:szCs w:val="18"/>
          <w:color w:val="auto"/>
        </w:rPr>
        <w:t>), which provides optional expedients and exceptions for contract modifications, subject to meeting certain criteria, that reference the 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or another reference rate expected to be discontinued. In accordance with the optional expedients in ASU 2020-04, we modified certain debt agreements during 2022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11.</w:t>
      </w:r>
    </w:p>
    <w:p>
      <w:pPr>
        <w:spacing w:after="0" w:line="215" w:lineRule="exact"/>
        <w:rPr>
          <w:sz w:val="20"/>
          <w:szCs w:val="20"/>
          <w:color w:val="auto"/>
        </w:rPr>
      </w:pPr>
    </w:p>
    <w:p>
      <w:pPr>
        <w:ind w:left="260" w:hanging="254"/>
        <w:spacing w:after="0"/>
        <w:tabs>
          <w:tab w:leader="none" w:pos="2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Estimates</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deferred income taxes and related valuation allowances, loss contingencies, fair value measurements, impairment assessments, capitalization of internal costs associated with construction and installation activities and the development of internal-use software, useful lives of long-lived assets, share-based compensation and actuarial liabilities associated with certain benefit plans. Actual results could differ from those estimates.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21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significant non-cash investing and financing activities are disclosed in our consolidated statements of equity and in notes 6, 10, 11 and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When we pay the financing intermediary, we record financing cash outflows in our consolidated statements of cash flows. 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trade receivables are reported net of an allowance for doubtful accounts. Such allowance aggregated $43.1 million and $42.0 million at December 31, 2022 and 2021, respectively. The allowance for doubtful accounts is based upon our current estimate of lifetime expected credit losses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 We determine the appropriate classification of our investments in debt securities at the time of purchase based on the underlying nature and characteristics of each security. All of our debt securities are classified as available for sale and are reported at fair value.</w:t>
      </w:r>
    </w:p>
    <w:p>
      <w:pPr>
        <w:spacing w:after="0" w:line="2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the fair value method, investments are recorded at fair value and any changes in fair value are reported in realized and unrealized gains or losses due to changes in fair values of certain investments, net, in our consolidated statements of operations. All costs directly associated with the acquisition of an investment to be accounted for using the fair value method are expensed as incurred. In addition, any interest received on our debt securities is reported as interest income in our consolidated statements of operations. Under the equity method, investments are recorded at cost and are subsequently increased or reduced to reflect our share of net earnings or losses of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the equity method, investments, originally recorded at cost, are adjusted to recognize our share of net earnings or losses of the affiliates as they occur rather than as dividend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Dividend distributions from publicly-traded investees that are not accounted for under the equity method are recognized when declared as dividend income in our consolidated statements of operations. Dividend distributions from our equity method investees and all of our privately-held investees are reflected as reductions in the carrying values of the applicable investments. Dividend distributions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continually review all of our equity method investments to determine whether a decline in fair value below the cost basis is deemed other-than-temporary. The primary factors we consider in our determination are the extent and length of time 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method investment is deemed to be other-than-temporary, the cost basis of the security is written down to fair value and the corresponding charge is reported in share of results of affiliates, net, in our consolidated statements of operations.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gains and losses are determined on an average cost basis. Securities transactions are recorded on the trade date.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Due to the short maturities of cash and cash equivalents, restricted cash, short-term liquid investments, trade and other receivables, other current assets, accounts payable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All derivative instruments, whether designated as hedging relationships or not, are recorded on the balance sheet at fair value. We generally do not apply hedge accounting to our derivative instruments, therefore changes in the fair value of derivative instruments are recognized in earnings or loss.</w:t>
      </w:r>
    </w:p>
    <w:p>
      <w:pPr>
        <w:spacing w:after="0" w:line="1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additional information regarding our derivative instruments, see note 8.</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Property and equipment are stated at cost less accumulated depreciation. We capitalize costs associated with the construction of new, or upgrades to existing, fixed and mobile transmission and distribution facilities, the installation of new fixed-line services and the development of internal-use software. Capitalized construction and installation costs include materials, labor and other directly attributable costs. Installation activities that are capitalized include</w:t>
      </w:r>
    </w:p>
    <w:p>
      <w:pPr>
        <w:spacing w:after="0" w:line="2" w:lineRule="exact"/>
        <w:rPr>
          <w:sz w:val="20"/>
          <w:szCs w:val="20"/>
          <w:color w:val="auto"/>
        </w:rPr>
      </w:pPr>
    </w:p>
    <w:p>
      <w:pPr>
        <w:jc w:val="both"/>
        <w:ind w:firstLine="6"/>
        <w:spacing w:after="0" w:line="247" w:lineRule="auto"/>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initial connection (or drop) from our fixed-line system to a customer location, (ii) the replacement of a drop and (iii) the installation of equipment for new, or upgrades to existing, fixed-line services.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22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w:t>
      </w:r>
    </w:p>
    <w:p>
      <w:pPr>
        <w:spacing w:after="0" w:line="1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fixed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Additions, replacements and improvements that extend the asset life are capitalized. Repairs and maintenance are charged to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and 2021, the recorded value of our asset retirement obligations was $93.0 million and $77.1 million, respectively.</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primary intangible assets relate to goodwill and customer relationships. Goodwill represents the excess purchase price over the fair value of the identifiable net assets acquired in a business combination. Customer relationships are initially recorded at their fair value in connection with business combinations.</w:t>
      </w:r>
    </w:p>
    <w:p>
      <w:pPr>
        <w:spacing w:after="0" w:line="21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the useful lives of our intangible assets, see note 10.</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When circumstances warrant, we review the carrying amounts of our property and equipment and our intangible assets (other than goodwill)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evaluate goodwill for impairment at least annually on October 1 and whenever facts and circumstances indicate that a reporting unit’s carrying amount may not be recoverable.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Leases</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For leases with a term greater than 12 months, we recognize on the lease commencement date (i) right-of-use (</w:t>
      </w:r>
      <w:r>
        <w:rPr>
          <w:rFonts w:ascii="Arial" w:cs="Arial" w:eastAsia="Arial" w:hAnsi="Arial"/>
          <w:sz w:val="18"/>
          <w:szCs w:val="18"/>
          <w:b w:val="1"/>
          <w:bCs w:val="1"/>
          <w:color w:val="auto"/>
        </w:rPr>
        <w:t>ROU</w:t>
      </w:r>
      <w:r>
        <w:rPr>
          <w:rFonts w:ascii="Arial" w:cs="Arial" w:eastAsia="Arial" w:hAnsi="Arial"/>
          <w:sz w:val="18"/>
          <w:szCs w:val="18"/>
          <w:color w:val="auto"/>
        </w:rPr>
        <w:t>) assets representing our right to use an underlying asset and (ii) lease liabilities representing our obligation to make lease payments over the lease term. Lease and non-lease components in a contract are generally accounted for separately.</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Net deferred tax assets are then reduced by a valuation allowance if we believe it is more-likely-than-not such net deferred tax assets will not be realized. Certain of our valuation allowances and tax uncertainties are associated with entities that we acquired in business combinations. The effect on deferred tax assets and liabilities of a change in tax rates is recognized in earnings or loss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The 2017 Tax Cuts and Jobs Act created a requirement that certain income earned by foreign subsidiaries, known as global intangible low-taxed income (</w:t>
      </w:r>
      <w:r>
        <w:rPr>
          <w:rFonts w:ascii="Arial" w:cs="Arial" w:eastAsia="Arial" w:hAnsi="Arial"/>
          <w:sz w:val="15"/>
          <w:szCs w:val="15"/>
          <w:b w:val="1"/>
          <w:bCs w:val="1"/>
          <w:color w:val="auto"/>
        </w:rPr>
        <w:t>GILTI</w:t>
      </w:r>
      <w:r>
        <w:rPr>
          <w:rFonts w:ascii="Arial" w:cs="Arial" w:eastAsia="Arial" w:hAnsi="Arial"/>
          <w:sz w:val="15"/>
          <w:szCs w:val="15"/>
          <w:color w:val="auto"/>
        </w:rPr>
        <w:t>), must be included in the gross income of their U.S. shareholder. We have elected to treat the tax effect of GILTI as a current-period expense when incurred. Interest and penalties related to income tax liabilities are included in income tax benefit or expense in our consolidated statements of operations.</w:t>
      </w: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income taxes, see note 13.</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18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Service Revenue — Fixed Networks. </w:t>
      </w:r>
      <w:r>
        <w:rPr>
          <w:rFonts w:ascii="Arial" w:cs="Arial" w:eastAsia="Arial" w:hAnsi="Arial"/>
          <w:sz w:val="18"/>
          <w:szCs w:val="18"/>
          <w:color w:val="auto"/>
        </w:rPr>
        <w:t>We recognize revenue from the provision of broadband internet, video and fixed-line telephony services over our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to customers in the period the related services are provided, with the exception of revenue recognized pursuant to certain contracts that contain promotional discounts, as described below. Installation fees related to services provided over our network are generally deferred and recognized as revenue over the contractual period, or longer if the upfront fee results in a material renewal right.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i w:val="1"/>
          <w:iCs w:val="1"/>
          <w:color w:val="auto"/>
        </w:rPr>
        <w:t xml:space="preserve">Sale of Multiple Products and Services. </w:t>
      </w:r>
      <w:r>
        <w:rPr>
          <w:rFonts w:ascii="Arial" w:cs="Arial" w:eastAsia="Arial" w:hAnsi="Arial"/>
          <w:sz w:val="15"/>
          <w:szCs w:val="15"/>
          <w:color w:val="auto"/>
        </w:rPr>
        <w:t>We sell broadband internet, video, fixed-line telephony and, in most of our markets, mobile services to our</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6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21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Mobile Revenue — Airtime Services. </w:t>
      </w:r>
      <w:r>
        <w:rPr>
          <w:rFonts w:ascii="Arial" w:cs="Arial" w:eastAsia="Arial" w:hAnsi="Arial"/>
          <w:sz w:val="15"/>
          <w:szCs w:val="15"/>
          <w:color w:val="auto"/>
        </w:rPr>
        <w:t>We recognize revenue from mobile services in the period in which the related services are provided. Revenue from</w:t>
      </w:r>
      <w:r>
        <w:rPr>
          <w:rFonts w:ascii="Arial" w:cs="Arial" w:eastAsia="Arial" w:hAnsi="Arial"/>
          <w:sz w:val="15"/>
          <w:szCs w:val="15"/>
          <w:i w:val="1"/>
          <w:iCs w:val="1"/>
          <w:color w:val="auto"/>
        </w:rPr>
        <w:t xml:space="preserve"> </w:t>
      </w:r>
      <w:r>
        <w:rPr>
          <w:rFonts w:ascii="Arial" w:cs="Arial" w:eastAsia="Arial" w:hAnsi="Arial"/>
          <w:sz w:val="15"/>
          <w:szCs w:val="15"/>
          <w:color w:val="auto"/>
        </w:rPr>
        <w:t>prepaid customers is deferred prior to the commencement of services and recognized as the services are rendered or usage rights expire.</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B2B Revenue. </w:t>
      </w:r>
      <w:r>
        <w:rPr>
          <w:rFonts w:ascii="Arial" w:cs="Arial" w:eastAsia="Arial" w:hAnsi="Arial"/>
          <w:sz w:val="17"/>
          <w:szCs w:val="17"/>
          <w:color w:val="auto"/>
        </w:rPr>
        <w:t>We defer upfront installation and certain nonrecurring fees received on B2B contracts where we maintain ownership of the installed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The deferred fees are amortized into revenue on a straight-line basis, generally over the 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Other Revenue — Services to Affiliates. </w:t>
      </w:r>
      <w:r>
        <w:rPr>
          <w:rFonts w:ascii="Arial" w:cs="Arial" w:eastAsia="Arial" w:hAnsi="Arial"/>
          <w:sz w:val="18"/>
          <w:szCs w:val="18"/>
          <w:color w:val="auto"/>
        </w:rPr>
        <w:t>We provide certain services to the VMO2 JV and the VodafoneZiggo JV, which consist primarily of (i)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services and (ii) capital-related expenditures for assets that will be used by or will otherwise benefit the VMO2 JV and the VodafoneZiggo JV. We recognize revenue from services to affiliates in the period in which the related services are provided.</w:t>
      </w:r>
    </w:p>
    <w:p>
      <w:pPr>
        <w:spacing w:after="0" w:line="21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 (</w:t>
      </w:r>
      <w:r>
        <w:rPr>
          <w:rFonts w:ascii="Arial" w:cs="Arial" w:eastAsia="Arial" w:hAnsi="Arial"/>
          <w:sz w:val="18"/>
          <w:szCs w:val="18"/>
          <w:b w:val="1"/>
          <w:bCs w:val="1"/>
          <w:color w:val="auto"/>
        </w:rPr>
        <w:t>VAT</w:t>
      </w:r>
      <w:r>
        <w:rPr>
          <w:rFonts w:ascii="Arial" w:cs="Arial" w:eastAsia="Arial" w:hAnsi="Arial"/>
          <w:sz w:val="18"/>
          <w:szCs w:val="18"/>
          <w:color w:val="auto"/>
        </w:rPr>
        <w:t>).</w:t>
      </w:r>
    </w:p>
    <w:p>
      <w:pPr>
        <w:spacing w:after="0" w:line="24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For additional information regarding our revenue recognition and related costs, see note 4. For additional information regarding services provided to our affiliates, see note 7. For a disaggregation of our revenue by major category and by reportable and geographic segment, see note 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Programming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Programming costs include (i) agreements to distribute channels to our customers, (ii) exhibition rights of programming content and (iii) sports rights.</w:t>
      </w:r>
    </w:p>
    <w:p>
      <w:pPr>
        <w:spacing w:after="0" w:line="2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consolidated statement of operations when the programming is available for viewing.</w:t>
      </w:r>
    </w:p>
    <w:p>
      <w:pPr>
        <w:spacing w:after="0" w:line="2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Exhibition Rights. </w:t>
      </w:r>
      <w:r>
        <w:rPr>
          <w:rFonts w:ascii="Arial" w:cs="Arial" w:eastAsia="Arial" w:hAnsi="Arial"/>
          <w:sz w:val="18"/>
          <w:szCs w:val="18"/>
          <w:color w:val="auto"/>
        </w:rPr>
        <w:t>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Sports Rights. </w:t>
      </w:r>
      <w:r>
        <w:rPr>
          <w:rFonts w:ascii="Arial" w:cs="Arial" w:eastAsia="Arial" w:hAnsi="Arial"/>
          <w:sz w:val="15"/>
          <w:szCs w:val="15"/>
          <w:color w:val="auto"/>
        </w:rPr>
        <w:t>Our sports rights agreements are generally multi-year contracts for which we are typically charged a flat fee per season. We typically pay</w:t>
      </w:r>
      <w:r>
        <w:rPr>
          <w:rFonts w:ascii="Arial" w:cs="Arial" w:eastAsia="Arial" w:hAnsi="Arial"/>
          <w:sz w:val="15"/>
          <w:szCs w:val="15"/>
          <w:i w:val="1"/>
          <w:iCs w:val="1"/>
          <w:color w:val="auto"/>
        </w:rPr>
        <w:t xml:space="preserve"> </w:t>
      </w:r>
      <w:r>
        <w:rPr>
          <w:rFonts w:ascii="Arial" w:cs="Arial" w:eastAsia="Arial" w:hAnsi="Arial"/>
          <w:sz w:val="15"/>
          <w:szCs w:val="15"/>
          <w:color w:val="auto"/>
        </w:rPr>
        <w:t>for sports rights in advance of the respective season. The current and long-term portions of any payments made in advance of the respective season are recorded as other current assets and other assets, net, respectively, on our consolidated balance sheet and are amortized on a straight-line basis over the respective sporting season. Sports rights are regularly reviewed for impairment and held at the lower of unamortized cost or estimated net realizable value.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programming costs, see note 18.</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all share-based payments to employees, including grants of employee share-based incentive awards, based on their grant-date fair values and our estimates of forfeitures. We recognize share-based compensation expense as a charge to operations over the vesting period based on the grant-date fair value of outstanding awards, which may differ from the fair value of such awards on any given date. Our share of payroll taxes incurred in connection with the vesting or exercise of our share-based incentive awards is recorded as a component of share-based compensation expense in our consolidated statements of operations.</w:t>
      </w:r>
    </w:p>
    <w:p>
      <w:pPr>
        <w:spacing w:after="0" w:line="2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grant date fair values for options,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performance-based share appreciation rights (</w:t>
      </w:r>
      <w:r>
        <w:rPr>
          <w:rFonts w:ascii="Arial" w:cs="Arial" w:eastAsia="Arial" w:hAnsi="Arial"/>
          <w:sz w:val="17"/>
          <w:szCs w:val="17"/>
          <w:b w:val="1"/>
          <w:bCs w:val="1"/>
          <w:color w:val="auto"/>
        </w:rPr>
        <w:t>PSARs</w:t>
      </w:r>
      <w:r>
        <w:rPr>
          <w:rFonts w:ascii="Arial" w:cs="Arial" w:eastAsia="Arial" w:hAnsi="Arial"/>
          <w:sz w:val="17"/>
          <w:szCs w:val="17"/>
          <w:color w:val="auto"/>
        </w:rPr>
        <w:t>) are estimated using the Black-Scholes option pricing model, and the grant date fair values for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restricted share awards (</w:t>
      </w:r>
      <w:r>
        <w:rPr>
          <w:rFonts w:ascii="Arial" w:cs="Arial" w:eastAsia="Arial" w:hAnsi="Arial"/>
          <w:sz w:val="17"/>
          <w:szCs w:val="17"/>
          <w:b w:val="1"/>
          <w:bCs w:val="1"/>
          <w:color w:val="auto"/>
        </w:rPr>
        <w:t>RSAs</w:t>
      </w:r>
      <w:r>
        <w:rPr>
          <w:rFonts w:ascii="Arial" w:cs="Arial" w:eastAsia="Arial" w:hAnsi="Arial"/>
          <w:sz w:val="17"/>
          <w:szCs w:val="17"/>
          <w:color w:val="auto"/>
        </w:rPr>
        <w:t>) and performance-based restricted share units (</w:t>
      </w:r>
      <w:r>
        <w:rPr>
          <w:rFonts w:ascii="Arial" w:cs="Arial" w:eastAsia="Arial" w:hAnsi="Arial"/>
          <w:sz w:val="17"/>
          <w:szCs w:val="17"/>
          <w:b w:val="1"/>
          <w:bCs w:val="1"/>
          <w:color w:val="auto"/>
        </w:rPr>
        <w:t>PSUs</w:t>
      </w:r>
      <w:r>
        <w:rPr>
          <w:rFonts w:ascii="Arial" w:cs="Arial" w:eastAsia="Arial" w:hAnsi="Arial"/>
          <w:sz w:val="17"/>
          <w:szCs w:val="17"/>
          <w:color w:val="auto"/>
        </w:rPr>
        <w:t>) are based upon the closing share price of Liberty Global ordinary shares on the date of grant. We consider historical exercise trends in our calculation of the expected life of options and SARs granted by Liberty Global to employees. The expected volatility for options and SARs related to our ordinary shares is generally based on a combination of (i) historical volatilities for a period equal to the expected average life of the awards and (ii) volatilities implied from publicly-traded options for our shares.</w:t>
      </w:r>
    </w:p>
    <w:p>
      <w:pPr>
        <w:spacing w:after="0" w:line="2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generally issue new Liberty Global ordinary shares when Liberty Global options or SARs are exercised, when RSUs and PSUs vest and when RSAs are granted.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we repurchase Liberty Global ordinary shares from time to time, the parameters of our share purchase and redemption activities are not established with reference to the dilutive impact of our share-based compensation plans.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share-based compensation, see note 15.</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Litigation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fees and related litigation costs are expensed as incurred.</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Earnings or Loss per Share</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RSAs, PSARs and PSUs) as if they had been exercised, vested or converted at the beginning of the periods presented.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7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2"/>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7"/>
          </w:tcPr>
          <w:p>
            <w:pPr>
              <w:jc w:val="right"/>
              <w:ind w:right="773"/>
              <w:spacing w:after="0"/>
              <w:rPr>
                <w:sz w:val="20"/>
                <w:szCs w:val="20"/>
                <w:color w:val="auto"/>
              </w:rPr>
            </w:pPr>
            <w:r>
              <w:rPr>
                <w:rFonts w:ascii="Arial" w:cs="Arial" w:eastAsia="Arial" w:hAnsi="Arial"/>
                <w:sz w:val="16"/>
                <w:szCs w:val="16"/>
                <w:b w:val="1"/>
                <w:bCs w:val="1"/>
                <w:color w:val="auto"/>
              </w:rPr>
              <w:t>in millions, except share amounts</w:t>
            </w:r>
          </w:p>
        </w:tc>
      </w:tr>
      <w:tr>
        <w:trPr>
          <w:trHeight w:val="218"/>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25"/>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r>
      <w:tr>
        <w:trPr>
          <w:trHeight w:val="24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(loss) from continuing operations attributable to Liberty Global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13,344.2</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ordinary shares outstanding (basic EPS computation)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489,555,582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555,695,224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602,083,910</w:t>
            </w:r>
          </w:p>
        </w:tc>
      </w:tr>
      <w:tr>
        <w:trPr>
          <w:trHeight w:val="173"/>
        </w:trPr>
        <w:tc>
          <w:tcPr>
            <w:tcW w:w="7280" w:type="dxa"/>
            <w:vAlign w:val="bottom"/>
          </w:tcPr>
          <w:p>
            <w:pPr>
              <w:ind w:left="20"/>
              <w:spacing w:after="0" w:line="173" w:lineRule="exact"/>
              <w:rPr>
                <w:sz w:val="20"/>
                <w:szCs w:val="20"/>
                <w:color w:val="auto"/>
              </w:rPr>
            </w:pPr>
            <w:r>
              <w:rPr>
                <w:rFonts w:ascii="Arial" w:cs="Arial" w:eastAsia="Arial" w:hAnsi="Arial"/>
                <w:sz w:val="18"/>
                <w:szCs w:val="18"/>
                <w:color w:val="auto"/>
                <w:w w:val="92"/>
              </w:rPr>
              <w:t>Incremental shares attributable to the assumed exercise of outstanding options and SARs and the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7"/>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release of RSUs, RSAs and PSUs upon vesting (treasury stock method)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7,433,268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13,418,999</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Weighted average ordinary shares outstanding (diluted EPS computation)</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496,988,850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569,114,223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602,083,910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calculation of diluted earnings per share during 2022 and 2021 excludes a total of 59.5 million and 47.9 million options, SARs and RSUs, respectively, because their effect would have been anti-dilutive.</w:t>
      </w:r>
    </w:p>
    <w:p>
      <w:pPr>
        <w:spacing w:after="0" w:line="20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reported losses from continuing operations attributable to Liberty Global shareholders during 2020. Therefore, the potentially dilutive effect at December 31, 2020 of the following items were not included in the computation of diluted loss from continuing operations attributable to Liberty Global shareholders per share because their inclusion would have been anti-dilutive to the computation or, in the case of certain PSARs and PSUs, because such awards had not yet met the applicable performance criteria: (i) the aggregate number of shares issuable pursuant to outstanding options, SARs, RSUs and RSAs of 76.1 million and (ii) the aggregate number of shares issuable pursuant to PSARs and PSUs of 18.4 million.</w:t>
      </w:r>
    </w:p>
    <w:p>
      <w:pPr>
        <w:spacing w:after="0" w:line="200" w:lineRule="exact"/>
        <w:rPr>
          <w:sz w:val="20"/>
          <w:szCs w:val="20"/>
          <w:color w:val="auto"/>
        </w:rPr>
      </w:pPr>
    </w:p>
    <w:p>
      <w:pPr>
        <w:ind w:left="380" w:hanging="374"/>
        <w:spacing w:after="0"/>
        <w:tabs>
          <w:tab w:leader="none" w:pos="3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$33.3 million and $29.7 million as of December 31, 2022 and 2021, respectively. The current and long-term portions of our contract asset balances are included within other current assets and other assets, net, respectively, on our consolidated balance sheets.</w:t>
      </w:r>
    </w:p>
    <w:p>
      <w:pPr>
        <w:spacing w:after="0" w:line="20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$272.5 million and $286.5 million as of December 31, 2022 and 2021,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respectively. The decrease in deferred revenue during 2022 is primarily due to the net effect of (a) the recognition of $217.1 million of revenue that was included in our deferred revenue balance at December 31, 2021 and (b) the impact of additions during the period. The long-term portions of our deferred revenue balances are included within other long-term liabilities on our consolidated balance sheets.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aggregate assets associated with incremental costs to obtain and fulfill our contracts were $69.4 million and $63.4 million at December 31, 2022 and 2021, respectively. The current and long-term portions of our assets related to contract costs are included within other current assets and other assets, net, respectively, on our consolidated balance sheets. During 2022, 2021 and 2020, we amortized $16.0 million, $81.3 million and $113.2 million, respectively, to operating costs and expenses associated with these assets.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10" w:lineRule="exact"/>
        <w:rPr>
          <w:sz w:val="20"/>
          <w:szCs w:val="20"/>
          <w:color w:val="auto"/>
        </w:rPr>
      </w:pPr>
    </w:p>
    <w:p>
      <w:pPr>
        <w:ind w:left="260" w:hanging="254"/>
        <w:spacing w:after="0"/>
        <w:tabs>
          <w:tab w:leader="none" w:pos="2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Pending Transaction</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Telenet NetCo Transaction. </w:t>
      </w:r>
      <w:r>
        <w:rPr>
          <w:rFonts w:ascii="Arial" w:cs="Arial" w:eastAsia="Arial" w:hAnsi="Arial"/>
          <w:sz w:val="18"/>
          <w:szCs w:val="18"/>
          <w:color w:val="auto"/>
        </w:rPr>
        <w:t>On July 19, 2022, Telenet and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entered into an agreement to create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self-funding infrastructure company (</w:t>
      </w:r>
      <w:r>
        <w:rPr>
          <w:rFonts w:ascii="Arial" w:cs="Arial" w:eastAsia="Arial" w:hAnsi="Arial"/>
          <w:sz w:val="18"/>
          <w:szCs w:val="18"/>
          <w:b w:val="1"/>
          <w:bCs w:val="1"/>
          <w:color w:val="auto"/>
        </w:rPr>
        <w:t>NetCo</w:t>
      </w:r>
      <w:r>
        <w:rPr>
          <w:rFonts w:ascii="Arial" w:cs="Arial" w:eastAsia="Arial" w:hAnsi="Arial"/>
          <w:sz w:val="18"/>
          <w:szCs w:val="18"/>
          <w:color w:val="auto"/>
        </w:rPr>
        <w:t>) within their combined geographic footprint in Belgium. The companies will each contribute certain cable infrastructure assets with Telenet and Fluvius initially owning 66.8% and 33.2% of NetCo, respectively. Telenet and Liberty Global will consolidate NetCo upon closing of the transaction, which we currently expect to occur in mid-2023. The closing of the transaction is subject to the satisfaction of certain conditions, including regulatory conditions and approval from Fluvius shareholders.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Sunrise Acquisition. </w:t>
      </w:r>
      <w:r>
        <w:rPr>
          <w:rFonts w:ascii="Arial" w:cs="Arial" w:eastAsia="Arial" w:hAnsi="Arial"/>
          <w:sz w:val="18"/>
          <w:szCs w:val="18"/>
          <w:color w:val="auto"/>
        </w:rPr>
        <w:t>On November 11, 2020, we completed the acquisition of Sunrise Communications Group AG (</w:t>
      </w:r>
      <w:r>
        <w:rPr>
          <w:rFonts w:ascii="Arial" w:cs="Arial" w:eastAsia="Arial" w:hAnsi="Arial"/>
          <w:sz w:val="18"/>
          <w:szCs w:val="18"/>
          <w:b w:val="1"/>
          <w:bCs w:val="1"/>
          <w:color w:val="auto"/>
        </w:rPr>
        <w:t>Sunrise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Sunrise Acquisition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Sunrise Acquisition was effected through an all cash public tender offer of the outstanding shares of Sunrise (the </w:t>
      </w:r>
      <w:r>
        <w:rPr>
          <w:rFonts w:ascii="Arial" w:cs="Arial" w:eastAsia="Arial" w:hAnsi="Arial"/>
          <w:sz w:val="18"/>
          <w:szCs w:val="18"/>
          <w:b w:val="1"/>
          <w:bCs w:val="1"/>
          <w:color w:val="auto"/>
        </w:rPr>
        <w:t>Sunrise Shares</w:t>
      </w:r>
      <w:r>
        <w:rPr>
          <w:rFonts w:ascii="Arial" w:cs="Arial" w:eastAsia="Arial" w:hAnsi="Arial"/>
          <w:sz w:val="18"/>
          <w:szCs w:val="18"/>
          <w:color w:val="auto"/>
        </w:rPr>
        <w:t>) for CHF 110 ($120 at the transaction date) per share, for a total purchase price of CHF 5.0 billion ($5.4 billion at the transaction date). In April 2021, we completed a statutory “squeeze-out” procedure, under applicable Swiss law, to acquire the remaining Sunrise Shares that were not acquired pursuant to the tender offer and, accordingly, we now hold 100% of the share capital of Sunrise.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accounted for the Sunrise Acquisition using the acquisition method of accounting, whereby the total purchase price was allocated to the acquired identifiable net assets of Sunrise based on assessments of their respective fair values, and the excess of the purchase price over the fair values of these identifiable net assets was allocated to goodwill. A summary of the purchase price and the opening balance sheet of Sunrise at the November 11, 2020 acquisition date is presented in the following table. The opening balance sheet presented below reflects our final purchase price allocation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1,541.4</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3,436.0</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2,485.8</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r>
      <w:tr>
        <w:trPr>
          <w:trHeight w:val="225"/>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w:t>
            </w:r>
          </w:p>
        </w:tc>
      </w:tr>
      <w:tr>
        <w:trPr>
          <w:trHeight w:val="244"/>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purchase price (b)</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54" w:lineRule="auto"/>
        <w:tabs>
          <w:tab w:leader="none" w:pos="3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goodwill recognized in connection with the Sunrise Acquisition is primarily attributable to (i) the opportunity to leverage Sunrise’s existing mobile network to gain immediate access to potential customers and (ii) estimated synergy benefits through the integration of Sunrise with our existing operations in Switzerland.</w:t>
      </w:r>
    </w:p>
    <w:p>
      <w:pPr>
        <w:spacing w:after="0" w:line="216" w:lineRule="exact"/>
        <w:rPr>
          <w:rFonts w:ascii="Arial" w:cs="Arial" w:eastAsia="Arial" w:hAnsi="Arial"/>
          <w:sz w:val="18"/>
          <w:szCs w:val="18"/>
          <w:color w:val="auto"/>
        </w:rPr>
      </w:pPr>
    </w:p>
    <w:p>
      <w:pPr>
        <w:ind w:left="480" w:hanging="474"/>
        <w:spacing w:after="0" w:line="264" w:lineRule="auto"/>
        <w:tabs>
          <w:tab w:leader="none" w:pos="4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Excludes direct acquisition costs of $27.8 million incurred during 2020, which are included in impairment, restructuring and other operating items, net, in our consolidated statement of operations.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unaudited pro forma consolidated operating results give effect to the Sunrise Acquisition as if it had been completed as of January 1, 2019. These pro forma amounts are not necessarily indicative of the operating results that would have occurred if the Sunrise Acquisition had occurred on such date. The pro forma adjustments are based on certain assumptions that we believe are reasonable. The unaudited pro forma consolidated operating results for the year ended December 31, 2020 are summarized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(in millions)</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13,206.8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740" w:type="dxa"/>
            <w:vAlign w:val="bottom"/>
          </w:tcPr>
          <w:p>
            <w:pPr>
              <w:ind w:left="20"/>
              <w:spacing w:after="0" w:line="198" w:lineRule="exact"/>
              <w:rPr>
                <w:sz w:val="20"/>
                <w:szCs w:val="20"/>
                <w:color w:val="auto"/>
              </w:rPr>
            </w:pPr>
            <w:r>
              <w:rPr>
                <w:rFonts w:ascii="Arial" w:cs="Arial" w:eastAsia="Arial" w:hAnsi="Arial"/>
                <w:sz w:val="18"/>
                <w:szCs w:val="18"/>
                <w:color w:val="auto"/>
              </w:rPr>
              <w:t>Net loss from continuing operations attributable to Liberty Global shareholders (in millions)</w:t>
            </w: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(1,902.3)</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loss from continuing operations attributable to Liberty Global shareholders per share</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consolidated statement of operations for the year ended December 31, 2020 includes revenue and net loss of $314.0 million and $15.4 million, respectively, attributable to Sunrise.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260" w:hanging="254"/>
        <w:spacing w:after="0"/>
        <w:tabs>
          <w:tab w:leader="none" w:pos="2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Dispositions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2022 Dispositions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Poland</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April 1, 2022, we completed the sale of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subsidiary of iliad S.A. (</w:t>
      </w:r>
      <w:r>
        <w:rPr>
          <w:rFonts w:ascii="Arial" w:cs="Arial" w:eastAsia="Arial" w:hAnsi="Arial"/>
          <w:sz w:val="18"/>
          <w:szCs w:val="18"/>
          <w:b w:val="1"/>
          <w:bCs w:val="1"/>
          <w:color w:val="auto"/>
        </w:rPr>
        <w:t>iliad</w:t>
      </w:r>
      <w:r>
        <w:rPr>
          <w:rFonts w:ascii="Arial" w:cs="Arial" w:eastAsia="Arial" w:hAnsi="Arial"/>
          <w:sz w:val="18"/>
          <w:szCs w:val="18"/>
          <w:color w:val="auto"/>
        </w:rPr>
        <w:t>). After considering debt and working capital adjustments (including cash disposed), we received net cash proceeds of Polish zloty 6,520.4 million ($1,553.3 million at the transaction date). A portion of the net proceeds from the sale, after reflecting the impact of derivative settlements, was used to repurchase certain of UPC Holding’s outstanding indebtedness, with the remainder available for general corporate purposes. For additional information regarding these financing transactions, see note 11.</w:t>
      </w:r>
    </w:p>
    <w:p>
      <w:pPr>
        <w:spacing w:after="0" w:line="2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UPC Poland, we recognized a gain of $846.4 million, which includes a cumulative foreign currency translation gain of $10.9 million. No income taxes were required to be provided on this gain.</w:t>
      </w:r>
    </w:p>
    <w:p>
      <w:pPr>
        <w:spacing w:after="0" w:line="20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In connection with the sale of UPC Poland, we have agreed to provide certain transitional services to iliad for a period of up to five years, depending on the service. These services principally comprise network and information technology-related functions. The annual charges will depend on the actual level of services required by the purchaser. During 2022, we recorded revenue of $26.6 million associated with these transitional services.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UPC Poland is presented as a discontinued operation in our consolidated financial statements for all applicable periods. Effective with the signing of the sale and purchase agreement on September 22, 2021, we ceased to depreciate or amortize the associated long-lived assets. Our operations in Poland were held through UPC Holding prior to the disposal date. No debt, interest or derivative instruments of the UPC Holding borrowing group have been allocated to discontinued operations. Prior to being presented as a discontinued operation, the operations of UPC Poland were included in our former “</w:t>
      </w:r>
      <w:r>
        <w:rPr>
          <w:rFonts w:ascii="Arial" w:cs="Arial" w:eastAsia="Arial" w:hAnsi="Arial"/>
          <w:sz w:val="18"/>
          <w:szCs w:val="18"/>
          <w:i w:val="1"/>
          <w:iCs w:val="1"/>
          <w:color w:val="auto"/>
        </w:rPr>
        <w:t>Central and Eastern</w:t>
      </w:r>
      <w:r>
        <w:rPr>
          <w:rFonts w:ascii="Arial" w:cs="Arial" w:eastAsia="Arial" w:hAnsi="Arial"/>
          <w:sz w:val="18"/>
          <w:szCs w:val="18"/>
          <w:color w:val="auto"/>
        </w:rPr>
        <w:t xml:space="preserve"> </w:t>
      </w:r>
      <w:r>
        <w:rPr>
          <w:rFonts w:ascii="Arial" w:cs="Arial" w:eastAsia="Arial" w:hAnsi="Arial"/>
          <w:sz w:val="18"/>
          <w:szCs w:val="18"/>
          <w:i w:val="1"/>
          <w:iCs w:val="1"/>
          <w:color w:val="auto"/>
        </w:rPr>
        <w:t>Europe</w:t>
      </w:r>
      <w:r>
        <w:rPr>
          <w:rFonts w:ascii="Arial" w:cs="Arial" w:eastAsia="Arial" w:hAnsi="Arial"/>
          <w:sz w:val="18"/>
          <w:szCs w:val="18"/>
          <w:color w:val="auto"/>
        </w:rPr>
        <w:t>” reportable segment.</w:t>
      </w:r>
    </w:p>
    <w:p>
      <w:pPr>
        <w:spacing w:after="0" w:line="21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of UPC Poland as of December 31, 2021 are summarized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988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5"/>
        </w:trPr>
        <w:tc>
          <w:tcPr>
            <w:tcW w:w="9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25"/>
        </w:trPr>
        <w:tc>
          <w:tcPr>
            <w:tcW w:w="98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464.7</w:t>
            </w:r>
          </w:p>
        </w:tc>
      </w:tr>
      <w:tr>
        <w:trPr>
          <w:trHeight w:val="225"/>
        </w:trPr>
        <w:tc>
          <w:tcPr>
            <w:tcW w:w="9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9"/>
        </w:trPr>
        <w:tc>
          <w:tcPr>
            <w:tcW w:w="98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r>
      <w:tr>
        <w:trPr>
          <w:trHeight w:val="20"/>
        </w:trPr>
        <w:tc>
          <w:tcPr>
            <w:tcW w:w="9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9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5"/>
        </w:trPr>
        <w:tc>
          <w:tcPr>
            <w:tcW w:w="9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9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debt and finance lease obligations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5"/>
        </w:trPr>
        <w:tc>
          <w:tcPr>
            <w:tcW w:w="9880" w:type="dxa"/>
            <w:vAlign w:val="bottom"/>
          </w:tcPr>
          <w:p>
            <w:pPr>
              <w:ind w:left="120"/>
              <w:spacing w:after="0"/>
              <w:rPr>
                <w:sz w:val="20"/>
                <w:szCs w:val="20"/>
                <w:color w:val="auto"/>
              </w:rPr>
            </w:pPr>
            <w:r>
              <w:rPr>
                <w:rFonts w:ascii="Arial" w:cs="Arial" w:eastAsia="Arial" w:hAnsi="Arial"/>
                <w:sz w:val="18"/>
                <w:szCs w:val="18"/>
                <w:color w:val="auto"/>
              </w:rPr>
              <w:t>Other accrued and current liabilities</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25"/>
        </w:trPr>
        <w:tc>
          <w:tcPr>
            <w:tcW w:w="9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9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44"/>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operating results of UPC Poland for 2022, 2021 and 2020 are summarized in the following table. These amounts exclude intercompany revenue and expenses that are eliminated within our consolidated statements of operations.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6"/>
                <w:szCs w:val="16"/>
                <w:b w:val="1"/>
                <w:bCs w:val="1"/>
                <w:color w:val="auto"/>
                <w:w w:val="88"/>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2022 (a)</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7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60" w:type="dxa"/>
            <w:vAlign w:val="bottom"/>
          </w:tcPr>
          <w:p>
            <w:pPr>
              <w:ind w:left="20"/>
              <w:spacing w:after="0" w:line="198" w:lineRule="exact"/>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133.7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the operating results of UPC Poland from January 1, 2022 through April 1, 2022, the date UPC Poland was sold.</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Telenet Tower Sale</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June 1, 2022, Telenet completed the sale of substantially all of their passive infrastructure and tower assets to DigitalBridge Investments LLC (</w:t>
      </w:r>
      <w:r>
        <w:rPr>
          <w:rFonts w:ascii="Arial" w:cs="Arial" w:eastAsia="Arial" w:hAnsi="Arial"/>
          <w:sz w:val="17"/>
          <w:szCs w:val="17"/>
          <w:b w:val="1"/>
          <w:bCs w:val="1"/>
          <w:color w:val="auto"/>
        </w:rPr>
        <w:t>DigitalBridge</w:t>
      </w:r>
      <w:r>
        <w:rPr>
          <w:rFonts w:ascii="Arial" w:cs="Arial" w:eastAsia="Arial" w:hAnsi="Arial"/>
          <w:sz w:val="17"/>
          <w:szCs w:val="17"/>
          <w:color w:val="auto"/>
        </w:rPr>
        <w:t xml:space="preserve">) (the </w:t>
      </w:r>
      <w:r>
        <w:rPr>
          <w:rFonts w:ascii="Arial" w:cs="Arial" w:eastAsia="Arial" w:hAnsi="Arial"/>
          <w:sz w:val="17"/>
          <w:szCs w:val="17"/>
          <w:b w:val="1"/>
          <w:bCs w:val="1"/>
          <w:color w:val="auto"/>
        </w:rPr>
        <w:t>Telenet Tower Sale</w:t>
      </w:r>
      <w:r>
        <w:rPr>
          <w:rFonts w:ascii="Arial" w:cs="Arial" w:eastAsia="Arial" w:hAnsi="Arial"/>
          <w:sz w:val="17"/>
          <w:szCs w:val="17"/>
          <w:color w:val="auto"/>
        </w:rPr>
        <w:t>). After considering working capital adjustments, we received net cash proceeds of €733.0 million ($779.9 million at the transaction date). Effective with the signing of the sale and purchase agreement on March 25, 2022, we began accounting for the associated assets and liabilities as held for sale and, accordingly, we ceased to depreciate or amortize these long-lived assets.</w:t>
      </w:r>
    </w:p>
    <w:p>
      <w:pPr>
        <w:spacing w:after="0" w:line="20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completion of the Telenet Tower Sale, we recognized a gain of $700.5 million. No income taxes were required to be provided on this gain.</w:t>
      </w:r>
    </w:p>
    <w:p>
      <w:pPr>
        <w:spacing w:after="0" w:line="20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 xml:space="preserve">As part of the Telenet Tower Sale, Telenet entered into a master lease agreement to lease back the passive infrastructure and tower assets from DigitalBridge for an initial period of 15 years (the </w:t>
      </w:r>
      <w:r>
        <w:rPr>
          <w:rFonts w:ascii="Arial" w:cs="Arial" w:eastAsia="Arial" w:hAnsi="Arial"/>
          <w:sz w:val="15"/>
          <w:szCs w:val="15"/>
          <w:b w:val="1"/>
          <w:bCs w:val="1"/>
          <w:color w:val="auto"/>
        </w:rPr>
        <w:t>Telenet Tower Lease Agreement</w:t>
      </w:r>
      <w:r>
        <w:rPr>
          <w:rFonts w:ascii="Arial" w:cs="Arial" w:eastAsia="Arial" w:hAnsi="Arial"/>
          <w:sz w:val="15"/>
          <w:szCs w:val="15"/>
          <w:color w:val="auto"/>
        </w:rPr>
        <w:t>). In connection with the Telenet Tower Lease Agreement, we recorded non-cash additions to our operating lease ROU assets of $615.1 million and a corresponding increase to our operating lease liabilities of the same amount.</w:t>
      </w:r>
    </w:p>
    <w:p>
      <w:pPr>
        <w:spacing w:after="0" w:line="164"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In addition, as part of the Telenet Tower Lease Agreement, Telenet has also committed to lease back 475 build-to-suit sites over the term of the lease. As of December 31, 2022, the total U.S. dollar equivalent of the estimated future payments for the build-to-suit sites over the term of the lease was $121.0 million, the majority of which are due after 2027. Telenet will act as an agent over the construction of future towers on the build-to-suit sites.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Dispositions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U.K. JV Transaction</w:t>
      </w:r>
    </w:p>
    <w:p>
      <w:pPr>
        <w:spacing w:after="0" w:line="23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 xml:space="preserve">On June 1, 2021, pursuant to a Contribution Agreement dated May 7, 2020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xml:space="preserve">) with, among others, Telefónica, (i) we contributed Virgin Media’s U.K. operations and certain other Liberty Global subsidiaries (together, the </w:t>
      </w:r>
      <w:r>
        <w:rPr>
          <w:rFonts w:ascii="Arial" w:cs="Arial" w:eastAsia="Arial" w:hAnsi="Arial"/>
          <w:sz w:val="17"/>
          <w:szCs w:val="17"/>
          <w:b w:val="1"/>
          <w:bCs w:val="1"/>
          <w:color w:val="auto"/>
        </w:rPr>
        <w:t>U.K. JV Entities</w:t>
      </w:r>
      <w:r>
        <w:rPr>
          <w:rFonts w:ascii="Arial" w:cs="Arial" w:eastAsia="Arial" w:hAnsi="Arial"/>
          <w:sz w:val="17"/>
          <w:szCs w:val="17"/>
          <w:color w:val="auto"/>
        </w:rPr>
        <w:t>) to the VMO2 JV and (ii) Telefónica contributed its U.K. mobile business to the VMO2 JV, creating a nationwide integrated communications provider (herein referred to as the “</w:t>
      </w:r>
      <w:r>
        <w:rPr>
          <w:rFonts w:ascii="Arial" w:cs="Arial" w:eastAsia="Arial" w:hAnsi="Arial"/>
          <w:sz w:val="17"/>
          <w:szCs w:val="17"/>
          <w:b w:val="1"/>
          <w:bCs w:val="1"/>
          <w:color w:val="auto"/>
        </w:rPr>
        <w:t>U.K. JV</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We account for our 50% interest in the VMO2 JV as an equity method investment, as further described in note 7.</w:t>
      </w:r>
    </w:p>
    <w:p>
      <w:pPr>
        <w:spacing w:after="0" w:line="1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the U.K. JV Transaction, we received net cash of $108.6 million, which includes the net impact of (i) equalization payments received from Telefónica, (ii) our share of the proceeds associated with related recapitalization financing transactions completed by the VMO2 JV and (iii) $44.5 million of cash paid by Liberty Global to settle certain centrally-held vendor financing obligations associated with the VMO2 JV.</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U.K. JV Transaction, we recognized a pre-tax gain of $10,873.8 million, net of the recognition of a cumulative foreign currency translation loss of $1,198.6 million. This gain was calculated by deducting the carrying value of the U.K. JV Entities (including the related foreign currency translation loss) from the sum of (i) the fair value assigned to our 50% interest in the VMO2 JV and (ii) the net cash received pursuant to the equalization payments and recapitalization transactions described above. For information regarding our approach to the valuation of our interest in the VMO2 JV, see note 9.</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summary of the fair value of the assets and liabilities of the VMO2 JV at the June 1, 2021 transaction date is presented in the following table. The opening balance sheet presented below reflects the final purchase price allocation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4,186.7</w:t>
            </w:r>
          </w:p>
        </w:tc>
      </w:tr>
      <w:tr>
        <w:trPr>
          <w:trHeight w:val="225"/>
        </w:trPr>
        <w:tc>
          <w:tcPr>
            <w:tcW w:w="98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12,523.2</w:t>
            </w:r>
          </w:p>
        </w:tc>
      </w:t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29,455.4</w:t>
            </w:r>
          </w:p>
        </w:tc>
      </w:tr>
      <w:tr>
        <w:trPr>
          <w:trHeight w:val="225"/>
        </w:trPr>
        <w:tc>
          <w:tcPr>
            <w:tcW w:w="986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13,274.6</w:t>
            </w:r>
          </w:p>
        </w:tc>
      </w:t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4,163.5</w:t>
            </w:r>
          </w:p>
        </w:tc>
      </w:tr>
      <w:tr>
        <w:trPr>
          <w:trHeight w:val="225"/>
        </w:trPr>
        <w:tc>
          <w:tcPr>
            <w:tcW w:w="986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(4,352.5)</w:t>
            </w:r>
          </w:p>
        </w:tc>
      </w:t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(5,780.8)</w:t>
            </w:r>
          </w:p>
        </w:tc>
      </w:tr>
      <w:tr>
        <w:trPr>
          <w:trHeight w:val="225"/>
        </w:trPr>
        <w:tc>
          <w:tcPr>
            <w:tcW w:w="986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(21,879.2)</w:t>
            </w:r>
          </w:p>
        </w:tc>
      </w:t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r>
      <w:tr>
        <w:trPr>
          <w:trHeight w:val="219"/>
        </w:trPr>
        <w:tc>
          <w:tcPr>
            <w:tcW w:w="9860" w:type="dxa"/>
            <w:vAlign w:val="bottom"/>
          </w:tcPr>
          <w:p>
            <w:pPr>
              <w:ind w:left="200"/>
              <w:spacing w:after="0"/>
              <w:rPr>
                <w:sz w:val="20"/>
                <w:szCs w:val="20"/>
                <w:color w:val="auto"/>
              </w:rPr>
            </w:pPr>
            <w:r>
              <w:rPr>
                <w:rFonts w:ascii="Arial" w:cs="Arial" w:eastAsia="Arial" w:hAnsi="Arial"/>
                <w:sz w:val="18"/>
                <w:szCs w:val="18"/>
                <w:color w:val="auto"/>
              </w:rPr>
              <w:t>Total fair value of the net assets of the VMO2 JV</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29,420.0</w:t>
            </w:r>
          </w:p>
        </w:tc>
      </w:tr>
      <w:tr>
        <w:trPr>
          <w:trHeight w:val="20"/>
        </w:trPr>
        <w:tc>
          <w:tcPr>
            <w:tcW w:w="9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periods prior to the June 1, 2021 completion of the U.K. JV Transaction, our consolidated statements of operations include aggregate earnings before income taxes attributable to the U.K. JV Entities of $890.5 million and $566.2 million during 2021 and 2020, respectively.</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June 1, 2021 carrying amounts of the major classes of assets and liabilities associated with the U.K. JV Entities, which were contributed to the VMO2 JV, are summarized below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4680" w:type="dxa"/>
            <w:vAlign w:val="bottom"/>
          </w:tcPr>
          <w:p>
            <w:pPr>
              <w:ind w:left="180"/>
              <w:spacing w:after="0"/>
              <w:rPr>
                <w:sz w:val="20"/>
                <w:szCs w:val="20"/>
                <w:color w:val="auto"/>
              </w:rPr>
            </w:pPr>
            <w:r>
              <w:rPr>
                <w:rFonts w:ascii="Arial" w:cs="Arial" w:eastAsia="Arial" w:hAnsi="Arial"/>
                <w:sz w:val="18"/>
                <w:szCs w:val="18"/>
                <w:color w:val="auto"/>
              </w:rPr>
              <w:t>Current assets (a)</w:t>
            </w:r>
          </w:p>
        </w:tc>
        <w:tc>
          <w:tcPr>
            <w:tcW w:w="5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4,868.3</w:t>
            </w:r>
          </w:p>
        </w:tc>
      </w:tr>
      <w:tr>
        <w:trPr>
          <w:trHeight w:val="225"/>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5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r>
      <w:tr>
        <w:trPr>
          <w:trHeight w:val="225"/>
        </w:trPr>
        <w:tc>
          <w:tcPr>
            <w:tcW w:w="4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5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8,214.7</w:t>
            </w:r>
          </w:p>
        </w:tc>
      </w:tr>
      <w:tr>
        <w:trPr>
          <w:trHeight w:val="225"/>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5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r>
      <w:tr>
        <w:trPr>
          <w:trHeight w:val="219"/>
        </w:trPr>
        <w:tc>
          <w:tcPr>
            <w:tcW w:w="4680" w:type="dxa"/>
            <w:vAlign w:val="bottom"/>
          </w:tcPr>
          <w:p>
            <w:pPr>
              <w:ind w:left="300"/>
              <w:spacing w:after="0"/>
              <w:rPr>
                <w:sz w:val="20"/>
                <w:szCs w:val="20"/>
                <w:color w:val="auto"/>
              </w:rPr>
            </w:pPr>
            <w:r>
              <w:rPr>
                <w:rFonts w:ascii="Arial" w:cs="Arial" w:eastAsia="Arial" w:hAnsi="Arial"/>
                <w:sz w:val="18"/>
                <w:szCs w:val="18"/>
                <w:color w:val="auto"/>
              </w:rPr>
              <w:t>Total assets (b)</w:t>
            </w:r>
          </w:p>
        </w:tc>
        <w:tc>
          <w:tcPr>
            <w:tcW w:w="5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25,635.0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468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5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5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w:t>
            </w:r>
          </w:p>
        </w:tc>
      </w:tr>
      <w:tr>
        <w:trPr>
          <w:trHeight w:val="225"/>
        </w:trPr>
        <w:tc>
          <w:tcPr>
            <w:tcW w:w="468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5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2,242.0</w:t>
            </w:r>
          </w:p>
        </w:tc>
      </w:tr>
      <w:tr>
        <w:trPr>
          <w:trHeight w:val="225"/>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5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16,905.1</w:t>
            </w:r>
          </w:p>
        </w:tc>
      </w:tr>
      <w:tr>
        <w:trPr>
          <w:trHeight w:val="225"/>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5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1,788.2</w:t>
            </w:r>
          </w:p>
        </w:tc>
      </w:tr>
      <w:tr>
        <w:trPr>
          <w:trHeight w:val="239"/>
        </w:trPr>
        <w:tc>
          <w:tcPr>
            <w:tcW w:w="4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(b)</w:t>
            </w:r>
          </w:p>
        </w:tc>
        <w:tc>
          <w:tcPr>
            <w:tcW w:w="5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24,156.2</w:t>
            </w:r>
          </w:p>
        </w:tc>
      </w:tr>
      <w:tr>
        <w:trPr>
          <w:trHeight w:val="20"/>
        </w:trPr>
        <w:tc>
          <w:tcPr>
            <w:tcW w:w="46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45"/>
        </w:trPr>
        <w:tc>
          <w:tcPr>
            <w:tcW w:w="4680" w:type="dxa"/>
            <w:vAlign w:val="bottom"/>
          </w:tcPr>
          <w:p>
            <w:pPr>
              <w:spacing w:after="0"/>
              <w:rPr>
                <w:sz w:val="24"/>
                <w:szCs w:val="24"/>
                <w:color w:val="auto"/>
              </w:rPr>
            </w:pPr>
          </w:p>
        </w:tc>
        <w:tc>
          <w:tcPr>
            <w:tcW w:w="5580" w:type="dxa"/>
            <w:vAlign w:val="bottom"/>
            <w:gridSpan w:val="2"/>
          </w:tcPr>
          <w:p>
            <w:pPr>
              <w:jc w:val="right"/>
              <w:ind w:right="4372"/>
              <w:spacing w:after="0"/>
              <w:rPr>
                <w:sz w:val="20"/>
                <w:szCs w:val="20"/>
                <w:color w:val="auto"/>
              </w:rPr>
            </w:pPr>
            <w:r>
              <w:rPr>
                <w:rFonts w:ascii="Arial" w:cs="Arial" w:eastAsia="Arial" w:hAnsi="Arial"/>
                <w:sz w:val="18"/>
                <w:szCs w:val="18"/>
                <w:color w:val="auto"/>
              </w:rPr>
              <w:t>II-67</w:t>
            </w:r>
          </w:p>
        </w:tc>
        <w:tc>
          <w:tcPr>
            <w:tcW w:w="980" w:type="dxa"/>
            <w:vAlign w:val="bottom"/>
          </w:tcPr>
          <w:p>
            <w:pPr>
              <w:spacing w:after="0"/>
              <w:rPr>
                <w:sz w:val="24"/>
                <w:szCs w:val="24"/>
                <w:color w:val="auto"/>
              </w:rPr>
            </w:pPr>
          </w:p>
        </w:tc>
      </w:tr>
      <w:tr>
        <w:trPr>
          <w:trHeight w:val="113"/>
        </w:trPr>
        <w:tc>
          <w:tcPr>
            <w:tcW w:w="468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64" w:lineRule="auto"/>
        <w:tabs>
          <w:tab w:leader="none" w:pos="38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 includes $3.4 billion of net proceeds from certain financing transactions completed in 2020 that were held in escrow pending the completion of the U.K. JV Transaction.</w:t>
      </w:r>
    </w:p>
    <w:p>
      <w:pPr>
        <w:spacing w:after="0" w:line="206" w:lineRule="exact"/>
        <w:rPr>
          <w:rFonts w:ascii="Arial" w:cs="Arial" w:eastAsia="Arial" w:hAnsi="Arial"/>
          <w:sz w:val="18"/>
          <w:szCs w:val="18"/>
          <w:color w:val="auto"/>
        </w:rPr>
      </w:pPr>
    </w:p>
    <w:p>
      <w:pPr>
        <w:ind w:left="380" w:hanging="374"/>
        <w:spacing w:after="0"/>
        <w:tabs>
          <w:tab w:leader="none" w:pos="3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carrying amount of the net assets of $1,478.8 million presented above is net of the cumulative foreign currency translation loss of $1,198.6 million.</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AtlasEdge JV Transactions</w:t>
      </w:r>
    </w:p>
    <w:p>
      <w:pPr>
        <w:spacing w:after="0" w:line="237"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 xml:space="preserve">On September 1, 2021, we (i) contributed certain assets and liabilities to a newly-formed 50:50 joint venture (the </w:t>
      </w:r>
      <w:r>
        <w:rPr>
          <w:rFonts w:ascii="Arial" w:cs="Arial" w:eastAsia="Arial" w:hAnsi="Arial"/>
          <w:sz w:val="15"/>
          <w:szCs w:val="15"/>
          <w:b w:val="1"/>
          <w:bCs w:val="1"/>
          <w:color w:val="auto"/>
        </w:rPr>
        <w:t>AtlasEdge JV</w:t>
      </w:r>
      <w:r>
        <w:rPr>
          <w:rFonts w:ascii="Arial" w:cs="Arial" w:eastAsia="Arial" w:hAnsi="Arial"/>
          <w:sz w:val="15"/>
          <w:szCs w:val="15"/>
          <w:color w:val="auto"/>
        </w:rPr>
        <w:t>) that was established for the purpose of acquiring and commercializing European technical real estate for edge colocation and hosting services and (ii) sold certain other assets to the AtlasEdge JV. In addition, we sold certain additional assets to the AtlasEdge JV during the fourth quarter of 2021. In connection with these transactions, which we collectively refer to as the “</w:t>
      </w:r>
      <w:r>
        <w:rPr>
          <w:rFonts w:ascii="Arial" w:cs="Arial" w:eastAsia="Arial" w:hAnsi="Arial"/>
          <w:sz w:val="15"/>
          <w:szCs w:val="15"/>
          <w:b w:val="1"/>
          <w:bCs w:val="1"/>
          <w:color w:val="auto"/>
        </w:rPr>
        <w:t>AtlasEdge JV Transactions</w:t>
      </w:r>
      <w:r>
        <w:rPr>
          <w:rFonts w:ascii="Arial" w:cs="Arial" w:eastAsia="Arial" w:hAnsi="Arial"/>
          <w:sz w:val="15"/>
          <w:szCs w:val="15"/>
          <w:color w:val="auto"/>
        </w:rPr>
        <w:t>”, we (a) received net cash of $144.5 million and (b) recognized a pre-tax gain of $227.5 million (net of the recognition of a cumulative foreign currency translation loss of $1.8 million), representing the difference between the estimated fair value and the carrying value of the net assets associated with these transactions. We account for our interest in the AtlasEdge JV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Investments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08"/>
        </w:trPr>
        <w:tc>
          <w:tcPr>
            <w:tcW w:w="7240" w:type="dxa"/>
            <w:vAlign w:val="bottom"/>
            <w:gridSpan w:val="2"/>
          </w:tcPr>
          <w:p>
            <w:pPr>
              <w:ind w:left="20"/>
              <w:spacing w:after="0"/>
              <w:rPr>
                <w:sz w:val="20"/>
                <w:szCs w:val="20"/>
                <w:color w:val="auto"/>
              </w:rPr>
            </w:pPr>
            <w:r>
              <w:rPr>
                <w:rFonts w:ascii="Arial" w:cs="Arial" w:eastAsia="Arial" w:hAnsi="Arial"/>
                <w:sz w:val="16"/>
                <w:szCs w:val="16"/>
                <w:b w:val="1"/>
                <w:bCs w:val="1"/>
                <w:color w:val="auto"/>
              </w:rPr>
              <w:t>Accounting Method</w:t>
            </w:r>
          </w:p>
        </w:tc>
        <w:tc>
          <w:tcPr>
            <w:tcW w:w="280" w:type="dxa"/>
            <w:vAlign w:val="bottom"/>
          </w:tcPr>
          <w:p>
            <w:pPr>
              <w:spacing w:after="0"/>
              <w:rPr>
                <w:sz w:val="18"/>
                <w:szCs w:val="18"/>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tcPr>
          <w:p>
            <w:pPr>
              <w:spacing w:after="0"/>
              <w:rPr>
                <w:sz w:val="12"/>
                <w:szCs w:val="12"/>
                <w:color w:val="auto"/>
              </w:rPr>
            </w:pP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VMO2 JV</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13,774.7</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VodafoneZiggo JV (c)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2,572.4</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AtlasEdge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163.7</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47.5</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 equity</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16,945.2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4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Televisa Univision, Inc. (</w:t>
            </w:r>
            <w:r>
              <w:rPr>
                <w:rFonts w:ascii="Arial" w:cs="Arial" w:eastAsia="Arial" w:hAnsi="Arial"/>
                <w:sz w:val="18"/>
                <w:szCs w:val="18"/>
                <w:b w:val="1"/>
                <w:bCs w:val="1"/>
                <w:color w:val="auto"/>
              </w:rPr>
              <w:t>Televisa Univision</w:t>
            </w:r>
            <w:r>
              <w:rPr>
                <w:rFonts w:ascii="Arial" w:cs="Arial" w:eastAsia="Arial" w:hAnsi="Arial"/>
                <w:sz w:val="18"/>
                <w:szCs w:val="18"/>
                <w:color w:val="auto"/>
              </w:rPr>
              <w:t>) (e)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385.5</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269.1</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 (d)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Pax8, Inc. (</w:t>
            </w:r>
            <w:r>
              <w:rPr>
                <w:rFonts w:ascii="Arial" w:cs="Arial" w:eastAsia="Arial" w:hAnsi="Arial"/>
                <w:sz w:val="18"/>
                <w:szCs w:val="18"/>
                <w:b w:val="1"/>
                <w:bCs w:val="1"/>
                <w:color w:val="auto"/>
              </w:rPr>
              <w:t>Pax8</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Aviatrix Systems, Inc. (</w:t>
            </w:r>
            <w:r>
              <w:rPr>
                <w:rFonts w:ascii="Arial" w:cs="Arial" w:eastAsia="Arial" w:hAnsi="Arial"/>
                <w:sz w:val="18"/>
                <w:szCs w:val="18"/>
                <w:b w:val="1"/>
                <w:bCs w:val="1"/>
                <w:color w:val="auto"/>
              </w:rPr>
              <w:t>Aviatrix</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CANAL+ Polska S.A. (</w:t>
            </w:r>
            <w:r>
              <w:rPr>
                <w:rFonts w:ascii="Arial" w:cs="Arial" w:eastAsia="Arial" w:hAnsi="Arial"/>
                <w:sz w:val="18"/>
                <w:szCs w:val="18"/>
                <w:b w:val="1"/>
                <w:bCs w:val="1"/>
                <w:color w:val="auto"/>
              </w:rPr>
              <w:t>CANAL+ Polska</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 fair value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440"/>
              <w:spacing w:after="0" w:line="204" w:lineRule="exact"/>
              <w:rPr>
                <w:sz w:val="20"/>
                <w:szCs w:val="20"/>
                <w:color w:val="auto"/>
              </w:rPr>
            </w:pPr>
            <w:r>
              <w:rPr>
                <w:rFonts w:ascii="Arial" w:cs="Arial" w:eastAsia="Arial" w:hAnsi="Arial"/>
                <w:sz w:val="18"/>
                <w:szCs w:val="18"/>
                <w:color w:val="auto"/>
              </w:rPr>
              <w:t>Total investments (f)</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17,477.7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21,972.6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4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14,856.1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19,703.0</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6" w:lineRule="exact"/>
        <w:rPr>
          <w:rFonts w:ascii="Arial" w:cs="Arial" w:eastAsia="Arial" w:hAnsi="Arial"/>
          <w:sz w:val="18"/>
          <w:szCs w:val="18"/>
          <w:color w:val="auto"/>
        </w:rPr>
      </w:pPr>
    </w:p>
    <w:p>
      <w:pPr>
        <w:jc w:val="both"/>
        <w:ind w:left="480" w:hanging="474"/>
        <w:spacing w:after="0" w:line="308" w:lineRule="auto"/>
        <w:tabs>
          <w:tab w:leader="none" w:pos="474" w:val="left"/>
        </w:tabs>
        <w:numPr>
          <w:ilvl w:val="0"/>
          <w:numId w:val="78"/>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December 31, 2022 and 2021, the aggregate carrying amounts of our equity method investments exceeded our proportionate share of the respective investee’s net assets by $1,196.8 million and $1,236.0 million, respectively, which primarily includes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left="480" w:hanging="474"/>
        <w:spacing w:after="0" w:line="248" w:lineRule="auto"/>
        <w:tabs>
          <w:tab w:leader="none" w:pos="4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Amounts include certain notes receivable due from a subsidiary of the VodafoneZiggo JV to a subsidiary of Liberty Global comprising (i) a euro-denominated note receivable with a principal amount of $749.7 million and $797.1 million at December 31, 2022 and 2021, respectively, (the </w:t>
      </w:r>
      <w:r>
        <w:rPr>
          <w:rFonts w:ascii="Arial" w:cs="Arial" w:eastAsia="Arial" w:hAnsi="Arial"/>
          <w:sz w:val="18"/>
          <w:szCs w:val="18"/>
          <w:b w:val="1"/>
          <w:bCs w:val="1"/>
          <w:color w:val="auto"/>
        </w:rPr>
        <w:t>VodafoneZiggo JV Receivable I</w:t>
      </w:r>
      <w:r>
        <w:rPr>
          <w:rFonts w:ascii="Arial" w:cs="Arial" w:eastAsia="Arial" w:hAnsi="Arial"/>
          <w:sz w:val="18"/>
          <w:szCs w:val="18"/>
          <w:color w:val="auto"/>
        </w:rPr>
        <w:t>) and (ii) a euro-denominated note receivable with a principal amount of $222.7 million and $236.7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December 31, 2022 and 2021, respectively, (the </w:t>
      </w:r>
      <w:r>
        <w:rPr>
          <w:rFonts w:ascii="Arial" w:cs="Arial" w:eastAsia="Arial" w:hAnsi="Arial"/>
          <w:sz w:val="18"/>
          <w:szCs w:val="18"/>
          <w:b w:val="1"/>
          <w:bCs w:val="1"/>
          <w:color w:val="auto"/>
        </w:rPr>
        <w:t>VodafoneZiggo JV Receivable II</w:t>
      </w:r>
      <w:r>
        <w:rPr>
          <w:rFonts w:ascii="Arial" w:cs="Arial" w:eastAsia="Arial" w:hAnsi="Arial"/>
          <w:sz w:val="18"/>
          <w:szCs w:val="18"/>
          <w:color w:val="auto"/>
        </w:rPr>
        <w:t xml:space="preserve"> and, together with the 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During 2021, an additional $123.0 million was loaned under the VodafoneZiggo JV Receivable II to fund the</w:t>
      </w:r>
      <w:r>
        <w:rPr>
          <w:rFonts w:ascii="Arial" w:cs="Arial" w:eastAsia="Arial" w:hAnsi="Arial"/>
          <w:sz w:val="18"/>
          <w:szCs w:val="18"/>
          <w:b w:val="1"/>
          <w:bCs w:val="1"/>
          <w:color w:val="auto"/>
        </w:rPr>
        <w:t xml:space="preserve"> </w:t>
      </w:r>
      <w:r>
        <w:rPr>
          <w:rFonts w:ascii="Arial" w:cs="Arial" w:eastAsia="Arial" w:hAnsi="Arial"/>
          <w:sz w:val="18"/>
          <w:szCs w:val="18"/>
          <w:color w:val="auto"/>
        </w:rPr>
        <w:t>VodafoneZiggo JV’s final installment of spectrum license fees due to the Dutch government. The VodafoneZiggo JV Receivables bear interest at 5.55% and have a final maturity date of December 31, 2030. During 2022, interest accrued on the VodafoneZiggo JV Receivables was $53.8 million, all of which has been cash settled.</w:t>
      </w:r>
    </w:p>
    <w:p>
      <w:pPr>
        <w:spacing w:after="0" w:line="221" w:lineRule="exact"/>
        <w:rPr>
          <w:rFonts w:ascii="Arial" w:cs="Arial" w:eastAsia="Arial" w:hAnsi="Arial"/>
          <w:sz w:val="18"/>
          <w:szCs w:val="18"/>
          <w:color w:val="auto"/>
        </w:rPr>
      </w:pPr>
    </w:p>
    <w:p>
      <w:pPr>
        <w:jc w:val="both"/>
        <w:ind w:left="480" w:hanging="474"/>
        <w:spacing w:after="0" w:line="268" w:lineRule="auto"/>
        <w:tabs>
          <w:tab w:leader="none" w:pos="474"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December 31, 2022, all of our investments held under SMAs were classified as available-for-sale debt securities, as further described in note 3. At December 31, 2022 and 2021, interest accrued on our debt securities, which is included in other current assets on our consolidated balance sheets, was $18.5 million and $5.1 million, respectively.</w:t>
      </w:r>
    </w:p>
    <w:p>
      <w:pPr>
        <w:spacing w:after="0" w:line="205"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December 31, 2022, the fair value of our investment in Televisa Univision reflects the merger of Univision Holdings Inc. and Grupo Televisa, S.A.B., which was completed during the first quarter of 2022.</w:t>
      </w:r>
    </w:p>
    <w:p>
      <w:pPr>
        <w:spacing w:after="0" w:line="206" w:lineRule="exact"/>
        <w:rPr>
          <w:rFonts w:ascii="Arial" w:cs="Arial" w:eastAsia="Arial" w:hAnsi="Arial"/>
          <w:sz w:val="18"/>
          <w:szCs w:val="18"/>
          <w:color w:val="auto"/>
        </w:rPr>
      </w:pPr>
    </w:p>
    <w:p>
      <w:pPr>
        <w:ind w:left="480" w:hanging="474"/>
        <w:spacing w:after="0" w:line="264" w:lineRule="auto"/>
        <w:tabs>
          <w:tab w:leader="none" w:pos="4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consolidated statements of cash flows, including amounts associated with SMAs.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8"/>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Streamz B.V. (</w:t>
            </w:r>
            <w:r>
              <w:rPr>
                <w:rFonts w:ascii="Arial" w:cs="Arial" w:eastAsia="Arial" w:hAnsi="Arial"/>
                <w:sz w:val="18"/>
                <w:szCs w:val="18"/>
                <w:b w:val="1"/>
                <w:bCs w:val="1"/>
                <w:color w:val="auto"/>
              </w:rPr>
              <w:t>Streamz</w:t>
            </w:r>
            <w:r>
              <w:rPr>
                <w:rFonts w:ascii="Arial" w:cs="Arial" w:eastAsia="Arial" w:hAnsi="Arial"/>
                <w:sz w:val="18"/>
                <w:szCs w:val="18"/>
                <w:color w:val="auto"/>
              </w:rPr>
              <w:t>) (c)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Eltrona Interdiffusion S.A. (</w:t>
            </w:r>
            <w:r>
              <w:rPr>
                <w:rFonts w:ascii="Arial" w:cs="Arial" w:eastAsia="Arial" w:hAnsi="Arial"/>
                <w:sz w:val="18"/>
                <w:szCs w:val="18"/>
                <w:b w:val="1"/>
                <w:bCs w:val="1"/>
                <w:color w:val="auto"/>
              </w:rPr>
              <w:t>Eltrona</w:t>
            </w:r>
            <w:r>
              <w:rPr>
                <w:rFonts w:ascii="Arial" w:cs="Arial" w:eastAsia="Arial" w:hAnsi="Arial"/>
                <w:sz w:val="18"/>
                <w:szCs w:val="18"/>
                <w:color w:val="auto"/>
              </w:rPr>
              <w:t>) (d)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Formula 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54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0" w:lineRule="exact"/>
        <w:rPr>
          <w:sz w:val="20"/>
          <w:szCs w:val="20"/>
          <w:color w:val="auto"/>
        </w:rPr>
      </w:pPr>
    </w:p>
    <w:p>
      <w:pPr>
        <w:jc w:val="both"/>
        <w:ind w:left="480" w:hanging="474"/>
        <w:spacing w:after="0" w:line="225" w:lineRule="auto"/>
        <w:tabs>
          <w:tab w:leader="none" w:pos="4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2022 amount includes a charge of $1.8 billion, representing our 50% share of the VMO2 JV’s goodwill impairment, as described below.</w:t>
      </w:r>
    </w:p>
    <w:p>
      <w:pPr>
        <w:spacing w:after="0" w:line="21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206"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2022 amount includes a charge of $31.7 million related to a decline in fair value below the cost basis of the investment that was deemed other-than-temporary during the fourth quarter.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480" w:hanging="474"/>
        <w:spacing w:after="0" w:line="264" w:lineRule="auto"/>
        <w:tabs>
          <w:tab w:leader="none" w:pos="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2022 amount includes a charge of $32.5 million related to a decline in fair value below the cost basis of the investment that was deemed other-than-temporary during the fourth quarter.</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VMO2 JV</w:t>
      </w:r>
    </w:p>
    <w:p>
      <w:pPr>
        <w:spacing w:after="0" w:line="22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U.K. JV Shareholder</w:t>
      </w:r>
      <w:r>
        <w:rPr>
          <w:rFonts w:ascii="Arial" w:cs="Arial" w:eastAsia="Arial" w:hAnsi="Arial"/>
          <w:sz w:val="18"/>
          <w:szCs w:val="18"/>
          <w:color w:val="auto"/>
        </w:rPr>
        <w:t>”) holds 50% of the issued share capital of the VMO2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 For additional information regarding the U.K. JV Transaction, see note 6.</w:t>
      </w:r>
    </w:p>
    <w:p>
      <w:pPr>
        <w:spacing w:after="0" w:line="20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In connection with the formation of the VMO2 JV, the U.K. JV Shareholders entered into an agreement (the </w:t>
      </w:r>
      <w:r>
        <w:rPr>
          <w:rFonts w:ascii="Arial" w:cs="Arial" w:eastAsia="Arial" w:hAnsi="Arial"/>
          <w:sz w:val="18"/>
          <w:szCs w:val="18"/>
          <w:b w:val="1"/>
          <w:bCs w:val="1"/>
          <w:color w:val="auto"/>
        </w:rPr>
        <w:t>U.K. JV Shareholders Agreement</w:t>
      </w:r>
      <w:r>
        <w:rPr>
          <w:rFonts w:ascii="Arial" w:cs="Arial" w:eastAsia="Arial" w:hAnsi="Arial"/>
          <w:sz w:val="18"/>
          <w:szCs w:val="18"/>
          <w:color w:val="auto"/>
        </w:rPr>
        <w:t>) that contains customary provisions for the governance of a 50:50 joint venture and provides Liberty Global and Telefónica with joint control over decision making with respect to the VMO2 JV.</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U.K. JV Shareholders Agreement also provides (i) for a dividend distribution policy that requires the VMO2 JV to distribute all unrestricted cash to the U.K. JV Shareholders on a pro rata basis (subject to the VMO2 JV maintaining a minimum amount of cash and complying with the terms of its financing arrangements) and (ii) that the VMO2 JV will be managed with a leverage ratio between 4.0 and 5.0 times EBITDA (as calculated pursuant to its existing financing arrangements), with the VMO2 JV undertaking periodic recapitalizations and/or refinancings accordingly. During 2022, we received dividend distributions from the VMO2 JV aggregating $932.5 million, of which $477.9 million was accounted for as a return of capital and $454.6 million was accounted for as a return on capital for purposes of our consolidated statements of cash flows. During 2021, we received a dividend distribution from the VMO2 JV of $214.8 million, which was accounted for as a return on capital for purposes of our consolidated statement of cash flows.</w:t>
      </w:r>
    </w:p>
    <w:p>
      <w:pPr>
        <w:spacing w:after="0" w:line="17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U.K. JV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VMO2 JV after the third anniversary of the closing, with the opportunity for the other U.K. JV Shareholder to sell shares in the IPO on a pro rata basis. Subject to certain exceptions, the U.K. JV Shareholders Agreement prohibits transfers of interests in the VMO2 JV to third parties until the fifth anniversary of the closing. After the fifth anniversary, each U.K. JV Shareholder will be able to initiate a sale of all of its interest in the VMO2 JV to a third party and, under certain circumstances, initiate a sale of the entire VMO2 JV; subject, in each case, to a right of first offer in favor of the other U.K. JV Shareholder.</w:t>
      </w:r>
    </w:p>
    <w:p>
      <w:pPr>
        <w:spacing w:after="0" w:line="21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Pursuant to an agreement entered into in connection with the closing of the VMO2 JV (the </w:t>
      </w:r>
      <w:r>
        <w:rPr>
          <w:rFonts w:ascii="Arial" w:cs="Arial" w:eastAsia="Arial" w:hAnsi="Arial"/>
          <w:sz w:val="15"/>
          <w:szCs w:val="15"/>
          <w:b w:val="1"/>
          <w:bCs w:val="1"/>
          <w:color w:val="auto"/>
        </w:rPr>
        <w:t>U.K. JV Framework Agreement</w:t>
      </w:r>
      <w:r>
        <w:rPr>
          <w:rFonts w:ascii="Arial" w:cs="Arial" w:eastAsia="Arial" w:hAnsi="Arial"/>
          <w:sz w:val="15"/>
          <w:szCs w:val="15"/>
          <w:color w:val="auto"/>
        </w:rPr>
        <w:t xml:space="preserve">), Liberty Global provides certain services to the VMO2 JV on a transitional or ongoing basis (collectively, the </w:t>
      </w:r>
      <w:r>
        <w:rPr>
          <w:rFonts w:ascii="Arial" w:cs="Arial" w:eastAsia="Arial" w:hAnsi="Arial"/>
          <w:sz w:val="15"/>
          <w:szCs w:val="15"/>
          <w:b w:val="1"/>
          <w:bCs w:val="1"/>
          <w:color w:val="auto"/>
        </w:rPr>
        <w:t>U.K. JV Services</w:t>
      </w:r>
      <w:r>
        <w:rPr>
          <w:rFonts w:ascii="Arial" w:cs="Arial" w:eastAsia="Arial" w:hAnsi="Arial"/>
          <w:sz w:val="15"/>
          <w:szCs w:val="15"/>
          <w:color w:val="auto"/>
        </w:rPr>
        <w:t>). Pursuant to the terms of the U.K. JV Framework Agreement, the ongoing services will be provided for a period of two to six years depending on the type of service, while transitional services will be 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$251.2 million and $170.1 million during 2022 and 2021, respectively. At December 31, 2022 and 2021, $37.0 million and $43.3 million, respectively, was due from the VMO2 JV, primarily related to (a) services performed under the U.K. JV Framework Agreement and (b) amounts incurred by Liberty Global for certain equipment and licenses purchased on behalf of the VMO2 JV. The amounts due from the VMO2 JV, which are periodically cash settled, are included in other current assets on our consolidated balance sheets.</w:t>
      </w:r>
    </w:p>
    <w:p>
      <w:pPr>
        <w:spacing w:after="0" w:line="1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July 2022, the VMO2 JV entered into a new long-term performance incentive plan (the </w:t>
      </w:r>
      <w:r>
        <w:rPr>
          <w:rFonts w:ascii="Arial" w:cs="Arial" w:eastAsia="Arial" w:hAnsi="Arial"/>
          <w:sz w:val="17"/>
          <w:szCs w:val="17"/>
          <w:b w:val="1"/>
          <w:bCs w:val="1"/>
          <w:color w:val="auto"/>
        </w:rPr>
        <w:t>2022 VMO2 LTIP</w:t>
      </w:r>
      <w:r>
        <w:rPr>
          <w:rFonts w:ascii="Arial" w:cs="Arial" w:eastAsia="Arial" w:hAnsi="Arial"/>
          <w:sz w:val="17"/>
          <w:szCs w:val="17"/>
          <w:color w:val="auto"/>
        </w:rPr>
        <w:t>) for certain of its employees, dependent on the achievement of specific performance metrics over each of the three years in the period beginning January 1, 2022 and ending on December 31, 2024. Payout may occur in March 2025 and will be settled in Liberty Global Class A and/or Liberty Global Class C ordinary shares and Telefónica ordinary shares, with the settlement split evenly between the U.K. JV Shareholders. Subject to forfeitures, 66.7% of each participant’s payout will be earned on January 1, 2024 with the remainder earned on December 31, 2024. The 2022 VMO2 LTIP awards are liability classified due to the fact that the final payout will be a fixed monetary amount settled in a variable number of shares. At December 31, 2022, the estimated fair value of Liberty Global’s share of the final payout under the 2022 VMO2 LTIP was $10.9 million. As the VMO2 JV will reimburse the U.K. JV Shareholders in cash for the value of each company’s 50% payout of the 2022 VMO2 LTIP awards,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receivable from the VMO2 JV equal to the amount of the fair value of our share of the 2022 VMO2 LTIP liability is recorded on our consolidated balance sheet.</w:t>
      </w:r>
    </w:p>
    <w:p>
      <w:pPr>
        <w:spacing w:after="0" w:line="193"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5"/>
          <w:szCs w:val="15"/>
          <w:color w:val="auto"/>
        </w:rPr>
        <w:t>During the fourth quarter of 2022, in its U.S. GAAP financial statements, the VMO2 JV recorded a goodwill impairment of £3.1 billion ($3.6 billion at the applicable rate) primarily related to (i) an increase in the weighted average cost of capital (discount rate) under a market participant view and (ii) the broader macroeconomic environment, including recent declines in comparable public company market valuations. Given the recency of the VMO2 JV’s formation, the fair value of the business has been in close proximity to its carrying value and was estimated to be £33.3 billion ($40.3 billion) at the measurement date. The VMO2 JV considered an income approach and a market approach in determining the fair value estimate. Significant judgment was involved in the assessment, including (a) market participant estimates of the discount rate and (b) current earnings multiples of comparable public companies. Our 50% share of the VMO2 JV’s goodwill impairment charge is reported in share of results of affiliates, net, in our consolidated statement of operations.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VMO2 JV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93"/>
              </w:rPr>
              <w:t>2021 (a)</w:t>
            </w:r>
          </w:p>
        </w:tc>
        <w:tc>
          <w:tcPr>
            <w:tcW w:w="0" w:type="dxa"/>
            <w:vAlign w:val="bottom"/>
          </w:tcPr>
          <w:p>
            <w:pPr>
              <w:spacing w:after="0"/>
              <w:rPr>
                <w:sz w:val="1"/>
                <w:szCs w:val="1"/>
                <w:color w:val="auto"/>
              </w:rPr>
            </w:pP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ind w:left="680"/>
              <w:spacing w:after="0"/>
              <w:rPr>
                <w:sz w:val="20"/>
                <w:szCs w:val="20"/>
                <w:color w:val="auto"/>
              </w:rPr>
            </w:pPr>
            <w:r>
              <w:rPr>
                <w:rFonts w:ascii="Arial" w:cs="Arial" w:eastAsia="Arial" w:hAnsi="Arial"/>
                <w:sz w:val="16"/>
                <w:szCs w:val="16"/>
                <w:b w:val="1"/>
                <w:bCs w:val="1"/>
                <w:color w:val="auto"/>
                <w:w w:val="90"/>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4"/>
              </w:rPr>
              <w:t>12,857.2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320"/>
              <w:spacing w:after="0" w:line="198" w:lineRule="exact"/>
              <w:rPr>
                <w:sz w:val="20"/>
                <w:szCs w:val="20"/>
                <w:color w:val="auto"/>
              </w:rPr>
            </w:pPr>
            <w:r>
              <w:rPr>
                <w:rFonts w:ascii="Arial" w:cs="Arial" w:eastAsia="Arial" w:hAnsi="Arial"/>
                <w:sz w:val="18"/>
                <w:szCs w:val="18"/>
                <w:color w:val="auto"/>
                <w:w w:val="88"/>
              </w:rPr>
              <w:t>(3,012.8)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(3,042.0)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20" w:right="3060" w:hanging="314"/>
        <w:spacing w:after="0" w:line="451" w:lineRule="auto"/>
        <w:tabs>
          <w:tab w:leader="none" w:pos="4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the operating results of the VMO2 JV for the period from June 1, 2021 through December 31, 2021. The summarized financial position of the VMO2 JV is set forth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5"/>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2021</w:t>
            </w: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218"/>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55,698.3</w:t>
            </w:r>
          </w:p>
        </w:tc>
      </w:tr>
      <w:tr>
        <w:trPr>
          <w:trHeight w:val="244"/>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49,809.3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60,431.6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8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9,247.1</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21,877.6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23,595.6</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equity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27,588.9</w:t>
            </w:r>
          </w:p>
        </w:tc>
      </w:tr>
      <w:tr>
        <w:trPr>
          <w:trHeight w:val="219"/>
        </w:trPr>
        <w:tc>
          <w:tcPr>
            <w:tcW w:w="8600" w:type="dxa"/>
            <w:vAlign w:val="bottom"/>
          </w:tcPr>
          <w:p>
            <w:pPr>
              <w:ind w:left="180"/>
              <w:spacing w:after="0"/>
              <w:rPr>
                <w:sz w:val="20"/>
                <w:szCs w:val="20"/>
                <w:color w:val="auto"/>
              </w:rPr>
            </w:pPr>
            <w:r>
              <w:rPr>
                <w:rFonts w:ascii="Arial" w:cs="Arial" w:eastAsia="Arial" w:hAnsi="Arial"/>
                <w:sz w:val="18"/>
                <w:szCs w:val="18"/>
                <w:color w:val="auto"/>
              </w:rPr>
              <w:t>Total liabilities and owners’ equity</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49,809.3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60,431.6</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Each of Liberty Global and Vodafone (each a “</w:t>
      </w:r>
      <w:r>
        <w:rPr>
          <w:rFonts w:ascii="Arial" w:cs="Arial" w:eastAsia="Arial" w:hAnsi="Arial"/>
          <w:sz w:val="17"/>
          <w:szCs w:val="17"/>
          <w:b w:val="1"/>
          <w:bCs w:val="1"/>
          <w:color w:val="auto"/>
        </w:rPr>
        <w:t>NL JV Shareholder</w:t>
      </w:r>
      <w:r>
        <w:rPr>
          <w:rFonts w:ascii="Arial" w:cs="Arial" w:eastAsia="Arial" w:hAnsi="Arial"/>
          <w:sz w:val="17"/>
          <w:szCs w:val="17"/>
          <w:color w:val="auto"/>
        </w:rPr>
        <w:t>”) holds 50% of the issued share capital of the VodafoneZiggo JV. The NL JV Shareholders intend for the VodafoneZiggo JV to be funded solely from its net cash flows from operations and third-party financing. We account for our 50% interest in the VodafoneZiggo JV as an equity method investment and consider the VodafoneZiggo JV to be a related party.</w:t>
      </w:r>
    </w:p>
    <w:p>
      <w:pPr>
        <w:spacing w:after="0" w:line="1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In connection with the formation of the VodafoneZiggo JV, the NL JV Shareholders entered into an agreement (the </w:t>
      </w:r>
      <w:r>
        <w:rPr>
          <w:rFonts w:ascii="Arial" w:cs="Arial" w:eastAsia="Arial" w:hAnsi="Arial"/>
          <w:sz w:val="18"/>
          <w:szCs w:val="18"/>
          <w:b w:val="1"/>
          <w:bCs w:val="1"/>
          <w:color w:val="auto"/>
        </w:rPr>
        <w:t>NL Shareholders Agreement</w:t>
      </w:r>
      <w:r>
        <w:rPr>
          <w:rFonts w:ascii="Arial" w:cs="Arial" w:eastAsia="Arial" w:hAnsi="Arial"/>
          <w:sz w:val="18"/>
          <w:szCs w:val="18"/>
          <w:color w:val="auto"/>
        </w:rPr>
        <w:t>) that contains customary provisions for the governance of a 50:50 joint venture and provides Liberty Global and Vodafone with joint control over decision making with respect to the VodafoneZiggo JV.</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NL Shareholders Agreement also provides (i) for a dividend distribution policy that requires the VodafoneZiggo JV to distribute all unrestricted cash to the NL JV Shareholders every two months (subject to the VodafoneZiggo JV maintaining a</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 During 2022, 2021 and 2020, we received dividend distributions from the VodafoneZiggo JV of $266.6 million, $311.7 million and $249.5 million, respectively, which were accounted for as returns on capital for purposes of our consolidated statements of cash flows.</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NL JV Shareholder has the right to initiate an IPO of the VodafoneZiggo JV, with the opportunity for the other NL JV Shareholder to sell shares in the IPO on a pro rata basis. As of January 1, 2021, each NL JV Shareholder has the right to initiate a sale of all of its interest in the VodafoneZiggo JV to a third party and, under certain circumstances, initiate a sale of the entire VodafoneZiggo JV, subject, in each case, to a right of first offer in favor of the other NL JV Shareholder.</w:t>
      </w:r>
    </w:p>
    <w:p>
      <w:pPr>
        <w:spacing w:after="0" w:line="21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w:t>
      </w:r>
      <w:r>
        <w:rPr>
          <w:rFonts w:ascii="Arial" w:cs="Arial" w:eastAsia="Arial" w:hAnsi="Arial"/>
          <w:sz w:val="17"/>
          <w:szCs w:val="17"/>
          <w:color w:val="auto"/>
        </w:rPr>
        <w:t xml:space="preserve"> </w:t>
      </w:r>
      <w:r>
        <w:rPr>
          <w:rFonts w:ascii="Arial" w:cs="Arial" w:eastAsia="Arial" w:hAnsi="Arial"/>
          <w:sz w:val="17"/>
          <w:szCs w:val="17"/>
          <w:b w:val="1"/>
          <w:bCs w:val="1"/>
          <w:color w:val="auto"/>
        </w:rPr>
        <w:t>JV Services</w:t>
      </w:r>
      <w:r>
        <w:rPr>
          <w:rFonts w:ascii="Arial" w:cs="Arial" w:eastAsia="Arial" w:hAnsi="Arial"/>
          <w:sz w:val="17"/>
          <w:szCs w:val="17"/>
          <w:color w:val="auto"/>
        </w:rPr>
        <w:t>). The NL JV Services provided by Liberty Global consist primarily of (i) technology and other services and (ii) capital-related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assets that will be used by, or will otherwise benefit, the VodafoneZiggo JV. Liberty Global charges both fixed and usage-based fees to the VodafoneZiggo JV for the NL JV Services provided during the term of the NL JV Framework Agreement. During 2022, 2021 and 2020, we recorded revenue from the VodafoneZiggo JV of $263.9 million, $222.0 million and $178.9 million, respectively, primarily related to (a) the NL JV Services and (b) the sale of customer premises equipment (</w:t>
      </w:r>
      <w:r>
        <w:rPr>
          <w:rFonts w:ascii="Arial" w:cs="Arial" w:eastAsia="Arial" w:hAnsi="Arial"/>
          <w:sz w:val="17"/>
          <w:szCs w:val="17"/>
          <w:b w:val="1"/>
          <w:bCs w:val="1"/>
          <w:color w:val="auto"/>
        </w:rPr>
        <w:t>CPE</w:t>
      </w:r>
      <w:r>
        <w:rPr>
          <w:rFonts w:ascii="Arial" w:cs="Arial" w:eastAsia="Arial" w:hAnsi="Arial"/>
          <w:sz w:val="17"/>
          <w:szCs w:val="17"/>
          <w:color w:val="auto"/>
        </w:rPr>
        <w:t>) to the VodafoneZiggo JV at a mark-up. At December 31, 2022 and 2021, $35.0 million and $62.5 million, respectively, were due from the VodafoneZiggo JV related to the aforementioned transactions. The amounts due from the VodafoneZiggo JV, which are periodically cash settled, are included in other current assets on our consolidated balance sheets.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9"/>
          </w:tcPr>
          <w:p>
            <w:pPr>
              <w:jc w:val="center"/>
              <w:ind w:left="475"/>
              <w:spacing w:after="0"/>
              <w:rPr>
                <w:sz w:val="20"/>
                <w:szCs w:val="20"/>
                <w:color w:val="auto"/>
              </w:rPr>
            </w:pPr>
            <w:r>
              <w:rPr>
                <w:rFonts w:ascii="Arial" w:cs="Arial" w:eastAsia="Arial" w:hAnsi="Arial"/>
                <w:sz w:val="16"/>
                <w:szCs w:val="16"/>
                <w:b w:val="1"/>
                <w:bCs w:val="1"/>
                <w:color w:val="auto"/>
                <w:w w:val="89"/>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4"/>
              </w:rPr>
              <w:t>2021</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in millions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40" w:type="dxa"/>
            <w:vAlign w:val="bottom"/>
            <w:vMerge w:val="continue"/>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8" w:lineRule="exact"/>
              <w:rPr>
                <w:sz w:val="20"/>
                <w:szCs w:val="20"/>
                <w:color w:val="auto"/>
              </w:rPr>
            </w:pPr>
            <w:r>
              <w:rPr>
                <w:rFonts w:ascii="Arial" w:cs="Arial" w:eastAsia="Arial" w:hAnsi="Arial"/>
                <w:sz w:val="18"/>
                <w:szCs w:val="18"/>
                <w:color w:val="auto"/>
              </w:rPr>
              <w:t>608.3</w:t>
            </w:r>
          </w:p>
        </w:tc>
        <w:tc>
          <w:tcPr>
            <w:tcW w:w="32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(90.8)</w:t>
            </w:r>
          </w:p>
        </w:tc>
        <w:tc>
          <w:tcPr>
            <w:tcW w:w="500" w:type="dxa"/>
            <w:vAlign w:val="bottom"/>
            <w:gridSpan w:val="3"/>
          </w:tcPr>
          <w:p>
            <w:pPr>
              <w:jc w:val="right"/>
              <w:ind w:right="192"/>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3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(163.1)</w:t>
            </w:r>
          </w:p>
        </w:tc>
        <w:tc>
          <w:tcPr>
            <w:tcW w:w="50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The summarized financial position of the VodafoneZiggo JV is set forth below:</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2"/>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assets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19,396.4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20,392.3</w:t>
            </w: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20,211.9</w:t>
            </w:r>
          </w:p>
        </w:tc>
        <w:tc>
          <w:tcPr>
            <w:tcW w:w="6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21,288.5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2,719.2</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15,381.0</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equity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19"/>
        </w:trPr>
        <w:tc>
          <w:tcPr>
            <w:tcW w:w="7340" w:type="dxa"/>
            <w:vAlign w:val="bottom"/>
          </w:tcPr>
          <w:p>
            <w:pPr>
              <w:ind w:left="260"/>
              <w:spacing w:after="0"/>
              <w:rPr>
                <w:sz w:val="20"/>
                <w:szCs w:val="20"/>
                <w:color w:val="auto"/>
              </w:rPr>
            </w:pPr>
            <w:r>
              <w:rPr>
                <w:rFonts w:ascii="Arial" w:cs="Arial" w:eastAsia="Arial" w:hAnsi="Arial"/>
                <w:sz w:val="18"/>
                <w:szCs w:val="18"/>
                <w:color w:val="auto"/>
              </w:rPr>
              <w:t>Total liabilities and owners’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20,211.9</w:t>
            </w:r>
          </w:p>
        </w:tc>
        <w:tc>
          <w:tcPr>
            <w:tcW w:w="60" w:type="dxa"/>
            <w:vAlign w:val="bottom"/>
          </w:tcPr>
          <w:p>
            <w:pPr>
              <w:spacing w:after="0"/>
              <w:rPr>
                <w:sz w:val="19"/>
                <w:szCs w:val="19"/>
                <w:color w:val="auto"/>
              </w:rPr>
            </w:pPr>
          </w:p>
        </w:tc>
        <w:tc>
          <w:tcPr>
            <w:tcW w:w="500" w:type="dxa"/>
            <w:vAlign w:val="bottom"/>
            <w:gridSpan w:val="3"/>
          </w:tcPr>
          <w:p>
            <w:pPr>
              <w:jc w:val="right"/>
              <w:ind w:right="2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21,288.5</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5440"/>
              <w:spacing w:after="0"/>
              <w:rPr>
                <w:sz w:val="20"/>
                <w:szCs w:val="20"/>
                <w:color w:val="auto"/>
              </w:rPr>
            </w:pPr>
            <w:r>
              <w:rPr>
                <w:rFonts w:ascii="Arial" w:cs="Arial" w:eastAsia="Arial" w:hAnsi="Arial"/>
                <w:sz w:val="18"/>
                <w:szCs w:val="18"/>
                <w:color w:val="auto"/>
              </w:rPr>
              <w:t>II-73</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details of our realized and unrealized gains (losses) due to changes in fair values of certain investments, net:</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2"/>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5"/>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Pax8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SMAs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Plume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TiBiT Communications, Inc. (</w:t>
            </w:r>
            <w:r>
              <w:rPr>
                <w:rFonts w:ascii="Arial" w:cs="Arial" w:eastAsia="Arial" w:hAnsi="Arial"/>
                <w:sz w:val="18"/>
                <w:szCs w:val="18"/>
                <w:b w:val="1"/>
                <w:bCs w:val="1"/>
                <w:color w:val="auto"/>
              </w:rPr>
              <w:t>TiBiT</w:t>
            </w:r>
            <w:r>
              <w:rPr>
                <w:rFonts w:ascii="Arial" w:cs="Arial" w:eastAsia="Arial" w:hAnsi="Arial"/>
                <w:sz w:val="18"/>
                <w:szCs w:val="18"/>
                <w:color w:val="auto"/>
              </w:rPr>
              <w:t>) (a)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Lacework</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Televisa Univision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Aviatrix</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(b)</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734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investment in TiBiT was sold during the fourth quarter of 2022.</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amounts in 2022 and 2021 include gains of $15.7 million and $12.9 million, respectively, related to investments that were sold during the year.</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Debt Securities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2022 and 2021, all of our SMAs were composed of debt securities, which are summarized in the following tables: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2022</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5"/>
              </w:rPr>
              <w:t>Amortized cost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basis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3"/>
              </w:rPr>
              <w:t>unrealized 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7"/>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1"/>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1"/>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8"/>
        </w:trPr>
        <w:tc>
          <w:tcPr>
            <w:tcW w:w="7320" w:type="dxa"/>
            <w:vAlign w:val="bottom"/>
          </w:tcPr>
          <w:p>
            <w:pPr>
              <w:ind w:left="240"/>
              <w:spacing w:after="0" w:line="204" w:lineRule="exact"/>
              <w:rPr>
                <w:sz w:val="20"/>
                <w:szCs w:val="20"/>
                <w:color w:val="auto"/>
              </w:rPr>
            </w:pPr>
            <w:r>
              <w:rPr>
                <w:rFonts w:ascii="Arial" w:cs="Arial" w:eastAsia="Arial" w:hAnsi="Arial"/>
                <w:sz w:val="18"/>
                <w:szCs w:val="18"/>
                <w:color w:val="auto"/>
              </w:rPr>
              <w:t>Total debt securities</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1"/>
              </w:rPr>
              <w:t>(4.3)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7" w:name="page118"/>
    <w:bookmarkEnd w:id="117"/>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2021</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5"/>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5"/>
              </w:rPr>
              <w:t>unrealized 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8"/>
        </w:trPr>
        <w:tc>
          <w:tcPr>
            <w:tcW w:w="7360" w:type="dxa"/>
            <w:vAlign w:val="bottom"/>
          </w:tcPr>
          <w:p>
            <w:pPr>
              <w:ind w:left="240"/>
              <w:spacing w:after="0" w:line="204" w:lineRule="exact"/>
              <w:rPr>
                <w:sz w:val="20"/>
                <w:szCs w:val="20"/>
                <w:color w:val="auto"/>
              </w:rPr>
            </w:pPr>
            <w:r>
              <w:rPr>
                <w:rFonts w:ascii="Arial" w:cs="Arial" w:eastAsia="Arial" w:hAnsi="Arial"/>
                <w:sz w:val="18"/>
                <w:szCs w:val="18"/>
                <w:color w:val="auto"/>
              </w:rPr>
              <w:t>Total debt securities</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During 2022, 2021 and 2020, we received proceeds from the sale of debt securities of $9.1 billion, $6.1 billion and $6.0 billion, respectively, the majority of which were reinvested in new debt securities held under SMAs. The sale of debt securities during 2022, 2021 and 2020 resulted in realized net gains (losses) of ($6.9 million), ($2.0 million) and $2.0 million,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 fair values of our debt securities as of December 31, 2022 by contractual maturity are shown below (in millions):</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9840" w:type="dxa"/>
            <w:vAlign w:val="bottom"/>
          </w:tcPr>
          <w:p>
            <w:pPr>
              <w:ind w:left="240"/>
              <w:spacing w:after="0" w:line="204" w:lineRule="exact"/>
              <w:rPr>
                <w:sz w:val="20"/>
                <w:szCs w:val="20"/>
                <w:color w:val="auto"/>
              </w:rPr>
            </w:pPr>
            <w:r>
              <w:rPr>
                <w:rFonts w:ascii="Arial" w:cs="Arial" w:eastAsia="Arial" w:hAnsi="Arial"/>
                <w:sz w:val="18"/>
                <w:szCs w:val="18"/>
                <w:color w:val="auto"/>
              </w:rPr>
              <w:t>Total (a)</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101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9840" w:type="dxa"/>
            <w:vAlign w:val="bottom"/>
          </w:tcPr>
          <w:p>
            <w:pPr>
              <w:ind w:left="160"/>
              <w:spacing w:after="0"/>
              <w:rPr>
                <w:sz w:val="20"/>
                <w:szCs w:val="20"/>
                <w:color w:val="auto"/>
              </w:rPr>
            </w:pPr>
            <w:r>
              <w:rPr>
                <w:rFonts w:ascii="Arial" w:cs="Arial" w:eastAsia="Arial" w:hAnsi="Arial"/>
                <w:sz w:val="18"/>
                <w:szCs w:val="18"/>
                <w:color w:val="auto"/>
              </w:rPr>
              <w:t>The weighted average life of our total debt securities was 0.4 years as of December 31, 2022.</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10" w:lineRule="exact"/>
        <w:rPr>
          <w:sz w:val="20"/>
          <w:szCs w:val="20"/>
          <w:color w:val="auto"/>
        </w:rPr>
      </w:pPr>
    </w:p>
    <w:p>
      <w:pPr>
        <w:ind w:left="260" w:hanging="254"/>
        <w:spacing w:after="0"/>
        <w:tabs>
          <w:tab w:leader="none" w:pos="2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4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and the Swiss franc (</w:t>
      </w:r>
      <w:r>
        <w:rPr>
          <w:rFonts w:ascii="Arial" w:cs="Arial" w:eastAsia="Arial" w:hAnsi="Arial"/>
          <w:sz w:val="18"/>
          <w:szCs w:val="18"/>
          <w:b w:val="1"/>
          <w:bCs w:val="1"/>
          <w:color w:val="auto"/>
        </w:rPr>
        <w:t>CHF</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5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3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Long-term</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r>
      <w:tr>
        <w:trPr>
          <w:trHeight w:val="202"/>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5"/>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3"/>
        </w:trPr>
        <w:tc>
          <w:tcPr>
            <w:tcW w:w="3960" w:type="dxa"/>
            <w:vAlign w:val="bottom"/>
          </w:tcPr>
          <w:p>
            <w:pPr>
              <w:ind w:left="140"/>
              <w:spacing w:after="0" w:line="173" w:lineRule="exact"/>
              <w:rPr>
                <w:sz w:val="20"/>
                <w:szCs w:val="20"/>
                <w:color w:val="auto"/>
              </w:rPr>
            </w:pPr>
            <w:r>
              <w:rPr>
                <w:rFonts w:ascii="Arial" w:cs="Arial" w:eastAsia="Arial" w:hAnsi="Arial"/>
                <w:sz w:val="18"/>
                <w:szCs w:val="18"/>
                <w:color w:val="auto"/>
                <w:w w:val="91"/>
              </w:rPr>
              <w:t>Cross-currency and interest rate derivative contracts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7"/>
        </w:trPr>
        <w:tc>
          <w:tcPr>
            <w:tcW w:w="3960" w:type="dxa"/>
            <w:vAlign w:val="bottom"/>
          </w:tcPr>
          <w:p>
            <w:pPr>
              <w:ind w:left="300"/>
              <w:spacing w:after="0"/>
              <w:rPr>
                <w:sz w:val="20"/>
                <w:szCs w:val="20"/>
                <w:color w:val="auto"/>
              </w:rPr>
            </w:pPr>
            <w:r>
              <w:rPr>
                <w:rFonts w:ascii="Arial" w:cs="Arial" w:eastAsia="Arial" w:hAnsi="Arial"/>
                <w:sz w:val="18"/>
                <w:szCs w:val="18"/>
                <w:color w:val="auto"/>
              </w:rPr>
              <w:t>(b)</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25"/>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5"/>
        </w:trPr>
        <w:tc>
          <w:tcPr>
            <w:tcW w:w="396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5"/>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3960" w:type="dxa"/>
            <w:vAlign w:val="bottom"/>
          </w:tcPr>
          <w:p>
            <w:pPr>
              <w:jc w:val="center"/>
              <w:ind w:right="2832"/>
              <w:spacing w:after="0" w:line="204"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522.4</w:t>
            </w:r>
          </w:p>
        </w:tc>
      </w:tr>
      <w:tr>
        <w:trPr>
          <w:trHeight w:val="30"/>
        </w:trPr>
        <w:tc>
          <w:tcPr>
            <w:tcW w:w="39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r>
      <w:tr>
        <w:trPr>
          <w:trHeight w:val="235"/>
        </w:trPr>
        <w:tc>
          <w:tcPr>
            <w:tcW w:w="3960" w:type="dxa"/>
            <w:vAlign w:val="bottom"/>
            <w:shd w:val="clear" w:color="auto" w:fill="CCEEFF"/>
          </w:tcPr>
          <w:p>
            <w:pPr>
              <w:jc w:val="center"/>
              <w:ind w:right="2832"/>
              <w:spacing w:after="0"/>
              <w:rPr>
                <w:sz w:val="20"/>
                <w:szCs w:val="20"/>
                <w:color w:val="auto"/>
              </w:rPr>
            </w:pPr>
            <w:r>
              <w:rPr>
                <w:rFonts w:ascii="Arial" w:cs="Arial" w:eastAsia="Arial" w:hAnsi="Arial"/>
                <w:sz w:val="18"/>
                <w:szCs w:val="18"/>
                <w:color w:val="auto"/>
                <w:w w:val="94"/>
              </w:rPr>
              <w:t>Liabilities (a):</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73"/>
        </w:trPr>
        <w:tc>
          <w:tcPr>
            <w:tcW w:w="3960" w:type="dxa"/>
            <w:vAlign w:val="bottom"/>
          </w:tcPr>
          <w:p>
            <w:pPr>
              <w:ind w:left="140"/>
              <w:spacing w:after="0" w:line="173" w:lineRule="exact"/>
              <w:rPr>
                <w:sz w:val="20"/>
                <w:szCs w:val="20"/>
                <w:color w:val="auto"/>
              </w:rPr>
            </w:pPr>
            <w:r>
              <w:rPr>
                <w:rFonts w:ascii="Arial" w:cs="Arial" w:eastAsia="Arial" w:hAnsi="Arial"/>
                <w:sz w:val="18"/>
                <w:szCs w:val="18"/>
                <w:color w:val="auto"/>
                <w:w w:val="91"/>
              </w:rPr>
              <w:t>Cross-currency and interest rate derivative contracts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7"/>
        </w:trPr>
        <w:tc>
          <w:tcPr>
            <w:tcW w:w="3960" w:type="dxa"/>
            <w:vAlign w:val="bottom"/>
          </w:tcPr>
          <w:p>
            <w:pPr>
              <w:ind w:left="300"/>
              <w:spacing w:after="0"/>
              <w:rPr>
                <w:sz w:val="20"/>
                <w:szCs w:val="20"/>
                <w:color w:val="auto"/>
              </w:rPr>
            </w:pPr>
            <w:r>
              <w:rPr>
                <w:rFonts w:ascii="Arial" w:cs="Arial" w:eastAsia="Arial" w:hAnsi="Arial"/>
                <w:sz w:val="18"/>
                <w:szCs w:val="18"/>
                <w:color w:val="auto"/>
              </w:rPr>
              <w:t>(b)</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879.0</w:t>
            </w:r>
          </w:p>
        </w:tc>
      </w:tr>
      <w:tr>
        <w:trPr>
          <w:trHeight w:val="225"/>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8"/>
        </w:trPr>
        <w:tc>
          <w:tcPr>
            <w:tcW w:w="3960" w:type="dxa"/>
            <w:vAlign w:val="bottom"/>
          </w:tcPr>
          <w:p>
            <w:pPr>
              <w:jc w:val="center"/>
              <w:ind w:right="2832"/>
              <w:spacing w:after="0" w:line="204"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892.0</w:t>
            </w:r>
          </w:p>
        </w:tc>
      </w:tr>
      <w:tr>
        <w:trPr>
          <w:trHeight w:val="20"/>
        </w:trPr>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long-term derivative assets and long-term derivative liabilities are included in other assets, net, and other long-term liabilities, respectively, on our consolidated balance sheets.</w:t>
      </w:r>
    </w:p>
    <w:p>
      <w:pPr>
        <w:spacing w:after="0" w:line="206" w:lineRule="exact"/>
        <w:rPr>
          <w:rFonts w:ascii="Arial" w:cs="Arial" w:eastAsia="Arial" w:hAnsi="Arial"/>
          <w:sz w:val="18"/>
          <w:szCs w:val="18"/>
          <w:color w:val="auto"/>
        </w:rPr>
      </w:pPr>
    </w:p>
    <w:p>
      <w:pPr>
        <w:jc w:val="both"/>
        <w:ind w:left="480" w:hanging="474"/>
        <w:spacing w:after="0" w:line="249" w:lineRule="auto"/>
        <w:tabs>
          <w:tab w:leader="none" w:pos="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($16.6 million), ($10.7 million) and $336.0 million during 2022, 2021 and 2020, respectively. These amounts are included in realized and unrealized gains (losses) on derivative instruments, net, in our consolidated statements of operations. For further information regarding our fair value measurements, see note 9.</w:t>
      </w:r>
    </w:p>
    <w:p>
      <w:pPr>
        <w:spacing w:after="0" w:line="220" w:lineRule="exact"/>
        <w:rPr>
          <w:rFonts w:ascii="Arial" w:cs="Arial" w:eastAsia="Arial" w:hAnsi="Arial"/>
          <w:sz w:val="18"/>
          <w:szCs w:val="18"/>
          <w:color w:val="auto"/>
        </w:rPr>
      </w:pPr>
    </w:p>
    <w:p>
      <w:pPr>
        <w:ind w:left="480" w:hanging="474"/>
        <w:spacing w:after="0"/>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equity-related derivative instruments include warrants on our investment in Plume.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5"/>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r>
      <w:tr>
        <w:trPr>
          <w:trHeight w:val="218"/>
        </w:trPr>
        <w:tc>
          <w:tcPr>
            <w:tcW w:w="75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05"/>
        </w:trPr>
        <w:tc>
          <w:tcPr>
            <w:tcW w:w="7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Equity-related derivative instruments: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8"/>
                <w:szCs w:val="18"/>
                <w:color w:val="auto"/>
              </w:rPr>
              <w:t>ITV Collar</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364.2</w:t>
            </w:r>
          </w:p>
        </w:tc>
      </w:tr>
      <w:tr>
        <w:trPr>
          <w:trHeight w:val="225"/>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8"/>
        </w:trPr>
        <w:tc>
          <w:tcPr>
            <w:tcW w:w="754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equity-related derivative instruments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r>
      <w:tr>
        <w:trPr>
          <w:trHeight w:val="219"/>
        </w:trPr>
        <w:tc>
          <w:tcPr>
            <w:tcW w:w="7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5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5"/>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900" w:type="dxa"/>
            <w:vAlign w:val="bottom"/>
          </w:tcPr>
          <w:p>
            <w:pPr>
              <w:jc w:val="center"/>
              <w:ind w:left="375"/>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3"/>
              </w:rPr>
              <w:t>(50.0)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18"/>
        </w:trPr>
        <w:tc>
          <w:tcPr>
            <w:tcW w:w="75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1"/>
              </w:rPr>
              <w:t>66.2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December 31, 2022, our exposure to counterparty credit risk included derivative assets with an aggregate fair value of $922.5 million.</w:t>
      </w:r>
    </w:p>
    <w:p>
      <w:pPr>
        <w:spacing w:after="0" w:line="20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21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2022,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080" w:type="dxa"/>
            <w:vAlign w:val="bottom"/>
            <w:gridSpan w:val="2"/>
          </w:tcPr>
          <w:p>
            <w:pPr>
              <w:jc w:val="right"/>
              <w:ind w:right="134"/>
              <w:spacing w:after="0"/>
              <w:rPr>
                <w:sz w:val="20"/>
                <w:szCs w:val="20"/>
                <w:color w:val="auto"/>
              </w:rPr>
            </w:pPr>
            <w:r>
              <w:rPr>
                <w:rFonts w:ascii="Arial" w:cs="Arial" w:eastAsia="Arial" w:hAnsi="Arial"/>
                <w:sz w:val="16"/>
                <w:szCs w:val="16"/>
                <w:b w:val="1"/>
                <w:bCs w:val="1"/>
                <w:color w:val="auto"/>
                <w:w w:val="92"/>
              </w:rPr>
              <w:t>Notional amount due from</w:t>
            </w:r>
          </w:p>
        </w:tc>
        <w:tc>
          <w:tcPr>
            <w:tcW w:w="580" w:type="dxa"/>
            <w:vAlign w:val="bottom"/>
          </w:tcPr>
          <w:p>
            <w:pPr>
              <w:spacing w:after="0"/>
              <w:rPr>
                <w:sz w:val="16"/>
                <w:szCs w:val="16"/>
                <w:color w:val="auto"/>
              </w:rPr>
            </w:pPr>
          </w:p>
        </w:tc>
        <w:tc>
          <w:tcPr>
            <w:tcW w:w="1800" w:type="dxa"/>
            <w:vAlign w:val="bottom"/>
          </w:tcPr>
          <w:p>
            <w:pPr>
              <w:jc w:val="right"/>
              <w:ind w:right="294"/>
              <w:spacing w:after="0"/>
              <w:rPr>
                <w:sz w:val="20"/>
                <w:szCs w:val="20"/>
                <w:color w:val="auto"/>
              </w:rPr>
            </w:pPr>
            <w:r>
              <w:rPr>
                <w:rFonts w:ascii="Arial" w:cs="Arial" w:eastAsia="Arial" w:hAnsi="Arial"/>
                <w:sz w:val="16"/>
                <w:szCs w:val="16"/>
                <w:b w:val="1"/>
                <w:bCs w:val="1"/>
                <w:color w:val="auto"/>
                <w:w w:val="87"/>
              </w:rPr>
              <w:t>Notional amount due</w:t>
            </w:r>
          </w:p>
        </w:tc>
        <w:tc>
          <w:tcPr>
            <w:tcW w:w="3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4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w w:val="98"/>
              </w:rPr>
              <w:t>counterparty</w:t>
            </w: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to counterparty</w:t>
            </w:r>
          </w:p>
        </w:tc>
        <w:tc>
          <w:tcPr>
            <w:tcW w:w="38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4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gridSpan w:val="2"/>
          </w:tcPr>
          <w:p>
            <w:pPr>
              <w:ind w:left="1380"/>
              <w:spacing w:after="0"/>
              <w:rPr>
                <w:sz w:val="20"/>
                <w:szCs w:val="20"/>
                <w:color w:val="auto"/>
              </w:rPr>
            </w:pPr>
            <w:r>
              <w:rPr>
                <w:rFonts w:ascii="Arial" w:cs="Arial" w:eastAsia="Arial" w:hAnsi="Arial"/>
                <w:sz w:val="16"/>
                <w:szCs w:val="16"/>
                <w:b w:val="1"/>
                <w:bCs w:val="1"/>
                <w:color w:val="auto"/>
              </w:rPr>
              <w:t>in millions</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5"/>
        </w:trPr>
        <w:tc>
          <w:tcPr>
            <w:tcW w:w="4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250.0</w:t>
            </w: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220.6</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r>
      <w:tr>
        <w:trPr>
          <w:trHeight w:val="225"/>
        </w:trPr>
        <w:tc>
          <w:tcPr>
            <w:tcW w:w="45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4,475.0</w:t>
            </w:r>
          </w:p>
        </w:tc>
        <w:tc>
          <w:tcPr>
            <w:tcW w:w="580" w:type="dxa"/>
            <w:vAlign w:val="bottom"/>
          </w:tcPr>
          <w:p>
            <w:pPr>
              <w:ind w:left="220"/>
              <w:spacing w:after="0"/>
              <w:rPr>
                <w:sz w:val="20"/>
                <w:szCs w:val="20"/>
                <w:color w:val="auto"/>
              </w:rPr>
            </w:pPr>
            <w:r>
              <w:rPr>
                <w:rFonts w:ascii="Arial" w:cs="Arial" w:eastAsia="Arial" w:hAnsi="Arial"/>
                <w:sz w:val="18"/>
                <w:szCs w:val="18"/>
                <w:color w:val="auto"/>
                <w:w w:val="91"/>
              </w:rPr>
              <w:t>CHF</w:t>
            </w:r>
          </w:p>
        </w:tc>
        <w:tc>
          <w:tcPr>
            <w:tcW w:w="1800" w:type="dxa"/>
            <w:vAlign w:val="bottom"/>
          </w:tcPr>
          <w:p>
            <w:pPr>
              <w:jc w:val="right"/>
              <w:ind w:right="94"/>
              <w:spacing w:after="0"/>
              <w:rPr>
                <w:sz w:val="20"/>
                <w:szCs w:val="20"/>
                <w:color w:val="auto"/>
              </w:rPr>
            </w:pPr>
            <w:r>
              <w:rPr>
                <w:rFonts w:ascii="Arial" w:cs="Arial" w:eastAsia="Arial" w:hAnsi="Arial"/>
                <w:sz w:val="18"/>
                <w:szCs w:val="18"/>
                <w:color w:val="auto"/>
              </w:rPr>
              <w:t>4,098.2</w:t>
            </w:r>
          </w:p>
        </w:tc>
        <w:tc>
          <w:tcPr>
            <w:tcW w:w="380" w:type="dxa"/>
            <w:vAlign w:val="bottom"/>
          </w:tcPr>
          <w:p>
            <w:pPr>
              <w:ind w:left="20"/>
              <w:spacing w:after="0"/>
              <w:rPr>
                <w:sz w:val="20"/>
                <w:szCs w:val="20"/>
                <w:color w:val="auto"/>
              </w:rPr>
            </w:pPr>
            <w:r>
              <w:rPr>
                <w:rFonts w:ascii="Arial" w:cs="Arial" w:eastAsia="Arial" w:hAnsi="Arial"/>
                <w:sz w:val="18"/>
                <w:szCs w:val="18"/>
                <w:color w:val="auto"/>
              </w:rPr>
              <w:t>(a)</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5.5</w:t>
            </w:r>
          </w:p>
        </w:tc>
      </w:tr>
      <w:tr>
        <w:trPr>
          <w:trHeight w:val="225"/>
        </w:trPr>
        <w:tc>
          <w:tcPr>
            <w:tcW w:w="45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2,650.0</w:t>
            </w: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CHF</w:t>
            </w:r>
          </w:p>
        </w:tc>
        <w:tc>
          <w:tcPr>
            <w:tcW w:w="1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2,970.1</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r>
      <w:tr>
        <w:trPr>
          <w:trHeight w:val="225"/>
        </w:trPr>
        <w:tc>
          <w:tcPr>
            <w:tcW w:w="45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CHF</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740.0</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4"/>
              <w:spacing w:after="0"/>
              <w:rPr>
                <w:sz w:val="20"/>
                <w:szCs w:val="20"/>
                <w:color w:val="auto"/>
              </w:rPr>
            </w:pPr>
            <w:r>
              <w:rPr>
                <w:rFonts w:ascii="Arial" w:cs="Arial" w:eastAsia="Arial" w:hAnsi="Arial"/>
                <w:sz w:val="18"/>
                <w:szCs w:val="18"/>
                <w:color w:val="auto"/>
              </w:rPr>
              <w:t>701.1</w:t>
            </w:r>
          </w:p>
        </w:tc>
        <w:tc>
          <w:tcPr>
            <w:tcW w:w="3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9"/>
        </w:trPr>
        <w:tc>
          <w:tcPr>
            <w:tcW w:w="4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Telenet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3,940.0</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4"/>
              <w:spacing w:after="0"/>
              <w:rPr>
                <w:sz w:val="20"/>
                <w:szCs w:val="20"/>
                <w:color w:val="auto"/>
              </w:rPr>
            </w:pPr>
            <w:r>
              <w:rPr>
                <w:rFonts w:ascii="Arial" w:cs="Arial" w:eastAsia="Arial" w:hAnsi="Arial"/>
                <w:sz w:val="18"/>
                <w:szCs w:val="18"/>
                <w:color w:val="auto"/>
              </w:rPr>
              <w:t>3,489.6</w:t>
            </w:r>
          </w:p>
        </w:tc>
        <w:tc>
          <w:tcPr>
            <w:tcW w:w="380" w:type="dxa"/>
            <w:vAlign w:val="bottom"/>
          </w:tcPr>
          <w:p>
            <w:pPr>
              <w:ind w:left="20"/>
              <w:spacing w:after="0"/>
              <w:rPr>
                <w:sz w:val="20"/>
                <w:szCs w:val="20"/>
                <w:color w:val="auto"/>
              </w:rPr>
            </w:pPr>
            <w:r>
              <w:rPr>
                <w:rFonts w:ascii="Arial" w:cs="Arial" w:eastAsia="Arial" w:hAnsi="Arial"/>
                <w:sz w:val="18"/>
                <w:szCs w:val="18"/>
                <w:color w:val="auto"/>
              </w:rPr>
              <w:t>(a)</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4.1</w:t>
            </w:r>
          </w:p>
        </w:tc>
      </w:tr>
      <w:tr>
        <w:trPr>
          <w:trHeight w:val="225"/>
        </w:trPr>
        <w:tc>
          <w:tcPr>
            <w:tcW w:w="45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45.2</w:t>
            </w: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94" w:lineRule="auto"/>
        <w:tabs>
          <w:tab w:leader="none" w:pos="477"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December 31, 2022. These instruments are typically entered into in order to extend existing hedges without the need to amend existing contracts.</w:t>
      </w:r>
    </w:p>
    <w:p>
      <w:pPr>
        <w:spacing w:after="0" w:line="182"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3"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December 31,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880"/>
              <w:spacing w:after="0"/>
              <w:rPr>
                <w:sz w:val="20"/>
                <w:szCs w:val="20"/>
                <w:color w:val="auto"/>
              </w:rPr>
            </w:pPr>
            <w:r>
              <w:rPr>
                <w:rFonts w:ascii="Arial" w:cs="Arial" w:eastAsia="Arial" w:hAnsi="Arial"/>
                <w:sz w:val="16"/>
                <w:szCs w:val="16"/>
                <w:b w:val="1"/>
                <w:bCs w:val="1"/>
                <w:color w:val="auto"/>
              </w:rPr>
              <w:t>Pays fixed rate</w:t>
            </w:r>
          </w:p>
        </w:tc>
        <w:tc>
          <w:tcPr>
            <w:tcW w:w="260" w:type="dxa"/>
            <w:vAlign w:val="bottom"/>
          </w:tcPr>
          <w:p>
            <w:pPr>
              <w:spacing w:after="0"/>
              <w:rPr>
                <w:sz w:val="18"/>
                <w:szCs w:val="18"/>
                <w:color w:val="auto"/>
              </w:rPr>
            </w:pPr>
          </w:p>
        </w:tc>
        <w:tc>
          <w:tcPr>
            <w:tcW w:w="3020" w:type="dxa"/>
            <w:vAlign w:val="bottom"/>
            <w:gridSpan w:val="3"/>
          </w:tcPr>
          <w:p>
            <w:pPr>
              <w:ind w:left="740"/>
              <w:spacing w:after="0"/>
              <w:rPr>
                <w:sz w:val="20"/>
                <w:szCs w:val="20"/>
                <w:color w:val="auto"/>
              </w:rPr>
            </w:pPr>
            <w:r>
              <w:rPr>
                <w:rFonts w:ascii="Arial" w:cs="Arial" w:eastAsia="Arial" w:hAnsi="Arial"/>
                <w:sz w:val="16"/>
                <w:szCs w:val="16"/>
                <w:b w:val="1"/>
                <w:bCs w:val="1"/>
                <w:color w:val="auto"/>
              </w:rPr>
              <w:t>Receives fixed rate</w:t>
            </w:r>
          </w:p>
        </w:tc>
      </w:tr>
      <w:tr>
        <w:trPr>
          <w:trHeight w:val="156"/>
        </w:trPr>
        <w:tc>
          <w:tcPr>
            <w:tcW w:w="45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6"/>
                <w:szCs w:val="16"/>
                <w:b w:val="1"/>
                <w:bCs w:val="1"/>
                <w:color w:val="auto"/>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6"/>
                <w:szCs w:val="16"/>
                <w:b w:val="1"/>
                <w:bCs w:val="1"/>
                <w:color w:val="auto"/>
                <w:w w:val="90"/>
              </w:rPr>
              <w:t>Notional</w:t>
            </w: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7"/>
              </w:rPr>
              <w:t>Weighted average</w:t>
            </w:r>
          </w:p>
        </w:tc>
      </w:tr>
      <w:tr>
        <w:trPr>
          <w:trHeight w:val="209"/>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b w:val="1"/>
                <w:bCs w:val="1"/>
                <w:color w:val="auto"/>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amount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2"/>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8"/>
              </w:rPr>
              <w:t>in millions</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152"/>
        </w:trPr>
        <w:tc>
          <w:tcPr>
            <w:tcW w:w="4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5,945.2</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3,419.2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38"/>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1,394.5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303"/>
        </w:trPr>
        <w:tc>
          <w:tcPr>
            <w:tcW w:w="4500" w:type="dxa"/>
            <w:vAlign w:val="bottom"/>
          </w:tcPr>
          <w:p>
            <w:pPr>
              <w:spacing w:after="0"/>
              <w:rPr>
                <w:sz w:val="20"/>
                <w:szCs w:val="20"/>
                <w:color w:val="auto"/>
              </w:rPr>
            </w:pPr>
            <w:r>
              <w:rPr>
                <w:rFonts w:ascii="Arial" w:cs="Arial" w:eastAsia="Arial" w:hAnsi="Arial"/>
                <w:sz w:val="18"/>
                <w:szCs w:val="18"/>
                <w:color w:val="auto"/>
              </w:rPr>
              <w:t>______________</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December 31, 2022, the option expiration period on each of our swaptions had expired.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0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Notional amount due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1"/>
              </w:rPr>
              <w:t>from counterparty</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7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52"/>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3,417.0 (a)</w:t>
            </w:r>
          </w:p>
        </w:tc>
        <w:tc>
          <w:tcPr>
            <w:tcW w:w="16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0.2</w:t>
            </w:r>
          </w:p>
        </w:tc>
      </w:tr>
      <w:tr>
        <w:trPr>
          <w:trHeight w:val="199"/>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2,295.0</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90"/>
        </w:trPr>
        <w:tc>
          <w:tcPr>
            <w:tcW w:w="7600" w:type="dxa"/>
            <w:vAlign w:val="bottom"/>
          </w:tcPr>
          <w:p>
            <w:pPr>
              <w:spacing w:after="0"/>
              <w:rPr>
                <w:sz w:val="20"/>
                <w:szCs w:val="20"/>
                <w:color w:val="auto"/>
              </w:rPr>
            </w:pPr>
            <w:r>
              <w:rPr>
                <w:rFonts w:ascii="Arial" w:cs="Arial" w:eastAsia="Arial" w:hAnsi="Arial"/>
                <w:sz w:val="18"/>
                <w:szCs w:val="18"/>
                <w:color w:val="auto"/>
              </w:rPr>
              <w:t>______________</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December 31, 2022, we had no interest rate collar agreements, and the total U.S. dollar equivalents of the notional amounts of our purchased interest rate caps and floors were $1.2 billion and $7.4 billion, respectively.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5"/>
              </w:rPr>
              <w:t>Decrease to</w:t>
            </w:r>
          </w:p>
        </w:tc>
      </w:tr>
      <w:tr>
        <w:trPr>
          <w:trHeight w:val="159"/>
        </w:trPr>
        <w:tc>
          <w:tcPr>
            <w:tcW w:w="910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borrowing costs at</w:t>
            </w:r>
          </w:p>
        </w:tc>
      </w:tr>
      <w:tr>
        <w:trPr>
          <w:trHeight w:val="209"/>
        </w:trPr>
        <w:tc>
          <w:tcPr>
            <w:tcW w:w="910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December 31, 2022 (a)</w:t>
            </w:r>
          </w:p>
        </w:tc>
      </w:tr>
      <w:tr>
        <w:trPr>
          <w:trHeight w:val="195"/>
        </w:trPr>
        <w:tc>
          <w:tcPr>
            <w:tcW w:w="9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5"/>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5"/>
        </w:trPr>
        <w:tc>
          <w:tcPr>
            <w:tcW w:w="9100" w:type="dxa"/>
            <w:vAlign w:val="bottom"/>
          </w:tcPr>
          <w:p>
            <w:pPr>
              <w:ind w:left="20"/>
              <w:spacing w:after="0"/>
              <w:rPr>
                <w:sz w:val="20"/>
                <w:szCs w:val="20"/>
                <w:color w:val="auto"/>
              </w:rPr>
            </w:pPr>
            <w:r>
              <w:rPr>
                <w:rFonts w:ascii="Arial" w:cs="Arial" w:eastAsia="Arial" w:hAnsi="Arial"/>
                <w:sz w:val="18"/>
                <w:szCs w:val="18"/>
                <w:color w:val="auto"/>
              </w:rPr>
              <w:t>Telenet</w:t>
            </w:r>
          </w:p>
        </w:tc>
        <w:tc>
          <w:tcPr>
            <w:tcW w:w="2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5"/>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7"/>
        </w:trPr>
        <w:tc>
          <w:tcPr>
            <w:tcW w:w="9100" w:type="dxa"/>
            <w:vAlign w:val="bottom"/>
          </w:tcPr>
          <w:p>
            <w:pPr>
              <w:ind w:left="140"/>
              <w:spacing w:after="0" w:line="204" w:lineRule="exact"/>
              <w:rPr>
                <w:sz w:val="20"/>
                <w:szCs w:val="20"/>
                <w:color w:val="auto"/>
              </w:rPr>
            </w:pPr>
            <w:r>
              <w:rPr>
                <w:rFonts w:ascii="Arial" w:cs="Arial" w:eastAsia="Arial" w:hAnsi="Arial"/>
                <w:sz w:val="18"/>
                <w:szCs w:val="18"/>
                <w:color w:val="auto"/>
              </w:rPr>
              <w:t>Total decrease to borrowing costs</w:t>
            </w:r>
          </w:p>
        </w:tc>
        <w:tc>
          <w:tcPr>
            <w:tcW w:w="2140" w:type="dxa"/>
            <w:vAlign w:val="bottom"/>
          </w:tcPr>
          <w:p>
            <w:pPr>
              <w:jc w:val="right"/>
              <w:spacing w:after="0"/>
              <w:rPr>
                <w:sz w:val="20"/>
                <w:szCs w:val="20"/>
                <w:color w:val="auto"/>
              </w:rPr>
            </w:pPr>
            <w:r>
              <w:rPr>
                <w:rFonts w:ascii="Arial" w:cs="Arial" w:eastAsia="Arial" w:hAnsi="Arial"/>
                <w:sz w:val="18"/>
                <w:szCs w:val="18"/>
                <w:color w:val="auto"/>
              </w:rPr>
              <w:t>(2.58)%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December 31, 2022 and does not include forward-starting derivative instruments.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Certain of our subsidiaries enter into foreign currency forward and option contracts with respect to non-functional currency exposure, including hedges of the proceeds from the sale of UPC Poland. As of December 31, 2022, the total U.S. dollar equivalent of the notional amounts of our foreign currency forward and option contracts was $873.5 million.</w:t>
      </w:r>
    </w:p>
    <w:p>
      <w:pPr>
        <w:spacing w:after="0" w:line="210" w:lineRule="exact"/>
        <w:rPr>
          <w:sz w:val="20"/>
          <w:szCs w:val="20"/>
          <w:color w:val="auto"/>
        </w:rPr>
      </w:pPr>
    </w:p>
    <w:p>
      <w:pPr>
        <w:ind w:left="260" w:hanging="254"/>
        <w:spacing w:after="0"/>
        <w:tabs>
          <w:tab w:leader="none" w:pos="2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December 31, 2022 are unlikely to represent the value that will be paid or received upon the ultimate settlement or disposition of these assets and liabilities.</w:t>
      </w:r>
    </w:p>
    <w:p>
      <w:pPr>
        <w:spacing w:after="0" w:line="21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fourth quarter of 2022, our investment in CANAL+ Polska transferred from Level 2 to Level 3 due to a lack of readily available observable inputs.</w:t>
      </w:r>
    </w:p>
    <w:p>
      <w:pPr>
        <w:spacing w:after="0" w:line="220"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8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For such investments, we generally apply a measurement alternative to record these investments at cost less impairment, adjusted for observable price changes in orderly transactions. For privately-held investments that don’t qualify for the measurement alternative, we apply a combination of an income approach (discounted cash flow model based on forecasts) and a market approach (transactions with new third-party investors or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21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recurring fair value measurements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At December 31, 2022, our equity-related derivatives were not significantly impacted by forecasted volatilities.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order to manage our interest rate and foreign currency exchange risk, we have entered into various derivative instruments, as further described in note</w:t>
      </w:r>
    </w:p>
    <w:p>
      <w:pPr>
        <w:spacing w:after="0" w:line="51" w:lineRule="exact"/>
        <w:rPr>
          <w:sz w:val="20"/>
          <w:szCs w:val="20"/>
          <w:color w:val="auto"/>
        </w:rPr>
      </w:pPr>
    </w:p>
    <w:p>
      <w:pPr>
        <w:jc w:val="both"/>
        <w:ind w:firstLine="6"/>
        <w:spacing w:after="0" w:line="248" w:lineRule="auto"/>
        <w:tabs>
          <w:tab w:leader="none" w:pos="1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mostly includes currency rates,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interest rate futures and swap rates, which are retrieved or derived from available market data. Although we may extrapolate or interpolate this data, we do not otherwise alter this data in performing our valuations. We classify deal-contingent hedges under Level 3 of the fair value hierarchy, as we adjust the valuations to reflect an internal judgement of the probability of the completion of the deal, which is unobservable.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fall under Level 2 of the fair value hierarchy. Our credit risk valuation adjustments with respect to our cross-currency and interest rate swaps are quantified and further explained in note 8.</w:t>
      </w:r>
    </w:p>
    <w:p>
      <w:pPr>
        <w:spacing w:after="0" w:line="18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VMO2 JV. These nonrecurring valuations include the valuation of reporting units, customer relationships and other intangible assets, property and equipment, the implied value of goodwill and the valuation of our initial investment in the VMO2 JV. The valuation of reporting units and our initial investment in the VMO2 JV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19),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2022, we did not perform any significant nonrecurring fair value measurements. During 2021, we performed a nonrecurring valuation for the purpose of determining the fair value of our initial investment in the VMO2 JV, and the weighted average cost of capital used to value our initial investment was 6.9%. For information regarding our investment in the VMO2 JV,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6"/>
                <w:szCs w:val="16"/>
                <w:b w:val="1"/>
                <w:bCs w:val="1"/>
                <w:color w:val="auto"/>
              </w:rPr>
              <w:t>December 31, 2022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7"/>
              </w:rPr>
              <w:t>Quoted prices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3"/>
                <w:szCs w:val="13"/>
                <w:color w:val="auto"/>
              </w:rPr>
            </w:pPr>
          </w:p>
        </w:tc>
        <w:tc>
          <w:tcPr>
            <w:tcW w:w="112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0"/>
              </w:rPr>
              <w:t>in active</w:t>
            </w:r>
          </w:p>
        </w:tc>
        <w:tc>
          <w:tcPr>
            <w:tcW w:w="280" w:type="dxa"/>
            <w:vAlign w:val="bottom"/>
          </w:tcPr>
          <w:p>
            <w:pPr>
              <w:spacing w:after="0"/>
              <w:rPr>
                <w:sz w:val="13"/>
                <w:szCs w:val="13"/>
                <w:color w:val="auto"/>
              </w:rPr>
            </w:pPr>
          </w:p>
        </w:tc>
        <w:tc>
          <w:tcPr>
            <w:tcW w:w="1120" w:type="dxa"/>
            <w:vAlign w:val="bottom"/>
            <w:gridSpan w:val="2"/>
          </w:tcPr>
          <w:p>
            <w:pPr>
              <w:jc w:val="center"/>
              <w:ind w:right="36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5"/>
              </w:rPr>
              <w:t>identical assets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(Level 1)</w:t>
            </w:r>
          </w:p>
        </w:tc>
        <w:tc>
          <w:tcPr>
            <w:tcW w:w="2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(Level 2)</w:t>
            </w:r>
          </w:p>
        </w:tc>
        <w:tc>
          <w:tcPr>
            <w:tcW w:w="18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3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gridSpan w:val="2"/>
          </w:tcPr>
          <w:p>
            <w:pPr>
              <w:ind w:left="34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derivative instruments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5"/>
        </w:trPr>
        <w:tc>
          <w:tcPr>
            <w:tcW w:w="566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1,546.6</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0" w:type="dxa"/>
            <w:vAlign w:val="bottom"/>
          </w:tcPr>
          <w:p>
            <w:pPr>
              <w:spacing w:after="0"/>
              <w:rPr>
                <w:sz w:val="1"/>
                <w:szCs w:val="1"/>
                <w:color w:val="auto"/>
              </w:rPr>
            </w:pPr>
          </w:p>
        </w:tc>
      </w:tr>
      <w:tr>
        <w:trPr>
          <w:trHeight w:val="192"/>
        </w:trPr>
        <w:tc>
          <w:tcPr>
            <w:tcW w:w="5660" w:type="dxa"/>
            <w:vAlign w:val="bottom"/>
            <w:gridSpan w:val="2"/>
          </w:tcPr>
          <w:p>
            <w:pPr>
              <w:ind w:left="660"/>
              <w:spacing w:after="0" w:line="192"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6,363.3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1,342.5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2"/>
              <w:spacing w:after="0" w:line="19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3,381.8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6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5" w:name="page126"/>
    <w:bookmarkEnd w:id="125"/>
    <w:p>
      <w:pPr>
        <w:jc w:val="center"/>
        <w:ind w:right="-9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2021 using:</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7"/>
              </w:rPr>
              <w:t>Quoted prices</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60" w:type="dxa"/>
            <w:vAlign w:val="bottom"/>
          </w:tcPr>
          <w:p>
            <w:pPr>
              <w:spacing w:after="0"/>
              <w:rPr>
                <w:sz w:val="13"/>
                <w:szCs w:val="13"/>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40" w:type="dxa"/>
            <w:vAlign w:val="bottom"/>
          </w:tcPr>
          <w:p>
            <w:pPr>
              <w:spacing w:after="0"/>
              <w:rPr>
                <w:sz w:val="13"/>
                <w:szCs w:val="13"/>
                <w:color w:val="auto"/>
              </w:rPr>
            </w:pPr>
          </w:p>
        </w:tc>
        <w:tc>
          <w:tcPr>
            <w:tcW w:w="11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60" w:type="dxa"/>
            <w:vAlign w:val="bottom"/>
          </w:tcPr>
          <w:p>
            <w:pPr>
              <w:spacing w:after="0"/>
              <w:rPr>
                <w:sz w:val="13"/>
                <w:szCs w:val="13"/>
                <w:color w:val="auto"/>
              </w:rPr>
            </w:pPr>
          </w:p>
        </w:tc>
        <w:tc>
          <w:tcPr>
            <w:tcW w:w="110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identical assets</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87"/>
              </w:rPr>
              <w:t>inputs</w:t>
            </w:r>
          </w:p>
        </w:tc>
        <w:tc>
          <w:tcPr>
            <w:tcW w:w="160" w:type="dxa"/>
            <w:vAlign w:val="bottom"/>
          </w:tcPr>
          <w:p>
            <w:pPr>
              <w:spacing w:after="0"/>
              <w:rPr>
                <w:sz w:val="13"/>
                <w:szCs w:val="13"/>
                <w:color w:val="auto"/>
              </w:rPr>
            </w:pPr>
          </w:p>
        </w:tc>
        <w:tc>
          <w:tcPr>
            <w:tcW w:w="110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09"/>
        </w:trPr>
        <w:tc>
          <w:tcPr>
            <w:tcW w:w="5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(Level 2)</w:t>
            </w:r>
          </w:p>
        </w:tc>
        <w:tc>
          <w:tcPr>
            <w:tcW w:w="160" w:type="dxa"/>
            <w:vAlign w:val="bottom"/>
          </w:tcPr>
          <w:p>
            <w:pPr>
              <w:spacing w:after="0"/>
              <w:rPr>
                <w:sz w:val="18"/>
                <w:szCs w:val="18"/>
                <w:color w:val="auto"/>
              </w:rPr>
            </w:pPr>
          </w:p>
        </w:tc>
        <w:tc>
          <w:tcPr>
            <w:tcW w:w="110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2"/>
        </w:trPr>
        <w:tc>
          <w:tcPr>
            <w:tcW w:w="132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5"/>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derivative instruments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5"/>
        </w:trPr>
        <w:tc>
          <w:tcPr>
            <w:tcW w:w="564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192"/>
        </w:trPr>
        <w:tc>
          <w:tcPr>
            <w:tcW w:w="5640" w:type="dxa"/>
            <w:vAlign w:val="bottom"/>
            <w:gridSpan w:val="2"/>
          </w:tcPr>
          <w:p>
            <w:pPr>
              <w:ind w:left="660"/>
              <w:spacing w:after="0" w:line="192"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5,549.8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1,420.0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2"/>
              <w:spacing w:after="0" w:line="19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2,584.2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4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640" w:type="dxa"/>
            <w:vAlign w:val="bottom"/>
            <w:gridSpan w:val="2"/>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59" w:right="4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Cross-currency,</w:t>
            </w:r>
          </w:p>
        </w:tc>
        <w:tc>
          <w:tcPr>
            <w:tcW w:w="12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Equity-related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3"/>
                <w:szCs w:val="13"/>
                <w:color w:val="auto"/>
              </w:rPr>
            </w:pPr>
          </w:p>
        </w:tc>
        <w:tc>
          <w:tcPr>
            <w:tcW w:w="14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8"/>
              </w:rPr>
              <w:t>derivative</w:t>
            </w:r>
          </w:p>
        </w:tc>
        <w:tc>
          <w:tcPr>
            <w:tcW w:w="260" w:type="dxa"/>
            <w:vAlign w:val="bottom"/>
          </w:tcPr>
          <w:p>
            <w:pPr>
              <w:spacing w:after="0"/>
              <w:rPr>
                <w:sz w:val="13"/>
                <w:szCs w:val="13"/>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8"/>
              </w:rPr>
              <w:t>derivative contracts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instruments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92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(liabilities)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173"/>
        </w:trPr>
        <w:tc>
          <w:tcPr>
            <w:tcW w:w="5820" w:type="dxa"/>
            <w:vAlign w:val="bottom"/>
          </w:tcPr>
          <w:p>
            <w:pPr>
              <w:ind w:left="120"/>
              <w:spacing w:after="0" w:line="173" w:lineRule="exact"/>
              <w:rPr>
                <w:sz w:val="20"/>
                <w:szCs w:val="20"/>
                <w:color w:val="auto"/>
              </w:rPr>
            </w:pPr>
            <w:r>
              <w:rPr>
                <w:rFonts w:ascii="Arial" w:cs="Arial" w:eastAsia="Arial" w:hAnsi="Arial"/>
                <w:sz w:val="18"/>
                <w:szCs w:val="18"/>
                <w:color w:val="auto"/>
              </w:rPr>
              <w:t>Gains (losses) included in earnings from continuing</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00"/>
              <w:spacing w:after="0"/>
              <w:rPr>
                <w:sz w:val="20"/>
                <w:szCs w:val="20"/>
                <w:color w:val="auto"/>
              </w:rPr>
            </w:pPr>
            <w:r>
              <w:rPr>
                <w:rFonts w:ascii="Arial" w:cs="Arial" w:eastAsia="Arial" w:hAnsi="Arial"/>
                <w:sz w:val="18"/>
                <w:szCs w:val="18"/>
                <w:color w:val="auto"/>
              </w:rPr>
              <w:t>operations (a):</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40"/>
              <w:spacing w:after="0" w:line="180" w:lineRule="exact"/>
              <w:rPr>
                <w:sz w:val="20"/>
                <w:szCs w:val="20"/>
                <w:color w:val="auto"/>
              </w:rPr>
            </w:pPr>
            <w:r>
              <w:rPr>
                <w:rFonts w:ascii="Arial" w:cs="Arial" w:eastAsia="Arial" w:hAnsi="Arial"/>
                <w:sz w:val="18"/>
                <w:szCs w:val="18"/>
                <w:color w:val="auto"/>
              </w:rPr>
              <w:t>Realized and unrealized gains due to changes in fair values of certain</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5"/>
        </w:trPr>
        <w:tc>
          <w:tcPr>
            <w:tcW w:w="5820" w:type="dxa"/>
            <w:vAlign w:val="bottom"/>
          </w:tcPr>
          <w:p>
            <w:pPr>
              <w:ind w:left="240"/>
              <w:spacing w:after="0"/>
              <w:rPr>
                <w:sz w:val="20"/>
                <w:szCs w:val="20"/>
                <w:color w:val="auto"/>
              </w:rPr>
            </w:pPr>
            <w:r>
              <w:rPr>
                <w:rFonts w:ascii="Arial" w:cs="Arial" w:eastAsia="Arial" w:hAnsi="Arial"/>
                <w:sz w:val="18"/>
                <w:szCs w:val="18"/>
                <w:color w:val="auto"/>
              </w:rPr>
              <w:t>Realized and unrealized losses on derivative instruments, net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to Level 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Transfers out of Level 3</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other, net</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line="204" w:lineRule="exact"/>
              <w:rPr>
                <w:sz w:val="20"/>
                <w:szCs w:val="20"/>
                <w:color w:val="auto"/>
              </w:rPr>
            </w:pPr>
            <w:r>
              <w:rPr>
                <w:rFonts w:ascii="Arial" w:cs="Arial" w:eastAsia="Arial" w:hAnsi="Arial"/>
                <w:sz w:val="18"/>
                <w:szCs w:val="18"/>
                <w:color w:val="auto"/>
              </w:rPr>
              <w:t>Balance of net assets at December 31, 2022 (b)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Amounts primarily relate to assets and liabilities that we continue to carry on our consolidated balance sheet as of December 31, 2022.</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December 31, 2022, $306.7 million of our Level 3 investments were accounted for under the measurement alternative at cost less impairment, adjusted for observable price changes.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7" w:name="page128"/>
    <w:bookmarkEnd w:id="127"/>
    <w:p>
      <w:pPr>
        <w:jc w:val="center"/>
        <w:ind w:left="294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left="29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left="2940"/>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Long-lived Assets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details of our property and equipment and the related accumulated depreciation are set forth below:</w:t>
      </w:r>
    </w:p>
    <w:p>
      <w:pPr>
        <w:spacing w:after="0" w:line="153"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Estimated</w:t>
      </w:r>
    </w:p>
    <w:p>
      <w:pPr>
        <w:jc w:val="center"/>
        <w:ind w:left="6780"/>
        <w:spacing w:after="0" w:line="207" w:lineRule="auto"/>
        <w:rPr>
          <w:sz w:val="20"/>
          <w:szCs w:val="20"/>
          <w:color w:val="auto"/>
        </w:rPr>
      </w:pPr>
      <w:r>
        <w:rPr>
          <w:rFonts w:ascii="Arial" w:cs="Arial" w:eastAsia="Arial" w:hAnsi="Arial"/>
          <w:sz w:val="16"/>
          <w:szCs w:val="16"/>
          <w:b w:val="1"/>
          <w:bCs w:val="1"/>
          <w:color w:val="auto"/>
        </w:rPr>
        <w:t>useful life at</w:t>
      </w:r>
    </w:p>
    <w:p>
      <w:pPr>
        <w:jc w:val="center"/>
        <w:ind w:left="678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20955</wp:posOffset>
            </wp:positionV>
            <wp:extent cx="1092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17780</wp:posOffset>
            </wp:positionV>
            <wp:extent cx="1731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21"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32385</wp:posOffset>
            </wp:positionV>
            <wp:extent cx="17310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ectPr>
          <w:pgSz w:w="11900" w:h="16838" w:orient="portrait"/>
          <w:cols w:equalWidth="0" w:num="2">
            <w:col w:w="8300" w:space="720"/>
            <w:col w:w="2220"/>
          </w:cols>
          <w:pgMar w:left="320" w:top="359" w:right="3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3580" w:type="dxa"/>
            <w:vAlign w:val="bottom"/>
            <w:shd w:val="clear" w:color="auto" w:fill="CCEEFF"/>
          </w:tcPr>
          <w:p>
            <w:pPr>
              <w:jc w:val="center"/>
              <w:ind w:left="1552"/>
              <w:spacing w:after="0"/>
              <w:rPr>
                <w:sz w:val="20"/>
                <w:szCs w:val="20"/>
                <w:color w:val="auto"/>
              </w:rPr>
            </w:pPr>
            <w:r>
              <w:rPr>
                <w:rFonts w:ascii="Arial" w:cs="Arial" w:eastAsia="Arial" w:hAnsi="Arial"/>
                <w:sz w:val="18"/>
                <w:szCs w:val="18"/>
                <w:color w:val="auto"/>
                <w:w w:val="86"/>
              </w:rPr>
              <w:t>3 to 30 years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3580" w:type="dxa"/>
            <w:vAlign w:val="bottom"/>
          </w:tcPr>
          <w:p>
            <w:pPr>
              <w:jc w:val="center"/>
              <w:ind w:left="1552"/>
              <w:spacing w:after="0"/>
              <w:rPr>
                <w:sz w:val="20"/>
                <w:szCs w:val="20"/>
                <w:color w:val="auto"/>
              </w:rPr>
            </w:pPr>
            <w:r>
              <w:rPr>
                <w:rFonts w:ascii="Arial" w:cs="Arial" w:eastAsia="Arial" w:hAnsi="Arial"/>
                <w:sz w:val="18"/>
                <w:szCs w:val="18"/>
                <w:color w:val="auto"/>
                <w:w w:val="86"/>
              </w:rPr>
              <w:t>3 to 33 years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4,310.5</w:t>
            </w:r>
          </w:p>
        </w:tc>
      </w:t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3580" w:type="dxa"/>
            <w:vAlign w:val="bottom"/>
            <w:shd w:val="clear" w:color="auto" w:fill="CCEEFF"/>
          </w:tcPr>
          <w:p>
            <w:pPr>
              <w:jc w:val="center"/>
              <w:ind w:left="1552"/>
              <w:spacing w:after="0"/>
              <w:rPr>
                <w:sz w:val="20"/>
                <w:szCs w:val="20"/>
                <w:color w:val="auto"/>
              </w:rPr>
            </w:pPr>
            <w:r>
              <w:rPr>
                <w:rFonts w:ascii="Arial" w:cs="Arial" w:eastAsia="Arial" w:hAnsi="Arial"/>
                <w:sz w:val="18"/>
                <w:szCs w:val="18"/>
                <w:color w:val="auto"/>
                <w:w w:val="87"/>
              </w:rPr>
              <w:t>4 to 7 years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r>
      <w:tr>
        <w:trPr>
          <w:trHeight w:val="218"/>
        </w:trPr>
        <w:tc>
          <w:tcPr>
            <w:tcW w:w="4940" w:type="dxa"/>
            <w:vAlign w:val="bottom"/>
          </w:tcPr>
          <w:p>
            <w:pPr>
              <w:ind w:left="220"/>
              <w:spacing w:after="0" w:line="204" w:lineRule="exact"/>
              <w:rPr>
                <w:sz w:val="20"/>
                <w:szCs w:val="20"/>
                <w:color w:val="auto"/>
              </w:rPr>
            </w:pPr>
            <w:r>
              <w:rPr>
                <w:rFonts w:ascii="Arial" w:cs="Arial" w:eastAsia="Arial" w:hAnsi="Arial"/>
                <w:sz w:val="18"/>
                <w:szCs w:val="18"/>
                <w:color w:val="auto"/>
              </w:rPr>
              <w:t>Total property and equipment, gross</w:t>
            </w: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15,062.5</w:t>
            </w:r>
          </w:p>
        </w:tc>
      </w:t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w:t>
            </w:r>
          </w:p>
        </w:tc>
      </w:tr>
      <w:tr>
        <w:trPr>
          <w:trHeight w:val="218"/>
        </w:trPr>
        <w:tc>
          <w:tcPr>
            <w:tcW w:w="4940" w:type="dxa"/>
            <w:vAlign w:val="bottom"/>
          </w:tcPr>
          <w:p>
            <w:pPr>
              <w:ind w:left="340"/>
              <w:spacing w:after="0" w:line="204" w:lineRule="exact"/>
              <w:rPr>
                <w:sz w:val="20"/>
                <w:szCs w:val="20"/>
                <w:color w:val="auto"/>
              </w:rPr>
            </w:pPr>
            <w:r>
              <w:rPr>
                <w:rFonts w:ascii="Arial" w:cs="Arial" w:eastAsia="Arial" w:hAnsi="Arial"/>
                <w:sz w:val="18"/>
                <w:szCs w:val="18"/>
                <w:color w:val="auto"/>
              </w:rPr>
              <w:t>Total property and equipment, net</w:t>
            </w:r>
          </w:p>
        </w:tc>
        <w:tc>
          <w:tcPr>
            <w:tcW w:w="358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r>
      <w:tr>
        <w:trPr>
          <w:trHeight w:val="20"/>
        </w:trPr>
        <w:tc>
          <w:tcPr>
            <w:tcW w:w="4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expense related to our property and equipment was $1,727.7 million, $1,883.2 million and $2,053.0 million during 2022, 2021 and 2020, respectively.</w:t>
      </w:r>
    </w:p>
    <w:p>
      <w:pPr>
        <w:spacing w:after="0" w:line="20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During 2022, 2021 and 2020, we recorded non-cash increases to our property and equipment related to vendor financing arrangements (including amounts related to the U.K. JV Entities through the closing of the U.K. JV Transaction) of $182.8 million, $661.1 million and $1,339.6 million, respectively, which exclude related VAT of $21.2 million, $84.7 million and $226.6 million, respectively, that were also financed under these arrangements.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2022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Acquisitions</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Foreign currency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1,</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3"/>
                <w:szCs w:val="13"/>
                <w:color w:val="auto"/>
              </w:rPr>
            </w:pPr>
          </w:p>
        </w:tc>
        <w:tc>
          <w:tcPr>
            <w:tcW w:w="114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and related</w:t>
            </w:r>
          </w:p>
        </w:tc>
        <w:tc>
          <w:tcPr>
            <w:tcW w:w="142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adjustments and</w:t>
            </w: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6"/>
              </w:rPr>
              <w:t>adjustments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8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2,480.2</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5640" w:type="dxa"/>
            <w:vAlign w:val="bottom"/>
            <w:tcBorders>
              <w:top w:val="single" w:sz="8" w:color="CCEEFF"/>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2021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Acquisitions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1,</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and related</w:t>
            </w:r>
          </w:p>
        </w:tc>
        <w:tc>
          <w:tcPr>
            <w:tcW w:w="140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6"/>
              </w:rPr>
              <w:t>adjustments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ind w:left="84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25"/>
        </w:trPr>
        <w:tc>
          <w:tcPr>
            <w:tcW w:w="574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25"/>
        </w:trPr>
        <w:tc>
          <w:tcPr>
            <w:tcW w:w="57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5740" w:type="dxa"/>
            <w:vAlign w:val="bottom"/>
            <w:tcBorders>
              <w:top w:val="single" w:sz="8" w:color="CCEEFF"/>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2022</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6"/>
                <w:szCs w:val="16"/>
                <w:b w:val="1"/>
                <w:bCs w:val="1"/>
                <w:color w:val="auto"/>
                <w:w w:val="89"/>
              </w:rPr>
              <w:t>Estimated useful</w:t>
            </w: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9"/>
              </w:rPr>
              <w:t>Gross 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Net carrying</w:t>
            </w: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89"/>
              </w:rPr>
              <w:t>Net carrying</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13"/>
                <w:szCs w:val="13"/>
                <w:color w:val="auto"/>
              </w:rPr>
            </w:pPr>
          </w:p>
        </w:tc>
        <w:tc>
          <w:tcPr>
            <w:tcW w:w="148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life at December</w:t>
            </w: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31, 2022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amortization</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2"/>
        </w:trPr>
        <w:tc>
          <w:tcPr>
            <w:tcW w:w="2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right"/>
              <w:ind w:right="674"/>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5 to 11 years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25"/>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6"/>
              </w:rPr>
              <w:t>2 to 20 years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third quarter of 2022, Telenet acquired certain mobile spectrum licenses. In connection with this transaction, we recorded a non-cash increase of $384.1 million to our intangible assets subject to amortization.</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Amortization expense related to intangible assets with finite useful lives was $443.7 million, $470.5 million and $174.2 million during 2022, 2021 and 2020, respectively. Based on our amortizable intangible asset balance at December 31, 2022, we expect that amortization expense will be as follows for the next five years and thereafter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25"/>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436.4</w:t>
            </w:r>
          </w:p>
        </w:tc>
      </w:t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r>
      <w:tr>
        <w:trPr>
          <w:trHeight w:val="225"/>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386.2</w:t>
            </w:r>
          </w:p>
        </w:tc>
      </w:t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5"/>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r>
      <w:tr>
        <w:trPr>
          <w:trHeight w:val="243"/>
        </w:trPr>
        <w:tc>
          <w:tcPr>
            <w:tcW w:w="988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48"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U.S. dollar equivalents of the components of our debt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9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Unused borrowing capacity (b)</w:t>
            </w:r>
          </w:p>
        </w:tc>
        <w:tc>
          <w:tcPr>
            <w:tcW w:w="360" w:type="dxa"/>
            <w:vAlign w:val="bottom"/>
          </w:tcPr>
          <w:p>
            <w:pPr>
              <w:spacing w:after="0"/>
              <w:rPr>
                <w:sz w:val="24"/>
                <w:szCs w:val="24"/>
                <w:color w:val="auto"/>
              </w:rPr>
            </w:pPr>
          </w:p>
        </w:tc>
        <w:tc>
          <w:tcPr>
            <w:tcW w:w="204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53"/>
        </w:trPr>
        <w:tc>
          <w:tcPr>
            <w:tcW w:w="4920" w:type="dxa"/>
            <w:vAlign w:val="bottom"/>
          </w:tcPr>
          <w:p>
            <w:pPr>
              <w:spacing w:after="0"/>
              <w:rPr>
                <w:sz w:val="4"/>
                <w:szCs w:val="4"/>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49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234"/>
              <w:spacing w:after="0" w:line="139" w:lineRule="exact"/>
              <w:rPr>
                <w:sz w:val="20"/>
                <w:szCs w:val="20"/>
                <w:color w:val="auto"/>
              </w:rPr>
            </w:pPr>
            <w:r>
              <w:rPr>
                <w:rFonts w:ascii="Arial" w:cs="Arial" w:eastAsia="Arial" w:hAnsi="Arial"/>
                <w:sz w:val="16"/>
                <w:szCs w:val="16"/>
                <w:b w:val="1"/>
                <w:bCs w:val="1"/>
                <w:color w:val="auto"/>
                <w:w w:val="99"/>
              </w:rPr>
              <w:t>Borrowing</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39" w:lineRule="exact"/>
              <w:rPr>
                <w:sz w:val="20"/>
                <w:szCs w:val="20"/>
                <w:color w:val="auto"/>
              </w:rPr>
            </w:pPr>
            <w:r>
              <w:rPr>
                <w:rFonts w:ascii="Arial" w:cs="Arial" w:eastAsia="Arial" w:hAnsi="Arial"/>
                <w:sz w:val="16"/>
                <w:szCs w:val="16"/>
                <w:b w:val="1"/>
                <w:bCs w:val="1"/>
                <w:color w:val="auto"/>
                <w:w w:val="89"/>
              </w:rPr>
              <w:t>U.S. $</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currency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equivalent</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UPC Holding Bank Facility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UPC SPE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UPC Holding Senior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Telenet Credit Facility (d)</w:t>
            </w:r>
          </w:p>
        </w:tc>
        <w:tc>
          <w:tcPr>
            <w:tcW w:w="1300" w:type="dxa"/>
            <w:vAlign w:val="bottom"/>
          </w:tcPr>
          <w:p>
            <w:pPr>
              <w:jc w:val="right"/>
              <w:spacing w:after="0"/>
              <w:rPr>
                <w:sz w:val="20"/>
                <w:szCs w:val="20"/>
                <w:color w:val="auto"/>
              </w:rPr>
            </w:pPr>
            <w:r>
              <w:rPr>
                <w:rFonts w:ascii="Arial" w:cs="Arial" w:eastAsia="Arial" w:hAnsi="Arial"/>
                <w:sz w:val="18"/>
                <w:szCs w:val="18"/>
                <w:color w:val="auto"/>
              </w:rPr>
              <w:t>5.90 %</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3,558.9</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VM Ireland Credit Facility (e)</w:t>
            </w:r>
          </w:p>
        </w:tc>
        <w:tc>
          <w:tcPr>
            <w:tcW w:w="1300" w:type="dxa"/>
            <w:vAlign w:val="bottom"/>
          </w:tcPr>
          <w:p>
            <w:pPr>
              <w:jc w:val="right"/>
              <w:spacing w:after="0"/>
              <w:rPr>
                <w:sz w:val="20"/>
                <w:szCs w:val="20"/>
                <w:color w:val="auto"/>
              </w:rPr>
            </w:pPr>
            <w:r>
              <w:rPr>
                <w:rFonts w:ascii="Arial" w:cs="Arial" w:eastAsia="Arial" w:hAnsi="Arial"/>
                <w:sz w:val="18"/>
                <w:szCs w:val="18"/>
                <w:color w:val="auto"/>
              </w:rPr>
              <w:t>6.19 %</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Vendor financing (f)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Other (g)</w:t>
            </w:r>
          </w:p>
        </w:tc>
        <w:tc>
          <w:tcPr>
            <w:tcW w:w="1300" w:type="dxa"/>
            <w:vAlign w:val="bottom"/>
          </w:tcPr>
          <w:p>
            <w:pPr>
              <w:jc w:val="right"/>
              <w:spacing w:after="0"/>
              <w:rPr>
                <w:sz w:val="20"/>
                <w:szCs w:val="20"/>
                <w:color w:val="auto"/>
              </w:rPr>
            </w:pPr>
            <w:r>
              <w:rPr>
                <w:rFonts w:ascii="Arial" w:cs="Arial" w:eastAsia="Arial" w:hAnsi="Arial"/>
                <w:sz w:val="18"/>
                <w:szCs w:val="18"/>
                <w:color w:val="auto"/>
              </w:rPr>
              <w:t>4.21 %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53"/>
        </w:trPr>
        <w:tc>
          <w:tcPr>
            <w:tcW w:w="4920" w:type="dxa"/>
            <w:vAlign w:val="bottom"/>
            <w:tcBorders>
              <w:top w:val="single" w:sz="8" w:color="CCEEFF"/>
            </w:tcBorders>
            <w:shd w:val="clear" w:color="auto" w:fill="CCEEFF"/>
          </w:tcPr>
          <w:p>
            <w:pPr>
              <w:ind w:left="220"/>
              <w:spacing w:after="0" w:line="154" w:lineRule="exact"/>
              <w:rPr>
                <w:sz w:val="20"/>
                <w:szCs w:val="20"/>
                <w:color w:val="auto"/>
              </w:rPr>
            </w:pPr>
            <w:r>
              <w:rPr>
                <w:rFonts w:ascii="Arial" w:cs="Arial" w:eastAsia="Arial" w:hAnsi="Arial"/>
                <w:sz w:val="17"/>
                <w:szCs w:val="17"/>
                <w:color w:val="auto"/>
              </w:rPr>
              <w:t>Total debt before deferred financing costs, discounts and</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13,370.2</w:t>
            </w: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14,398.8</w:t>
            </w: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premiums (h)</w:t>
            </w: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9"/>
              </w:rPr>
              <w:t>2021</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205"/>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14,398.8</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14,341.1</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r>
      <w:tr>
        <w:trPr>
          <w:trHeight w:val="219"/>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14,825.1</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w:t>
            </w: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13,974.8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308" w:lineRule="auto"/>
        <w:tabs>
          <w:tab w:leader="none" w:pos="477"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Represents the weighted average interest rate in effect at December 31, 2022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3.21% at December 31, 2022. For information regarding our derivative instruments, see note 8.</w:t>
      </w:r>
    </w:p>
    <w:p>
      <w:pPr>
        <w:spacing w:after="0" w:line="180" w:lineRule="exact"/>
        <w:rPr>
          <w:rFonts w:ascii="Arial" w:cs="Arial" w:eastAsia="Arial" w:hAnsi="Arial"/>
          <w:sz w:val="15"/>
          <w:szCs w:val="15"/>
          <w:color w:val="auto"/>
        </w:rPr>
      </w:pPr>
    </w:p>
    <w:p>
      <w:pPr>
        <w:jc w:val="both"/>
        <w:ind w:left="480" w:hanging="474"/>
        <w:spacing w:after="0" w:line="251" w:lineRule="auto"/>
        <w:tabs>
          <w:tab w:leader="none" w:pos="4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December 31, 2022 without regard to covenant compliance calculations or other conditions precedent to borrowing. The following table provides our borrowing availability and amounts available to loan or distribute under each of the respective subsidiary facilities, based on the most restrictive applicable leverage covenants and leverage-based restricted payment tests, (i) at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left="480"/>
        <w:spacing w:after="0" w:line="329" w:lineRule="auto"/>
        <w:rPr>
          <w:sz w:val="20"/>
          <w:szCs w:val="20"/>
          <w:color w:val="auto"/>
        </w:rPr>
      </w:pPr>
      <w:r>
        <w:rPr>
          <w:rFonts w:ascii="Arial" w:cs="Arial" w:eastAsia="Arial" w:hAnsi="Arial"/>
          <w:sz w:val="15"/>
          <w:szCs w:val="15"/>
          <w:color w:val="auto"/>
        </w:rPr>
        <w:t>December 31, 2022 and (ii) upon completion of the relevant December 31, 2022 compliance reporting requirements. These amounts do not consider any actual or potential changes to our borrowing levels or any amounts loaned or distributed subsequent to December 31, 2022, or the impact of additional amounts that may be available to borrow, loan or distribute under certain defined baskets within each respective facility.</w:t>
      </w:r>
    </w:p>
    <w:p>
      <w:pPr>
        <w:spacing w:after="0" w:line="57"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4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6"/>
                <w:szCs w:val="16"/>
                <w:b w:val="1"/>
                <w:bCs w:val="1"/>
                <w:color w:val="auto"/>
              </w:rPr>
              <w:t>Availability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3"/>
          </w:tcPr>
          <w:p>
            <w:pPr>
              <w:jc w:val="right"/>
              <w:ind w:right="294"/>
              <w:spacing w:after="0" w:line="155" w:lineRule="exact"/>
              <w:rPr>
                <w:sz w:val="20"/>
                <w:szCs w:val="20"/>
                <w:color w:val="auto"/>
              </w:rPr>
            </w:pPr>
            <w:r>
              <w:rPr>
                <w:rFonts w:ascii="Arial" w:cs="Arial" w:eastAsia="Arial" w:hAnsi="Arial"/>
                <w:sz w:val="16"/>
                <w:szCs w:val="16"/>
                <w:b w:val="1"/>
                <w:bCs w:val="1"/>
                <w:color w:val="auto"/>
                <w:w w:val="90"/>
              </w:rPr>
              <w:t>Upon completion of the relevant</w:t>
            </w: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4"/>
            <w:vMerge w:val="restart"/>
          </w:tcPr>
          <w:p>
            <w:pPr>
              <w:ind w:left="56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3"/>
                <w:szCs w:val="13"/>
                <w:color w:val="auto"/>
              </w:rPr>
            </w:pPr>
          </w:p>
        </w:tc>
        <w:tc>
          <w:tcPr>
            <w:tcW w:w="2620" w:type="dxa"/>
            <w:vAlign w:val="bottom"/>
            <w:gridSpan w:val="3"/>
          </w:tcPr>
          <w:p>
            <w:pPr>
              <w:ind w:left="180"/>
              <w:spacing w:after="0" w:line="159" w:lineRule="exact"/>
              <w:rPr>
                <w:sz w:val="20"/>
                <w:szCs w:val="20"/>
                <w:color w:val="auto"/>
              </w:rPr>
            </w:pPr>
            <w:r>
              <w:rPr>
                <w:rFonts w:ascii="Arial" w:cs="Arial" w:eastAsia="Arial" w:hAnsi="Arial"/>
                <w:sz w:val="16"/>
                <w:szCs w:val="16"/>
                <w:b w:val="1"/>
                <w:bCs w:val="1"/>
                <w:color w:val="auto"/>
              </w:rPr>
              <w:t>December 31, 2022 compliance</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3"/>
          </w:tcPr>
          <w:p>
            <w:pPr>
              <w:jc w:val="right"/>
              <w:ind w:right="514"/>
              <w:spacing w:after="0"/>
              <w:rPr>
                <w:sz w:val="20"/>
                <w:szCs w:val="20"/>
                <w:color w:val="auto"/>
              </w:rPr>
            </w:pPr>
            <w:r>
              <w:rPr>
                <w:rFonts w:ascii="Arial" w:cs="Arial" w:eastAsia="Arial" w:hAnsi="Arial"/>
                <w:sz w:val="16"/>
                <w:szCs w:val="16"/>
                <w:b w:val="1"/>
                <w:bCs w:val="1"/>
                <w:color w:val="auto"/>
              </w:rPr>
              <w:t>reporting requirements</w:t>
            </w: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6"/>
                <w:szCs w:val="16"/>
                <w:b w:val="1"/>
                <w:bCs w:val="1"/>
                <w:color w:val="auto"/>
                <w:w w:val="99"/>
              </w:rPr>
              <w:t>Borrowing</w:t>
            </w: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5"/>
              <w:spacing w:after="0" w:line="155" w:lineRule="exact"/>
              <w:rPr>
                <w:sz w:val="20"/>
                <w:szCs w:val="20"/>
                <w:color w:val="auto"/>
              </w:rPr>
            </w:pPr>
            <w:r>
              <w:rPr>
                <w:rFonts w:ascii="Arial" w:cs="Arial" w:eastAsia="Arial" w:hAnsi="Arial"/>
                <w:sz w:val="16"/>
                <w:szCs w:val="16"/>
                <w:b w:val="1"/>
                <w:bCs w:val="1"/>
                <w:color w:val="auto"/>
                <w:w w:val="89"/>
              </w:rPr>
              <w:t>U.S. $</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6"/>
                <w:szCs w:val="16"/>
                <w:b w:val="1"/>
                <w:bCs w:val="1"/>
                <w:color w:val="auto"/>
              </w:rPr>
              <w:t>Borrowing</w:t>
            </w: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0"/>
              </w:rPr>
              <w:t>equivalent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w w:val="98"/>
              </w:rPr>
              <w:t>equivalent</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1036"/>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713.4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764.1</w:t>
            </w:r>
          </w:p>
        </w:tc>
        <w:tc>
          <w:tcPr>
            <w:tcW w:w="2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713.4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107.1</w:t>
            </w:r>
          </w:p>
        </w:tc>
        <w:tc>
          <w:tcPr>
            <w:tcW w:w="2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303.9</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351.5</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555.0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594.4</w:t>
            </w:r>
          </w:p>
        </w:tc>
        <w:tc>
          <w:tcPr>
            <w:tcW w:w="2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555.0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480" w:hanging="474"/>
        <w:spacing w:after="0" w:line="254" w:lineRule="auto"/>
        <w:tabs>
          <w:tab w:leader="none" w:pos="477"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Unused borrowing capacity under the UPC Holding Bank Facility relates to an equivalent €713.4 million ($764.1 million) under the UPC Revolving Facility, part of which has been made available as an ancillary facility. With the exception of €23.0 million ($24.6 million) of borrowings under the ancillary facility, the UPC Revolving Facility was undrawn at December 31, 2022.</w:t>
      </w:r>
    </w:p>
    <w:p>
      <w:pPr>
        <w:spacing w:after="0" w:line="216"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($546.2 million) under the Telenet Revolving Facility I, (ii) €25.0 million ($26.8 million) under the Telenet Overdraft Facility and (iii) €20.0 million ($21.4 million) under the Telenet Revolving Facility, each of which were undrawn at December 31, 2022.</w:t>
      </w:r>
    </w:p>
    <w:p>
      <w:pPr>
        <w:spacing w:after="0" w:line="210" w:lineRule="exact"/>
        <w:rPr>
          <w:rFonts w:ascii="Arial" w:cs="Arial" w:eastAsia="Arial" w:hAnsi="Arial"/>
          <w:sz w:val="18"/>
          <w:szCs w:val="18"/>
          <w:color w:val="auto"/>
        </w:rPr>
      </w:pPr>
    </w:p>
    <w:p>
      <w:pPr>
        <w:ind w:left="480" w:hanging="474"/>
        <w:spacing w:after="0" w:line="271" w:lineRule="auto"/>
        <w:tabs>
          <w:tab w:leader="none" w:pos="47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Unused borrowing capacity under the VM Ireland Credit Facility relates to €100.0 million </w:t>
      </w:r>
      <w:r>
        <w:rPr>
          <w:rFonts w:ascii="Arial" w:cs="Arial" w:eastAsia="Arial" w:hAnsi="Arial"/>
          <w:sz w:val="18"/>
          <w:szCs w:val="18"/>
          <w:b w:val="1"/>
          <w:bCs w:val="1"/>
          <w:color w:val="auto"/>
        </w:rPr>
        <w:t>(</w:t>
      </w:r>
      <w:r>
        <w:rPr>
          <w:rFonts w:ascii="Arial" w:cs="Arial" w:eastAsia="Arial" w:hAnsi="Arial"/>
          <w:sz w:val="18"/>
          <w:szCs w:val="18"/>
          <w:color w:val="auto"/>
        </w:rPr>
        <w:t>$107.1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under the VM Ireland Revolving Facility, which was undrawn at December 31, 2022.</w:t>
      </w:r>
    </w:p>
    <w:p>
      <w:pPr>
        <w:spacing w:after="0" w:line="200" w:lineRule="exact"/>
        <w:rPr>
          <w:rFonts w:ascii="Arial" w:cs="Arial" w:eastAsia="Arial" w:hAnsi="Arial"/>
          <w:sz w:val="18"/>
          <w:szCs w:val="18"/>
          <w:color w:val="auto"/>
        </w:rPr>
      </w:pPr>
    </w:p>
    <w:p>
      <w:pPr>
        <w:jc w:val="both"/>
        <w:ind w:left="480" w:hanging="474"/>
        <w:spacing w:after="0" w:line="302" w:lineRule="auto"/>
        <w:tabs>
          <w:tab w:leader="none" w:pos="471"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consolidated balance sheets. These obligations are generally due within one year and include VAT that was also financed under these arrangements. 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2022 and 2021, the constructive cash outflow included in cash flows from operating activities and the corresponding constructive cash inflow included in cash flows from financing activities related to these operating expenses were $522.7 million and $1,781.6 million, respectively. Repayments of vendor financing obligations at the time we pay the financing intermediary are included in repayments and repurchases of debt and finance lease obligations in our consolidated statements of cash flows.</w:t>
      </w:r>
    </w:p>
    <w:p>
      <w:pPr>
        <w:spacing w:after="0" w:line="185" w:lineRule="exact"/>
        <w:rPr>
          <w:rFonts w:ascii="Arial" w:cs="Arial" w:eastAsia="Arial" w:hAnsi="Arial"/>
          <w:sz w:val="15"/>
          <w:szCs w:val="15"/>
          <w:color w:val="auto"/>
        </w:rPr>
      </w:pPr>
    </w:p>
    <w:p>
      <w:pPr>
        <w:jc w:val="both"/>
        <w:ind w:left="480" w:hanging="474"/>
        <w:spacing w:after="0" w:line="254" w:lineRule="auto"/>
        <w:tabs>
          <w:tab w:leader="none" w:pos="47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December 31, 2022 amount includes $428.1 million of liabilities related to Telenet’s acquisition of mobile spectrum licenses. Telenet will make annual payments for the license fees over the terms of the respective licenses. For additional information regarding Telenet’s acquisition of mobile spectrum licenses, see note 10.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left="480" w:hanging="474"/>
        <w:spacing w:after="0" w:line="254" w:lineRule="auto"/>
        <w:tabs>
          <w:tab w:leader="none" w:pos="4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of December 31, 2022 and 2021, our debt had an estimated fair value of $12.6 billion and $14.5 billion, respectively. The estimated fair values of our debt instruments are generally determined using the average of applicable bid and ask prices (mostly Level 1 of the fair value hierarchy). For additional information regarding fair value hierarchies, see note 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At December 31, 2022, most of our outstanding debt had been incurred by one of our three subsidiary “borrowing groups.” References to these borrowing groups, which comprise UPC Holding, Telenet and VM Ireland, include their respective restricted parent and subsidiary entities.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Each of our borrowing groups has entered into one or more credit facility agreements with certain financial and other institutions.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Certain of our credit facilities provide for adjustments to our borrowing rates based on the achievement, or otherwise, of certain sustainability-linked metrics.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Each of these credit facilities contain certain covenants, the more notable of which are as follows:</w:t>
      </w:r>
    </w:p>
    <w:p>
      <w:pPr>
        <w:spacing w:after="0" w:line="232" w:lineRule="exact"/>
        <w:rPr>
          <w:sz w:val="20"/>
          <w:szCs w:val="20"/>
          <w:color w:val="auto"/>
        </w:rPr>
      </w:pPr>
    </w:p>
    <w:p>
      <w:pPr>
        <w:ind w:left="640" w:hanging="316"/>
        <w:spacing w:after="0"/>
        <w:tabs>
          <w:tab w:leader="none" w:pos="6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Our credit facilities contain certain consolidated net leverage ratios, as specified in the relevant credit facility, which are required to be complied with</w:t>
      </w:r>
    </w:p>
    <w:p>
      <w:pPr>
        <w:spacing w:after="0" w:line="50" w:lineRule="exact"/>
        <w:rPr>
          <w:rFonts w:ascii="Arial" w:cs="Arial" w:eastAsia="Arial" w:hAnsi="Arial"/>
          <w:sz w:val="15"/>
          <w:szCs w:val="15"/>
          <w:color w:val="auto"/>
        </w:rPr>
      </w:pPr>
    </w:p>
    <w:p>
      <w:pPr>
        <w:ind w:left="640" w:firstLine="1"/>
        <w:spacing w:after="0" w:line="251" w:lineRule="auto"/>
        <w:tabs>
          <w:tab w:leader="none" w:pos="876" w:val="left"/>
        </w:tabs>
        <w:numPr>
          <w:ilvl w:val="1"/>
          <w:numId w:val="98"/>
        </w:numPr>
        <w:rPr>
          <w:rFonts w:ascii="Arial" w:cs="Arial" w:eastAsia="Arial" w:hAnsi="Arial"/>
          <w:sz w:val="18"/>
          <w:szCs w:val="18"/>
          <w:color w:val="auto"/>
        </w:rPr>
      </w:pPr>
      <w:r>
        <w:rPr>
          <w:rFonts w:ascii="Arial" w:cs="Arial" w:eastAsia="Arial" w:hAnsi="Arial"/>
          <w:sz w:val="18"/>
          <w:szCs w:val="18"/>
          <w:color w:val="auto"/>
        </w:rPr>
        <w:t>on an incurrence basis and/or (ii) when the associated revolving credit facilities have been drawn beyond a specified percentage of the total available revolving credit commitments on a maintenance basis;</w:t>
      </w:r>
    </w:p>
    <w:p>
      <w:pPr>
        <w:spacing w:after="0" w:line="217" w:lineRule="exact"/>
        <w:rPr>
          <w:rFonts w:ascii="Arial" w:cs="Arial" w:eastAsia="Arial" w:hAnsi="Arial"/>
          <w:sz w:val="18"/>
          <w:szCs w:val="18"/>
          <w:color w:val="auto"/>
        </w:rPr>
      </w:pPr>
    </w:p>
    <w:p>
      <w:pPr>
        <w:jc w:val="both"/>
        <w:ind w:left="640" w:hanging="316"/>
        <w:spacing w:after="0" w:line="251" w:lineRule="auto"/>
        <w:tabs>
          <w:tab w:leader="none" w:pos="6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spacing w:after="0" w:line="219"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credit facilities require that certain members of the relevant borrowing group guarantee the payment of all sums payable under the relevant credit facility and such group members are required to grant first-ranking security over their shares and, in certain borrowing groups, over substantially all of their assets to secure the payment of all sums payable thereunder;</w:t>
      </w:r>
    </w:p>
    <w:p>
      <w:pPr>
        <w:spacing w:after="0" w:line="216"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addition to certain mandatory prepayment events, our credit facilities provide that the instructing group of lenders under the relevant credit facility, under certain circumstances, may cancel the group’s commitments thereunder and declare the loan(s) thereunder due and payable after the applicable notice period following the occurrence of a change of control (as specified in the relevant credit facility);</w:t>
      </w:r>
    </w:p>
    <w:p>
      <w:pPr>
        <w:spacing w:after="0" w:line="196"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216"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206"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Senior and Senior Secured Notes. </w:t>
      </w:r>
      <w:r>
        <w:rPr>
          <w:rFonts w:ascii="Arial" w:cs="Arial" w:eastAsia="Arial" w:hAnsi="Arial"/>
          <w:sz w:val="15"/>
          <w:szCs w:val="15"/>
          <w:color w:val="auto"/>
        </w:rPr>
        <w:t>Certain of our borrowing groups have issued senior and/or senior secured notes. In general, our senior and senior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shares of certain members of the relevant borrowing group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certain borrowing groups, over substantially all of their assets. In addition, the indentures governing our senior and senior secured notes contain certain covenants, the more notable of which are as follows:</w:t>
      </w:r>
    </w:p>
    <w:p>
      <w:pPr>
        <w:spacing w:after="0" w:line="206" w:lineRule="exact"/>
        <w:rPr>
          <w:sz w:val="20"/>
          <w:szCs w:val="20"/>
          <w:color w:val="auto"/>
        </w:rPr>
      </w:pPr>
    </w:p>
    <w:p>
      <w:pPr>
        <w:jc w:val="both"/>
        <w:ind w:left="640" w:hanging="316"/>
        <w:spacing w:after="0" w:line="277" w:lineRule="auto"/>
        <w:tabs>
          <w:tab w:leader="none" w:pos="6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Our notes contain certain customary incurrence-based covenants. In addition, our notes provide that any failure to pay principal at its stated maturity (after giving effect to any applicable grace period) of, or any acceleration with respect to, other indebtedness of the issuer or certain subsidiaries over agreed minimum thresholds (as specified under the applicable indenture) is an event of default under the respective notes;</w:t>
      </w:r>
    </w:p>
    <w:p>
      <w:pPr>
        <w:spacing w:after="0" w:line="196" w:lineRule="exact"/>
        <w:rPr>
          <w:rFonts w:ascii="Arial" w:cs="Arial" w:eastAsia="Arial" w:hAnsi="Arial"/>
          <w:sz w:val="17"/>
          <w:szCs w:val="17"/>
          <w:color w:val="auto"/>
        </w:rPr>
      </w:pPr>
    </w:p>
    <w:p>
      <w:pPr>
        <w:jc w:val="both"/>
        <w:ind w:left="640" w:hanging="316"/>
        <w:spacing w:after="0" w:line="251" w:lineRule="auto"/>
        <w:tabs>
          <w:tab w:leader="none" w:pos="6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219"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196"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216" w:lineRule="exact"/>
        <w:rPr>
          <w:rFonts w:ascii="Arial" w:cs="Arial" w:eastAsia="Arial" w:hAnsi="Arial"/>
          <w:sz w:val="18"/>
          <w:szCs w:val="18"/>
          <w:color w:val="auto"/>
        </w:rPr>
      </w:pPr>
    </w:p>
    <w:p>
      <w:pPr>
        <w:jc w:val="both"/>
        <w:ind w:left="640" w:hanging="316"/>
        <w:spacing w:after="0" w:line="268" w:lineRule="auto"/>
        <w:tabs>
          <w:tab w:leader="none" w:pos="6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On or after the applicable call date, we may redeem some or all of these notes at various redemption prices plus accrued interest and additional amounts (as specified in the applicable indenture), if any, to the applicable redemption date.</w:t>
      </w:r>
    </w:p>
    <w:p>
      <w:pPr>
        <w:spacing w:after="0" w:line="20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i w:val="1"/>
          <w:iCs w:val="1"/>
          <w:color w:val="auto"/>
        </w:rPr>
        <w:t xml:space="preserve">SPE Notes. </w:t>
      </w:r>
      <w:r>
        <w:rPr>
          <w:rFonts w:ascii="Arial" w:cs="Arial" w:eastAsia="Arial" w:hAnsi="Arial"/>
          <w:sz w:val="18"/>
          <w:szCs w:val="18"/>
          <w:color w:val="auto"/>
        </w:rPr>
        <w:t>From time to time, we create special purpose financing entities (</w:t>
      </w:r>
      <w:r>
        <w:rPr>
          <w:rFonts w:ascii="Arial" w:cs="Arial" w:eastAsia="Arial" w:hAnsi="Arial"/>
          <w:sz w:val="18"/>
          <w:szCs w:val="18"/>
          <w:b w:val="1"/>
          <w:bCs w:val="1"/>
          <w:color w:val="auto"/>
        </w:rPr>
        <w:t>SPE</w:t>
      </w:r>
      <w:r>
        <w:rPr>
          <w:rFonts w:ascii="Arial" w:cs="Arial" w:eastAsia="Arial" w:hAnsi="Arial"/>
          <w:sz w:val="18"/>
          <w:szCs w:val="18"/>
          <w:color w:val="auto"/>
        </w:rPr>
        <w:t>), some of which are owned by the relevant borrowing group and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owned by third parties (</w:t>
      </w:r>
      <w:r>
        <w:rPr>
          <w:rFonts w:ascii="Arial" w:cs="Arial" w:eastAsia="Arial" w:hAnsi="Arial"/>
          <w:sz w:val="18"/>
          <w:szCs w:val="18"/>
          <w:b w:val="1"/>
          <w:bCs w:val="1"/>
          <w:color w:val="auto"/>
        </w:rPr>
        <w:t>Third-Party SPEs</w:t>
      </w:r>
      <w:r>
        <w:rPr>
          <w:rFonts w:ascii="Arial" w:cs="Arial" w:eastAsia="Arial" w:hAnsi="Arial"/>
          <w:sz w:val="18"/>
          <w:szCs w:val="18"/>
          <w:color w:val="auto"/>
        </w:rPr>
        <w:t>). These SPEs are created for the primary purpose of facilitating the offering of senior secured notes, which we collectively refer to as “</w:t>
      </w:r>
      <w:r>
        <w:rPr>
          <w:rFonts w:ascii="Arial" w:cs="Arial" w:eastAsia="Arial" w:hAnsi="Arial"/>
          <w:sz w:val="18"/>
          <w:szCs w:val="18"/>
          <w:b w:val="1"/>
          <w:bCs w:val="1"/>
          <w:color w:val="auto"/>
        </w:rPr>
        <w:t>SPE Notes</w:t>
      </w:r>
      <w:r>
        <w:rPr>
          <w:rFonts w:ascii="Arial" w:cs="Arial" w:eastAsia="Arial" w:hAnsi="Arial"/>
          <w:sz w:val="18"/>
          <w:szCs w:val="18"/>
          <w:color w:val="auto"/>
        </w:rPr>
        <w:t>”.</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SPEs use the proceeds from the issuance of SPE Notes to fund term loan facilities under the credit facilities made available to their respective borrowing group, each a “</w:t>
      </w:r>
      <w:r>
        <w:rPr>
          <w:rFonts w:ascii="Arial" w:cs="Arial" w:eastAsia="Arial" w:hAnsi="Arial"/>
          <w:sz w:val="15"/>
          <w:szCs w:val="15"/>
          <w:b w:val="1"/>
          <w:bCs w:val="1"/>
          <w:color w:val="auto"/>
        </w:rPr>
        <w:t>Funded Facility</w:t>
      </w:r>
      <w:r>
        <w:rPr>
          <w:rFonts w:ascii="Arial" w:cs="Arial" w:eastAsia="Arial" w:hAnsi="Arial"/>
          <w:sz w:val="15"/>
          <w:szCs w:val="15"/>
          <w:color w:val="auto"/>
        </w:rPr>
        <w:t>” and collectively the “</w:t>
      </w:r>
      <w:r>
        <w:rPr>
          <w:rFonts w:ascii="Arial" w:cs="Arial" w:eastAsia="Arial" w:hAnsi="Arial"/>
          <w:sz w:val="15"/>
          <w:szCs w:val="15"/>
          <w:b w:val="1"/>
          <w:bCs w:val="1"/>
          <w:color w:val="auto"/>
        </w:rPr>
        <w:t>Funded Facilities</w:t>
      </w:r>
      <w:r>
        <w:rPr>
          <w:rFonts w:ascii="Arial" w:cs="Arial" w:eastAsia="Arial" w:hAnsi="Arial"/>
          <w:sz w:val="15"/>
          <w:szCs w:val="15"/>
          <w:color w:val="auto"/>
        </w:rPr>
        <w:t xml:space="preserve">.” Each SPE is dependent on payments from the relevant borrowing entity under the applicable Funded Facility in order to service its payment obligations under each respective SPE Note. Each of the Funded Facility term loans creates a variable interest in the respective Third-Party SPE for which the relevant borrowing entity is the primary beneficiary. Accordingly, such Third-Party SPEs are consolidated by the relevant parent entities, including Liberty Global. As a result, the amounts outstanding under the Funded Facilities of the SPEs owned by the relevant borrowing group and the Third-Party SPEs are eliminated in the consolidated financial statements of the respective borrowing group and Liberty Global. At December 31, 2022, we had outstanding SPE Notes issued by a Third-Party SPE consolidated by UPC Holding (the </w:t>
      </w:r>
      <w:r>
        <w:rPr>
          <w:rFonts w:ascii="Arial" w:cs="Arial" w:eastAsia="Arial" w:hAnsi="Arial"/>
          <w:sz w:val="15"/>
          <w:szCs w:val="15"/>
          <w:b w:val="1"/>
          <w:bCs w:val="1"/>
          <w:color w:val="auto"/>
        </w:rPr>
        <w:t>UPCB SPE</w:t>
      </w:r>
      <w:r>
        <w:rPr>
          <w:rFonts w:ascii="Arial" w:cs="Arial" w:eastAsia="Arial" w:hAnsi="Arial"/>
          <w:sz w:val="15"/>
          <w:szCs w:val="15"/>
          <w:color w:val="auto"/>
        </w:rPr>
        <w:t>).</w:t>
      </w:r>
    </w:p>
    <w:p>
      <w:pPr>
        <w:spacing w:after="0" w:line="175"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 xml:space="preserve">Pursuant to the respective indentures for the SPE Notes (the </w:t>
      </w:r>
      <w:r>
        <w:rPr>
          <w:rFonts w:ascii="Arial" w:cs="Arial" w:eastAsia="Arial" w:hAnsi="Arial"/>
          <w:sz w:val="15"/>
          <w:szCs w:val="15"/>
          <w:b w:val="1"/>
          <w:bCs w:val="1"/>
          <w:color w:val="auto"/>
        </w:rPr>
        <w:t>SPE Indentures</w:t>
      </w:r>
      <w:r>
        <w:rPr>
          <w:rFonts w:ascii="Arial" w:cs="Arial" w:eastAsia="Arial" w:hAnsi="Arial"/>
          <w:sz w:val="15"/>
          <w:szCs w:val="15"/>
          <w:color w:val="auto"/>
        </w:rPr>
        <w:t>) and the respective accession agreements for the Funded Facilities, the call provisions, maturity dates and applicable interest rates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The SPE Notes are non-callable prior to their respective call date (as specified under the applicable SPE Indenture). If, however, at any time prior to the applicable call date, all or a portion of the loans under the related Funded Facility are voluntarily prepaid (a </w:t>
      </w:r>
      <w:r>
        <w:rPr>
          <w:rFonts w:ascii="Arial" w:cs="Arial" w:eastAsia="Arial" w:hAnsi="Arial"/>
          <w:sz w:val="17"/>
          <w:szCs w:val="17"/>
          <w:b w:val="1"/>
          <w:bCs w:val="1"/>
          <w:color w:val="auto"/>
        </w:rPr>
        <w:t>SPE Early Redemption Event</w:t>
      </w:r>
      <w:r>
        <w:rPr>
          <w:rFonts w:ascii="Arial" w:cs="Arial" w:eastAsia="Arial" w:hAnsi="Arial"/>
          <w:sz w:val="17"/>
          <w:szCs w:val="17"/>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call date using the discount rate as of the redemption date plus a premium (as specified in the applicable SPE Indenture).</w:t>
      </w:r>
    </w:p>
    <w:p>
      <w:pPr>
        <w:spacing w:after="0" w:line="20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Upon the occurrence of a SPE Early Redemption Event on or after the applicable call date, the SPE will redeem an aggregate principal amount of its respective SPE Notes equal to the principal amount prepaid under the related Funded Facility at a redemption price (expressed as a percentage of the principal amount) plus accrued and unpaid interest and additional amounts (as specified in the applicable SPE Indenture), if any, to the applicable redemption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Below we provide summary descriptions of certain financing transactions completed during 2022, 2021 and 2020. A portion of our financing transactions may include non-cash borrowings and repayments. During 2022, 2021 and 2020, non-cash borrowings and repayments aggregated nil, $2.9 billion and $3.5 billion, respectively, including amounts related to the U.K. JV Entities prior to completion of the U.K. JV Transaction.</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- 2022 Financing Transactions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April 2022, a portion of the net proceeds from the sale of UPC Poland was used to (i) purchase and extinguish €216.5 million ($231.9 million) of the €600.0 million ($642.6 million) outstanding principal amount under UPC Facility AQ, together with accrued and unpaid interest, from the related UPCB SPE and, simultaneously, an equal amount of UPCB Finance VII Euro Notes were purchased and cancelled, (ii) purchase and cancel €205.1 million ($219.7 million) of the €594.3 million ($636.5 million) outstanding principal amount of UPC Holding 3.875% Senior Notes, (iii) purchase and cancel $82.7 million of the $535.0 million outstanding principal amount of UPC Holding 5.50% Senior Notes, (iv) purchase and extinguish $208.0 million of the $1,925.0 million outstanding principal amount under UPC Facility AX, (v) purchase and extinguish €169.5 million ($181.5 million) of the €862.5 million ($923.8 million) outstanding principal amount under UPC Facility AY and (vi) settle associated derivatives. In connection with these transactions, UPC Holding recognized a net loss on debt extinguishment of $2.0 million related to (a) the write-off of $5.2 million of unamortized deferred financing costs and discounts, (b) a net gain associated with settlement discounts of $4.7 million and (c) the payment of $1.5 million of third-party costs.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May 2022, an additional (i) €51.3 million ($54.9 million) of UPC Holding 3.875% Senior Notes were purchased and cancelled and (ii) €8.6 million ($9.2 million) under UPC Facility AQ, together with accrued and unpaid interest, was purchased and extinguished and, simultaneously, an equal amount of UPCB Finance VII Euro Notes were purchased and cancelled. In connection with these transactions, UPC Holding recognized a net gain on debt extinguishment of $4.8 million related to (a) a gain associated with settlement discounts of $5.1 million and (b) the write-off of $0.3 million of unamortized deferred financing costs and discounts.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- 2021 and 2020 Financing Transactions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2021 and 2020, UPC Holding completed a number of financing transactions that generally resulted in lower interest rates and extended maturities. In connection with these transactions, UPC Holding recognized losses on debt extinguishment of $90.6 million and $43.1 million during 2021 and 2020, respectively. These losses primarily include (i) the write-off of net unamortized deferred financing costs, discounts and premiums of $77.7 million and $0.3 million and (ii) the payment of redemption premiums of $12.9 million and $43.8 million, respectively</w:t>
      </w:r>
      <w:r>
        <w:rPr>
          <w:rFonts w:ascii="Arial" w:cs="Arial" w:eastAsia="Arial" w:hAnsi="Arial"/>
          <w:sz w:val="17"/>
          <w:szCs w:val="17"/>
          <w:i w:val="1"/>
          <w:iCs w:val="1"/>
          <w:color w:val="auto"/>
        </w:rPr>
        <w:t>.</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Telenet - 2020 Financing Transactions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2020, Telenet completed a number of financing transactions that generally resulted in lower interest rates and extended maturities. In connection with these transactions, Telenet recognized a loss on debt extinguishment of $18.9 million related to the write-off of net unamortized deferred financing costs, discounts and premiums.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debt as of December 31, 2022 are presented below for the named entity and its subsidiaries, unless otherwise noted, and represent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December 31,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UPC</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VM</w:t>
            </w:r>
          </w:p>
        </w:tc>
        <w:tc>
          <w:tcPr>
            <w:tcW w:w="220" w:type="dxa"/>
            <w:vAlign w:val="bottom"/>
          </w:tcPr>
          <w:p>
            <w:pPr>
              <w:spacing w:after="0"/>
              <w:rPr>
                <w:sz w:val="16"/>
                <w:szCs w:val="16"/>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Holding (a)</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5"/>
              </w:rPr>
              <w:t>Ireland</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140"/>
              <w:spacing w:after="0"/>
              <w:rPr>
                <w:sz w:val="20"/>
                <w:szCs w:val="20"/>
                <w:color w:val="auto"/>
              </w:rPr>
            </w:pPr>
            <w:r>
              <w:rPr>
                <w:rFonts w:ascii="Arial" w:cs="Arial" w:eastAsia="Arial" w:hAnsi="Arial"/>
                <w:sz w:val="18"/>
                <w:szCs w:val="18"/>
                <w:color w:val="auto"/>
              </w:rPr>
              <w:t>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5"/>
        </w:trPr>
        <w:tc>
          <w:tcPr>
            <w:tcW w:w="5160" w:type="dxa"/>
            <w:vAlign w:val="bottom"/>
          </w:tcPr>
          <w:p>
            <w:pPr>
              <w:ind w:left="1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5"/>
        </w:trPr>
        <w:tc>
          <w:tcPr>
            <w:tcW w:w="5160" w:type="dxa"/>
            <w:vAlign w:val="bottom"/>
          </w:tcPr>
          <w:p>
            <w:pPr>
              <w:ind w:left="14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12,505.0</w:t>
            </w:r>
          </w:p>
        </w:tc>
        <w:tc>
          <w:tcPr>
            <w:tcW w:w="0" w:type="dxa"/>
            <w:vAlign w:val="bottom"/>
          </w:tcPr>
          <w:p>
            <w:pPr>
              <w:spacing w:after="0"/>
              <w:rPr>
                <w:sz w:val="1"/>
                <w:szCs w:val="1"/>
                <w:color w:val="auto"/>
              </w:rPr>
            </w:pPr>
          </w:p>
        </w:tc>
      </w:tr>
      <w:tr>
        <w:trPr>
          <w:trHeight w:val="218"/>
        </w:trPr>
        <w:tc>
          <w:tcPr>
            <w:tcW w:w="5160" w:type="dxa"/>
            <w:vAlign w:val="bottom"/>
          </w:tcPr>
          <w:p>
            <w:pPr>
              <w:ind w:left="220"/>
              <w:spacing w:after="0"/>
              <w:rPr>
                <w:sz w:val="20"/>
                <w:szCs w:val="20"/>
                <w:color w:val="auto"/>
              </w:rPr>
            </w:pPr>
            <w:r>
              <w:rPr>
                <w:rFonts w:ascii="Arial" w:cs="Arial" w:eastAsia="Arial" w:hAnsi="Arial"/>
                <w:sz w:val="18"/>
                <w:szCs w:val="18"/>
                <w:color w:val="auto"/>
              </w:rPr>
              <w:t>Total debt maturities (b)</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13,370.2</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financing costs, discounts and premiums,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9"/>
        </w:trPr>
        <w:tc>
          <w:tcPr>
            <w:tcW w:w="516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13,327.1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Arial" w:cs="Arial" w:eastAsia="Arial" w:hAnsi="Arial"/>
                <w:sz w:val="18"/>
                <w:szCs w:val="18"/>
                <w:color w:val="auto"/>
              </w:rPr>
              <w:t>Long-term portion</w:t>
            </w: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6,027.7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5,603.7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958.0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12,605.6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Amounts include SPE Notes issued by the UPCB SPE which, as described above, is consolidated by UPC Holding and Liberty Global.</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Amounts include vendor financing obligations of $704.7 million, as set forth below:</w:t>
      </w:r>
    </w:p>
    <w:p>
      <w:pPr>
        <w:spacing w:after="0" w:line="11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UPC</w:t>
            </w:r>
          </w:p>
        </w:tc>
        <w:tc>
          <w:tcPr>
            <w:tcW w:w="240" w:type="dxa"/>
            <w:vAlign w:val="bottom"/>
          </w:tcPr>
          <w:p>
            <w:pPr>
              <w:spacing w:after="0"/>
              <w:rPr>
                <w:sz w:val="16"/>
                <w:szCs w:val="16"/>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Telenet</w:t>
            </w:r>
          </w:p>
        </w:tc>
        <w:tc>
          <w:tcPr>
            <w:tcW w:w="34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3"/>
              </w:rPr>
              <w:t>Holding</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jc w:val="right"/>
              <w:ind w:right="4572"/>
              <w:spacing w:after="0"/>
              <w:rPr>
                <w:sz w:val="20"/>
                <w:szCs w:val="20"/>
                <w:color w:val="auto"/>
              </w:rPr>
            </w:pPr>
            <w:r>
              <w:rPr>
                <w:rFonts w:ascii="Arial" w:cs="Arial" w:eastAsia="Arial" w:hAnsi="Arial"/>
                <w:sz w:val="18"/>
                <w:szCs w:val="18"/>
                <w:color w:val="auto"/>
              </w:rPr>
              <w:t>2023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284.6</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jc w:val="right"/>
              <w:ind w:right="4572"/>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5"/>
        </w:trPr>
        <w:tc>
          <w:tcPr>
            <w:tcW w:w="5160" w:type="dxa"/>
            <w:vAlign w:val="bottom"/>
          </w:tcPr>
          <w:p>
            <w:pPr>
              <w:jc w:val="right"/>
              <w:ind w:right="4572"/>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vendor financing maturities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Arial" w:cs="Arial" w:eastAsia="Arial" w:hAnsi="Arial"/>
                <w:sz w:val="18"/>
                <w:szCs w:val="18"/>
                <w:color w:val="auto"/>
              </w:rPr>
              <w:t>Current portion</w:t>
            </w: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284.6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370.5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5"/>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25"/>
        </w:trPr>
        <w:tc>
          <w:tcPr>
            <w:tcW w:w="8640" w:type="dxa"/>
            <w:vAlign w:val="bottom"/>
          </w:tcPr>
          <w:p>
            <w:pPr>
              <w:ind w:left="180"/>
              <w:spacing w:after="0"/>
              <w:rPr>
                <w:sz w:val="20"/>
                <w:szCs w:val="20"/>
                <w:color w:val="auto"/>
              </w:rPr>
            </w:pPr>
            <w:r>
              <w:rPr>
                <w:rFonts w:ascii="Arial" w:cs="Arial" w:eastAsia="Arial" w:hAnsi="Arial"/>
                <w:sz w:val="18"/>
                <w:szCs w:val="18"/>
                <w:color w:val="auto"/>
              </w:rPr>
              <w:t>Vendor financing obligations of the U.K. JV Entities at January 1</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2,805.8</w:t>
            </w:r>
          </w:p>
        </w:tc>
      </w:tr>
      <w:tr>
        <w:trPr>
          <w:trHeight w:val="219"/>
        </w:trPr>
        <w:tc>
          <w:tcPr>
            <w:tcW w:w="86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January 1, including amounts classified as held for sale</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3,905.4</w:t>
            </w:r>
          </w:p>
        </w:tc>
      </w:tr>
      <w:tr>
        <w:trPr>
          <w:trHeight w:val="225"/>
        </w:trPr>
        <w:tc>
          <w:tcPr>
            <w:tcW w:w="864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1,781.6</w:t>
            </w:r>
          </w:p>
        </w:tc>
      </w:tr>
      <w:tr>
        <w:trPr>
          <w:trHeight w:val="225"/>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r>
      <w:tr>
        <w:trPr>
          <w:trHeight w:val="225"/>
        </w:trPr>
        <w:tc>
          <w:tcPr>
            <w:tcW w:w="864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(1,408.0)</w:t>
            </w:r>
          </w:p>
        </w:tc>
      </w:tr>
      <w:tr>
        <w:trPr>
          <w:trHeight w:val="225"/>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r>
      <w:tr>
        <w:trPr>
          <w:trHeight w:val="225"/>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acquisitions and 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r>
      <w:tr>
        <w:trPr>
          <w:trHeight w:val="21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vendor financing obligations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4,084.5</w:t>
            </w:r>
          </w:p>
        </w:tc>
      </w:tr>
      <w:tr>
        <w:trPr>
          <w:trHeight w:val="225"/>
        </w:trPr>
        <w:tc>
          <w:tcPr>
            <w:tcW w:w="8640" w:type="dxa"/>
            <w:vAlign w:val="bottom"/>
          </w:tcPr>
          <w:p>
            <w:pPr>
              <w:ind w:left="260"/>
              <w:spacing w:after="0"/>
              <w:rPr>
                <w:sz w:val="20"/>
                <w:szCs w:val="20"/>
                <w:color w:val="auto"/>
              </w:rPr>
            </w:pPr>
            <w:r>
              <w:rPr>
                <w:rFonts w:ascii="Arial" w:cs="Arial" w:eastAsia="Arial" w:hAnsi="Arial"/>
                <w:sz w:val="18"/>
                <w:szCs w:val="18"/>
                <w:color w:val="auto"/>
              </w:rPr>
              <w:t>Less: vendor financing obligations of the U.K. JV Entities (a)</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(3,241.3)</w:t>
            </w:r>
          </w:p>
        </w:tc>
      </w:tr>
      <w:tr>
        <w:trPr>
          <w:trHeight w:val="243"/>
        </w:trPr>
        <w:tc>
          <w:tcPr>
            <w:tcW w:w="86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vendor financing obligations of the U.K. JV Entities at June 1, 2021, the date of completion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80" w:type="dxa"/>
            <w:vAlign w:val="bottom"/>
            <w:tcBorders>
              <w:bottom w:val="single" w:sz="8" w:color="auto"/>
            </w:tcBorders>
          </w:tcPr>
          <w:p>
            <w:pPr>
              <w:spacing w:after="0"/>
              <w:rPr>
                <w:sz w:val="18"/>
                <w:szCs w:val="18"/>
                <w:color w:val="auto"/>
              </w:rPr>
            </w:pPr>
          </w:p>
        </w:tc>
      </w:tr>
      <w:tr>
        <w:trPr>
          <w:trHeight w:val="205"/>
        </w:trPr>
        <w:tc>
          <w:tcPr>
            <w:tcW w:w="8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5"/>
              </w:rPr>
              <w:t>2021</w:t>
            </w:r>
          </w:p>
        </w:tc>
      </w:tr>
      <w:tr>
        <w:trPr>
          <w:trHeight w:val="202"/>
        </w:trPr>
        <w:tc>
          <w:tcPr>
            <w:tcW w:w="8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7"/>
                <w:szCs w:val="17"/>
                <w:color w:val="auto"/>
              </w:rPr>
            </w:pPr>
          </w:p>
        </w:tc>
      </w:tr>
      <w:tr>
        <w:trPr>
          <w:trHeight w:val="165"/>
        </w:trPr>
        <w:tc>
          <w:tcPr>
            <w:tcW w:w="8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8540" w:type="dxa"/>
            <w:vAlign w:val="bottom"/>
          </w:tcPr>
          <w:p>
            <w:pPr>
              <w:ind w:left="120"/>
              <w:spacing w:after="0"/>
              <w:rPr>
                <w:sz w:val="20"/>
                <w:szCs w:val="20"/>
                <w:color w:val="auto"/>
              </w:rPr>
            </w:pPr>
            <w:r>
              <w:rPr>
                <w:rFonts w:ascii="Arial" w:cs="Arial" w:eastAsia="Arial" w:hAnsi="Arial"/>
                <w:sz w:val="18"/>
                <w:szCs w:val="18"/>
                <w:color w:val="auto"/>
              </w:rPr>
              <w:t>Finance leases (a)</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9"/>
                <w:szCs w:val="19"/>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426.0</w:t>
            </w:r>
          </w:p>
        </w:tc>
      </w:tr>
      <w:tr>
        <w:trPr>
          <w:trHeight w:val="225"/>
        </w:trPr>
        <w:tc>
          <w:tcPr>
            <w:tcW w:w="8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 (b)</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1,327.8</w:t>
            </w:r>
          </w:p>
        </w:tc>
      </w:tr>
      <w:tr>
        <w:trPr>
          <w:trHeight w:val="219"/>
        </w:trPr>
        <w:tc>
          <w:tcPr>
            <w:tcW w:w="8540" w:type="dxa"/>
            <w:vAlign w:val="bottom"/>
          </w:tcPr>
          <w:p>
            <w:pPr>
              <w:ind w:left="360"/>
              <w:spacing w:after="0"/>
              <w:rPr>
                <w:sz w:val="20"/>
                <w:szCs w:val="20"/>
                <w:color w:val="auto"/>
              </w:rPr>
            </w:pPr>
            <w:r>
              <w:rPr>
                <w:rFonts w:ascii="Arial" w:cs="Arial" w:eastAsia="Arial" w:hAnsi="Arial"/>
                <w:sz w:val="18"/>
                <w:szCs w:val="18"/>
                <w:color w:val="auto"/>
              </w:rPr>
              <w:t>Total ROU assets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1,753.8</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5"/>
        </w:trPr>
        <w:tc>
          <w:tcPr>
            <w:tcW w:w="8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25"/>
        </w:trPr>
        <w:tc>
          <w:tcPr>
            <w:tcW w:w="854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8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 (c)</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r>
      <w:tr>
        <w:trPr>
          <w:trHeight w:val="225"/>
        </w:trPr>
        <w:tc>
          <w:tcPr>
            <w:tcW w:w="8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leases (d)</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1,364.8</w:t>
            </w:r>
          </w:p>
        </w:tc>
      </w:tr>
      <w:tr>
        <w:trPr>
          <w:trHeight w:val="244"/>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1,848.8</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1" w:lineRule="auto"/>
        <w:tabs>
          <w:tab w:leader="none" w:pos="4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consolidated balance sheets. At December 31, 2022, the weighted average remaining lease term for finance leases was 21.6 years and the weighted average discount rate was 6.0%. During 2022, 2021 and 2020, we recorded non-cash additions to our finance lease ROU assets (including amounts related to the U.K. JV Entities through the June 1, 2021 closing of the U.K. JV Transaction) of $34.2 million, $42.6 million and $48.7 million, respectively.</w:t>
      </w:r>
    </w:p>
    <w:p>
      <w:pPr>
        <w:spacing w:after="0" w:line="219" w:lineRule="exact"/>
        <w:rPr>
          <w:rFonts w:ascii="Arial" w:cs="Arial" w:eastAsia="Arial" w:hAnsi="Arial"/>
          <w:sz w:val="18"/>
          <w:szCs w:val="18"/>
          <w:color w:val="auto"/>
        </w:rPr>
      </w:pPr>
    </w:p>
    <w:p>
      <w:pPr>
        <w:jc w:val="both"/>
        <w:ind w:left="480" w:hanging="474"/>
        <w:spacing w:after="0" w:line="268" w:lineRule="auto"/>
        <w:tabs>
          <w:tab w:leader="none" w:pos="47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Our operating lease ROU assets are included in other assets, net, on our consolidated balance sheets. At December 31, 2022, the weighted average remaining lease term for operating leases was 13.0 years and the weighted average discount rate was 5.7%. During 2022, 2021 and 2020, we recorded non-cash additions to our operating lease ROU assets (including amounts related to the U.K. JV Entities through the June 1, 2021 closing of the U.K. JV Transaction) of $678.6 million, $169.8 million and $123.0 million, respectively. For additional information regarding the non-cash additions to our operating lease ROU assets during 2022 related to the Telenet Tower Lease Agreement, see note 6.</w:t>
      </w:r>
    </w:p>
    <w:p>
      <w:pPr>
        <w:spacing w:after="0" w:line="205"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consolidated balance sheets.</w:t>
      </w:r>
    </w:p>
    <w:p>
      <w:pPr>
        <w:spacing w:after="0" w:line="206" w:lineRule="exact"/>
        <w:rPr>
          <w:rFonts w:ascii="Arial" w:cs="Arial" w:eastAsia="Arial" w:hAnsi="Arial"/>
          <w:sz w:val="18"/>
          <w:szCs w:val="18"/>
          <w:color w:val="auto"/>
        </w:rPr>
      </w:pPr>
    </w:p>
    <w:p>
      <w:pPr>
        <w:ind w:left="480" w:hanging="474"/>
        <w:spacing w:after="0" w:line="365" w:lineRule="auto"/>
        <w:tabs>
          <w:tab w:leader="none" w:pos="47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current portions of our operating lease liabilities are included within other accrued and current liabilities on our consolidated balance sheets. For additional information regarding the increase in our operating lease liabilities during 2022 related to the Telenet Tower Lease Agreement, see note 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05"/>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2"/>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25"/>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8"/>
        </w:trPr>
        <w:tc>
          <w:tcPr>
            <w:tcW w:w="728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8"/>
        </w:trPr>
        <w:tc>
          <w:tcPr>
            <w:tcW w:w="7280" w:type="dxa"/>
            <w:vAlign w:val="bottom"/>
          </w:tcPr>
          <w:p>
            <w:pPr>
              <w:ind w:left="380"/>
              <w:spacing w:after="0" w:line="204" w:lineRule="exact"/>
              <w:rPr>
                <w:sz w:val="20"/>
                <w:szCs w:val="20"/>
                <w:color w:val="auto"/>
              </w:rPr>
            </w:pPr>
            <w:r>
              <w:rPr>
                <w:rFonts w:ascii="Arial" w:cs="Arial" w:eastAsia="Arial" w:hAnsi="Arial"/>
                <w:sz w:val="18"/>
                <w:szCs w:val="18"/>
                <w:color w:val="auto"/>
              </w:rPr>
              <w:t>Total lease expense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94" w:lineRule="auto"/>
        <w:tabs>
          <w:tab w:leader="none" w:pos="47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Our operating lease expense and short-term lease expense are included in programming and other direct costs of services, other operating expenses, SG&amp;A expenses and impairment, restructuring and other operating items, net, in our consolidated statements of operations.</w:t>
      </w:r>
    </w:p>
    <w:p>
      <w:pPr>
        <w:spacing w:after="0" w:line="182" w:lineRule="exact"/>
        <w:rPr>
          <w:rFonts w:ascii="Arial" w:cs="Arial" w:eastAsia="Arial" w:hAnsi="Arial"/>
          <w:sz w:val="17"/>
          <w:szCs w:val="17"/>
          <w:color w:val="auto"/>
        </w:rPr>
      </w:pPr>
    </w:p>
    <w:p>
      <w:pPr>
        <w:jc w:val="both"/>
        <w:ind w:left="480" w:hanging="474"/>
        <w:spacing w:after="0" w:line="254" w:lineRule="auto"/>
        <w:tabs>
          <w:tab w:leader="none" w:pos="47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consolidated statements of operations.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05"/>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r>
      <w:tr>
        <w:trPr>
          <w:trHeight w:val="202"/>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28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25"/>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5"/>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43"/>
        </w:trPr>
        <w:tc>
          <w:tcPr>
            <w:tcW w:w="7280" w:type="dxa"/>
            <w:vAlign w:val="bottom"/>
            <w:tcBorders>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December 31, 2022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2"/>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2023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5"/>
        </w:trPr>
        <w:tc>
          <w:tcPr>
            <w:tcW w:w="8400" w:type="dxa"/>
            <w:vAlign w:val="bottom"/>
          </w:tcPr>
          <w:p>
            <w:pPr>
              <w:ind w:left="14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5"/>
        </w:trPr>
        <w:tc>
          <w:tcPr>
            <w:tcW w:w="8400" w:type="dxa"/>
            <w:vAlign w:val="bottom"/>
          </w:tcPr>
          <w:p>
            <w:pPr>
              <w:ind w:left="14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8"/>
        </w:trPr>
        <w:tc>
          <w:tcPr>
            <w:tcW w:w="8400" w:type="dxa"/>
            <w:vAlign w:val="bottom"/>
          </w:tcPr>
          <w:p>
            <w:pPr>
              <w:ind w:left="220"/>
              <w:spacing w:after="0" w:line="204" w:lineRule="exact"/>
              <w:rPr>
                <w:sz w:val="20"/>
                <w:szCs w:val="20"/>
                <w:color w:val="auto"/>
              </w:rPr>
            </w:pPr>
            <w:r>
              <w:rPr>
                <w:rFonts w:ascii="Arial" w:cs="Arial" w:eastAsia="Arial" w:hAnsi="Arial"/>
                <w:sz w:val="18"/>
                <w:szCs w:val="18"/>
                <w:color w:val="auto"/>
              </w:rPr>
              <w:t>Total payments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8"/>
        </w:trPr>
        <w:tc>
          <w:tcPr>
            <w:tcW w:w="8400" w:type="dxa"/>
            <w:vAlign w:val="bottom"/>
          </w:tcPr>
          <w:p>
            <w:pPr>
              <w:ind w:left="400"/>
              <w:spacing w:after="0" w:line="204" w:lineRule="exact"/>
              <w:rPr>
                <w:sz w:val="20"/>
                <w:szCs w:val="20"/>
                <w:color w:val="auto"/>
              </w:rPr>
            </w:pPr>
            <w:r>
              <w:rPr>
                <w:rFonts w:ascii="Arial" w:cs="Arial" w:eastAsia="Arial" w:hAnsi="Arial"/>
                <w:sz w:val="18"/>
                <w:szCs w:val="18"/>
                <w:color w:val="auto"/>
              </w:rPr>
              <w:t>Present value of lease payments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1,645.9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40" w:hanging="334"/>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49"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Liberty Global files our primary income tax return in the U.K. Our subsidiaries file income tax returns in the U.S., the U.K. and a number of other European jurisdictions. The income taxes of Liberty Global and our subsidiaries are presented on a separate return basis for each tax-paying entity or group.</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our earnings (loss) from continuing operations before income taxes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Intercompany activity with discontinued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9"/>
        </w:trPr>
        <w:tc>
          <w:tcPr>
            <w:tcW w:w="736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 benefit (expense) consists of:</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Current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4"/>
              </w:rPr>
              <w:t>Deferred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202"/>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5"/>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U.S. (a)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Luxembourg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Belgium</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Netherlands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U.K.</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8"/>
        </w:trPr>
        <w:tc>
          <w:tcPr>
            <w:tcW w:w="714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9"/>
        </w:trPr>
        <w:tc>
          <w:tcPr>
            <w:tcW w:w="7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5"/>
        </w:trPr>
        <w:tc>
          <w:tcPr>
            <w:tcW w:w="714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U.K.</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U.S. (a)</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Belgium</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Luxembourg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The Netherlands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14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U.S. (a)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U.K.</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Luxembourg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5"/>
        </w:trPr>
        <w:tc>
          <w:tcPr>
            <w:tcW w:w="7140" w:type="dxa"/>
            <w:vAlign w:val="bottom"/>
          </w:tcPr>
          <w:p>
            <w:pPr>
              <w:ind w:left="2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Netherlands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14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80" w:hanging="374"/>
        <w:spacing w:after="0"/>
        <w:tabs>
          <w:tab w:leader="none" w:pos="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Includes federal and state income taxes. Our U.S. state income taxes were not material during any of the years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benefit (expense) attributable to our earnings (loss) from continuing operations before income taxes differs from the amounts computed using the applicable income tax rate as a result of the following factors: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9"/>
              </w:rPr>
              <w:t>Year ended December 31,</w:t>
            </w:r>
          </w:p>
        </w:tc>
        <w:tc>
          <w:tcPr>
            <w:tcW w:w="920" w:type="dxa"/>
            <w:vAlign w:val="bottom"/>
            <w:tcBorders>
              <w:bottom w:val="single" w:sz="8" w:color="auto"/>
            </w:tcBorders>
          </w:tcPr>
          <w:p>
            <w:pPr>
              <w:spacing w:after="0"/>
              <w:rPr>
                <w:sz w:val="18"/>
                <w:szCs w:val="18"/>
                <w:color w:val="auto"/>
              </w:rPr>
            </w:pPr>
          </w:p>
        </w:tc>
      </w:tr>
      <w:tr>
        <w:trPr>
          <w:trHeight w:val="205"/>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02"/>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Non-deductible or non-taxable foreign exchange results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(395.1)</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rate differences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Non-deductible or non-taxable interest and other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173"/>
        </w:trPr>
        <w:tc>
          <w:tcPr>
            <w:tcW w:w="7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Basis and other differences in the treatment of items associated with investments in subsidiaries and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(c)</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technologies innovation (d)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Enacted tax law and rate changes (e)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gain on U.K. JV transaction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8"/>
        </w:trPr>
        <w:tc>
          <w:tcPr>
            <w:tcW w:w="7340" w:type="dxa"/>
            <w:vAlign w:val="bottom"/>
          </w:tcPr>
          <w:p>
            <w:pPr>
              <w:ind w:left="240"/>
              <w:spacing w:after="0" w:line="204" w:lineRule="exact"/>
              <w:rPr>
                <w:sz w:val="20"/>
                <w:szCs w:val="20"/>
                <w:color w:val="auto"/>
              </w:rPr>
            </w:pPr>
            <w:r>
              <w:rPr>
                <w:rFonts w:ascii="Arial" w:cs="Arial" w:eastAsia="Arial" w:hAnsi="Arial"/>
                <w:sz w:val="18"/>
                <w:szCs w:val="18"/>
                <w:color w:val="auto"/>
              </w:rPr>
              <w:t>Total income tax benefit (expense)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206"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reflect the recognition of the innovation income tax deduction in Belgium, including the one-time effect of deductions related to prior periods in 2020.</w:t>
      </w:r>
    </w:p>
    <w:p>
      <w:pPr>
        <w:spacing w:after="0" w:line="206" w:lineRule="exact"/>
        <w:rPr>
          <w:rFonts w:ascii="Arial" w:cs="Arial" w:eastAsia="Arial" w:hAnsi="Arial"/>
          <w:sz w:val="18"/>
          <w:szCs w:val="18"/>
          <w:color w:val="auto"/>
        </w:rPr>
      </w:pPr>
    </w:p>
    <w:p>
      <w:pPr>
        <w:jc w:val="both"/>
        <w:ind w:left="480" w:hanging="474"/>
        <w:spacing w:after="0" w:line="312" w:lineRule="auto"/>
        <w:tabs>
          <w:tab w:leader="none" w:pos="47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On June 10, 2021, legislation was enacted in the U.K. to increase the U.K. corporate income rate to 25.0% from April 1, 2023. The impact of this rate change on our deferred tax balances was recorded during the second quarter of 2021. On July 22, 2020, legislation was enacted in the U.K. to maintain the corporate income tax rate at 19.0%, reversing previous legislation that had reduced the U.K. rate to 17.0% from April 1, 2020. The impact of this rate change on our deferred tax balances was recorded during the third quarter of 2020. Effective January 1, 2022, the enacted corporate income tax rate in the Netherlands increased from 25.0% to 25.8%. This change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our net deferred tax liabilities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w w:val="89"/>
              </w:rPr>
              <w:t>2021</w:t>
            </w:r>
          </w:p>
        </w:tc>
      </w:tr>
      <w:tr>
        <w:trPr>
          <w:trHeight w:val="202"/>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65"/>
        </w:trPr>
        <w:tc>
          <w:tcPr>
            <w:tcW w:w="8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88"/>
              </w:rPr>
              <w:t>233.8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w w:val="88"/>
              </w:rPr>
              <w:t>423.4</w:t>
            </w: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76"/>
              <w:spacing w:after="0"/>
              <w:rPr>
                <w:sz w:val="20"/>
                <w:szCs w:val="20"/>
                <w:color w:val="auto"/>
              </w:rPr>
            </w:pPr>
            <w:r>
              <w:rPr>
                <w:rFonts w:ascii="Arial" w:cs="Arial" w:eastAsia="Arial" w:hAnsi="Arial"/>
                <w:sz w:val="18"/>
                <w:szCs w:val="18"/>
                <w:color w:val="auto"/>
                <w:w w:val="87"/>
              </w:rPr>
              <w:t>(533.8)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34"/>
              <w:spacing w:after="0"/>
              <w:rPr>
                <w:sz w:val="20"/>
                <w:szCs w:val="20"/>
                <w:color w:val="auto"/>
              </w:rPr>
            </w:pPr>
            <w:r>
              <w:rPr>
                <w:rFonts w:ascii="Arial" w:cs="Arial" w:eastAsia="Arial" w:hAnsi="Arial"/>
                <w:sz w:val="18"/>
                <w:szCs w:val="18"/>
                <w:color w:val="auto"/>
                <w:w w:val="91"/>
              </w:rPr>
              <w:t>(544.5)</w:t>
            </w:r>
          </w:p>
        </w:tc>
      </w:tr>
      <w:tr>
        <w:trPr>
          <w:trHeight w:val="243"/>
        </w:trPr>
        <w:tc>
          <w:tcPr>
            <w:tcW w:w="868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8"/>
                <w:szCs w:val="18"/>
                <w:color w:val="auto"/>
                <w:w w:val="87"/>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center"/>
              <w:ind w:left="134"/>
              <w:spacing w:after="0"/>
              <w:rPr>
                <w:sz w:val="20"/>
                <w:szCs w:val="20"/>
                <w:color w:val="auto"/>
              </w:rPr>
            </w:pPr>
            <w:r>
              <w:rPr>
                <w:rFonts w:ascii="Arial" w:cs="Arial" w:eastAsia="Arial" w:hAnsi="Arial"/>
                <w:sz w:val="18"/>
                <w:szCs w:val="18"/>
                <w:color w:val="auto"/>
                <w:w w:val="91"/>
              </w:rPr>
              <w:t>(121.1)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ind w:left="480" w:hanging="474"/>
        <w:spacing w:after="0" w:line="251" w:lineRule="auto"/>
        <w:tabs>
          <w:tab w:leader="none" w:pos="4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deferred tax assets and deferred tax liabilities are included within other assets, net, and other long-term liabilities, respectively, on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tax effects of temporary differences that give rise to significant portions of our deferred tax assets and deferred tax liabilities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05"/>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r>
      <w:tr>
        <w:trPr>
          <w:trHeight w:val="202"/>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r>
      <w:tr>
        <w:trPr>
          <w:trHeight w:val="218"/>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1,327.6</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1,482.5</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and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future deductible amounts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18"/>
        </w:trPr>
        <w:tc>
          <w:tcPr>
            <w:tcW w:w="8680" w:type="dxa"/>
            <w:vAlign w:val="bottom"/>
          </w:tcPr>
          <w:p>
            <w:pPr>
              <w:ind w:left="340"/>
              <w:spacing w:after="0" w:line="204" w:lineRule="exact"/>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2,374.9</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r>
      <w:tr>
        <w:trPr>
          <w:trHeight w:val="218"/>
        </w:trPr>
        <w:tc>
          <w:tcPr>
            <w:tcW w:w="8680" w:type="dxa"/>
            <w:vAlign w:val="bottom"/>
            <w:tcBorders>
              <w:bottom w:val="single" w:sz="8" w:color="CCEEFF"/>
            </w:tcBorders>
          </w:tcPr>
          <w:p>
            <w:pPr>
              <w:ind w:left="440"/>
              <w:spacing w:after="0" w:line="204" w:lineRule="exact"/>
              <w:rPr>
                <w:sz w:val="20"/>
                <w:szCs w:val="20"/>
                <w:color w:val="auto"/>
              </w:rPr>
            </w:pPr>
            <w:r>
              <w:rPr>
                <w:rFonts w:ascii="Arial" w:cs="Arial" w:eastAsia="Arial" w:hAnsi="Arial"/>
                <w:sz w:val="18"/>
                <w:szCs w:val="18"/>
                <w:color w:val="auto"/>
              </w:rPr>
              <w:t>Deferred tax assets, net of valuation allowance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w:t>
            </w:r>
          </w:p>
        </w:tc>
      </w:tr>
      <w:tr>
        <w:trPr>
          <w:trHeight w:val="205"/>
        </w:trPr>
        <w:tc>
          <w:tcPr>
            <w:tcW w:w="8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(418.4)</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ROU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Debt and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future taxable amounts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8"/>
        </w:trPr>
        <w:tc>
          <w:tcPr>
            <w:tcW w:w="86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r>
      <w:tr>
        <w:trPr>
          <w:trHeight w:val="244"/>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deferred income tax valuation allowance decreased $158.1 million in 2022. This decrease reflects the net effect of (i) expiration of net operating losses, (ii) foreign currency translation adjustments, (iii) net tax expense of $39.0 million and (iv) other individually insignificant items.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components of our tax loss carryforwards and related tax assets at December 31, 2022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Tax loss</w:t>
            </w:r>
          </w:p>
        </w:tc>
        <w:tc>
          <w:tcPr>
            <w:tcW w:w="320" w:type="dxa"/>
            <w:vAlign w:val="bottom"/>
          </w:tcPr>
          <w:p>
            <w:pPr>
              <w:spacing w:after="0"/>
              <w:rPr>
                <w:sz w:val="16"/>
                <w:szCs w:val="16"/>
                <w:color w:val="auto"/>
              </w:rPr>
            </w:pPr>
          </w:p>
        </w:tc>
        <w:tc>
          <w:tcPr>
            <w:tcW w:w="960" w:type="dxa"/>
            <w:vAlign w:val="bottom"/>
          </w:tcPr>
          <w:p>
            <w:pPr>
              <w:jc w:val="right"/>
              <w:ind w:right="294"/>
              <w:spacing w:after="0"/>
              <w:rPr>
                <w:sz w:val="20"/>
                <w:szCs w:val="20"/>
                <w:color w:val="auto"/>
              </w:rPr>
            </w:pPr>
            <w:r>
              <w:rPr>
                <w:rFonts w:ascii="Arial" w:cs="Arial" w:eastAsia="Arial" w:hAnsi="Arial"/>
                <w:sz w:val="16"/>
                <w:szCs w:val="16"/>
                <w:b w:val="1"/>
                <w:bCs w:val="1"/>
                <w:color w:val="auto"/>
                <w:w w:val="96"/>
              </w:rPr>
              <w:t>Related</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Expiration</w:t>
            </w:r>
          </w:p>
        </w:tc>
      </w:tr>
      <w:tr>
        <w:trPr>
          <w:trHeight w:val="206"/>
        </w:trPr>
        <w:tc>
          <w:tcPr>
            <w:tcW w:w="16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carryforward</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84"/>
              </w:rPr>
              <w:t>tax asset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date</w:t>
            </w:r>
          </w:p>
        </w:tc>
      </w:tr>
      <w:tr>
        <w:trPr>
          <w:trHeight w:val="208"/>
        </w:trPr>
        <w:tc>
          <w:tcPr>
            <w:tcW w:w="7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Country</w:t>
            </w:r>
          </w:p>
        </w:tc>
        <w:tc>
          <w:tcPr>
            <w:tcW w:w="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2"/>
        </w:trPr>
        <w:tc>
          <w:tcPr>
            <w:tcW w:w="1620" w:type="dxa"/>
            <w:vAlign w:val="bottom"/>
            <w:tcBorders>
              <w:top w:val="single" w:sz="8" w:color="auto"/>
            </w:tcBorders>
          </w:tcPr>
          <w:p>
            <w:pPr>
              <w:spacing w:after="0"/>
              <w:rPr>
                <w:sz w:val="15"/>
                <w:szCs w:val="15"/>
                <w:color w:val="auto"/>
              </w:rPr>
            </w:pPr>
          </w:p>
        </w:tc>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Netherlands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Various</w:t>
            </w: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Various</w:t>
            </w:r>
          </w:p>
        </w:tc>
      </w:tr>
      <w:tr>
        <w:trPr>
          <w:trHeight w:val="243"/>
        </w:trPr>
        <w:tc>
          <w:tcPr>
            <w:tcW w:w="7120" w:type="dxa"/>
            <w:vAlign w:val="bottom"/>
            <w:tcBorders>
              <w:bottom w:val="single" w:sz="8" w:color="CCEEFF"/>
            </w:tcBorders>
            <w:gridSpan w:val="2"/>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At December 31, 2022, we have not provided deferred tax liabilities on an estimated $1.4 billion of cumulative temporary differences on the outside bases of our non-U.S. subsidiaries.</w:t>
      </w:r>
    </w:p>
    <w:p>
      <w:pPr>
        <w:spacing w:after="0" w:line="2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Through our subsidiaries, we maintain a presence in many countries. Many of these countries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w:t>
      </w:r>
    </w:p>
    <w:p>
      <w:pPr>
        <w:spacing w:after="0" w:line="19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August 16, 2022, the Inflation Reduction Act was signed into law in the U.S. Although this legislation does not increase the U.S. corporate income tax rate, it includes, among other provisions, a new corporate alternative minimum tax (CAMT) on “adjusted financial statement income” that is effective for tax years beginning after December 31, 2022. We do not currently anticipate that the CAMT will have a material impact on our consolidated financial statements, although we will continue to monitor additional guidance as it is issued to assess the impact to our tax position. We will disregard our CAMT status when evaluating our deferred tax assets under the regular U.S. tax system.</w:t>
      </w:r>
    </w:p>
    <w:p>
      <w:pPr>
        <w:spacing w:after="0" w:line="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22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general, tax returns filed by our company or our subsidiaries for years prior to 2010 are no longer subject to examination by tax authorities. Certain of our subsidiaries are currently involved in income tax examinations in various jurisdictions in which we operate, including Belgium, Ireland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our unrecognized tax benefits for the indicated periods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8"/>
        </w:trPr>
        <w:tc>
          <w:tcPr>
            <w:tcW w:w="7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290.6</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related to the held for sale group</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36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assurance can be given that any of these tax benefits will be recognized or realized.</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of December 31, 2022, 2021 and 2020, there were $337.9 million, $378.7 million, and $418.2 million, respectively, of unrecognized tax benefits that would have a favorable impact on our effective income tax rate if ultimately recognized, after considering amounts that we would expect to be offset by valuation allowances and other factors.</w:t>
      </w:r>
    </w:p>
    <w:p>
      <w:pPr>
        <w:spacing w:after="0" w:line="203" w:lineRule="exact"/>
        <w:rPr>
          <w:sz w:val="20"/>
          <w:szCs w:val="20"/>
          <w:color w:val="auto"/>
        </w:rPr>
      </w:pPr>
    </w:p>
    <w:p>
      <w:pPr>
        <w:jc w:val="both"/>
        <w:ind w:right="20" w:firstLine="318"/>
        <w:spacing w:after="0" w:line="248" w:lineRule="auto"/>
        <w:rPr>
          <w:sz w:val="20"/>
          <w:szCs w:val="20"/>
          <w:color w:val="auto"/>
        </w:rPr>
      </w:pPr>
      <w:r>
        <w:rPr>
          <w:rFonts w:ascii="Arial" w:cs="Arial" w:eastAsia="Arial" w:hAnsi="Arial"/>
          <w:sz w:val="18"/>
          <w:szCs w:val="18"/>
          <w:color w:val="auto"/>
        </w:rPr>
        <w:t>During 2023, we do not expect any material reductions to our unrecognized tax benefits related to tax positions taken as of December 31, 2022. No assurance can be given as to the nature or impact of any changes in our unrecognized tax positions during 2023.</w:t>
      </w:r>
    </w:p>
    <w:p>
      <w:pPr>
        <w:spacing w:after="0" w:line="22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2022, 2021 and 2020, the income tax expense of our continuing operations included $38.4 million, $25.7 million and $26.3 million, respectively, representing the net accrual of interest and penalties during the period. At December 31, 2022, our other long-term liabilities included accrued interest and penalties of $203.3 million.</w:t>
      </w:r>
    </w:p>
    <w:p>
      <w:pPr>
        <w:spacing w:after="0" w:line="21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October 7, 2022, the U.S. Department of Justice filed suit against Liberty Global, Inc. (LGI), a wholly 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No amounts have been accrued by LGI with respect to this matter. We will vigorously defend this matter and continue to actively pursue our claim for refund.</w:t>
      </w:r>
    </w:p>
    <w:p>
      <w:pPr>
        <w:spacing w:after="0" w:line="170" w:lineRule="exact"/>
        <w:rPr>
          <w:sz w:val="20"/>
          <w:szCs w:val="20"/>
          <w:color w:val="auto"/>
        </w:rPr>
      </w:pPr>
    </w:p>
    <w:p>
      <w:pPr>
        <w:ind w:left="340" w:hanging="334"/>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At December 31, 2022, our authorized share capital consisted of an aggregate nominal amount of $20.0 million, consisting of any of the following: (i) ordinary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Liberty Global’s Articles of Association, effective July 1, 2015, holders of Liberty Global Class A ordinary shares are entitled to one vote for each such share held, and holders of Liberty Global Class B ordinary shares are entitled to 10 votes for each such share held, on all matters submitted to a vote of Liberty Global shareholders at any general meeting (annual or special). Holders of Liberty Global Class C ordinary shares are not entitled to any voting powers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At the option of the holder, each Liberty Global Class B ordinary share is convertible into one Liberty Global Class A ordinary share. One Liberty Global Class A ordinary share is reserved for issuance for each Liberty Global Class B ordinary share that is issued (12,994,000 shares issued as of December 31, 2022). Additionally, at December 31, 2022, we have reserved the following ordinary shares for the issuance of outstanding share-based incentive awards: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314"/>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208"/>
        </w:trPr>
        <w:tc>
          <w:tcPr>
            <w:tcW w:w="8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608,258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2,465,294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SARs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21,183,640</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49,778,158</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1,984,663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3,968,778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PSUs and PSARs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3,281,811</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6,417,033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Subject to any preferential rights of any outstanding class of our preference shares, the holders of our ordinary shares are entitled to dividends as may be declared from time to time by our board of directors from funds available therefore. Except with respect to share distributions, whenever a dividend is paid in cash to the holder of one class of our ordinary shares, we shall also pay to the holders of the other classes of our ordinary shares an equal per share dividend. There are currently no contractual restrictions on our ability to pay dividends in cash or shares.</w:t>
      </w:r>
    </w:p>
    <w:p>
      <w:pPr>
        <w:spacing w:after="0" w:line="20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the event of our liquidation, dissolution or winding up, after payment or provision for payment of our debts and liabilities and subject to the prior payment in full of any preferential amounts to which our preference shareholders, if any, may be entitled, the holders of our ordinary shares will be entitled to receive their proportionate interests, expressed in liquidation units, in any assets available for distribution to our ordinary shares.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a U.K. incorporated company, we may only elect to repurchase shares or pay dividends to the extent of our “</w:t>
      </w:r>
      <w:r>
        <w:rPr>
          <w:rFonts w:ascii="Arial" w:cs="Arial" w:eastAsia="Arial" w:hAnsi="Arial"/>
          <w:sz w:val="17"/>
          <w:szCs w:val="17"/>
          <w:b w:val="1"/>
          <w:bCs w:val="1"/>
          <w:color w:val="auto"/>
        </w:rPr>
        <w:t>Distributable Reserves</w:t>
      </w:r>
      <w:r>
        <w:rPr>
          <w:rFonts w:ascii="Arial" w:cs="Arial" w:eastAsia="Arial" w:hAnsi="Arial"/>
          <w:sz w:val="17"/>
          <w:szCs w:val="17"/>
          <w:color w:val="auto"/>
        </w:rPr>
        <w:t>.” Distributable Reserves, which are not linked to a GAAP reported amount, may be created through the earnings of the U.K. parent company and, among other methods, through a reduction in share premium approved by the English Companies Court. Based on the amounts set forth in our 2021 U.K. Companies Act Report dated April 29, 2022, which are our most recent “Relevant Accounts” for purposes of determining our Distributable Reserves under U.K. law, our Distributable Reserves were $17.1 billion as of December 31, 2021. This amount does not reflect earnings, share repurchases or other activity that occurred during 2022, each of which impacts the amount of our Distributable Reserves.</w:t>
      </w:r>
    </w:p>
    <w:p>
      <w:pPr>
        <w:spacing w:after="0" w:line="20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board of directors has approved various share repurchase programs for our Liberty Global ordinary shares. Under our repurchase programs, we may acquire from time to time our Class A ordinary shares, Class C ordinary shares or any combination of Class A and Class C ordinary shares. Our repurchase programs may be effected through open market transactions and/or privately negotiated transactions, which may include derivative transactions. The timing of the repurchase of shares pursuant to these programs will depend on a variety of factors, including market conditions and applicable law, and these programs may be implemented in conjunction with brokers for the company and other financial institutions with whom the company has relationships within certain preset parameters and purchases may continue during closed periods in accordance with applicable restrictions. Our share repurchase programs may be suspended or discontinued at any time. In July 2021, our board of directors approved a share repurchase program pursuant to which we are authorized to repurchase 10% of our shares during each of 2022 and 2023, based on the total number of our outstanding shares as of the beginning of each respective year. As determined by our total number of outstanding shares as of December 31, 2022, we are authorized to repurchase approximately 45.9 million of our Class A and/or Class C ordinary shares during 2023. Based on the respective closing share prices as of December 30, 2022, this would equate to total share repurchases during 2023 of approximately $0.9 billion. However, the actual U.S. dollar amount of our share repurchases during 2023 will be determined by the actual transaction date share prices during the year and could differ significantly from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our share repurchases during 2022,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60" w:type="dxa"/>
            <w:vAlign w:val="bottom"/>
          </w:tcPr>
          <w:p>
            <w:pPr>
              <w:spacing w:after="0"/>
              <w:rPr>
                <w:sz w:val="18"/>
                <w:szCs w:val="18"/>
                <w:color w:val="auto"/>
              </w:rPr>
            </w:pPr>
          </w:p>
        </w:tc>
        <w:tc>
          <w:tcPr>
            <w:tcW w:w="2820" w:type="dxa"/>
            <w:vAlign w:val="bottom"/>
            <w:gridSpan w:val="5"/>
          </w:tcPr>
          <w:p>
            <w:pPr>
              <w:ind w:left="540"/>
              <w:spacing w:after="0"/>
              <w:rPr>
                <w:sz w:val="20"/>
                <w:szCs w:val="20"/>
                <w:color w:val="auto"/>
              </w:rPr>
            </w:pPr>
            <w:r>
              <w:rPr>
                <w:rFonts w:ascii="Arial" w:cs="Arial" w:eastAsia="Arial" w:hAnsi="Arial"/>
                <w:sz w:val="16"/>
                <w:szCs w:val="16"/>
                <w:b w:val="1"/>
                <w:bCs w:val="1"/>
                <w:color w:val="auto"/>
              </w:rPr>
              <w:t>Class A ordinary shares</w:t>
            </w:r>
          </w:p>
        </w:tc>
        <w:tc>
          <w:tcPr>
            <w:tcW w:w="2840" w:type="dxa"/>
            <w:vAlign w:val="bottom"/>
            <w:gridSpan w:val="5"/>
          </w:tcPr>
          <w:p>
            <w:pPr>
              <w:ind w:left="560"/>
              <w:spacing w:after="0"/>
              <w:rPr>
                <w:sz w:val="20"/>
                <w:szCs w:val="20"/>
                <w:color w:val="auto"/>
              </w:rPr>
            </w:pPr>
            <w:r>
              <w:rPr>
                <w:rFonts w:ascii="Arial" w:cs="Arial" w:eastAsia="Arial" w:hAnsi="Arial"/>
                <w:sz w:val="16"/>
                <w:szCs w:val="16"/>
                <w:b w:val="1"/>
                <w:bCs w:val="1"/>
                <w:color w:val="auto"/>
              </w:rPr>
              <w:t>Class C ordinary shares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42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6"/>
                <w:szCs w:val="16"/>
                <w:b w:val="1"/>
                <w:bCs w:val="1"/>
                <w:color w:val="auto"/>
                <w:w w:val="90"/>
              </w:rPr>
              <w:t>Average price</w:t>
            </w:r>
          </w:p>
        </w:tc>
        <w:tc>
          <w:tcPr>
            <w:tcW w:w="100" w:type="dxa"/>
            <w:vAlign w:val="bottom"/>
          </w:tcPr>
          <w:p>
            <w:pPr>
              <w:spacing w:after="0"/>
              <w:rPr>
                <w:sz w:val="13"/>
                <w:szCs w:val="13"/>
                <w:color w:val="auto"/>
              </w:rPr>
            </w:pPr>
          </w:p>
        </w:tc>
        <w:tc>
          <w:tcPr>
            <w:tcW w:w="1420" w:type="dxa"/>
            <w:vAlign w:val="bottom"/>
            <w:tcBorders>
              <w:top w:val="single" w:sz="8" w:color="auto"/>
            </w:tcBorders>
            <w:gridSpan w:val="2"/>
          </w:tcPr>
          <w:p>
            <w:pPr>
              <w:ind w:left="440"/>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6"/>
                <w:szCs w:val="16"/>
                <w:b w:val="1"/>
                <w:bCs w:val="1"/>
                <w:color w:val="auto"/>
                <w:w w:val="90"/>
              </w:rPr>
              <w:t>Average price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w w:val="92"/>
              </w:rPr>
              <w:t>Total cost (a)</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repurchased</w:t>
            </w: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 per share (a)</w:t>
            </w: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repurchased</w:t>
            </w:r>
          </w:p>
        </w:tc>
        <w:tc>
          <w:tcPr>
            <w:tcW w:w="142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 per share (a)</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4"/>
              </w:rPr>
              <w:t>3,856,700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3"/>
              </w:rPr>
              <w:t>69,381,968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ind w:left="520"/>
              <w:spacing w:after="0" w:line="198" w:lineRule="exact"/>
              <w:rPr>
                <w:sz w:val="20"/>
                <w:szCs w:val="20"/>
                <w:color w:val="auto"/>
              </w:rPr>
            </w:pPr>
            <w:r>
              <w:rPr>
                <w:rFonts w:ascii="Arial" w:cs="Arial" w:eastAsia="Arial" w:hAnsi="Arial"/>
                <w:sz w:val="18"/>
                <w:szCs w:val="18"/>
                <w:color w:val="auto"/>
                <w:w w:val="94"/>
              </w:rPr>
              <w:t>8,445,800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27.31</w:t>
            </w:r>
          </w:p>
        </w:tc>
        <w:tc>
          <w:tcPr>
            <w:tcW w:w="100" w:type="dxa"/>
            <w:vAlign w:val="bottom"/>
          </w:tcPr>
          <w:p>
            <w:pPr>
              <w:spacing w:after="0"/>
              <w:rPr>
                <w:sz w:val="17"/>
                <w:szCs w:val="17"/>
                <w:color w:val="auto"/>
              </w:rPr>
            </w:pPr>
          </w:p>
        </w:tc>
        <w:tc>
          <w:tcPr>
            <w:tcW w:w="1320" w:type="dxa"/>
            <w:vAlign w:val="bottom"/>
            <w:tcBorders>
              <w:bottom w:val="single" w:sz="8" w:color="auto"/>
            </w:tcBorders>
          </w:tcPr>
          <w:p>
            <w:pPr>
              <w:ind w:left="460"/>
              <w:spacing w:after="0" w:line="198" w:lineRule="exact"/>
              <w:rPr>
                <w:sz w:val="20"/>
                <w:szCs w:val="20"/>
                <w:color w:val="auto"/>
              </w:rPr>
            </w:pPr>
            <w:r>
              <w:rPr>
                <w:rFonts w:ascii="Arial" w:cs="Arial" w:eastAsia="Arial" w:hAnsi="Arial"/>
                <w:sz w:val="18"/>
                <w:szCs w:val="18"/>
                <w:color w:val="auto"/>
                <w:w w:val="93"/>
              </w:rPr>
              <w:t>49,604,048</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4"/>
              </w:rPr>
              <w:t>1,309,000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3"/>
              </w:rPr>
              <w:t>54,473,323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6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direct acquisition costs, where applicable.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Subsidiary Distributions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paid aggregate dividends to its shareholders during 2022, 2021 and 2020 of €149.0 million, €306.2 million and €292.4 million, respectively. Our share of these dividends was €91.2 million ($96.2 million at the applicable rate),€182.4 million ($214.0 million at the applicable rate) and €177.8 million ($205.4 million at the applicable rate), respectively.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ability of certain of our subsidiaries to distribute or loan all or a portion of their net assets to our company is limited by the terms of applicable debt facilities. At December 31, 2022, a significant portion of our net assets represented net assets of our subsidiaries that were subject to such limitations.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Year ended December 31,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5"/>
        </w:trPr>
        <w:tc>
          <w:tcPr>
            <w:tcW w:w="7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2"/>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5"/>
        </w:trPr>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02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168.6</w:t>
            </w:r>
          </w:p>
        </w:tc>
        <w:tc>
          <w:tcPr>
            <w:tcW w:w="5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25"/>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25"/>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Telenet share-based incentive awards (d)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702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308.1</w:t>
            </w:r>
          </w:p>
        </w:tc>
        <w:tc>
          <w:tcPr>
            <w:tcW w:w="5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70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Included in:</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5"/>
        </w:trPr>
        <w:tc>
          <w:tcPr>
            <w:tcW w:w="702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SG&amp;A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r>
      <w:tr>
        <w:trPr>
          <w:trHeight w:val="219"/>
        </w:trPr>
        <w:tc>
          <w:tcPr>
            <w:tcW w:w="70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308.1</w:t>
            </w:r>
          </w:p>
        </w:tc>
        <w:tc>
          <w:tcPr>
            <w:tcW w:w="5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348.0</w:t>
            </w:r>
          </w:p>
        </w:tc>
      </w:tr>
      <w:tr>
        <w:trPr>
          <w:trHeight w:val="20"/>
        </w:trPr>
        <w:tc>
          <w:tcPr>
            <w:tcW w:w="7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1" w:lineRule="auto"/>
        <w:tabs>
          <w:tab w:leader="none" w:pos="4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April 2021, with respect to 2014 and 2015 grants, and in April 2020, with respect to 2013 grants, the compensation committee of our board of directors approved the extension dates of outstanding SARs and director options from a seven-year term to a ten-year term. Accordingly, the Black-Scholes fair values of the respective outstanding awards increased, resulting in the recognition of an aggregate incremental share-based compensation expense of $22.7 million and $18.9 million during 2021 and 2020, respectively.</w:t>
      </w:r>
    </w:p>
    <w:p>
      <w:pPr>
        <w:spacing w:after="0" w:line="219"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and 2020 periods, PSUs and our 2019 CEO Performance Award, each as defined and described below.</w:t>
      </w:r>
    </w:p>
    <w:p>
      <w:pPr>
        <w:spacing w:after="0" w:line="206" w:lineRule="exact"/>
        <w:rPr>
          <w:rFonts w:ascii="Arial" w:cs="Arial" w:eastAsia="Arial" w:hAnsi="Arial"/>
          <w:sz w:val="18"/>
          <w:szCs w:val="18"/>
          <w:color w:val="auto"/>
        </w:rPr>
      </w:pPr>
    </w:p>
    <w:p>
      <w:pPr>
        <w:jc w:val="both"/>
        <w:ind w:left="480" w:hanging="474"/>
        <w:spacing w:after="0" w:line="268" w:lineRule="auto"/>
        <w:tabs>
          <w:tab w:leader="none" w:pos="47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the 2022 and 2021 amounts include compensation expense related to the 2022 and 2021 Ventures Incentive Plans, each as defined and described below.</w:t>
      </w:r>
    </w:p>
    <w:p>
      <w:pPr>
        <w:spacing w:after="0" w:line="205" w:lineRule="exact"/>
        <w:rPr>
          <w:rFonts w:ascii="Arial" w:cs="Arial" w:eastAsia="Arial" w:hAnsi="Arial"/>
          <w:sz w:val="17"/>
          <w:szCs w:val="17"/>
          <w:color w:val="auto"/>
        </w:rPr>
      </w:pPr>
    </w:p>
    <w:p>
      <w:pPr>
        <w:jc w:val="both"/>
        <w:ind w:left="480" w:hanging="474"/>
        <w:spacing w:after="0" w:line="254" w:lineRule="auto"/>
        <w:tabs>
          <w:tab w:leader="none" w:pos="4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2022, included performance- and non-performance-based stock option awards with respect to 3,519,920 Telenet shares. These stock option awards had a weighted average exercise price of €31.43 ($33.66).</w:t>
      </w:r>
    </w:p>
    <w:p>
      <w:pPr>
        <w:spacing w:after="0" w:line="21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2022, $146.2 million of total unrecognized compensation cost related to our Liberty Global share-based incentive awards is expected to be recognized by our company over a weighted-average period of approximately 1.6 years.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following table summarizes certain information related to the share-based incentive awards granted and exercised with respect to Liberty Global ordinary shares (includes amounts related to awards held by employees of our discontinued operations, unless otherwise noted):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center"/>
              <w:ind w:left="973"/>
              <w:spacing w:after="0"/>
              <w:rPr>
                <w:sz w:val="20"/>
                <w:szCs w:val="20"/>
                <w:color w:val="auto"/>
              </w:rPr>
            </w:pPr>
            <w:r>
              <w:rPr>
                <w:rFonts w:ascii="Arial" w:cs="Arial" w:eastAsia="Arial" w:hAnsi="Arial"/>
                <w:sz w:val="16"/>
                <w:szCs w:val="16"/>
                <w:b w:val="1"/>
                <w:bCs w:val="1"/>
                <w:color w:val="auto"/>
                <w:w w:val="88"/>
              </w:rPr>
              <w:t>Year ended December 31,</w:t>
            </w:r>
          </w:p>
        </w:tc>
        <w:tc>
          <w:tcPr>
            <w:tcW w:w="1220" w:type="dxa"/>
            <w:vAlign w:val="bottom"/>
            <w:tcBorders>
              <w:bottom w:val="single" w:sz="8" w:color="auto"/>
            </w:tcBorders>
          </w:tcPr>
          <w:p>
            <w:pPr>
              <w:spacing w:after="0"/>
              <w:rPr>
                <w:sz w:val="18"/>
                <w:szCs w:val="18"/>
                <w:color w:val="auto"/>
              </w:rPr>
            </w:pPr>
          </w:p>
        </w:tc>
      </w:tr>
      <w:tr>
        <w:trPr>
          <w:trHeight w:val="205"/>
        </w:trPr>
        <w:tc>
          <w:tcPr>
            <w:tcW w:w="6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4"/>
              </w:rPr>
              <w:t>2022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2020</w:t>
            </w:r>
          </w:p>
        </w:tc>
      </w:tr>
      <w:tr>
        <w:trPr>
          <w:trHeight w:val="182"/>
        </w:trPr>
        <w:tc>
          <w:tcPr>
            <w:tcW w:w="6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Assumptions used to estimate fair value of options and SARs granted: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9"/>
                <w:szCs w:val="19"/>
                <w:color w:val="auto"/>
              </w:rPr>
            </w:pPr>
          </w:p>
        </w:tc>
        <w:tc>
          <w:tcPr>
            <w:tcW w:w="1220" w:type="dxa"/>
            <w:vAlign w:val="bottom"/>
          </w:tcPr>
          <w:p>
            <w:pPr>
              <w:jc w:val="center"/>
              <w:ind w:right="73"/>
              <w:spacing w:after="0"/>
              <w:rPr>
                <w:sz w:val="20"/>
                <w:szCs w:val="20"/>
                <w:color w:val="auto"/>
              </w:rPr>
            </w:pPr>
            <w:r>
              <w:rPr>
                <w:rFonts w:ascii="Arial" w:cs="Arial" w:eastAsia="Arial" w:hAnsi="Arial"/>
                <w:sz w:val="18"/>
                <w:szCs w:val="18"/>
                <w:color w:val="auto"/>
                <w:w w:val="88"/>
              </w:rPr>
              <w:t>2.27 - 3.09%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color w:val="auto"/>
                <w:w w:val="90"/>
              </w:rPr>
              <w:t>0.48 - 1.13%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color w:val="auto"/>
                <w:w w:val="90"/>
              </w:rPr>
              <w:t>0.13 - 0.47%</w:t>
            </w: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life</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3.7 - 6.2 years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3.7 - 6.2 years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3.2 - 6.2 years</w:t>
            </w: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1220" w:type="dxa"/>
            <w:vAlign w:val="bottom"/>
          </w:tcPr>
          <w:p>
            <w:pPr>
              <w:jc w:val="center"/>
              <w:ind w:right="73"/>
              <w:spacing w:after="0"/>
              <w:rPr>
                <w:sz w:val="20"/>
                <w:szCs w:val="20"/>
                <w:color w:val="auto"/>
              </w:rPr>
            </w:pPr>
            <w:r>
              <w:rPr>
                <w:rFonts w:ascii="Arial" w:cs="Arial" w:eastAsia="Arial" w:hAnsi="Arial"/>
                <w:sz w:val="18"/>
                <w:szCs w:val="18"/>
                <w:color w:val="auto"/>
                <w:w w:val="88"/>
              </w:rPr>
              <w:t>33.5 - 38.1%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color w:val="auto"/>
                <w:w w:val="90"/>
              </w:rPr>
              <w:t>30.8 - 33.2%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color w:val="auto"/>
                <w:w w:val="90"/>
              </w:rPr>
              <w:t>34.6 - 38.8%</w:t>
            </w: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none</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none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none</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Weighted average grant-date fair value per share of awards granted: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SARs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Total intrinsic value of awards exercised (in millions):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960" w:type="dxa"/>
            <w:vAlign w:val="bottom"/>
          </w:tcPr>
          <w:p>
            <w:pPr>
              <w:ind w:left="140"/>
              <w:spacing w:after="0"/>
              <w:rPr>
                <w:sz w:val="20"/>
                <w:szCs w:val="20"/>
                <w:color w:val="auto"/>
              </w:rPr>
            </w:pPr>
            <w:r>
              <w:rPr>
                <w:rFonts w:ascii="Arial" w:cs="Arial" w:eastAsia="Arial" w:hAnsi="Arial"/>
                <w:sz w:val="18"/>
                <w:szCs w:val="18"/>
                <w:color w:val="auto"/>
              </w:rPr>
              <w:t>SARs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color w:val="auto"/>
                <w:w w:val="90"/>
              </w:rPr>
              <w:t>(a)</w:t>
            </w:r>
          </w:p>
        </w:tc>
      </w:tr>
      <w:tr>
        <w:trPr>
          <w:trHeight w:val="225"/>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(a)</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Cash received from exercise of options (in millions)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Income tax benefit related to share-based compensation of our continuing operations (in millions)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 were no exercises of this award type made during the indicated period.</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Incentive Plans — Liberty Global Ordinary Shares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2014 Incentive Plans</w:t>
      </w:r>
    </w:p>
    <w:p>
      <w:pPr>
        <w:spacing w:after="0" w:line="23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As of December 31, 2022, we are authorized to grant incentive awards under the “</w:t>
      </w:r>
      <w:r>
        <w:rPr>
          <w:rFonts w:ascii="Arial" w:cs="Arial" w:eastAsia="Arial" w:hAnsi="Arial"/>
          <w:sz w:val="15"/>
          <w:szCs w:val="15"/>
          <w:b w:val="1"/>
          <w:bCs w:val="1"/>
          <w:color w:val="auto"/>
        </w:rPr>
        <w:t>Liberty Global 2014 Incentive Plan</w:t>
      </w:r>
      <w:r>
        <w:rPr>
          <w:rFonts w:ascii="Arial" w:cs="Arial" w:eastAsia="Arial" w:hAnsi="Arial"/>
          <w:sz w:val="15"/>
          <w:szCs w:val="15"/>
          <w:color w:val="auto"/>
        </w:rPr>
        <w:t>” and the “</w:t>
      </w:r>
      <w:r>
        <w:rPr>
          <w:rFonts w:ascii="Arial" w:cs="Arial" w:eastAsia="Arial" w:hAnsi="Arial"/>
          <w:sz w:val="15"/>
          <w:szCs w:val="15"/>
          <w:b w:val="1"/>
          <w:bCs w:val="1"/>
          <w:color w:val="auto"/>
        </w:rPr>
        <w:t>Liberty Global 2014</w:t>
      </w:r>
      <w:r>
        <w:rPr>
          <w:rFonts w:ascii="Arial" w:cs="Arial" w:eastAsia="Arial" w:hAnsi="Arial"/>
          <w:sz w:val="15"/>
          <w:szCs w:val="15"/>
          <w:color w:val="auto"/>
        </w:rPr>
        <w:t xml:space="preserve"> </w:t>
      </w:r>
      <w:r>
        <w:rPr>
          <w:rFonts w:ascii="Arial" w:cs="Arial" w:eastAsia="Arial" w:hAnsi="Arial"/>
          <w:sz w:val="15"/>
          <w:szCs w:val="15"/>
          <w:b w:val="1"/>
          <w:bCs w:val="1"/>
          <w:color w:val="auto"/>
        </w:rPr>
        <w:t>Nonemployee Director Incentive Plan</w:t>
      </w:r>
      <w:r>
        <w:rPr>
          <w:rFonts w:ascii="Arial" w:cs="Arial" w:eastAsia="Arial" w:hAnsi="Arial"/>
          <w:sz w:val="15"/>
          <w:szCs w:val="15"/>
          <w:color w:val="auto"/>
        </w:rPr>
        <w:t>” (collectively, the</w:t>
      </w:r>
      <w:r>
        <w:rPr>
          <w:rFonts w:ascii="Arial" w:cs="Arial" w:eastAsia="Arial" w:hAnsi="Arial"/>
          <w:sz w:val="15"/>
          <w:szCs w:val="15"/>
          <w:b w:val="1"/>
          <w:bCs w:val="1"/>
          <w:color w:val="auto"/>
        </w:rPr>
        <w:t xml:space="preserve"> 2014 Incentive Plans</w:t>
      </w:r>
      <w:r>
        <w:rPr>
          <w:rFonts w:ascii="Arial" w:cs="Arial" w:eastAsia="Arial" w:hAnsi="Arial"/>
          <w:sz w:val="15"/>
          <w:szCs w:val="15"/>
          <w:color w:val="auto"/>
        </w:rPr>
        <w:t>). Generally, we may grant non-qualified share options, SARs, PSARs,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shares, RSUs, cash awards, performance awards or any combination of the foregoing under either of these incentive plans (collectively, “</w:t>
      </w:r>
      <w:r>
        <w:rPr>
          <w:rFonts w:ascii="Arial" w:cs="Arial" w:eastAsia="Arial" w:hAnsi="Arial"/>
          <w:sz w:val="15"/>
          <w:szCs w:val="15"/>
          <w:b w:val="1"/>
          <w:bCs w:val="1"/>
          <w:color w:val="auto"/>
        </w:rPr>
        <w:t>awards</w:t>
      </w:r>
      <w:r>
        <w:rPr>
          <w:rFonts w:ascii="Arial" w:cs="Arial" w:eastAsia="Arial" w:hAnsi="Arial"/>
          <w:sz w:val="15"/>
          <w:szCs w:val="15"/>
          <w:color w:val="auto"/>
        </w:rPr>
        <w:t>”). Ordinary shares issuable pursuant to awards made under these incentive plans will be made available from either authorized but unissued shares or shares that have been issued but reacquired by our company. Awards may be granted at or above fair value in any class of ordinary shares. The maximum number of Liberty Global shares with respect to which awards may be issued under the Liberty Global 2014 Incentive Plan and the Liberty Global 2014 Nonemployee Director Incentive Plan is 155 million (of which no more than 50.25 million shares may consist of Class B ordinary shares) and 10.5 million, respectively, in each case, subject to anti-dilution and other adjustment provisions in the respective plan. As of December 31, 2022, the Liberty Global 2014 Incentive Plan and the Liberty Global 2014 Nonemployee Director Incentive Plan had 49,782,418 and 7,336,388 ordinary shares available for grant, respectively.</w:t>
      </w:r>
    </w:p>
    <w:p>
      <w:pPr>
        <w:spacing w:after="0" w:line="18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Awards (other than performance-based awards) under the Liberty Global 2014 Incentive Plan generally (i) vest (a) prior to 2020, 12.5% on the six-month anniversary of the grant date and then at a rate of 6.25% each quarter thereafter and (b) commencing in 2020, annually over a three-year period, and (ii) expire</w:t>
      </w:r>
    </w:p>
    <w:p>
      <w:pPr>
        <w:spacing w:after="0" w:line="1" w:lineRule="exact"/>
        <w:rPr>
          <w:sz w:val="20"/>
          <w:szCs w:val="20"/>
          <w:color w:val="auto"/>
        </w:rPr>
      </w:pPr>
    </w:p>
    <w:p>
      <w:pPr>
        <w:jc w:val="both"/>
        <w:ind w:firstLine="6"/>
        <w:spacing w:after="0" w:line="246" w:lineRule="auto"/>
        <w:tabs>
          <w:tab w:leader="none" w:pos="2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prior to 2019, seven years after the grant date and (2) commencing in 2019, 10 years after the grant date. Awards (other than RSUs) issued under the Liberty Global 2014 Nonemployee Director Incentive Plan generally vest in three equal annual installments, provided the director continues to serve as director immediately prior to the vesting date, and expire seven years after the grant date. Commencing with awards made in 2019, the term was increased to 10 years. RSUs vest on the date of the first annual general meeting of shareholders following the grant date. These awards may be granted at or above fair value in any class of ordinary shares.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2022 Ventures Incentive Plan</w:t>
      </w:r>
    </w:p>
    <w:p>
      <w:pPr>
        <w:spacing w:after="0" w:line="2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2022, the compensation committee of our board of directors approved the “</w:t>
      </w:r>
      <w:r>
        <w:rPr>
          <w:rFonts w:ascii="Arial" w:cs="Arial" w:eastAsia="Arial" w:hAnsi="Arial"/>
          <w:sz w:val="17"/>
          <w:szCs w:val="17"/>
          <w:b w:val="1"/>
          <w:bCs w:val="1"/>
          <w:color w:val="auto"/>
        </w:rPr>
        <w:t>2022 Ventures Incentive Plan</w:t>
      </w:r>
      <w:r>
        <w:rPr>
          <w:rFonts w:ascii="Arial" w:cs="Arial" w:eastAsia="Arial" w:hAnsi="Arial"/>
          <w:sz w:val="17"/>
          <w:szCs w:val="17"/>
          <w:color w:val="auto"/>
        </w:rPr>
        <w:t>”. The 2022 Ventures Incentive Plan was provided to executive officers and other key employees and is based on the performance of the Liberty Global Ventures Portfolio (the “</w:t>
      </w:r>
      <w:r>
        <w:rPr>
          <w:rFonts w:ascii="Arial" w:cs="Arial" w:eastAsia="Arial" w:hAnsi="Arial"/>
          <w:sz w:val="17"/>
          <w:szCs w:val="17"/>
          <w:b w:val="1"/>
          <w:bCs w:val="1"/>
          <w:color w:val="auto"/>
        </w:rPr>
        <w:t>Portfolio</w:t>
      </w:r>
      <w:r>
        <w:rPr>
          <w:rFonts w:ascii="Arial" w:cs="Arial" w:eastAsia="Arial" w:hAnsi="Arial"/>
          <w:sz w:val="17"/>
          <w:szCs w:val="17"/>
          <w:color w:val="auto"/>
        </w:rPr>
        <w:t>”), which is measured by assessing the fair value of the Portfolio over a three-year period that began on December 31, 2021 and ends on December 31, 2024. An initial fair value assessment was performed for the Portfolio as of December 31, 2021 by an independent third-party valuation specialist. Payout will be denominated in cash and will be assessed at the end of the three-year period using eligible participants’ initial contribution between 10% and 50% of their 2022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will vest on or around March 15, 2025. In order to receive the payout, participants are required to remain employed through the final vesting date. The 2022 Ventures Incentive Plan awards are liability classified due to the fact that the final payout under this plan will be denominated in cash and may be settled in a variable number of shares. At December 31, 2022, the estimated fair value of the final payout under the 2022 Ventures Incentive Plan was $9.7 million.</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2021 Ventures Incentive Plan</w:t>
      </w:r>
    </w:p>
    <w:p>
      <w:pPr>
        <w:spacing w:after="0" w:line="2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April 2021, the compensation committee of our board of directors approved the “</w:t>
      </w:r>
      <w:r>
        <w:rPr>
          <w:rFonts w:ascii="Arial" w:cs="Arial" w:eastAsia="Arial" w:hAnsi="Arial"/>
          <w:sz w:val="15"/>
          <w:szCs w:val="15"/>
          <w:b w:val="1"/>
          <w:bCs w:val="1"/>
          <w:color w:val="auto"/>
        </w:rPr>
        <w:t>2021 Ventures Incentive Plan</w:t>
      </w:r>
      <w:r>
        <w:rPr>
          <w:rFonts w:ascii="Arial" w:cs="Arial" w:eastAsia="Arial" w:hAnsi="Arial"/>
          <w:sz w:val="15"/>
          <w:szCs w:val="15"/>
          <w:color w:val="auto"/>
        </w:rPr>
        <w:t>”. The 2021 Ventures Incentive Plan was provided to executive officers and other key employees and is based on the performance of the Portfolio, which is measured by assessing the fair value of the Portfolio over a three-year period that began on December 31, 2020 and ends on December 31, 2023. An initial fair value assessment was performed for the Portfolio as of December 31, 2020 by an independent third-party valuation specialist. Payout will be denominated in cash and will be assessed at the end of the three-year period using eligible participants’ initial contribution between 10% and 100% of their 2021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will vest on March 31, 2024. In order to receive the payout, participants are required to remain employed through the final vesting date. The 2021 Ventures Incentive Plan awards are liability classified due to the fact that the final payout under this plan will be denominated in cash and may be settled in a variable number of shares. At December 31, 2022, the estimated fair value of the final payout under the 2021 Ventures Incentive Plan was $16.1 million.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summary of the material terms and conditions with respect to our performance-based awards for certain executive officers and key employees.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CEO Performance Award</w:t>
      </w:r>
    </w:p>
    <w:p>
      <w:pPr>
        <w:spacing w:after="0" w:line="23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In April 2019, the compensation committee of our board of directors approved the grant of RSAs and PSUs to our Chief Executive Officer (</w:t>
      </w:r>
      <w:r>
        <w:rPr>
          <w:rFonts w:ascii="Arial" w:cs="Arial" w:eastAsia="Arial" w:hAnsi="Arial"/>
          <w:sz w:val="15"/>
          <w:szCs w:val="15"/>
          <w:b w:val="1"/>
          <w:bCs w:val="1"/>
          <w:color w:val="auto"/>
        </w:rPr>
        <w:t>CEO</w:t>
      </w:r>
      <w:r>
        <w:rPr>
          <w:rFonts w:ascii="Arial" w:cs="Arial" w:eastAsia="Arial" w:hAnsi="Arial"/>
          <w:sz w:val="15"/>
          <w:szCs w:val="15"/>
          <w:color w:val="auto"/>
        </w:rPr>
        <w:t xml:space="preserve">) (the </w:t>
      </w:r>
      <w:r>
        <w:rPr>
          <w:rFonts w:ascii="Arial" w:cs="Arial" w:eastAsia="Arial" w:hAnsi="Arial"/>
          <w:sz w:val="15"/>
          <w:szCs w:val="15"/>
          <w:b w:val="1"/>
          <w:bCs w:val="1"/>
          <w:color w:val="auto"/>
        </w:rPr>
        <w:t>2019 CEO Performance Award</w:t>
      </w:r>
      <w:r>
        <w:rPr>
          <w:rFonts w:ascii="Arial" w:cs="Arial" w:eastAsia="Arial" w:hAnsi="Arial"/>
          <w:sz w:val="15"/>
          <w:szCs w:val="15"/>
          <w:color w:val="auto"/>
        </w:rPr>
        <w:t>), comprising 670,000 RSAs and 1,330,000 PSUs, each with respect to Liberty Global Class B ordinary shares. The RSAs</w:t>
      </w:r>
      <w:r>
        <w:rPr>
          <w:rFonts w:ascii="Arial" w:cs="Arial" w:eastAsia="Arial" w:hAnsi="Arial"/>
          <w:sz w:val="15"/>
          <w:szCs w:val="15"/>
          <w:b w:val="1"/>
          <w:bCs w:val="1"/>
          <w:color w:val="auto"/>
        </w:rPr>
        <w:t xml:space="preserve"> </w:t>
      </w:r>
      <w:r>
        <w:rPr>
          <w:rFonts w:ascii="Arial" w:cs="Arial" w:eastAsia="Arial" w:hAnsi="Arial"/>
          <w:sz w:val="15"/>
          <w:szCs w:val="15"/>
          <w:color w:val="auto"/>
        </w:rPr>
        <w:t>vested on December 31, 2019, 670,000 PSUs vested on May 15, 2020, and the remaining 660,000 PSUs vested on May 15, 2021. The performance criteria for the 2019 CEO Performance Award PSUs was based on the achievement of our CEO’s performance conditions, as established by the compensation committee.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Challenge Performance Awards</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 March 2019, the compensation committee of our board of directors approved a challenge performance award for executive officers and certain employees (the </w:t>
      </w:r>
      <w:r>
        <w:rPr>
          <w:rFonts w:ascii="Arial" w:cs="Arial" w:eastAsia="Arial" w:hAnsi="Arial"/>
          <w:sz w:val="17"/>
          <w:szCs w:val="17"/>
          <w:b w:val="1"/>
          <w:bCs w:val="1"/>
          <w:color w:val="auto"/>
        </w:rPr>
        <w:t>2019 Challenge Performance Awards</w:t>
      </w:r>
      <w:r>
        <w:rPr>
          <w:rFonts w:ascii="Arial" w:cs="Arial" w:eastAsia="Arial" w:hAnsi="Arial"/>
          <w:sz w:val="17"/>
          <w:szCs w:val="17"/>
          <w:color w:val="auto"/>
        </w:rPr>
        <w:t>), which consists of a combination of PSARs and PSUs, in each case divided on a 1:2 ratio based on Liberty Global Class A ordinary shares and Liberty Global Class C ordinary shares. Each PSU represents the right to receive one Liberty Global Class A ordinary share or one Liberty Global Class C ordinary share, as applicable. The performance criteria for the 2019 Challenge Performance Awards is based on the participant’s performance and achievement of individual goals during the three-year period ended December 31, 2021. Subject to forfeitures, the satisfaction of performance conditions and certain other terms, 100% of each participant’s 2019 Challenge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Awards were earned and vested on March 7, 2022. The PSARs have a term of ten years and base prices equal to the respective market closing prices of the applicable class on the grant date.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Liberty Global PSUs</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 April 2019, the compensation committee of our board of directors approved the grant of PSUs to executive officers and key employees (the </w:t>
      </w:r>
      <w:r>
        <w:rPr>
          <w:rFonts w:ascii="Arial" w:cs="Arial" w:eastAsia="Arial" w:hAnsi="Arial"/>
          <w:sz w:val="17"/>
          <w:szCs w:val="17"/>
          <w:b w:val="1"/>
          <w:bCs w:val="1"/>
          <w:color w:val="auto"/>
        </w:rPr>
        <w:t>2019</w:t>
      </w:r>
      <w:r>
        <w:rPr>
          <w:rFonts w:ascii="Arial" w:cs="Arial" w:eastAsia="Arial" w:hAnsi="Arial"/>
          <w:sz w:val="17"/>
          <w:szCs w:val="17"/>
          <w:color w:val="auto"/>
        </w:rPr>
        <w:t xml:space="preserve"> </w:t>
      </w:r>
      <w:r>
        <w:rPr>
          <w:rFonts w:ascii="Arial" w:cs="Arial" w:eastAsia="Arial" w:hAnsi="Arial"/>
          <w:sz w:val="17"/>
          <w:szCs w:val="17"/>
          <w:b w:val="1"/>
          <w:bCs w:val="1"/>
          <w:color w:val="auto"/>
        </w:rPr>
        <w:t>PSUs</w:t>
      </w:r>
      <w:r>
        <w:rPr>
          <w:rFonts w:ascii="Arial" w:cs="Arial" w:eastAsia="Arial" w:hAnsi="Arial"/>
          <w:sz w:val="17"/>
          <w:szCs w:val="17"/>
          <w:color w:val="auto"/>
        </w:rPr>
        <w:t>). The performance plan for the 2019 PSUs covered the two-year period ended December 31, 2020 and included a performance target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achievement of a specified compound annual growth rate (</w:t>
      </w:r>
      <w:r>
        <w:rPr>
          <w:rFonts w:ascii="Arial" w:cs="Arial" w:eastAsia="Arial" w:hAnsi="Arial"/>
          <w:sz w:val="17"/>
          <w:szCs w:val="17"/>
          <w:b w:val="1"/>
          <w:bCs w:val="1"/>
          <w:color w:val="auto"/>
        </w:rPr>
        <w:t>CAGR</w:t>
      </w:r>
      <w:r>
        <w:rPr>
          <w:rFonts w:ascii="Arial" w:cs="Arial" w:eastAsia="Arial" w:hAnsi="Arial"/>
          <w:sz w:val="17"/>
          <w:szCs w:val="17"/>
          <w:color w:val="auto"/>
        </w:rPr>
        <w:t>) in a consolidated Adjusted EBITDA metric (as defined in note 19). The performance target was adjusted for events such as acquisitions, dispositions and changes in foreign currency exchange rates that affect comparability (</w:t>
      </w:r>
      <w:r>
        <w:rPr>
          <w:rFonts w:ascii="Arial" w:cs="Arial" w:eastAsia="Arial" w:hAnsi="Arial"/>
          <w:sz w:val="17"/>
          <w:szCs w:val="17"/>
          <w:b w:val="1"/>
          <w:bCs w:val="1"/>
          <w:color w:val="auto"/>
        </w:rPr>
        <w:t>Adjusted EBITDA</w:t>
      </w:r>
      <w:r>
        <w:rPr>
          <w:rFonts w:ascii="Arial" w:cs="Arial" w:eastAsia="Arial" w:hAnsi="Arial"/>
          <w:sz w:val="17"/>
          <w:szCs w:val="17"/>
          <w:color w:val="auto"/>
        </w:rPr>
        <w:t xml:space="preserve"> </w:t>
      </w:r>
      <w:r>
        <w:rPr>
          <w:rFonts w:ascii="Arial" w:cs="Arial" w:eastAsia="Arial" w:hAnsi="Arial"/>
          <w:sz w:val="17"/>
          <w:szCs w:val="17"/>
          <w:b w:val="1"/>
          <w:bCs w:val="1"/>
          <w:color w:val="auto"/>
        </w:rPr>
        <w:t>CAGR</w:t>
      </w:r>
      <w:r>
        <w:rPr>
          <w:rFonts w:ascii="Arial" w:cs="Arial" w:eastAsia="Arial" w:hAnsi="Arial"/>
          <w:sz w:val="17"/>
          <w:szCs w:val="17"/>
          <w:color w:val="auto"/>
        </w:rPr>
        <w:t>). The 2019 PSUs required delivery of an Adjusted EBITDA CAGR of 1.38% and included over- and under-performance payout opportunities should</w:t>
      </w:r>
      <w:r>
        <w:rPr>
          <w:rFonts w:ascii="Arial" w:cs="Arial" w:eastAsia="Arial" w:hAnsi="Arial"/>
          <w:sz w:val="17"/>
          <w:szCs w:val="17"/>
          <w:b w:val="1"/>
          <w:bCs w:val="1"/>
          <w:color w:val="auto"/>
        </w:rPr>
        <w:t xml:space="preserve"> </w:t>
      </w:r>
      <w:r>
        <w:rPr>
          <w:rFonts w:ascii="Arial" w:cs="Arial" w:eastAsia="Arial" w:hAnsi="Arial"/>
          <w:sz w:val="17"/>
          <w:szCs w:val="17"/>
          <w:color w:val="auto"/>
        </w:rPr>
        <w:t>the Adjusted EBITDA CAGR exceed or fail to meet the target, as applicable. Participants earned 65% of their targeted awards under the 2019 PSUs which vested 50% on each of April 1, 2021 and October 1, 2021.</w:t>
      </w:r>
    </w:p>
    <w:p>
      <w:pPr>
        <w:spacing w:after="0" w:line="20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During 2018, the compensation committee of our board of directors approved the grant of PSUs to executive officers and key employees (the </w:t>
      </w:r>
      <w:r>
        <w:rPr>
          <w:rFonts w:ascii="Arial" w:cs="Arial" w:eastAsia="Arial" w:hAnsi="Arial"/>
          <w:sz w:val="18"/>
          <w:szCs w:val="18"/>
          <w:b w:val="1"/>
          <w:bCs w:val="1"/>
          <w:color w:val="auto"/>
        </w:rPr>
        <w:t>2018 PSUs</w:t>
      </w:r>
      <w:r>
        <w:rPr>
          <w:rFonts w:ascii="Arial" w:cs="Arial" w:eastAsia="Arial" w:hAnsi="Arial"/>
          <w:sz w:val="18"/>
          <w:szCs w:val="18"/>
          <w:color w:val="auto"/>
        </w:rPr>
        <w:t>) pursuant to a performance plan that was based on the achievement of a specified Adjusted EBITDA CAGR during the two-year period ended December 31, 2019. Participants earned 106.1% of their targeted awards under the 2018 PSUs, which vested 50% on each of April 1, 2020 and October 1, 2020. The target Adjusted EBITDA CAGR for the 2018 PSUs was determined on October 26, 2018 and, accordingly, associated compensation expense was recognized prospectively from that date.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tables summarize the share-based award activity during 2022 with respect to awards issued by Liberty Global.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with respect to share-based awards held by Liberty Global employees, the number of shares to be issued upon vesting or exercise is reduced by the amount of the employee’s required income tax withholding.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Options — Class A ordinary shares</w:t>
            </w: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1"/>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50,121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2"/>
            <w:vMerge w:val="continue"/>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510,074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31.25</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Options — Class C ordinary shares</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297,787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2,465,294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2"/>
            <w:vMerge w:val="continue"/>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1,787,439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26.75</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SARs — Class A ordinary shares</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base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60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21,077,203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1,481,151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(300,588)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the sale of UPC Poland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21,183,640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SARs — Class C ordinary shares</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base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60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49,605,813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2,962,302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(675,795)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the sale of UPC Poland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49,778,158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30,354,881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PSARs — Class A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3,352,572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(56,710)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Impact of the sale of UPC Poland</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(13,460)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3,281,811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6.2</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3,281,811</w:t>
            </w:r>
          </w:p>
        </w:tc>
        <w:tc>
          <w:tcPr>
            <w:tcW w:w="100" w:type="dxa"/>
            <w:vAlign w:val="bottom"/>
          </w:tcPr>
          <w:p>
            <w:pPr>
              <w:spacing w:after="0"/>
              <w:rPr>
                <w:sz w:val="17"/>
                <w:szCs w:val="17"/>
                <w:color w:val="auto"/>
              </w:rPr>
            </w:pPr>
          </w:p>
        </w:tc>
        <w:tc>
          <w:tcPr>
            <w:tcW w:w="140" w:type="dxa"/>
            <w:vAlign w:val="bottom"/>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25.97</w:t>
            </w:r>
          </w:p>
        </w:tc>
        <w:tc>
          <w:tcPr>
            <w:tcW w:w="1100" w:type="dxa"/>
            <w:vAlign w:val="bottom"/>
            <w:gridSpan w:val="2"/>
          </w:tcPr>
          <w:p>
            <w:pPr>
              <w:jc w:val="center"/>
              <w:ind w:left="113"/>
              <w:spacing w:after="0" w:line="198" w:lineRule="exact"/>
              <w:rPr>
                <w:sz w:val="20"/>
                <w:szCs w:val="20"/>
                <w:color w:val="auto"/>
              </w:rPr>
            </w:pPr>
            <w:r>
              <w:rPr>
                <w:rFonts w:ascii="Arial" w:cs="Arial" w:eastAsia="Arial" w:hAnsi="Arial"/>
                <w:sz w:val="18"/>
                <w:szCs w:val="18"/>
                <w:color w:val="auto"/>
                <w:w w:val="87"/>
              </w:rPr>
              <w:t>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ind w:left="740"/>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PSARs — Class C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6,705,149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(107,513)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Impact of the sale of UPC Poland</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(26,920)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6,417,033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6.2</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tcBorders>
              <w:bottom w:val="single" w:sz="8" w:color="auto"/>
            </w:tcBorders>
            <w:gridSpan w:val="3"/>
          </w:tcPr>
          <w:p>
            <w:pPr>
              <w:jc w:val="right"/>
              <w:ind w:right="80"/>
              <w:spacing w:after="0" w:line="198" w:lineRule="exact"/>
              <w:rPr>
                <w:sz w:val="20"/>
                <w:szCs w:val="20"/>
                <w:color w:val="auto"/>
              </w:rPr>
            </w:pPr>
            <w:r>
              <w:rPr>
                <w:rFonts w:ascii="Arial" w:cs="Arial" w:eastAsia="Arial" w:hAnsi="Arial"/>
                <w:sz w:val="18"/>
                <w:szCs w:val="18"/>
                <w:color w:val="auto"/>
              </w:rPr>
              <w:t>6,417,033</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line="198" w:lineRule="exact"/>
              <w:rPr>
                <w:sz w:val="20"/>
                <w:szCs w:val="20"/>
                <w:color w:val="auto"/>
              </w:rPr>
            </w:pPr>
            <w:r>
              <w:rPr>
                <w:rFonts w:ascii="Arial" w:cs="Arial" w:eastAsia="Arial" w:hAnsi="Arial"/>
                <w:sz w:val="18"/>
                <w:szCs w:val="18"/>
                <w:color w:val="auto"/>
              </w:rPr>
              <w:t>25.22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19"/>
              <w:spacing w:after="0" w:line="198" w:lineRule="exact"/>
              <w:rPr>
                <w:sz w:val="20"/>
                <w:szCs w:val="20"/>
                <w:color w:val="auto"/>
              </w:rPr>
            </w:pPr>
            <w:r>
              <w:rPr>
                <w:rFonts w:ascii="Arial" w:cs="Arial" w:eastAsia="Arial" w:hAnsi="Arial"/>
                <w:sz w:val="18"/>
                <w:szCs w:val="18"/>
                <w:color w:val="auto"/>
                <w:w w:val="87"/>
              </w:rPr>
              <w:t>6.2</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40"/>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jc w:val="center"/>
              <w:ind w:right="98"/>
              <w:spacing w:after="0"/>
              <w:rPr>
                <w:sz w:val="20"/>
                <w:szCs w:val="20"/>
                <w:color w:val="auto"/>
              </w:rPr>
            </w:pPr>
            <w:r>
              <w:rPr>
                <w:rFonts w:ascii="Arial" w:cs="Arial" w:eastAsia="Arial" w:hAnsi="Arial"/>
                <w:sz w:val="16"/>
                <w:szCs w:val="16"/>
                <w:b w:val="1"/>
                <w:bCs w:val="1"/>
                <w:color w:val="auto"/>
                <w:w w:val="88"/>
              </w:rPr>
              <w:t>Weighted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5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jc w:val="center"/>
              <w:ind w:right="118"/>
              <w:spacing w:after="0" w:line="159" w:lineRule="exact"/>
              <w:rPr>
                <w:sz w:val="20"/>
                <w:szCs w:val="20"/>
                <w:color w:val="auto"/>
              </w:rPr>
            </w:pPr>
            <w:r>
              <w:rPr>
                <w:rFonts w:ascii="Arial" w:cs="Arial" w:eastAsia="Arial" w:hAnsi="Arial"/>
                <w:sz w:val="16"/>
                <w:szCs w:val="16"/>
                <w:b w:val="1"/>
                <w:bCs w:val="1"/>
                <w:color w:val="auto"/>
                <w:w w:val="89"/>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3"/>
                <w:szCs w:val="13"/>
                <w:color w:val="auto"/>
              </w:rPr>
            </w:pPr>
          </w:p>
        </w:tc>
        <w:tc>
          <w:tcPr>
            <w:tcW w:w="1300" w:type="dxa"/>
            <w:vAlign w:val="bottom"/>
            <w:gridSpan w:val="5"/>
          </w:tcPr>
          <w:p>
            <w:pPr>
              <w:jc w:val="center"/>
              <w:ind w:right="40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 w:type="dxa"/>
            <w:vAlign w:val="bottom"/>
          </w:tcPr>
          <w:p>
            <w:pPr>
              <w:spacing w:after="0"/>
              <w:rPr>
                <w:sz w:val="13"/>
                <w:szCs w:val="13"/>
                <w:color w:val="auto"/>
              </w:rPr>
            </w:pPr>
          </w:p>
        </w:tc>
        <w:tc>
          <w:tcPr>
            <w:tcW w:w="980" w:type="dxa"/>
            <w:vAlign w:val="bottom"/>
          </w:tcPr>
          <w:p>
            <w:pPr>
              <w:jc w:val="center"/>
              <w:ind w:right="118"/>
              <w:spacing w:after="0" w:line="159" w:lineRule="exact"/>
              <w:rPr>
                <w:sz w:val="20"/>
                <w:szCs w:val="20"/>
                <w:color w:val="auto"/>
              </w:rPr>
            </w:pPr>
            <w:r>
              <w:rPr>
                <w:rFonts w:ascii="Arial" w:cs="Arial" w:eastAsia="Arial" w:hAnsi="Arial"/>
                <w:sz w:val="16"/>
                <w:szCs w:val="16"/>
                <w:b w:val="1"/>
                <w:bCs w:val="1"/>
                <w:color w:val="auto"/>
                <w:w w:val="91"/>
              </w:rPr>
              <w:t>remaining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6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A ordinary shares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50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 w:type="dxa"/>
            <w:vAlign w:val="bottom"/>
          </w:tcPr>
          <w:p>
            <w:pPr>
              <w:spacing w:after="0"/>
              <w:rPr>
                <w:sz w:val="13"/>
                <w:szCs w:val="13"/>
                <w:color w:val="auto"/>
              </w:rPr>
            </w:pPr>
          </w:p>
        </w:tc>
        <w:tc>
          <w:tcPr>
            <w:tcW w:w="980" w:type="dxa"/>
            <w:vAlign w:val="bottom"/>
          </w:tcPr>
          <w:p>
            <w:pPr>
              <w:jc w:val="center"/>
              <w:ind w:right="118"/>
              <w:spacing w:after="0" w:line="159" w:lineRule="exact"/>
              <w:rPr>
                <w:sz w:val="20"/>
                <w:szCs w:val="20"/>
                <w:color w:val="auto"/>
              </w:rPr>
            </w:pPr>
            <w:r>
              <w:rPr>
                <w:rFonts w:ascii="Arial" w:cs="Arial" w:eastAsia="Arial" w:hAnsi="Arial"/>
                <w:sz w:val="16"/>
                <w:szCs w:val="16"/>
                <w:b w:val="1"/>
                <w:bCs w:val="1"/>
                <w:color w:val="auto"/>
                <w:w w:val="90"/>
              </w:rPr>
              <w:t>contractual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86"/>
              </w:rPr>
              <w:t>per share</w:t>
            </w:r>
          </w:p>
        </w:tc>
        <w:tc>
          <w:tcPr>
            <w:tcW w:w="120" w:type="dxa"/>
            <w:vAlign w:val="bottom"/>
          </w:tcPr>
          <w:p>
            <w:pPr>
              <w:spacing w:after="0"/>
              <w:rPr>
                <w:sz w:val="18"/>
                <w:szCs w:val="18"/>
                <w:color w:val="auto"/>
              </w:rPr>
            </w:pPr>
          </w:p>
        </w:tc>
        <w:tc>
          <w:tcPr>
            <w:tcW w:w="980" w:type="dxa"/>
            <w:vAlign w:val="bottom"/>
          </w:tcPr>
          <w:p>
            <w:pPr>
              <w:jc w:val="center"/>
              <w:ind w:right="98"/>
              <w:spacing w:after="0"/>
              <w:rPr>
                <w:sz w:val="20"/>
                <w:szCs w:val="20"/>
                <w:color w:val="auto"/>
              </w:rPr>
            </w:pPr>
            <w:r>
              <w:rPr>
                <w:rFonts w:ascii="Arial" w:cs="Arial" w:eastAsia="Arial" w:hAnsi="Arial"/>
                <w:sz w:val="16"/>
                <w:szCs w:val="16"/>
                <w:b w:val="1"/>
                <w:bCs w:val="1"/>
                <w:color w:val="auto"/>
                <w:w w:val="92"/>
              </w:rPr>
              <w:t>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2,625,839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1,018,770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Released from restrictions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(1,503,607)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the sale of UPC Poland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1,984,663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8"/>
                <w:szCs w:val="18"/>
                <w:color w:val="auto"/>
                <w:w w:val="87"/>
              </w:rPr>
              <w:t>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Number of</w:t>
            </w:r>
          </w:p>
        </w:tc>
        <w:tc>
          <w:tcPr>
            <w:tcW w:w="142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B ordinary shares</w:t>
            </w:r>
          </w:p>
        </w:tc>
        <w:tc>
          <w:tcPr>
            <w:tcW w:w="130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6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awards</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202"/>
        </w:trPr>
        <w:tc>
          <w:tcPr>
            <w:tcW w:w="7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71,051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Released from restrictions</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gridSpan w:val="3"/>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2"/>
              </w:rPr>
              <w:t>Number of</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grant-date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C ordinary shares</w:t>
            </w: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93"/>
              </w:rPr>
              <w:t>fair value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awards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per share</w:t>
            </w: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5,250,912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2,037,538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(310,642)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Released from restrictions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(3,007,514)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the sale of UPC Poland</w:t>
            </w:r>
          </w:p>
        </w:tc>
        <w:tc>
          <w:tcPr>
            <w:tcW w:w="20" w:type="dxa"/>
            <w:vAlign w:val="bottom"/>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2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3,968,778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7"/>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2"/>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2"/>
              </w:rPr>
              <w:t>Number of</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grant-date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PSUs — Class A ordinary shares</w:t>
            </w: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93"/>
              </w:rPr>
              <w:t>fair value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awards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per share</w:t>
            </w: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Released from restrictions</w:t>
            </w:r>
          </w:p>
        </w:tc>
        <w:tc>
          <w:tcPr>
            <w:tcW w:w="20" w:type="dxa"/>
            <w:vAlign w:val="bottom"/>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(930,582)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2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2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2"/>
              </w:rPr>
              <w:t>Number of</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grant-date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PSUs — Class C ordinary shares</w:t>
            </w: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9" w:lineRule="exact"/>
              <w:rPr>
                <w:sz w:val="20"/>
                <w:szCs w:val="20"/>
                <w:color w:val="auto"/>
              </w:rPr>
            </w:pPr>
            <w:r>
              <w:rPr>
                <w:rFonts w:ascii="Arial" w:cs="Arial" w:eastAsia="Arial" w:hAnsi="Arial"/>
                <w:sz w:val="16"/>
                <w:szCs w:val="16"/>
                <w:b w:val="1"/>
                <w:bCs w:val="1"/>
                <w:color w:val="auto"/>
                <w:w w:val="93"/>
              </w:rPr>
              <w:t>fair value</w:t>
            </w:r>
          </w:p>
        </w:tc>
        <w:tc>
          <w:tcPr>
            <w:tcW w:w="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awards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per share</w:t>
            </w: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1,867,022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(5,856)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Released from restrictions</w:t>
            </w:r>
          </w:p>
        </w:tc>
        <w:tc>
          <w:tcPr>
            <w:tcW w:w="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(1,861,166)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2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2022</w:t>
            </w:r>
          </w:p>
        </w:tc>
        <w:tc>
          <w:tcPr>
            <w:tcW w:w="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60" w:type="dxa"/>
            <w:vAlign w:val="bottom"/>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 held by former Liberty Global employees</w:t>
      </w:r>
    </w:p>
    <w:p>
      <w:pPr>
        <w:spacing w:after="0" w:line="243"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following tables summarize the share-based awards held by former employees of Liberty Global subsequent to certain split-off or disposal transactions. Any future exercises of SARs or PSARs, or vesting of RSUs will increase the number of our outstanding ordinary shares.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3"/>
                <w:szCs w:val="13"/>
                <w:color w:val="auto"/>
              </w:rPr>
            </w:pPr>
          </w:p>
        </w:tc>
        <w:tc>
          <w:tcPr>
            <w:tcW w:w="1240" w:type="dxa"/>
            <w:vAlign w:val="bottom"/>
            <w:gridSpan w:val="4"/>
          </w:tcPr>
          <w:p>
            <w:pPr>
              <w:jc w:val="center"/>
              <w:ind w:right="120"/>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center"/>
              <w:ind w:right="140"/>
              <w:spacing w:after="0" w:line="159" w:lineRule="exact"/>
              <w:rPr>
                <w:sz w:val="20"/>
                <w:szCs w:val="20"/>
                <w:color w:val="auto"/>
              </w:rPr>
            </w:pPr>
            <w:r>
              <w:rPr>
                <w:rFonts w:ascii="Arial" w:cs="Arial" w:eastAsia="Arial" w:hAnsi="Arial"/>
                <w:sz w:val="16"/>
                <w:szCs w:val="16"/>
                <w:b w:val="1"/>
                <w:bCs w:val="1"/>
                <w:color w:val="auto"/>
                <w:w w:val="91"/>
              </w:rPr>
              <w:t>remaining</w:t>
            </w:r>
          </w:p>
        </w:tc>
        <w:tc>
          <w:tcPr>
            <w:tcW w:w="100" w:type="dxa"/>
            <w:vAlign w:val="bottom"/>
          </w:tcPr>
          <w:p>
            <w:pPr>
              <w:spacing w:after="0"/>
              <w:rPr>
                <w:sz w:val="13"/>
                <w:szCs w:val="13"/>
                <w:color w:val="auto"/>
              </w:rPr>
            </w:pPr>
          </w:p>
        </w:tc>
        <w:tc>
          <w:tcPr>
            <w:tcW w:w="110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4"/>
              </w:rPr>
              <w:t>Number of awards</w:t>
            </w:r>
          </w:p>
        </w:tc>
        <w:tc>
          <w:tcPr>
            <w:tcW w:w="1220" w:type="dxa"/>
            <w:vAlign w:val="bottom"/>
            <w:gridSpan w:val="4"/>
          </w:tcPr>
          <w:p>
            <w:pPr>
              <w:jc w:val="center"/>
              <w:ind w:right="20"/>
              <w:spacing w:after="0" w:line="159" w:lineRule="exact"/>
              <w:rPr>
                <w:sz w:val="20"/>
                <w:szCs w:val="20"/>
                <w:color w:val="auto"/>
              </w:rPr>
            </w:pPr>
            <w:r>
              <w:rPr>
                <w:rFonts w:ascii="Arial" w:cs="Arial" w:eastAsia="Arial" w:hAnsi="Arial"/>
                <w:sz w:val="16"/>
                <w:szCs w:val="16"/>
                <w:b w:val="1"/>
                <w:bCs w:val="1"/>
                <w:color w:val="auto"/>
                <w:w w:val="86"/>
              </w:rPr>
              <w:t>average exercise</w:t>
            </w:r>
          </w:p>
        </w:tc>
        <w:tc>
          <w:tcPr>
            <w:tcW w:w="100" w:type="dxa"/>
            <w:vAlign w:val="bottom"/>
          </w:tcPr>
          <w:p>
            <w:pPr>
              <w:spacing w:after="0"/>
              <w:rPr>
                <w:sz w:val="13"/>
                <w:szCs w:val="13"/>
                <w:color w:val="auto"/>
              </w:rPr>
            </w:pPr>
          </w:p>
        </w:tc>
        <w:tc>
          <w:tcPr>
            <w:tcW w:w="1240" w:type="dxa"/>
            <w:vAlign w:val="bottom"/>
            <w:gridSpan w:val="4"/>
          </w:tcPr>
          <w:p>
            <w:pPr>
              <w:jc w:val="center"/>
              <w:ind w:right="14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or base price</w:t>
            </w:r>
          </w:p>
        </w:tc>
        <w:tc>
          <w:tcPr>
            <w:tcW w:w="10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term</w:t>
            </w:r>
          </w:p>
        </w:tc>
        <w:tc>
          <w:tcPr>
            <w:tcW w:w="100" w:type="dxa"/>
            <w:vAlign w:val="bottom"/>
          </w:tcPr>
          <w:p>
            <w:pPr>
              <w:spacing w:after="0"/>
              <w:rPr>
                <w:sz w:val="18"/>
                <w:szCs w:val="18"/>
                <w:color w:val="auto"/>
              </w:rPr>
            </w:pPr>
          </w:p>
        </w:tc>
        <w:tc>
          <w:tcPr>
            <w:tcW w:w="1100" w:type="dxa"/>
            <w:vAlign w:val="bottom"/>
          </w:tcPr>
          <w:p>
            <w:pPr>
              <w:jc w:val="center"/>
              <w:ind w:right="17"/>
              <w:spacing w:after="0"/>
              <w:rPr>
                <w:sz w:val="20"/>
                <w:szCs w:val="20"/>
                <w:color w:val="auto"/>
              </w:rPr>
            </w:pPr>
            <w:r>
              <w:rPr>
                <w:rFonts w:ascii="Arial" w:cs="Arial" w:eastAsia="Arial" w:hAnsi="Arial"/>
                <w:sz w:val="16"/>
                <w:szCs w:val="16"/>
                <w:b w:val="1"/>
                <w:bCs w:val="1"/>
                <w:color w:val="auto"/>
                <w:w w:val="89"/>
              </w:rPr>
              <w:t>intrinsic value</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SARs and PSARs: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auto"/>
              </w:rPr>
              <w:t>Class A:</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Outstanding</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1,621,675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Exercisable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140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1,546,159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color w:val="auto"/>
              </w:rPr>
              <w:t>32.03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1.6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Class C:</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3,651,358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tcBorders>
              <w:bottom w:val="single" w:sz="8" w:color="CCEEFF"/>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Exercisable</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3,500,357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24"/>
                <w:szCs w:val="24"/>
                <w:color w:val="auto"/>
              </w:rPr>
            </w:pPr>
          </w:p>
        </w:tc>
        <w:tc>
          <w:tcPr>
            <w:tcW w:w="1100" w:type="dxa"/>
            <w:vAlign w:val="bottom"/>
          </w:tcPr>
          <w:p>
            <w:pPr>
              <w:jc w:val="center"/>
              <w:ind w:right="57"/>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average grant-</w:t>
            </w:r>
          </w:p>
        </w:tc>
        <w:tc>
          <w:tcPr>
            <w:tcW w:w="100" w:type="dxa"/>
            <w:vAlign w:val="bottom"/>
          </w:tcPr>
          <w:p>
            <w:pPr>
              <w:spacing w:after="0"/>
              <w:rPr>
                <w:sz w:val="13"/>
                <w:szCs w:val="13"/>
                <w:color w:val="auto"/>
              </w:rPr>
            </w:pPr>
          </w:p>
        </w:tc>
        <w:tc>
          <w:tcPr>
            <w:tcW w:w="1100" w:type="dxa"/>
            <w:vAlign w:val="bottom"/>
          </w:tcPr>
          <w:p>
            <w:pPr>
              <w:jc w:val="center"/>
              <w:ind w:right="37"/>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3"/>
                <w:szCs w:val="13"/>
                <w:color w:val="auto"/>
              </w:rPr>
            </w:pPr>
          </w:p>
        </w:tc>
        <w:tc>
          <w:tcPr>
            <w:tcW w:w="1240" w:type="dxa"/>
            <w:vAlign w:val="bottom"/>
            <w:gridSpan w:val="4"/>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date fair value</w:t>
            </w:r>
          </w:p>
        </w:tc>
        <w:tc>
          <w:tcPr>
            <w:tcW w:w="100" w:type="dxa"/>
            <w:vAlign w:val="bottom"/>
          </w:tcPr>
          <w:p>
            <w:pPr>
              <w:spacing w:after="0"/>
              <w:rPr>
                <w:sz w:val="13"/>
                <w:szCs w:val="13"/>
                <w:color w:val="auto"/>
              </w:rPr>
            </w:pPr>
          </w:p>
        </w:tc>
        <w:tc>
          <w:tcPr>
            <w:tcW w:w="1100" w:type="dxa"/>
            <w:vAlign w:val="bottom"/>
          </w:tcPr>
          <w:p>
            <w:pPr>
              <w:jc w:val="center"/>
              <w:ind w:right="37"/>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contractual term</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RSUs: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960" w:type="dxa"/>
            <w:vAlign w:val="bottom"/>
          </w:tcPr>
          <w:p>
            <w:pPr>
              <w:ind w:left="180"/>
              <w:spacing w:after="0" w:line="199" w:lineRule="exact"/>
              <w:rPr>
                <w:sz w:val="20"/>
                <w:szCs w:val="20"/>
                <w:color w:val="auto"/>
              </w:rPr>
            </w:pPr>
            <w:r>
              <w:rPr>
                <w:rFonts w:ascii="Arial" w:cs="Arial" w:eastAsia="Arial" w:hAnsi="Arial"/>
                <w:sz w:val="18"/>
                <w:szCs w:val="18"/>
                <w:color w:val="auto"/>
              </w:rPr>
              <w:t>Class A</w:t>
            </w:r>
          </w:p>
        </w:tc>
        <w:tc>
          <w:tcPr>
            <w:tcW w:w="1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32,581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23.27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7"/>
              <w:spacing w:after="0" w:line="199" w:lineRule="exact"/>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9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Class C</w:t>
            </w: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Benefit Plans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Certain of our subsidiaries maintain various funded and unfunded defined benefit plans for their employees. The table below provides summary information on our defined benefit plans: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2020 (a)</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(b)</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1,016.0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1,280.5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asset (liability)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Due to the held-for-sale presentation of the U.K. JV Entities at December 31, 2020, amounts exclude the defined benefit pension plans associated with such entities.</w:t>
      </w:r>
    </w:p>
    <w:p>
      <w:pPr>
        <w:spacing w:after="0" w:line="206"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fair value of plan assets at December 31, 2022 includes $976.6 million and $89.5 million of assets that are valued based on Level 1 and Level 2 inputs, respectively, of the fair value hierarchy (as further described in note 9). Our plan assets comprise investments in debt securities, equity securities, hedge funds, insurance contracts and certain other assets.</w:t>
      </w:r>
    </w:p>
    <w:p>
      <w:pPr>
        <w:spacing w:after="0" w:line="21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net periodic pension cost was $1.8 million, $10.9 million and $14.8 million during 2022, 2021 and 2020, respectively, including $39.6 million, $57.4 million and $33.4 million, respectively, representing the service cost component. These amounts exclude aggregate curtailment gains of $4.0 million, $7.5 million and nil, respectively, which are included in impairment, restructuring and other operating items, net, in our consolidated statements of operations.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2022, our subsidiaries’ contributions to their respective defined benefit plans aggregated $42.7 million. Based on December 31, 2022 exchange rates and information available as of that date, we expect this amount to be $42.1 million in 2023.</w:t>
      </w:r>
    </w:p>
    <w:p>
      <w:pPr>
        <w:spacing w:after="0" w:line="200" w:lineRule="exact"/>
        <w:rPr>
          <w:sz w:val="20"/>
          <w:szCs w:val="20"/>
          <w:color w:val="auto"/>
        </w:rPr>
      </w:pPr>
    </w:p>
    <w:p>
      <w:pPr>
        <w:ind w:left="340" w:hanging="334"/>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Earnings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Accumulated other comprehensive earnings included on our consolidated balance sheets and statements of equity reflect the aggregate impact of foreign currency translation adjustments and pension-related adjustments and other. The changes in the components of accumulated other comprehensive earnings, net of taxes,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6"/>
                <w:szCs w:val="16"/>
                <w:b w:val="1"/>
                <w:bCs w:val="1"/>
                <w:color w:val="auto"/>
                <w:w w:val="90"/>
              </w:rPr>
              <w:t>Liberty Global shareholders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Foreign currency</w:t>
            </w:r>
          </w:p>
        </w:tc>
        <w:tc>
          <w:tcPr>
            <w:tcW w:w="120" w:type="dxa"/>
            <w:vAlign w:val="bottom"/>
          </w:tcPr>
          <w:p>
            <w:pPr>
              <w:spacing w:after="0"/>
              <w:rPr>
                <w:sz w:val="17"/>
                <w:szCs w:val="17"/>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Pension-related</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Accumulated other</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Total accumulated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Noncontrolling</w:t>
            </w:r>
          </w:p>
        </w:tc>
        <w:tc>
          <w:tcPr>
            <w:tcW w:w="140" w:type="dxa"/>
            <w:vAlign w:val="bottom"/>
          </w:tcPr>
          <w:p>
            <w:pPr>
              <w:spacing w:after="0"/>
              <w:rPr>
                <w:sz w:val="13"/>
                <w:szCs w:val="13"/>
                <w:color w:val="auto"/>
              </w:rPr>
            </w:pPr>
          </w:p>
        </w:tc>
        <w:tc>
          <w:tcPr>
            <w:tcW w:w="124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w w:val="89"/>
              </w:rPr>
              <w:t>other</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42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adjustments and</w:t>
            </w:r>
          </w:p>
        </w:tc>
        <w:tc>
          <w:tcPr>
            <w:tcW w:w="140" w:type="dxa"/>
            <w:vAlign w:val="bottom"/>
          </w:tcPr>
          <w:p>
            <w:pPr>
              <w:spacing w:after="0"/>
              <w:rPr>
                <w:sz w:val="13"/>
                <w:szCs w:val="13"/>
                <w:color w:val="auto"/>
              </w:rPr>
            </w:pPr>
          </w:p>
        </w:tc>
        <w:tc>
          <w:tcPr>
            <w:tcW w:w="1340" w:type="dxa"/>
            <w:vAlign w:val="bottom"/>
            <w:gridSpan w:val="2"/>
          </w:tcPr>
          <w:p>
            <w:pPr>
              <w:ind w:left="40"/>
              <w:spacing w:after="0" w:line="159"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4"/>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adjustments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earnings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3"/>
              </w:rPr>
              <w:t>interests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6"/>
              </w:rPr>
              <w:t>earnings</w:t>
            </w: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794"/>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4"/>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4"/>
              <w:spacing w:after="0"/>
              <w:rPr>
                <w:sz w:val="20"/>
                <w:szCs w:val="20"/>
                <w:color w:val="auto"/>
              </w:rPr>
            </w:pPr>
            <w:r>
              <w:rPr>
                <w:rFonts w:ascii="Arial" w:cs="Arial" w:eastAsia="Arial" w:hAnsi="Arial"/>
                <w:sz w:val="18"/>
                <w:szCs w:val="18"/>
                <w:color w:val="auto"/>
                <w:w w:val="91"/>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4"/>
              <w:spacing w:after="0"/>
              <w:rPr>
                <w:sz w:val="20"/>
                <w:szCs w:val="20"/>
                <w:color w:val="auto"/>
              </w:rPr>
            </w:pPr>
            <w:r>
              <w:rPr>
                <w:rFonts w:ascii="Arial" w:cs="Arial" w:eastAsia="Arial" w:hAnsi="Arial"/>
                <w:sz w:val="18"/>
                <w:szCs w:val="18"/>
                <w:color w:val="auto"/>
                <w:w w:val="87"/>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4"/>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4"/>
              <w:spacing w:after="0"/>
              <w:rPr>
                <w:sz w:val="20"/>
                <w:szCs w:val="20"/>
                <w:color w:val="auto"/>
              </w:rPr>
            </w:pPr>
            <w:r>
              <w:rPr>
                <w:rFonts w:ascii="Arial" w:cs="Arial" w:eastAsia="Arial" w:hAnsi="Arial"/>
                <w:sz w:val="18"/>
                <w:szCs w:val="18"/>
                <w:color w:val="auto"/>
                <w:w w:val="87"/>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8"/>
                <w:szCs w:val="18"/>
                <w:color w:val="auto"/>
                <w:w w:val="87"/>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components of other comprehensive earnings (loss), net of taxes, are reflected in our consolidated statements of comprehensive earnings (loss). The following table summarizes the tax effects related to each component of other comprehensive earnings, net of amounts reclassified to our consolidated statements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Pre-tax</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Tax benefit</w:t>
            </w:r>
          </w:p>
        </w:tc>
        <w:tc>
          <w:tcPr>
            <w:tcW w:w="18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6"/>
                <w:szCs w:val="16"/>
                <w:b w:val="1"/>
                <w:bCs w:val="1"/>
                <w:color w:val="auto"/>
              </w:rPr>
              <w:t>Net-of-tax</w:t>
            </w:r>
          </w:p>
        </w:tc>
      </w:tr>
      <w:tr>
        <w:trPr>
          <w:trHeight w:val="209"/>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amount</w:t>
            </w:r>
          </w:p>
        </w:tc>
      </w:tr>
      <w:tr>
        <w:trPr>
          <w:trHeight w:val="202"/>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5"/>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(3,214.8)</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18"/>
        </w:trPr>
        <w:tc>
          <w:tcPr>
            <w:tcW w:w="7360" w:type="dxa"/>
            <w:vAlign w:val="bottom"/>
          </w:tcPr>
          <w:p>
            <w:pPr>
              <w:ind w:left="240"/>
              <w:spacing w:after="0" w:line="204" w:lineRule="exact"/>
              <w:rPr>
                <w:sz w:val="20"/>
                <w:szCs w:val="20"/>
                <w:color w:val="auto"/>
              </w:rPr>
            </w:pPr>
            <w:r>
              <w:rPr>
                <w:rFonts w:ascii="Arial" w:cs="Arial" w:eastAsia="Arial" w:hAnsi="Arial"/>
                <w:sz w:val="18"/>
                <w:szCs w:val="18"/>
                <w:color w:val="auto"/>
              </w:rPr>
              <w:t>Other comprehensive loss from continuing operations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(3,332.2)</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from discontinued operations (a)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8"/>
        </w:trPr>
        <w:tc>
          <w:tcPr>
            <w:tcW w:w="7360" w:type="dxa"/>
            <w:vAlign w:val="bottom"/>
          </w:tcPr>
          <w:p>
            <w:pPr>
              <w:ind w:left="360"/>
              <w:spacing w:after="0" w:line="204" w:lineRule="exact"/>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(3,376.6)</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7360" w:type="dxa"/>
            <w:vAlign w:val="bottom"/>
          </w:tcPr>
          <w:p>
            <w:pPr>
              <w:ind w:left="440"/>
              <w:spacing w:after="0"/>
              <w:rPr>
                <w:sz w:val="20"/>
                <w:szCs w:val="20"/>
                <w:color w:val="auto"/>
              </w:rPr>
            </w:pPr>
            <w:r>
              <w:rPr>
                <w:rFonts w:ascii="Arial" w:cs="Arial" w:eastAsia="Arial" w:hAnsi="Arial"/>
                <w:sz w:val="18"/>
                <w:szCs w:val="18"/>
                <w:color w:val="auto"/>
              </w:rPr>
              <w:t>Other comprehensive loss attributable to Liberty Global shareholders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(3,378.8)</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7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(a)</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r>
      <w:tr>
        <w:trPr>
          <w:trHeight w:val="219"/>
        </w:trPr>
        <w:tc>
          <w:tcPr>
            <w:tcW w:w="736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Other comprehensive earnings from continuing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Other comprehensive loss from discontinued operations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19"/>
        </w:trPr>
        <w:tc>
          <w:tcPr>
            <w:tcW w:w="7360" w:type="dxa"/>
            <w:vAlign w:val="bottom"/>
            <w:tcBorders>
              <w:top w:val="single" w:sz="8" w:color="CCEEFF"/>
            </w:tcBorders>
            <w:shd w:val="clear" w:color="auto" w:fill="CCEEFF"/>
          </w:tcPr>
          <w:p>
            <w:pPr>
              <w:ind w:left="360"/>
              <w:spacing w:after="0" w:line="205" w:lineRule="exact"/>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360" w:type="dxa"/>
            <w:vAlign w:val="bottom"/>
            <w:tcBorders>
              <w:bottom w:val="single" w:sz="8" w:color="CCEEFF"/>
            </w:tcBorders>
            <w:shd w:val="clear" w:color="auto" w:fill="CCEEFF"/>
          </w:tcPr>
          <w:p>
            <w:pPr>
              <w:ind w:left="440"/>
              <w:spacing w:after="0" w:line="205" w:lineRule="exact"/>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2,586.2</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8"/>
        </w:trPr>
        <w:tc>
          <w:tcPr>
            <w:tcW w:w="7360" w:type="dxa"/>
            <w:vAlign w:val="bottom"/>
          </w:tcPr>
          <w:p>
            <w:pPr>
              <w:ind w:left="240"/>
              <w:spacing w:after="0" w:line="204" w:lineRule="exact"/>
              <w:rPr>
                <w:sz w:val="20"/>
                <w:szCs w:val="20"/>
                <w:color w:val="auto"/>
              </w:rPr>
            </w:pPr>
            <w:r>
              <w:rPr>
                <w:rFonts w:ascii="Arial" w:cs="Arial" w:eastAsia="Arial" w:hAnsi="Arial"/>
                <w:sz w:val="18"/>
                <w:szCs w:val="18"/>
                <w:color w:val="auto"/>
              </w:rPr>
              <w:t>Other comprehensive earnings from continuing operations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2,567.5</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from discontinued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8"/>
        </w:trPr>
        <w:tc>
          <w:tcPr>
            <w:tcW w:w="7360" w:type="dxa"/>
            <w:vAlign w:val="bottom"/>
          </w:tcPr>
          <w:p>
            <w:pPr>
              <w:ind w:left="360"/>
              <w:spacing w:after="0" w:line="204" w:lineRule="exact"/>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2,581.0</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8"/>
        </w:trPr>
        <w:tc>
          <w:tcPr>
            <w:tcW w:w="7360" w:type="dxa"/>
            <w:vAlign w:val="bottom"/>
          </w:tcPr>
          <w:p>
            <w:pPr>
              <w:ind w:left="440"/>
              <w:spacing w:after="0" w:line="204" w:lineRule="exact"/>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additional information regarding the reclassification of foreign currency translation adjustments included in net earnings (loss), see note 6.</w:t>
      </w:r>
    </w:p>
    <w:p>
      <w:pPr>
        <w:spacing w:after="0" w:line="254" w:lineRule="exact"/>
        <w:rPr>
          <w:rFonts w:ascii="Arial" w:cs="Arial" w:eastAsia="Arial" w:hAnsi="Arial"/>
          <w:sz w:val="17"/>
          <w:szCs w:val="17"/>
          <w:color w:val="auto"/>
        </w:rPr>
      </w:pPr>
    </w:p>
    <w:p>
      <w:pPr>
        <w:ind w:left="480" w:hanging="474"/>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Amounts represent the noncontrolling interest owners’ share of our pension-related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the normal course of business, we enter into agreements that commit our company to make cash payments in future periods with respect to network and connectivity commitments, purchases of CPE and other equipment and services, programming contracts and other items. The following table sets forth the U.S. dollar equivalents of such commitments as of December 31, 2022. The commitments included in this table do not reflect any liabilities that are included on our December 31, 2022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Payments due during: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4"/>
              </w:rPr>
              <w:t>Thereafter</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Total</w:t>
            </w:r>
          </w:p>
        </w:tc>
      </w:tr>
      <w:tr>
        <w:trPr>
          <w:trHeight w:val="202"/>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3"/>
        </w:trPr>
        <w:tc>
          <w:tcPr>
            <w:tcW w:w="32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7"/>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r>
      <w:tr>
        <w:trPr>
          <w:trHeight w:val="225"/>
        </w:trPr>
        <w:tc>
          <w:tcPr>
            <w:tcW w:w="320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753.2</w:t>
            </w:r>
          </w:p>
        </w:tc>
      </w:tr>
      <w:tr>
        <w:trPr>
          <w:trHeight w:val="225"/>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2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w:t>
            </w:r>
          </w:p>
        </w:tc>
      </w:tr>
      <w:tr>
        <w:trPr>
          <w:trHeight w:val="243"/>
        </w:trPr>
        <w:tc>
          <w:tcPr>
            <w:tcW w:w="32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3,461.4</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Network and connectivity commitments include (i) Telenet’s commitments for certain operating costs associated with its leased network and (ii) certain network capacity arrangements in Switzerland.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certain service-related commitments, including information technology, maintenance and call center services and (ii) the purchase of CPE, network and other equipment.</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$511.3 million, $1,123.2 million and $1,629.3 million (including amounts related to the U.K. JV Entities through the June 1, 2021 closing of the U.K. JV Transaction) during 2022, 2021 and 2020, respectively.</w:t>
      </w:r>
    </w:p>
    <w:p>
      <w:pPr>
        <w:spacing w:after="0" w:line="20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color w:val="auto"/>
        </w:rPr>
        <w:t xml:space="preserve">Other commitments include (i) our share of the funding commitment associated with a newly-formed infrastructure joint venture in the U.K. (the </w:t>
      </w:r>
      <w:r>
        <w:rPr>
          <w:rFonts w:ascii="Arial" w:cs="Arial" w:eastAsia="Arial" w:hAnsi="Arial"/>
          <w:sz w:val="18"/>
          <w:szCs w:val="18"/>
          <w:b w:val="1"/>
          <w:bCs w:val="1"/>
          <w:color w:val="auto"/>
        </w:rPr>
        <w:t>nexfibre</w:t>
      </w:r>
      <w:r>
        <w:rPr>
          <w:rFonts w:ascii="Arial" w:cs="Arial" w:eastAsia="Arial" w:hAnsi="Arial"/>
          <w:sz w:val="18"/>
          <w:szCs w:val="18"/>
          <w:color w:val="auto"/>
        </w:rPr>
        <w:t xml:space="preserve"> </w:t>
      </w:r>
      <w:r>
        <w:rPr>
          <w:rFonts w:ascii="Arial" w:cs="Arial" w:eastAsia="Arial" w:hAnsi="Arial"/>
          <w:sz w:val="18"/>
          <w:szCs w:val="18"/>
          <w:b w:val="1"/>
          <w:bCs w:val="1"/>
          <w:color w:val="auto"/>
        </w:rPr>
        <w:t>JV</w:t>
      </w:r>
      <w:r>
        <w:rPr>
          <w:rFonts w:ascii="Arial" w:cs="Arial" w:eastAsia="Arial" w:hAnsi="Arial"/>
          <w:sz w:val="18"/>
          <w:szCs w:val="18"/>
          <w:color w:val="auto"/>
        </w:rPr>
        <w:t>) and (ii) various sports sponsorships.</w:t>
      </w:r>
    </w:p>
    <w:p>
      <w:pPr>
        <w:spacing w:after="0" w:line="20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2022, 2021 and 2020, see note 8. For information regarding our defined benefit plans, see note 16.</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rebuild or extend portions of our broadband communication systems. Such amounts are not included in the above table because they are not fixed or determinable.</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established various defined contribution benefit plans for our and our subsidiaries’ employees. Our aggregate expense for matching contributions under the various defined contribution employee benefit plans was $22.2 million, $30.1 million and $44.8 million (including amounts related to the U.K. JV Entities through the closing of the U.K. JV Transaction) during 2022, 2021 and 2020, respectively.</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w:t>
      </w:r>
      <w:r>
        <w:rPr>
          <w:rFonts w:ascii="Arial" w:cs="Arial" w:eastAsia="Arial" w:hAnsi="Arial"/>
          <w:sz w:val="17"/>
          <w:szCs w:val="17"/>
          <w:color w:val="auto"/>
        </w:rPr>
        <w:t>n</w:t>
      </w:r>
      <w:r>
        <w:rPr>
          <w:rFonts w:ascii="Arial" w:cs="Arial" w:eastAsia="Arial" w:hAnsi="Arial"/>
          <w:sz w:val="16"/>
          <w:szCs w:val="16"/>
          <w:color w:val="auto"/>
        </w:rPr>
        <w:t xml:space="preserve">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19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connection with our sale of our former operations in Germany, Romania, Hungary and the Czech Republic to Vodafone (the </w:t>
      </w:r>
      <w:r>
        <w:rPr>
          <w:rFonts w:ascii="Arial" w:cs="Arial" w:eastAsia="Arial" w:hAnsi="Arial"/>
          <w:sz w:val="18"/>
          <w:szCs w:val="18"/>
          <w:b w:val="1"/>
          <w:bCs w:val="1"/>
          <w:color w:val="auto"/>
        </w:rPr>
        <w:t>Vodafone Disposal Group</w:t>
      </w:r>
      <w:r>
        <w:rPr>
          <w:rFonts w:ascii="Arial" w:cs="Arial" w:eastAsia="Arial" w:hAnsi="Arial"/>
          <w:sz w:val="18"/>
          <w:szCs w:val="18"/>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2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Belgium Regulatory Developments. </w:t>
      </w:r>
      <w:r>
        <w:rPr>
          <w:rFonts w:ascii="Arial" w:cs="Arial" w:eastAsia="Arial" w:hAnsi="Arial"/>
          <w:sz w:val="18"/>
          <w:szCs w:val="18"/>
          <w:color w:val="auto"/>
        </w:rPr>
        <w:t>In June 2018, the Belgisch Instituut voor Post en Telecommunicatie and the regional regulators for the media sectors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adopted a new decision finding that Telenet has significant market power in the wholesale broadband market (the </w:t>
      </w:r>
      <w:r>
        <w:rPr>
          <w:rFonts w:ascii="Arial" w:cs="Arial" w:eastAsia="Arial" w:hAnsi="Arial"/>
          <w:sz w:val="18"/>
          <w:szCs w:val="18"/>
          <w:b w:val="1"/>
          <w:bCs w:val="1"/>
          <w:color w:val="auto"/>
        </w:rPr>
        <w:t>2018 Decision</w:t>
      </w:r>
      <w:r>
        <w:rPr>
          <w:rFonts w:ascii="Arial" w:cs="Arial" w:eastAsia="Arial" w:hAnsi="Arial"/>
          <w:sz w:val="18"/>
          <w:szCs w:val="18"/>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On May 26, 2020, the Belgium Regulatory Authorities adopted a final decision regarding the “reasonable access tariffs” (the </w:t>
      </w:r>
      <w:r>
        <w:rPr>
          <w:rFonts w:ascii="Arial" w:cs="Arial" w:eastAsia="Arial" w:hAnsi="Arial"/>
          <w:sz w:val="18"/>
          <w:szCs w:val="18"/>
          <w:b w:val="1"/>
          <w:bCs w:val="1"/>
          <w:color w:val="auto"/>
        </w:rPr>
        <w:t>2020 Decision</w:t>
      </w:r>
      <w:r>
        <w:rPr>
          <w:rFonts w:ascii="Arial" w:cs="Arial" w:eastAsia="Arial" w:hAnsi="Arial"/>
          <w:sz w:val="18"/>
          <w:szCs w:val="18"/>
          <w:color w:val="auto"/>
        </w:rPr>
        <w:t>) that became effective on July 1, 2020. Telenet appealed the 2018 Decision, which was rejected by the Brussels Court of Appeal on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4, 2019.</w:t>
      </w:r>
    </w:p>
    <w:p>
      <w:pPr>
        <w:spacing w:after="0" w:line="22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203"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i w:val="1"/>
          <w:iCs w:val="1"/>
          <w:color w:val="auto"/>
        </w:rPr>
        <w:t>UPC Austria Matter</w:t>
      </w:r>
      <w:r>
        <w:rPr>
          <w:rFonts w:ascii="Arial" w:cs="Arial" w:eastAsia="Arial" w:hAnsi="Arial"/>
          <w:sz w:val="17"/>
          <w:szCs w:val="17"/>
          <w:color w:val="auto"/>
        </w:rPr>
        <w:t>. 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Telekom</w:t>
      </w:r>
      <w:r>
        <w:rPr>
          <w:rFonts w:ascii="Arial" w:cs="Arial" w:eastAsia="Arial" w:hAnsi="Arial"/>
          <w:sz w:val="17"/>
          <w:szCs w:val="17"/>
          <w:color w:val="auto"/>
        </w:rPr>
        <w:t xml:space="preserve">). In October 2019, we received notification under the terms of the relevant acquisition agreements from Deutsche Telekom and its subsidiary, 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that totaled €126.3 million ($135.3 million), plus interest, as of June 30, 2022. In July 2022, we agreed with the UPC Austria Sale Counterparties to resolve the matter, the terms of which were not material to us and were accrued in our consolidated financial statements during the second quarter of 2022.</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Swisscom MVNO Matter. </w:t>
      </w:r>
      <w:r>
        <w:rPr>
          <w:rFonts w:ascii="Arial" w:cs="Arial" w:eastAsia="Arial" w:hAnsi="Arial"/>
          <w:sz w:val="18"/>
          <w:szCs w:val="18"/>
          <w:color w:val="auto"/>
        </w:rPr>
        <w:t>On December 8, 2017, one of our subsidiaries, UPC Schweiz GmbH, entered into an MVNO agreement with Swisscom</w:t>
      </w:r>
      <w:r>
        <w:rPr>
          <w:rFonts w:ascii="Arial" w:cs="Arial" w:eastAsia="Arial" w:hAnsi="Arial"/>
          <w:sz w:val="18"/>
          <w:szCs w:val="18"/>
          <w:i w:val="1"/>
          <w:iCs w:val="1"/>
          <w:color w:val="auto"/>
        </w:rPr>
        <w:t xml:space="preserve"> </w:t>
      </w:r>
      <w:r>
        <w:rPr>
          <w:rFonts w:ascii="Arial" w:cs="Arial" w:eastAsia="Arial" w:hAnsi="Arial"/>
          <w:sz w:val="18"/>
          <w:szCs w:val="18"/>
          <w:color w:val="auto"/>
        </w:rPr>
        <w:t>(Schweiz) AG (</w:t>
      </w:r>
      <w:r>
        <w:rPr>
          <w:rFonts w:ascii="Arial" w:cs="Arial" w:eastAsia="Arial" w:hAnsi="Arial"/>
          <w:sz w:val="18"/>
          <w:szCs w:val="18"/>
          <w:b w:val="1"/>
          <w:bCs w:val="1"/>
          <w:color w:val="auto"/>
        </w:rPr>
        <w:t>Swisscom</w:t>
      </w:r>
      <w:r>
        <w:rPr>
          <w:rFonts w:ascii="Arial" w:cs="Arial" w:eastAsia="Arial" w:hAnsi="Arial"/>
          <w:sz w:val="18"/>
          <w:szCs w:val="18"/>
          <w:color w:val="auto"/>
        </w:rPr>
        <w:t xml:space="preserve">), as subsequently amended (the </w:t>
      </w:r>
      <w:r>
        <w:rPr>
          <w:rFonts w:ascii="Arial" w:cs="Arial" w:eastAsia="Arial" w:hAnsi="Arial"/>
          <w:sz w:val="18"/>
          <w:szCs w:val="18"/>
          <w:b w:val="1"/>
          <w:bCs w:val="1"/>
          <w:color w:val="auto"/>
        </w:rPr>
        <w:t>Swisscom MVNO</w:t>
      </w:r>
      <w:r>
        <w:rPr>
          <w:rFonts w:ascii="Arial" w:cs="Arial" w:eastAsia="Arial" w:hAnsi="Arial"/>
          <w:sz w:val="18"/>
          <w:szCs w:val="18"/>
          <w:color w:val="auto"/>
        </w:rPr>
        <w:t>), for the provision of mobile network services to certain of Sunrise’s end customers. Swisscom has claimed that UPC Schweiz GmbH is in breach of the Swisscom MVNO, and in May 2022, Swisscom initiated a debt collection proceeding against Sunrise, claiming approximately CHF 90 million ($98 million) in damages. Swisscom then filed a formal lawsuit against Sunrise on January 11, 2023, in relation to this matter. We believe the assertions in this claim are unsupported by the terms of the Swisscom MVNO. As such, no amounts have been accrued by us with respect to this matter, as the likelihood of loss is not considered to be probable at this stage. We intend to vigorously defend this matter.</w:t>
      </w:r>
    </w:p>
    <w:p>
      <w:pPr>
        <w:spacing w:after="0" w:line="22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including pricing restrictions, interconnect and other access obligations and restrictions or controls on content, including content provided by third parties.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current or future regulation could expose our businesses to various penalties.</w:t>
      </w:r>
    </w:p>
    <w:p>
      <w:pPr>
        <w:spacing w:after="0" w:line="23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7" w:lineRule="exact"/>
        <w:rPr>
          <w:sz w:val="20"/>
          <w:szCs w:val="20"/>
          <w:color w:val="auto"/>
        </w:rPr>
      </w:pPr>
    </w:p>
    <w:p>
      <w:pPr>
        <w:ind w:left="340" w:hanging="334"/>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0"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w:t>
      </w:r>
    </w:p>
    <w:p>
      <w:pPr>
        <w:spacing w:after="0" w:line="5" w:lineRule="exact"/>
        <w:rPr>
          <w:sz w:val="20"/>
          <w:szCs w:val="20"/>
          <w:color w:val="auto"/>
        </w:rPr>
      </w:pPr>
    </w:p>
    <w:p>
      <w:pPr>
        <w:jc w:val="both"/>
        <w:ind w:firstLine="6"/>
        <w:spacing w:after="0" w:line="246" w:lineRule="auto"/>
        <w:tabs>
          <w:tab w:leader="none" w:pos="26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our reportable segments are as follows:</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30" w:lineRule="exact"/>
        <w:rPr>
          <w:sz w:val="20"/>
          <w:szCs w:val="20"/>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Belgium</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Ireland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43" w:lineRule="exact"/>
        <w:rPr>
          <w:sz w:val="20"/>
          <w:szCs w:val="20"/>
          <w:color w:val="auto"/>
        </w:rPr>
      </w:pPr>
    </w:p>
    <w:p>
      <w:pPr>
        <w:ind w:left="640" w:hanging="3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VMO2 JV</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VodafoneZiggo JV</w:t>
      </w:r>
    </w:p>
    <w:p>
      <w:pPr>
        <w:spacing w:after="0" w:line="23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On June 1, 2021, we completed the U.K. JV Transaction, whereby we contributed the U.K. JV Entities to the VMO2 JV. Prior to the completion of the U.K. JV Transaction, we presented the U.K. JV Entities, together with our operations in Ireland, as a single reportable segment, </w:t>
      </w:r>
      <w:r>
        <w:rPr>
          <w:rFonts w:ascii="Arial" w:cs="Arial" w:eastAsia="Arial" w:hAnsi="Arial"/>
          <w:sz w:val="18"/>
          <w:szCs w:val="18"/>
          <w:i w:val="1"/>
          <w:iCs w:val="1"/>
          <w:color w:val="auto"/>
        </w:rPr>
        <w:t>“U.K./Ireland”</w:t>
      </w:r>
      <w:r>
        <w:rPr>
          <w:rFonts w:ascii="Arial" w:cs="Arial" w:eastAsia="Arial" w:hAnsi="Arial"/>
          <w:sz w:val="18"/>
          <w:szCs w:val="18"/>
          <w:color w:val="auto"/>
        </w:rPr>
        <w:t>. In connection with the completion of the U.K. JV Transaction, we have restated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segment presentation for all periods to separately present (i) the U.K. JV Entities and (ii) Ireland. In addition, certain other less significant entities previously included in the U.K./Ireland segment are now included within Central and Other (as defined below). Following the closing of the U.K. JV Transaction, we have identified the VMO2 JV as a nonconsolidated reportable segment. For additional information regarding the U.K. JV Transaction, see note 6.</w:t>
      </w:r>
    </w:p>
    <w:p>
      <w:pPr>
        <w:spacing w:after="0" w:line="21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Our “</w:t>
      </w:r>
      <w:r>
        <w:rPr>
          <w:rFonts w:ascii="Arial" w:cs="Arial" w:eastAsia="Arial" w:hAnsi="Arial"/>
          <w:sz w:val="17"/>
          <w:szCs w:val="17"/>
          <w:b w:val="1"/>
          <w:bCs w:val="1"/>
          <w:color w:val="auto"/>
        </w:rPr>
        <w:t>Central and Other</w:t>
      </w:r>
      <w:r>
        <w:rPr>
          <w:rFonts w:ascii="Arial" w:cs="Arial" w:eastAsia="Arial" w:hAnsi="Arial"/>
          <w:sz w:val="17"/>
          <w:szCs w:val="17"/>
          <w:color w:val="auto"/>
        </w:rPr>
        <w:t>” category primarily includes (i) our operations in Slovakia, (ii) services provided to the VMO2 JV, the VodafoneZiggo JV and various third parties related to transitional service agreements, (iii) sales of CPE to the VodafoneZiggo JV and (iv) certain centralized functions, including billing systems, network operations, technology, marketing, facilities, finance and other administrative functions.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amounts presented below represent 100% of each of our reportable segment’s revenue and Adjusted EBITDA. As we have the ability to control Telenet, we consolidate 100% of Telenet’s revenue and expenses in our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consolidated statements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Year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3"/>
                <w:szCs w:val="13"/>
                <w:color w:val="auto"/>
              </w:rPr>
            </w:pPr>
          </w:p>
        </w:tc>
        <w:tc>
          <w:tcPr>
            <w:tcW w:w="1000" w:type="dxa"/>
            <w:vAlign w:val="bottom"/>
          </w:tcPr>
          <w:p>
            <w:pPr>
              <w:jc w:val="right"/>
              <w:ind w:right="193"/>
              <w:spacing w:after="0" w:line="155" w:lineRule="exact"/>
              <w:rPr>
                <w:sz w:val="20"/>
                <w:szCs w:val="20"/>
                <w:color w:val="auto"/>
              </w:rPr>
            </w:pPr>
            <w:r>
              <w:rPr>
                <w:rFonts w:ascii="Arial" w:cs="Arial" w:eastAsia="Arial" w:hAnsi="Arial"/>
                <w:sz w:val="16"/>
                <w:szCs w:val="16"/>
                <w:b w:val="1"/>
                <w:bCs w:val="1"/>
                <w:color w:val="auto"/>
              </w:rPr>
              <w:t>Adjusted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980" w:type="dxa"/>
            <w:vAlign w:val="bottom"/>
          </w:tcPr>
          <w:p>
            <w:pPr>
              <w:jc w:val="right"/>
              <w:ind w:right="193"/>
              <w:spacing w:after="0" w:line="155" w:lineRule="exact"/>
              <w:rPr>
                <w:sz w:val="20"/>
                <w:szCs w:val="20"/>
                <w:color w:val="auto"/>
              </w:rPr>
            </w:pPr>
            <w:r>
              <w:rPr>
                <w:rFonts w:ascii="Arial" w:cs="Arial" w:eastAsia="Arial" w:hAnsi="Arial"/>
                <w:sz w:val="16"/>
                <w:szCs w:val="16"/>
                <w:b w:val="1"/>
                <w:bCs w:val="1"/>
                <w:color w:val="auto"/>
                <w:w w:val="99"/>
              </w:rPr>
              <w:t>Adjusted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980" w:type="dxa"/>
            <w:vAlign w:val="bottom"/>
          </w:tcPr>
          <w:p>
            <w:pPr>
              <w:jc w:val="right"/>
              <w:ind w:right="193"/>
              <w:spacing w:after="0" w:line="155" w:lineRule="exact"/>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1,413.4</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 (b)</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4,284.6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2,018.0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4,824.2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2,265.6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4,565.4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Amounts represent the revenue and Adjusted EBITDA of the U.K. JV Entities through the June 1, 2021 closing of the U.K. JV Transaction.</w:t>
      </w:r>
    </w:p>
    <w:p>
      <w:pPr>
        <w:spacing w:after="0" w:line="254" w:lineRule="exact"/>
        <w:rPr>
          <w:rFonts w:ascii="Arial" w:cs="Arial" w:eastAsia="Arial" w:hAnsi="Arial"/>
          <w:sz w:val="17"/>
          <w:szCs w:val="17"/>
          <w:color w:val="auto"/>
        </w:rPr>
      </w:pPr>
    </w:p>
    <w:p>
      <w:pPr>
        <w:ind w:left="480" w:hanging="474"/>
        <w:spacing w:after="0"/>
        <w:tabs>
          <w:tab w:leader="none" w:pos="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Amounts relate to transactions between our continuing and discontinued operations.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2021 amount represents the revenue and Adjusted EBITDA of the VMO2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2"/>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Gain on AtlasEdge JV Transactions</w:t>
            </w: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U.K. JV Transaction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Gain on Telenet Tower Sale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Losses (gains) on debt extinguishment,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233.2</w:t>
            </w: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Realized and unrealized losses (gains) due to changes in fair values of certain investments,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1,409.3</w:t>
            </w: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25"/>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r>
      <w:tr>
        <w:trPr>
          <w:trHeight w:val="219"/>
        </w:trPr>
        <w:tc>
          <w:tcPr>
            <w:tcW w:w="732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2,030.9</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2,227.2</w:t>
            </w:r>
          </w:p>
        </w:tc>
      </w:tr>
      <w:tr>
        <w:trPr>
          <w:trHeight w:val="225"/>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r>
      <w:tr>
        <w:trPr>
          <w:trHeight w:val="243"/>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Balance Sheet Data of our Reportable Segments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Selected balance sheet data of our reportable segments is set forth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420"/>
              <w:spacing w:after="0"/>
              <w:rPr>
                <w:sz w:val="20"/>
                <w:szCs w:val="20"/>
                <w:color w:val="auto"/>
              </w:rPr>
            </w:pPr>
            <w:r>
              <w:rPr>
                <w:rFonts w:ascii="Arial" w:cs="Arial" w:eastAsia="Arial" w:hAnsi="Arial"/>
                <w:sz w:val="16"/>
                <w:szCs w:val="16"/>
                <w:b w:val="1"/>
                <w:bCs w:val="1"/>
                <w:color w:val="auto"/>
              </w:rPr>
              <w:t>Long-lived assets</w:t>
            </w:r>
          </w:p>
        </w:tc>
        <w:tc>
          <w:tcPr>
            <w:tcW w:w="360" w:type="dxa"/>
            <w:vAlign w:val="bottom"/>
          </w:tcPr>
          <w:p>
            <w:pPr>
              <w:spacing w:after="0"/>
              <w:rPr>
                <w:sz w:val="18"/>
                <w:szCs w:val="18"/>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Total assets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2"/>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11,533.8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13,812.9</w:t>
            </w: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6,885.7</w:t>
            </w: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25,323.6</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18,850.5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42,895.0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46,917.0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51,689.8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60,431.6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17,845.3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6"/>
              </w:rPr>
              <w:t>19,651.2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20,211.9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6"/>
              </w:rPr>
              <w:t>21,288.5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 (b)</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ind w:left="120"/>
              <w:spacing w:after="0" w:line="204" w:lineRule="exact"/>
              <w:rPr>
                <w:sz w:val="20"/>
                <w:szCs w:val="20"/>
                <w:color w:val="auto"/>
              </w:rPr>
            </w:pPr>
            <w:r>
              <w:rPr>
                <w:rFonts w:ascii="Arial" w:cs="Arial" w:eastAsia="Arial" w:hAnsi="Arial"/>
                <w:sz w:val="18"/>
                <w:szCs w:val="18"/>
                <w:color w:val="auto"/>
              </w:rPr>
              <w:t>Total property and equipment additions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2,603.6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Total capital expenditures,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VMO2 JV (c)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VodafoneZiggo JV</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7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7"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999.3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990.5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jc w:val="right"/>
              <w:ind w:right="5992"/>
              <w:spacing w:after="0"/>
              <w:rPr>
                <w:sz w:val="20"/>
                <w:szCs w:val="20"/>
                <w:color w:val="auto"/>
              </w:rPr>
            </w:pPr>
            <w:r>
              <w:rPr>
                <w:rFonts w:ascii="Arial" w:cs="Arial" w:eastAsia="Arial" w:hAnsi="Arial"/>
                <w:sz w:val="18"/>
                <w:szCs w:val="18"/>
                <w:color w:val="auto"/>
                <w:w w:val="86"/>
              </w:rPr>
              <w:t>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7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Amounts represent the property and equipment additions of the U.K. JV Entities through the June 1, 2021 closing of the U.K. JV Transaction.</w:t>
      </w:r>
    </w:p>
    <w:p>
      <w:pPr>
        <w:spacing w:after="0" w:line="254" w:lineRule="exact"/>
        <w:rPr>
          <w:rFonts w:ascii="Arial" w:cs="Arial" w:eastAsia="Arial" w:hAnsi="Arial"/>
          <w:sz w:val="17"/>
          <w:szCs w:val="17"/>
          <w:color w:val="auto"/>
        </w:rPr>
      </w:pPr>
    </w:p>
    <w:p>
      <w:pPr>
        <w:jc w:val="both"/>
        <w:ind w:left="480" w:hanging="474"/>
        <w:spacing w:after="0" w:line="254" w:lineRule="auto"/>
        <w:tabs>
          <w:tab w:leader="none" w:pos="47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6" w:lineRule="exact"/>
        <w:rPr>
          <w:rFonts w:ascii="Arial" w:cs="Arial" w:eastAsia="Arial" w:hAnsi="Arial"/>
          <w:sz w:val="18"/>
          <w:szCs w:val="18"/>
          <w:color w:val="auto"/>
        </w:rPr>
      </w:pPr>
    </w:p>
    <w:p>
      <w:pPr>
        <w:ind w:left="480" w:hanging="474"/>
        <w:spacing w:after="0"/>
        <w:tabs>
          <w:tab w:leader="none" w:pos="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2021 amount represents the property and equipment additions of the VMO2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05"/>
        </w:trPr>
        <w:tc>
          <w:tcPr>
            <w:tcW w:w="7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5"/>
        </w:trPr>
        <w:tc>
          <w:tcPr>
            <w:tcW w:w="7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26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1,378.2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2,371.7</w:t>
            </w:r>
          </w:p>
        </w:tc>
        <w:tc>
          <w:tcPr>
            <w:tcW w:w="16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3,181.9</w:t>
            </w:r>
          </w:p>
        </w:tc>
      </w:tr>
      <w:tr>
        <w:trPr>
          <w:trHeight w:val="225"/>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r>
      <w:tr>
        <w:trPr>
          <w:trHeight w:val="225"/>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r>
      <w:tr>
        <w:trPr>
          <w:trHeight w:val="219"/>
        </w:trPr>
        <w:tc>
          <w:tcPr>
            <w:tcW w:w="72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6,956.3</w:t>
            </w:r>
          </w:p>
        </w:tc>
      </w:tr>
      <w:tr>
        <w:trPr>
          <w:trHeight w:val="225"/>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r>
        <w:trPr>
          <w:trHeight w:val="219"/>
        </w:trPr>
        <w:tc>
          <w:tcPr>
            <w:tcW w:w="726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7,173.6</w:t>
            </w:r>
          </w:p>
        </w:tc>
      </w:tr>
      <w:tr>
        <w:trPr>
          <w:trHeight w:val="205"/>
        </w:trPr>
        <w:tc>
          <w:tcPr>
            <w:tcW w:w="726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r>
      <w:tr>
        <w:trPr>
          <w:trHeight w:val="225"/>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r>
      <w:tr>
        <w:trPr>
          <w:trHeight w:val="219"/>
        </w:trPr>
        <w:tc>
          <w:tcPr>
            <w:tcW w:w="72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1,781.8</w:t>
            </w:r>
          </w:p>
        </w:tc>
      </w:tr>
      <w:tr>
        <w:trPr>
          <w:trHeight w:val="218"/>
        </w:trPr>
        <w:tc>
          <w:tcPr>
            <w:tcW w:w="72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8,955.4</w:t>
            </w:r>
          </w:p>
        </w:tc>
      </w:tr>
      <w:tr>
        <w:trPr>
          <w:trHeight w:val="205"/>
        </w:trPr>
        <w:tc>
          <w:tcPr>
            <w:tcW w:w="7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726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563.9</w:t>
            </w:r>
          </w:p>
        </w:tc>
      </w:tr>
      <w:tr>
        <w:trPr>
          <w:trHeight w:val="225"/>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1,431.5</w:t>
            </w:r>
          </w:p>
        </w:tc>
      </w:tr>
      <w:tr>
        <w:trPr>
          <w:trHeight w:val="218"/>
        </w:trPr>
        <w:tc>
          <w:tcPr>
            <w:tcW w:w="726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1,995.4</w:t>
            </w:r>
          </w:p>
        </w:tc>
      </w:tr>
      <w:tr>
        <w:trPr>
          <w:trHeight w:val="219"/>
        </w:trPr>
        <w:tc>
          <w:tcPr>
            <w:tcW w:w="7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r>
      <w:tr>
        <w:trPr>
          <w:trHeight w:val="218"/>
        </w:trPr>
        <w:tc>
          <w:tcPr>
            <w:tcW w:w="726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11,545.4</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6" w:lineRule="exact"/>
        <w:rPr>
          <w:rFonts w:ascii="Arial" w:cs="Arial" w:eastAsia="Arial" w:hAnsi="Arial"/>
          <w:sz w:val="18"/>
          <w:szCs w:val="18"/>
          <w:color w:val="auto"/>
        </w:rPr>
      </w:pPr>
    </w:p>
    <w:p>
      <w:pPr>
        <w:jc w:val="both"/>
        <w:ind w:left="480" w:hanging="474"/>
        <w:spacing w:after="0" w:line="277" w:lineRule="auto"/>
        <w:tabs>
          <w:tab w:leader="none" w:pos="47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6" w:lineRule="exact"/>
        <w:rPr>
          <w:rFonts w:ascii="Arial" w:cs="Arial" w:eastAsia="Arial" w:hAnsi="Arial"/>
          <w:sz w:val="17"/>
          <w:szCs w:val="17"/>
          <w:color w:val="auto"/>
        </w:rPr>
      </w:pPr>
    </w:p>
    <w:p>
      <w:pPr>
        <w:ind w:left="480" w:hanging="474"/>
        <w:spacing w:after="0" w:line="264" w:lineRule="auto"/>
        <w:tabs>
          <w:tab w:leader="none" w:pos="40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0" w:lineRule="exact"/>
        <w:rPr>
          <w:rFonts w:ascii="Arial" w:cs="Arial" w:eastAsia="Arial" w:hAnsi="Arial"/>
          <w:sz w:val="18"/>
          <w:szCs w:val="18"/>
          <w:color w:val="auto"/>
        </w:rPr>
      </w:pPr>
    </w:p>
    <w:p>
      <w:pPr>
        <w:ind w:left="480" w:hanging="474"/>
        <w:spacing w:after="0" w:line="314" w:lineRule="auto"/>
        <w:tabs>
          <w:tab w:leader="none" w:pos="38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small or home office (</w:t>
      </w:r>
      <w:r>
        <w:rPr>
          <w:rFonts w:ascii="Arial" w:cs="Arial" w:eastAsia="Arial" w:hAnsi="Arial"/>
          <w:sz w:val="15"/>
          <w:szCs w:val="15"/>
          <w:b w:val="1"/>
          <w:bCs w:val="1"/>
          <w:color w:val="auto"/>
        </w:rPr>
        <w:t>SOHO</w:t>
      </w:r>
      <w:r>
        <w:rPr>
          <w:rFonts w:ascii="Arial" w:cs="Arial" w:eastAsia="Arial" w:hAnsi="Arial"/>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9" w:lineRule="exact"/>
        <w:rPr>
          <w:sz w:val="20"/>
          <w:szCs w:val="20"/>
          <w:color w:val="auto"/>
        </w:rPr>
      </w:pPr>
    </w:p>
    <w:p>
      <w:pPr>
        <w:ind w:left="480" w:hanging="474"/>
        <w:spacing w:after="0" w:line="254" w:lineRule="auto"/>
        <w:tabs>
          <w:tab w:leader="none" w:pos="38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and NL JV Services, (ii) broadcasting revenue in Belgium and Ireland, (iii) revenue earned from transitional and other services provided to various third parties and (iv) revenue earned from the sale of CPE to the VodafoneZiggo JV.</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center"/>
              <w:ind w:right="112"/>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in millions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0" w:type="dxa"/>
            <w:vAlign w:val="bottom"/>
          </w:tcPr>
          <w:p>
            <w:pPr>
              <w:spacing w:after="0"/>
              <w:rPr>
                <w:sz w:val="1"/>
                <w:szCs w:val="1"/>
                <w:color w:val="auto"/>
              </w:rPr>
            </w:pPr>
          </w:p>
        </w:tc>
      </w:tr>
      <w:tr>
        <w:trPr>
          <w:trHeight w:val="225"/>
        </w:trPr>
        <w:tc>
          <w:tcPr>
            <w:tcW w:w="718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2,940.9</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w:t>
            </w:r>
          </w:p>
        </w:tc>
        <w:tc>
          <w:tcPr>
            <w:tcW w:w="0" w:type="dxa"/>
            <w:vAlign w:val="bottom"/>
          </w:tcPr>
          <w:p>
            <w:pPr>
              <w:spacing w:after="0"/>
              <w:rPr>
                <w:sz w:val="1"/>
                <w:szCs w:val="1"/>
                <w:color w:val="auto"/>
              </w:rPr>
            </w:pPr>
          </w:p>
        </w:tc>
      </w:tr>
      <w:tr>
        <w:trPr>
          <w:trHeight w:val="225"/>
        </w:trPr>
        <w:tc>
          <w:tcPr>
            <w:tcW w:w="718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intersegment eliminations (b)</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38"/>
        </w:trPr>
        <w:tc>
          <w:tcPr>
            <w:tcW w:w="718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(U.K.) (c)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0"/>
              <w:spacing w:after="0"/>
              <w:rPr>
                <w:sz w:val="20"/>
                <w:szCs w:val="20"/>
                <w:color w:val="auto"/>
              </w:rPr>
            </w:pPr>
            <w:r>
              <w:rPr>
                <w:rFonts w:ascii="Arial" w:cs="Arial" w:eastAsia="Arial" w:hAnsi="Arial"/>
                <w:sz w:val="18"/>
                <w:szCs w:val="18"/>
                <w:color w:val="auto"/>
              </w:rPr>
              <w:t>VodafoneZiggo JV (the Netherlands)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80" w:type="dxa"/>
            <w:vAlign w:val="bottom"/>
            <w:vMerge w:val="continue"/>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4,284.6</w:t>
            </w:r>
          </w:p>
        </w:tc>
        <w:tc>
          <w:tcPr>
            <w:tcW w:w="52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4,824.2</w:t>
            </w:r>
          </w:p>
        </w:tc>
        <w:tc>
          <w:tcPr>
            <w:tcW w:w="100" w:type="dxa"/>
            <w:vAlign w:val="bottom"/>
          </w:tcPr>
          <w:p>
            <w:pPr>
              <w:spacing w:after="0"/>
              <w:rPr>
                <w:sz w:val="17"/>
                <w:szCs w:val="17"/>
                <w:color w:val="auto"/>
              </w:rPr>
            </w:pPr>
          </w:p>
        </w:tc>
        <w:tc>
          <w:tcPr>
            <w:tcW w:w="260" w:type="dxa"/>
            <w:vAlign w:val="bottom"/>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8" w:lineRule="exact"/>
              <w:rPr>
                <w:sz w:val="20"/>
                <w:szCs w:val="20"/>
                <w:color w:val="auto"/>
              </w:rPr>
            </w:pPr>
            <w:r>
              <w:rPr>
                <w:rFonts w:ascii="Arial" w:cs="Arial" w:eastAsia="Arial" w:hAnsi="Arial"/>
                <w:sz w:val="18"/>
                <w:szCs w:val="18"/>
                <w:color w:val="auto"/>
              </w:rPr>
              <w:t>4,565.4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60" w:hanging="354"/>
        <w:spacing w:after="0"/>
        <w:tabs>
          <w:tab w:leader="none" w:pos="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Amounts represent the revenue of the U.K. JV Entities through the June 1, 2021 closing of the U.K. JV Transaction.</w:t>
      </w:r>
    </w:p>
    <w:p>
      <w:pPr>
        <w:spacing w:after="0" w:line="242" w:lineRule="exact"/>
        <w:rPr>
          <w:rFonts w:ascii="Arial" w:cs="Arial" w:eastAsia="Arial" w:hAnsi="Arial"/>
          <w:sz w:val="18"/>
          <w:szCs w:val="18"/>
          <w:color w:val="auto"/>
        </w:rPr>
      </w:pPr>
    </w:p>
    <w:p>
      <w:pPr>
        <w:ind w:left="380" w:hanging="374"/>
        <w:spacing w:after="0"/>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Primarily relates to revenue associated with our Central functions, most of which is located in the Netherlands and the U.K.</w:t>
      </w:r>
    </w:p>
    <w:p>
      <w:pPr>
        <w:spacing w:after="0" w:line="242" w:lineRule="exact"/>
        <w:rPr>
          <w:rFonts w:ascii="Arial" w:cs="Arial" w:eastAsia="Arial" w:hAnsi="Arial"/>
          <w:sz w:val="18"/>
          <w:szCs w:val="18"/>
          <w:color w:val="auto"/>
        </w:rPr>
      </w:pPr>
    </w:p>
    <w:p>
      <w:pPr>
        <w:ind w:left="380" w:hanging="374"/>
        <w:spacing w:after="0"/>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2021 amount represents the revenue of the VMO2 JV for the period beginning June 1, 2021.</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long-lived assets of our geographic segments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5"/>
        </w:trPr>
        <w:tc>
          <w:tcPr>
            <w:tcW w:w="8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ind w:right="13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18"/>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10,913.0</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11,533.8</w:t>
            </w: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5,736.5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5,652.3</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r>
      <w:tr>
        <w:trPr>
          <w:trHeight w:val="218"/>
        </w:trPr>
        <w:tc>
          <w:tcPr>
            <w:tcW w:w="830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18,166.0</w:t>
            </w:r>
          </w:p>
        </w:tc>
        <w:tc>
          <w:tcPr>
            <w:tcW w:w="54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18,850.5</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5"/>
        </w:trPr>
        <w:tc>
          <w:tcPr>
            <w:tcW w:w="8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VMO2 JV (U.K.)</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41,087.5</w:t>
            </w:r>
          </w:p>
        </w:tc>
        <w:tc>
          <w:tcPr>
            <w:tcW w:w="5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51,689.8</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3"/>
        </w:trPr>
        <w:tc>
          <w:tcPr>
            <w:tcW w:w="83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VodafoneZiggo JV (the Netherlands)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17,845.3</w:t>
            </w:r>
          </w:p>
        </w:tc>
        <w:tc>
          <w:tcPr>
            <w:tcW w:w="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80" w:hanging="374"/>
        <w:spacing w:after="0"/>
        <w:tabs>
          <w:tab w:leader="none" w:pos="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Primarily relates to certain long-lived assets associated with our Central functions located in the Netherlands, the U.K. and the 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3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 xml:space="preserve">On February 13, 2023, we announced that we acquired a 4.92% interest in Vodafone, representing 1,335,000,000 Vodafone shares at an average purchase price of £0.9195 ($1.1151 at the applicable rate) per share. The aggregate purchase price of £1,227.6 million ($1,488.7 million at the applicable rate) was funded with $271.3 million of cash on hand and the remainder through a transaction (the </w:t>
      </w:r>
      <w:r>
        <w:rPr>
          <w:rFonts w:ascii="Arial" w:cs="Arial" w:eastAsia="Arial" w:hAnsi="Arial"/>
          <w:sz w:val="17"/>
          <w:szCs w:val="17"/>
          <w:b w:val="1"/>
          <w:bCs w:val="1"/>
          <w:color w:val="auto"/>
        </w:rPr>
        <w:t>Vodafone Collar Transaction</w:t>
      </w:r>
      <w:r>
        <w:rPr>
          <w:rFonts w:ascii="Arial" w:cs="Arial" w:eastAsia="Arial" w:hAnsi="Arial"/>
          <w:sz w:val="17"/>
          <w:szCs w:val="17"/>
          <w:color w:val="auto"/>
        </w:rPr>
        <w:t>). The Vodafone Collar Transaction includes a loan in the amount of $1,217.4 million and a collar on the 1,335,000,000 Vodafone shares. The Vodafone Collar Transaction allows us to realize a potential gain from an increase in the Vodafone share price up to a cap and hedges our potential loss from a decline of Vodafone’s share price below a floor. This is accomplished by call options the counterparty can exercise at the cap price and put options we can exercise at the floor price. We will remain subject to changes in the Vodafone share price between the cap and the floor. The Vodafone Collar Transaction does not subject us to margin calls or capital calls, is fully collateralized by the Vodafone shares, and is structured such that we will never have a net payment obligation to the counterparty, making the transaction effectively non-recourse to us beyond the Vodafone shares. We will retain a portion of the dividends on the Vodafone shares, which we currently expect to be around 28%, but does vary based on the value of the collar on the ex-dividend date. The Vodafone Collar Transaction has settlement dates from July 2025 to December 2026, contains no financial covenants and provides for customary representations and warranties, events of default and certain adjustment and termination events.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PART III</w:t>
      </w:r>
    </w:p>
    <w:p>
      <w:pPr>
        <w:spacing w:after="0" w:line="17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Except as indicated below, the following required information is incorporated by reference to our definitive proxy statement for our 2023 Annual Meeting of Shareholders, which we intend to hold during the second quarter of 2023.</w:t>
      </w:r>
    </w:p>
    <w:p>
      <w:pPr>
        <w:spacing w:after="0" w:line="100"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177" w:lineRule="exact"/>
        <w:rPr>
          <w:sz w:val="20"/>
          <w:szCs w:val="20"/>
          <w:color w:val="auto"/>
        </w:rPr>
      </w:pPr>
    </w:p>
    <w:p>
      <w:pPr>
        <w:ind w:left="2060" w:right="1320" w:hanging="1322"/>
        <w:spacing w:after="0" w:line="229" w:lineRule="auto"/>
        <w:tabs>
          <w:tab w:leader="none" w:pos="20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346" w:lineRule="exact"/>
        <w:rPr>
          <w:sz w:val="20"/>
          <w:szCs w:val="20"/>
          <w:color w:val="auto"/>
        </w:rPr>
      </w:pPr>
    </w:p>
    <w:p>
      <w:pPr>
        <w:ind w:left="2060" w:right="760"/>
        <w:spacing w:after="0" w:line="229" w:lineRule="auto"/>
        <w:rPr>
          <w:sz w:val="20"/>
          <w:szCs w:val="20"/>
          <w:color w:val="auto"/>
        </w:rPr>
      </w:pPr>
      <w:r>
        <w:rPr>
          <w:rFonts w:ascii="Arial" w:cs="Arial" w:eastAsia="Arial" w:hAnsi="Arial"/>
          <w:sz w:val="18"/>
          <w:szCs w:val="18"/>
          <w:color w:val="auto"/>
        </w:rPr>
        <w:t>The information required by Item 201(d) of Regulation S-K is included below and accordingly will not be incorporated by reference to our definitive proxy statement.</w:t>
      </w:r>
    </w:p>
    <w:p>
      <w:pPr>
        <w:spacing w:after="0" w:line="174"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5"/>
          <w:szCs w:val="15"/>
          <w:color w:val="auto"/>
        </w:rPr>
        <w:t>PRINCIPAL ACCOUNTANT FEES AND SERVICES</w:t>
      </w:r>
    </w:p>
    <w:p>
      <w:pPr>
        <w:spacing w:after="0" w:line="10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Our independent registered public accounting firm is KPMG LLP, Denver, CO</w:t>
      </w:r>
    </w:p>
    <w:p>
      <w:pPr>
        <w:ind w:left="2060"/>
        <w:spacing w:after="0"/>
        <w:rPr>
          <w:sz w:val="20"/>
          <w:szCs w:val="20"/>
          <w:color w:val="auto"/>
        </w:rPr>
      </w:pPr>
      <w:r>
        <w:rPr>
          <w:rFonts w:ascii="Arial" w:cs="Arial" w:eastAsia="Arial" w:hAnsi="Arial"/>
          <w:sz w:val="18"/>
          <w:szCs w:val="18"/>
          <w:color w:val="auto"/>
        </w:rPr>
        <w:t>Auditor Firm ID: 185</w:t>
      </w:r>
    </w:p>
    <w:p>
      <w:pPr>
        <w:spacing w:after="0" w:line="242"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intend to file our definitive proxy statement for our 2023 Annual Meeting of Shareholders with the Securities and Exchange Commission on or before April 28, 2023.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67" w:name="page168"/>
    <w:bookmarkEnd w:id="167"/>
    <w:p>
      <w:pPr>
        <w:ind w:left="800" w:right="760" w:hanging="952"/>
        <w:spacing w:after="0" w:line="271" w:lineRule="auto"/>
        <w:tabs>
          <w:tab w:leader="none" w:pos="7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as of December 31, 2022 with respect to our ordinary shares that are authorized for issuance under our equity compensation plans.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2"/>
              </w:rPr>
              <w:t>securities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2"/>
              </w:rPr>
              <w:t>available for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5"/>
              </w:rPr>
              <w:t>securities to be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Weighted average</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future issuance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4"/>
              </w:rPr>
              <w:t>issued upon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under equity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exercise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7"/>
              </w:rPr>
              <w:t>exercise price of</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outstanding</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plans (excluding</w:t>
            </w:r>
          </w:p>
        </w:tc>
        <w:tc>
          <w:tcPr>
            <w:tcW w:w="0" w:type="dxa"/>
            <w:vAlign w:val="bottom"/>
          </w:tcPr>
          <w:p>
            <w:pPr>
              <w:spacing w:after="0"/>
              <w:rPr>
                <w:sz w:val="1"/>
                <w:szCs w:val="1"/>
                <w:color w:val="auto"/>
              </w:rPr>
            </w:pPr>
          </w:p>
        </w:tc>
      </w:tr>
      <w:tr>
        <w:trPr>
          <w:trHeight w:val="159"/>
        </w:trPr>
        <w:tc>
          <w:tcPr>
            <w:tcW w:w="6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options, warrants</w:t>
            </w:r>
          </w:p>
        </w:tc>
        <w:tc>
          <w:tcPr>
            <w:tcW w:w="100" w:type="dxa"/>
            <w:vAlign w:val="bottom"/>
          </w:tcPr>
          <w:p>
            <w:pPr>
              <w:spacing w:after="0"/>
              <w:rPr>
                <w:sz w:val="13"/>
                <w:szCs w:val="13"/>
                <w:color w:val="auto"/>
              </w:rPr>
            </w:pPr>
          </w:p>
        </w:tc>
        <w:tc>
          <w:tcPr>
            <w:tcW w:w="1760" w:type="dxa"/>
            <w:vAlign w:val="bottom"/>
            <w:gridSpan w:val="3"/>
          </w:tcPr>
          <w:p>
            <w:pPr>
              <w:jc w:val="right"/>
              <w:ind w:right="180"/>
              <w:spacing w:after="0" w:line="159" w:lineRule="exact"/>
              <w:rPr>
                <w:sz w:val="20"/>
                <w:szCs w:val="20"/>
                <w:color w:val="auto"/>
              </w:rPr>
            </w:pPr>
            <w:r>
              <w:rPr>
                <w:rFonts w:ascii="Arial" w:cs="Arial" w:eastAsia="Arial" w:hAnsi="Arial"/>
                <w:sz w:val="16"/>
                <w:szCs w:val="16"/>
                <w:b w:val="1"/>
                <w:bCs w:val="1"/>
                <w:color w:val="auto"/>
                <w:w w:val="93"/>
              </w:rPr>
              <w:t>options, warrants and</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securities reflected in the</w:t>
            </w:r>
          </w:p>
        </w:tc>
        <w:tc>
          <w:tcPr>
            <w:tcW w:w="0" w:type="dxa"/>
            <w:vAlign w:val="bottom"/>
          </w:tcPr>
          <w:p>
            <w:pPr>
              <w:spacing w:after="0"/>
              <w:rPr>
                <w:sz w:val="1"/>
                <w:szCs w:val="1"/>
                <w:color w:val="auto"/>
              </w:rPr>
            </w:pPr>
          </w:p>
        </w:tc>
      </w:tr>
      <w:tr>
        <w:trPr>
          <w:trHeight w:val="172"/>
        </w:trPr>
        <w:tc>
          <w:tcPr>
            <w:tcW w:w="6000" w:type="dxa"/>
            <w:vAlign w:val="bottom"/>
            <w:gridSpan w:val="3"/>
            <w:vMerge w:val="continue"/>
          </w:tcPr>
          <w:p>
            <w:pPr>
              <w:spacing w:after="0"/>
              <w:rPr>
                <w:sz w:val="14"/>
                <w:szCs w:val="14"/>
                <w:color w:val="auto"/>
              </w:rPr>
            </w:pPr>
          </w:p>
        </w:tc>
        <w:tc>
          <w:tcPr>
            <w:tcW w:w="16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0"/>
              </w:rPr>
              <w:t>and rights (1)(2)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3"/>
              </w:rPr>
              <w:t>rights (1)(2)</w:t>
            </w:r>
          </w:p>
        </w:tc>
        <w:tc>
          <w:tcPr>
            <w:tcW w:w="17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8"/>
              </w:rPr>
              <w:t>first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Incentive Plan (3):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49,782,418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23,454,744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51,951,842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Nonemployee Director Incentive Plan (4):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7,336,388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564,816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2,322,610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2005 Incentive Plan (5):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7,525,689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Liberty Global 2005 Director Incentive Plan (5):</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43,442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VM Incentive Plan (5):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374,918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57,118,806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980" w:type="dxa"/>
            <w:vAlign w:val="bottom"/>
            <w:tcBorders>
              <w:bottom w:val="single" w:sz="8" w:color="CCEEFF"/>
            </w:tcBorders>
            <w:gridSpan w:val="2"/>
            <w:shd w:val="clear" w:color="auto" w:fill="CCEEFF"/>
          </w:tcPr>
          <w:p>
            <w:pPr>
              <w:ind w:left="120"/>
              <w:spacing w:after="0" w:line="191" w:lineRule="exact"/>
              <w:rPr>
                <w:sz w:val="20"/>
                <w:szCs w:val="20"/>
                <w:color w:val="auto"/>
              </w:rPr>
            </w:pPr>
            <w:r>
              <w:rPr>
                <w:rFonts w:ascii="Arial" w:cs="Arial" w:eastAsia="Arial" w:hAnsi="Arial"/>
                <w:sz w:val="18"/>
                <w:szCs w:val="18"/>
                <w:color w:val="auto"/>
              </w:rPr>
              <w:t>Liberty Global Class A ordinary shares</w:t>
            </w:r>
          </w:p>
        </w:tc>
        <w:tc>
          <w:tcPr>
            <w:tcW w:w="16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26,695,384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80" w:type="dxa"/>
            <w:vAlign w:val="bottom"/>
            <w:gridSpan w:val="2"/>
            <w:vMerge w:val="continue"/>
          </w:tcPr>
          <w:p>
            <w:pPr>
              <w:spacing w:after="0"/>
              <w:rPr>
                <w:sz w:val="17"/>
                <w:szCs w:val="17"/>
                <w:color w:val="auto"/>
              </w:rPr>
            </w:pPr>
          </w:p>
        </w:tc>
        <w:tc>
          <w:tcPr>
            <w:tcW w:w="16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62,311,843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65" w:lineRule="auto"/>
        <w:tabs>
          <w:tab w:leader="none" w:pos="47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This table includes (i) SARs and PSARs with respect to 22,684,953 and 3,396,219 Liberty Global Class A shares, respectively, and 53,065,355 and 6,645,848 Liberty Global Class C ordinary shares, respectively. Upon exercise, the appreciation of a SAR, which is the difference between the base price of the SAR and the then-market value of the respective underlying class of ordinary shares or in certain cases, if lower, a specified price, may be paid in shares of the applicable class of ordinary shares. Based upon the respective market prices of Liberty Global Class A and Class C ordinary shares at December 31, 2022 and excluding any related tax effects, 549,381 and 1,592,240 Liberty Global Class A and Liberty Global Class C ordinary shares, respectively, would have been issued if all outstanding and in-the-money SARs had been exercised on December 31, 2022. For further information,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68" w:name="page169"/>
    <w:bookmarkEnd w:id="168"/>
    <w:p>
      <w:pPr>
        <w:jc w:val="both"/>
        <w:ind w:left="480" w:hanging="474"/>
        <w:spacing w:after="0" w:line="254" w:lineRule="auto"/>
        <w:tabs>
          <w:tab w:leader="none" w:pos="47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addition to the option, SAR and PSAR information included in this table, there are outstanding RSU awards under the various incentive plans with respect to an aggregate of 2,017,244, 7,890 and 4,035,148, Liberty Global Class A, Liberty Global Class B and Liberty Global Class C ordinary shares, respectively.</w:t>
      </w:r>
    </w:p>
    <w:p>
      <w:pPr>
        <w:spacing w:after="0" w:line="216"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Liberty Global 2014 Incentive Plan permits grants of, or with respect to, Liberty Global Class A, Class B, or Class C ordinary shares subject to a single aggregate limit of 155 million shares (of which no more than 50.25 million shares may consist of Class B shares), subject to anti-dilution adjustments. As of December 31, 2022, an aggregate of 49,782,418 ordinary shares were available for issuance pursuant to the incentive plan. For further information, see note 15 to our consolidated financial statements.</w:t>
      </w:r>
    </w:p>
    <w:p>
      <w:pPr>
        <w:spacing w:after="0" w:line="219"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Liberty Global 2014 Nonemployee Director Incentive Plan permits grants of, or with respect to, Liberty Global Class A, Class B, or Class C ordinary shares subject to a single aggregate limit of 10.5 million shares, subject to anti-dilution adjustments. As of December 31, 2022, an aggregate of 7,336,388 ordinary shares were available for issuance pursuant to the Liberty Global 2014 Nonemployee Director Incentive Plan. For further information, see note 15 to our consolidated financial statements.</w:t>
      </w:r>
    </w:p>
    <w:p>
      <w:pPr>
        <w:spacing w:after="0" w:line="219" w:lineRule="exact"/>
        <w:rPr>
          <w:rFonts w:ascii="Arial" w:cs="Arial" w:eastAsia="Arial" w:hAnsi="Arial"/>
          <w:sz w:val="18"/>
          <w:szCs w:val="18"/>
          <w:color w:val="auto"/>
        </w:rPr>
      </w:pPr>
    </w:p>
    <w:p>
      <w:pPr>
        <w:ind w:left="480" w:right="20" w:hanging="474"/>
        <w:spacing w:after="0" w:line="264" w:lineRule="auto"/>
        <w:tabs>
          <w:tab w:leader="none" w:pos="47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January 30, 2014, our shareholders approved the 2014 Incentive Plans and, accordingly, no further awards will be granted under the Liberty Global 2005 Incentive Plan, the Liberty Global 2005 Director Incentive Plan or the VM Incentive Plan.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49"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7"/>
          <w:szCs w:val="17"/>
          <w:color w:val="auto"/>
        </w:rPr>
        <w:t>FINANCIAL STATEMENTS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statements required under this Item begin on page II-42 of this Annual Report on Form 10-K.</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40" w:type="dxa"/>
            <w:vAlign w:val="bottom"/>
          </w:tcPr>
          <w:p>
            <w:pPr>
              <w:ind w:left="300"/>
              <w:spacing w:after="0"/>
              <w:rPr>
                <w:sz w:val="20"/>
                <w:szCs w:val="20"/>
                <w:color w:val="auto"/>
              </w:rPr>
            </w:pPr>
            <w:r>
              <w:rPr>
                <w:rFonts w:ascii="Arial" w:cs="Arial" w:eastAsia="Arial" w:hAnsi="Arial"/>
                <w:sz w:val="18"/>
                <w:szCs w:val="18"/>
                <w:color w:val="auto"/>
              </w:rPr>
              <w:t>(a) (2)</w:t>
            </w:r>
          </w:p>
        </w:tc>
        <w:tc>
          <w:tcPr>
            <w:tcW w:w="9420" w:type="dxa"/>
            <w:vAlign w:val="bottom"/>
          </w:tcPr>
          <w:p>
            <w:pPr>
              <w:ind w:left="80"/>
              <w:spacing w:after="0"/>
              <w:rPr>
                <w:sz w:val="20"/>
                <w:szCs w:val="20"/>
                <w:color w:val="auto"/>
              </w:rPr>
            </w:pPr>
            <w:r>
              <w:rPr>
                <w:rFonts w:ascii="Arial" w:cs="Arial" w:eastAsia="Arial" w:hAnsi="Arial"/>
                <w:sz w:val="18"/>
                <w:szCs w:val="18"/>
                <w:color w:val="auto"/>
              </w:rPr>
              <w:t>FINANCIAL STATEMENT SCHEDULES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0"/>
        </w:trPr>
        <w:tc>
          <w:tcPr>
            <w:tcW w:w="10260" w:type="dxa"/>
            <w:vAlign w:val="bottom"/>
            <w:gridSpan w:val="2"/>
          </w:tcPr>
          <w:p>
            <w:pPr>
              <w:ind w:left="300"/>
              <w:spacing w:after="0"/>
              <w:rPr>
                <w:sz w:val="20"/>
                <w:szCs w:val="20"/>
                <w:color w:val="auto"/>
              </w:rPr>
            </w:pPr>
            <w:r>
              <w:rPr>
                <w:rFonts w:ascii="Arial" w:cs="Arial" w:eastAsia="Arial" w:hAnsi="Arial"/>
                <w:sz w:val="18"/>
                <w:szCs w:val="18"/>
                <w:color w:val="auto"/>
              </w:rPr>
              <w:t>The financial statement schedules required under this Item are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45"/>
        </w:trPr>
        <w:tc>
          <w:tcPr>
            <w:tcW w:w="10260" w:type="dxa"/>
            <w:vAlign w:val="bottom"/>
            <w:gridSpan w:val="2"/>
          </w:tcPr>
          <w:p>
            <w:pPr>
              <w:ind w:left="20"/>
              <w:spacing w:after="0"/>
              <w:rPr>
                <w:sz w:val="20"/>
                <w:szCs w:val="20"/>
                <w:color w:val="auto"/>
              </w:rPr>
            </w:pPr>
            <w:r>
              <w:rPr>
                <w:rFonts w:ascii="Arial" w:cs="Arial" w:eastAsia="Arial" w:hAnsi="Arial"/>
                <w:sz w:val="18"/>
                <w:szCs w:val="18"/>
                <w:color w:val="auto"/>
              </w:rPr>
              <w:t>Schedule I - Condensed Financial Information of Registrant (Parent Company Information):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6"/>
        </w:trPr>
        <w:tc>
          <w:tcPr>
            <w:tcW w:w="10260" w:type="dxa"/>
            <w:vAlign w:val="bottom"/>
            <w:gridSpan w:val="2"/>
            <w:shd w:val="clear" w:color="auto" w:fill="CCEEFF"/>
          </w:tcPr>
          <w:p>
            <w:pPr>
              <w:ind w:left="260"/>
              <w:spacing w:after="0" w:line="186" w:lineRule="exact"/>
              <w:rPr>
                <w:sz w:val="20"/>
                <w:szCs w:val="20"/>
                <w:color w:val="auto"/>
              </w:rPr>
            </w:pPr>
            <w:r>
              <w:rPr>
                <w:rFonts w:ascii="Arial" w:cs="Arial" w:eastAsia="Arial" w:hAnsi="Arial"/>
                <w:sz w:val="18"/>
                <w:szCs w:val="18"/>
                <w:color w:val="auto"/>
              </w:rPr>
              <w:t>Liberty Global plc Condensed Balance Sheets as of December 31, 2022 and 2021 (Parent Company Only)</w:t>
            </w:r>
          </w:p>
        </w:tc>
        <w:tc>
          <w:tcPr>
            <w:tcW w:w="3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center"/>
              <w:ind w:right="300"/>
              <w:spacing w:after="0" w:line="186" w:lineRule="exact"/>
              <w:rPr>
                <w:sz w:val="20"/>
                <w:szCs w:val="20"/>
                <w:color w:val="auto"/>
              </w:rPr>
            </w:pPr>
            <w:r>
              <w:rPr>
                <w:rFonts w:ascii="Arial" w:cs="Arial" w:eastAsia="Arial" w:hAnsi="Arial"/>
                <w:sz w:val="18"/>
                <w:szCs w:val="18"/>
                <w:color w:val="0000FF"/>
                <w:w w:val="96"/>
              </w:rPr>
              <w:t>IV-8</w:t>
            </w:r>
          </w:p>
        </w:tc>
      </w:tr>
      <w:tr>
        <w:trPr>
          <w:trHeight w:val="40"/>
        </w:trPr>
        <w:tc>
          <w:tcPr>
            <w:tcW w:w="840" w:type="dxa"/>
            <w:vAlign w:val="bottom"/>
            <w:shd w:val="clear" w:color="auto" w:fill="CCEEFF"/>
          </w:tcPr>
          <w:p>
            <w:pPr>
              <w:spacing w:after="0"/>
              <w:rPr>
                <w:sz w:val="3"/>
                <w:szCs w:val="3"/>
                <w:color w:val="auto"/>
              </w:rPr>
            </w:pPr>
          </w:p>
        </w:tc>
        <w:tc>
          <w:tcPr>
            <w:tcW w:w="942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260" w:type="dxa"/>
            <w:vAlign w:val="bottom"/>
            <w:gridSpan w:val="2"/>
          </w:tcPr>
          <w:p>
            <w:pPr>
              <w:ind w:left="260"/>
              <w:spacing w:after="0" w:line="185" w:lineRule="exact"/>
              <w:rPr>
                <w:sz w:val="20"/>
                <w:szCs w:val="20"/>
                <w:color w:val="auto"/>
              </w:rPr>
            </w:pPr>
            <w:r>
              <w:rPr>
                <w:rFonts w:ascii="Arial" w:cs="Arial" w:eastAsia="Arial" w:hAnsi="Arial"/>
                <w:sz w:val="18"/>
                <w:szCs w:val="18"/>
                <w:color w:val="auto"/>
                <w:w w:val="91"/>
              </w:rPr>
              <w:t>Liberty Global plc Condensed Statements of Operations for the years ended December 31, 2022, 2021 and 2020 (Parent Company Only)</w:t>
            </w:r>
          </w:p>
        </w:tc>
        <w:tc>
          <w:tcPr>
            <w:tcW w:w="320" w:type="dxa"/>
            <w:vAlign w:val="bottom"/>
          </w:tcPr>
          <w:p>
            <w:pPr>
              <w:spacing w:after="0"/>
              <w:rPr>
                <w:sz w:val="16"/>
                <w:szCs w:val="16"/>
                <w:color w:val="auto"/>
              </w:rPr>
            </w:pPr>
          </w:p>
        </w:tc>
        <w:tc>
          <w:tcPr>
            <w:tcW w:w="620" w:type="dxa"/>
            <w:vAlign w:val="bottom"/>
            <w:gridSpan w:val="2"/>
          </w:tcPr>
          <w:p>
            <w:pPr>
              <w:jc w:val="center"/>
              <w:ind w:right="300"/>
              <w:spacing w:after="0" w:line="185" w:lineRule="exact"/>
              <w:rPr>
                <w:sz w:val="20"/>
                <w:szCs w:val="20"/>
                <w:color w:val="auto"/>
              </w:rPr>
            </w:pPr>
            <w:r>
              <w:rPr>
                <w:rFonts w:ascii="Arial" w:cs="Arial" w:eastAsia="Arial" w:hAnsi="Arial"/>
                <w:sz w:val="18"/>
                <w:szCs w:val="18"/>
                <w:color w:val="0000FF"/>
                <w:w w:val="96"/>
              </w:rPr>
              <w:t>IV-9</w:t>
            </w:r>
          </w:p>
        </w:tc>
      </w:tr>
      <w:tr>
        <w:trPr>
          <w:trHeight w:val="30"/>
        </w:trPr>
        <w:tc>
          <w:tcPr>
            <w:tcW w:w="8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260" w:type="dxa"/>
            <w:vAlign w:val="bottom"/>
            <w:gridSpan w:val="2"/>
            <w:shd w:val="clear" w:color="auto" w:fill="CCEEFF"/>
          </w:tcPr>
          <w:p>
            <w:pPr>
              <w:ind w:left="260"/>
              <w:spacing w:after="0" w:line="195" w:lineRule="exact"/>
              <w:rPr>
                <w:sz w:val="20"/>
                <w:szCs w:val="20"/>
                <w:color w:val="auto"/>
              </w:rPr>
            </w:pPr>
            <w:r>
              <w:rPr>
                <w:rFonts w:ascii="Arial" w:cs="Arial" w:eastAsia="Arial" w:hAnsi="Arial"/>
                <w:sz w:val="18"/>
                <w:szCs w:val="18"/>
                <w:color w:val="auto"/>
                <w:w w:val="90"/>
              </w:rPr>
              <w:t>Liberty Global plc Condensed Statements of Cash Flows for the years ended December 31, 2022, 2021 and 2020 (Parent Company Only)</w:t>
            </w:r>
          </w:p>
        </w:tc>
        <w:tc>
          <w:tcPr>
            <w:tcW w:w="3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center"/>
              <w:ind w:right="260"/>
              <w:spacing w:after="0" w:line="195" w:lineRule="exact"/>
              <w:rPr>
                <w:sz w:val="20"/>
                <w:szCs w:val="20"/>
                <w:color w:val="auto"/>
              </w:rPr>
            </w:pPr>
            <w:r>
              <w:rPr>
                <w:rFonts w:ascii="Arial" w:cs="Arial" w:eastAsia="Arial" w:hAnsi="Arial"/>
                <w:sz w:val="18"/>
                <w:szCs w:val="18"/>
                <w:color w:val="0000FF"/>
                <w:w w:val="83"/>
              </w:rPr>
              <w:t>IV-10</w:t>
            </w:r>
          </w:p>
        </w:tc>
      </w:tr>
      <w:tr>
        <w:trPr>
          <w:trHeight w:val="40"/>
        </w:trPr>
        <w:tc>
          <w:tcPr>
            <w:tcW w:w="840" w:type="dxa"/>
            <w:vAlign w:val="bottom"/>
            <w:shd w:val="clear" w:color="auto" w:fill="CCEEFF"/>
          </w:tcPr>
          <w:p>
            <w:pPr>
              <w:spacing w:after="0"/>
              <w:rPr>
                <w:sz w:val="3"/>
                <w:szCs w:val="3"/>
                <w:color w:val="auto"/>
              </w:rPr>
            </w:pPr>
          </w:p>
        </w:tc>
        <w:tc>
          <w:tcPr>
            <w:tcW w:w="942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00" w:type="dxa"/>
            <w:vAlign w:val="bottom"/>
            <w:tcBorders>
              <w:left w:val="single" w:sz="8" w:color="0000FF"/>
            </w:tcBorders>
            <w:shd w:val="clear" w:color="auto" w:fill="CCEEFF"/>
          </w:tcPr>
          <w:p>
            <w:pPr>
              <w:spacing w:after="0"/>
              <w:rPr>
                <w:sz w:val="3"/>
                <w:szCs w:val="3"/>
                <w:color w:val="auto"/>
              </w:rPr>
            </w:pPr>
          </w:p>
        </w:tc>
      </w:tr>
      <w:tr>
        <w:trPr>
          <w:trHeight w:val="185"/>
        </w:trPr>
        <w:tc>
          <w:tcPr>
            <w:tcW w:w="1026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Schedule II - Valuation and Qualifying Accounts</w:t>
            </w:r>
          </w:p>
        </w:tc>
        <w:tc>
          <w:tcPr>
            <w:tcW w:w="320" w:type="dxa"/>
            <w:vAlign w:val="bottom"/>
          </w:tcPr>
          <w:p>
            <w:pPr>
              <w:spacing w:after="0"/>
              <w:rPr>
                <w:sz w:val="16"/>
                <w:szCs w:val="16"/>
                <w:color w:val="auto"/>
              </w:rPr>
            </w:pPr>
          </w:p>
        </w:tc>
        <w:tc>
          <w:tcPr>
            <w:tcW w:w="620" w:type="dxa"/>
            <w:vAlign w:val="bottom"/>
            <w:gridSpan w:val="2"/>
          </w:tcPr>
          <w:p>
            <w:pPr>
              <w:jc w:val="center"/>
              <w:ind w:right="260"/>
              <w:spacing w:after="0" w:line="185" w:lineRule="exact"/>
              <w:rPr>
                <w:sz w:val="20"/>
                <w:szCs w:val="20"/>
                <w:color w:val="auto"/>
              </w:rPr>
            </w:pPr>
            <w:r>
              <w:rPr>
                <w:rFonts w:ascii="Arial" w:cs="Arial" w:eastAsia="Arial" w:hAnsi="Arial"/>
                <w:sz w:val="18"/>
                <w:szCs w:val="18"/>
                <w:color w:val="0000FF"/>
                <w:w w:val="83"/>
              </w:rPr>
              <w:t>IV-11</w:t>
            </w:r>
          </w:p>
        </w:tc>
      </w:tr>
      <w:tr>
        <w:trPr>
          <w:trHeight w:val="548"/>
        </w:trPr>
        <w:tc>
          <w:tcPr>
            <w:tcW w:w="840" w:type="dxa"/>
            <w:vAlign w:val="bottom"/>
          </w:tcPr>
          <w:p>
            <w:pPr>
              <w:ind w:left="300"/>
              <w:spacing w:after="0"/>
              <w:rPr>
                <w:sz w:val="20"/>
                <w:szCs w:val="20"/>
                <w:color w:val="auto"/>
              </w:rPr>
            </w:pPr>
            <w:r>
              <w:rPr>
                <w:rFonts w:ascii="Arial" w:cs="Arial" w:eastAsia="Arial" w:hAnsi="Arial"/>
                <w:sz w:val="18"/>
                <w:szCs w:val="18"/>
                <w:color w:val="auto"/>
              </w:rPr>
              <w:t>(a) (3)</w:t>
            </w:r>
          </w:p>
        </w:tc>
        <w:tc>
          <w:tcPr>
            <w:tcW w:w="9420" w:type="dxa"/>
            <w:vAlign w:val="bottom"/>
          </w:tcPr>
          <w:p>
            <w:pPr>
              <w:ind w:left="80"/>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2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Listed below are the exhibits filed as part of this Annual Report on Form 10-K (according to the number assigned to them in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18350" cy="142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18" w:lineRule="exact"/>
        <w:rPr>
          <w:sz w:val="20"/>
          <w:szCs w:val="20"/>
          <w:color w:val="auto"/>
        </w:rPr>
      </w:pPr>
    </w:p>
    <w:p>
      <w:pPr>
        <w:jc w:val="right"/>
        <w:ind w:left="700" w:right="20"/>
        <w:spacing w:after="0" w:line="258"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2.1 </w:t>
      </w:r>
      <w:hyperlink r:id="rId191">
        <w:r>
          <w:rPr>
            <w:rFonts w:ascii="Arial" w:cs="Arial" w:eastAsia="Arial" w:hAnsi="Arial"/>
            <w:sz w:val="15"/>
            <w:szCs w:val="15"/>
            <w:u w:val="single" w:color="auto"/>
            <w:color w:val="0000FF"/>
          </w:rPr>
          <w:t>Amended Sale and Purchase Agreement, dated as of May 9, 2018, as amended, by and among Liberty Global plc and Vodafone Group plc and</w:t>
        </w:r>
      </w:hyperlink>
      <w:r>
        <w:rPr>
          <w:rFonts w:ascii="Arial" w:cs="Arial" w:eastAsia="Arial" w:hAnsi="Arial"/>
          <w:sz w:val="15"/>
          <w:szCs w:val="15"/>
          <w:color w:val="auto"/>
        </w:rPr>
        <w:t xml:space="preserve"> </w:t>
      </w:r>
      <w:hyperlink r:id="rId191">
        <w:r>
          <w:rPr>
            <w:rFonts w:ascii="Arial" w:cs="Arial" w:eastAsia="Arial" w:hAnsi="Arial"/>
            <w:sz w:val="15"/>
            <w:szCs w:val="15"/>
            <w:u w:val="single" w:color="auto"/>
            <w:color w:val="0000FF"/>
          </w:rPr>
          <w:t>certain of their respective subsidiaries (incorporated by reference to Exhibit 2.1 to the Registrant’s Current Report on Form 8-K filed August 5,</w:t>
        </w:r>
      </w:hyperlink>
    </w:p>
    <w:p>
      <w:pPr>
        <w:ind w:left="100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2019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7118350" cy="3695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right"/>
        <w:ind w:left="700" w:right="20"/>
        <w:spacing w:after="0" w:line="258"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2.2 </w:t>
      </w:r>
      <w:hyperlink r:id="rId193">
        <w:r>
          <w:rPr>
            <w:rFonts w:ascii="Arial" w:cs="Arial" w:eastAsia="Arial" w:hAnsi="Arial"/>
            <w:sz w:val="15"/>
            <w:szCs w:val="15"/>
            <w:u w:val="single" w:color="auto"/>
            <w:color w:val="0000FF"/>
          </w:rPr>
          <w:t>Contribution Agreement, dated May 7, 2020, by and among Liberty Global plc, Liberty Global Europe 2 Limited, Liberty Global Holdco</w:t>
        </w:r>
      </w:hyperlink>
      <w:r>
        <w:rPr>
          <w:rFonts w:ascii="Arial" w:cs="Arial" w:eastAsia="Arial" w:hAnsi="Arial"/>
          <w:sz w:val="15"/>
          <w:szCs w:val="15"/>
          <w:color w:val="auto"/>
        </w:rPr>
        <w:t xml:space="preserve"> </w:t>
      </w:r>
      <w:hyperlink r:id="rId193">
        <w:r>
          <w:rPr>
            <w:rFonts w:ascii="Arial" w:cs="Arial" w:eastAsia="Arial" w:hAnsi="Arial"/>
            <w:sz w:val="15"/>
            <w:szCs w:val="15"/>
            <w:u w:val="single" w:color="auto"/>
            <w:color w:val="0000FF"/>
          </w:rPr>
          <w:t>Limited, Telefónica, S.A., and Telefonica O2 Holdings Limited (incorporated by reference to Exhibit 2.1 to the Registrant’s Current Report on</w:t>
        </w:r>
      </w:hyperlink>
    </w:p>
    <w:p>
      <w:pPr>
        <w:ind w:left="1000"/>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Form 8-K filed May 13, 2020 (File No. 001-35961)).***</w:t>
        </w:r>
      </w:hyperlink>
    </w:p>
    <w:p>
      <w:pPr>
        <w:spacing w:after="0" w:line="4" w:lineRule="exact"/>
        <w:rPr>
          <w:sz w:val="20"/>
          <w:szCs w:val="20"/>
          <w:color w:val="auto"/>
        </w:rPr>
      </w:pPr>
    </w:p>
    <w:p>
      <w:pPr>
        <w:ind w:left="1000" w:right="20" w:hanging="308"/>
        <w:spacing w:after="0" w:line="24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2.3 </w:t>
      </w:r>
      <w:hyperlink r:id="rId194">
        <w:r>
          <w:rPr>
            <w:rFonts w:ascii="Arial" w:cs="Arial" w:eastAsia="Arial" w:hAnsi="Arial"/>
            <w:sz w:val="17"/>
            <w:szCs w:val="17"/>
            <w:u w:val="single" w:color="auto"/>
            <w:color w:val="0000FF"/>
          </w:rPr>
          <w:t>Transaction Agreement, dated as of August 12, 2020 between Liberty Global plc and Sunrise Communications Group AG (incorporated by</w:t>
        </w:r>
      </w:hyperlink>
      <w:r>
        <w:rPr>
          <w:rFonts w:ascii="Arial" w:cs="Arial" w:eastAsia="Arial" w:hAnsi="Arial"/>
          <w:sz w:val="17"/>
          <w:szCs w:val="17"/>
          <w:color w:val="auto"/>
        </w:rPr>
        <w:t xml:space="preserve"> </w:t>
      </w:r>
      <w:hyperlink r:id="rId194">
        <w:r>
          <w:rPr>
            <w:rFonts w:ascii="Arial" w:cs="Arial" w:eastAsia="Arial" w:hAnsi="Arial"/>
            <w:sz w:val="17"/>
            <w:szCs w:val="17"/>
            <w:u w:val="single" w:color="auto"/>
            <w:color w:val="0000FF"/>
          </w:rPr>
          <w:t>reference to Exhibit 2.1 to the Registrant’s Quarterly Report on Form 10-Q filed November 4, 2020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7118350" cy="3695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right"/>
        <w:ind w:left="700"/>
        <w:spacing w:after="0" w:line="258"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2.4 </w:t>
      </w:r>
      <w:hyperlink r:id="rId196">
        <w:r>
          <w:rPr>
            <w:rFonts w:ascii="Arial" w:cs="Arial" w:eastAsia="Arial" w:hAnsi="Arial"/>
            <w:sz w:val="15"/>
            <w:szCs w:val="15"/>
            <w:u w:val="single" w:color="auto"/>
            <w:color w:val="0000FF"/>
          </w:rPr>
          <w:t>Sale and Purchase Agreement, dated as of September 22, 2021, by and among Liberty Global plc , UPC Poland Holding B.V., P4 sp.z o.o. and</w:t>
        </w:r>
      </w:hyperlink>
      <w:r>
        <w:rPr>
          <w:rFonts w:ascii="Arial" w:cs="Arial" w:eastAsia="Arial" w:hAnsi="Arial"/>
          <w:sz w:val="15"/>
          <w:szCs w:val="15"/>
          <w:color w:val="auto"/>
        </w:rPr>
        <w:t xml:space="preserve"> </w:t>
      </w:r>
      <w:hyperlink r:id="rId196">
        <w:r>
          <w:rPr>
            <w:rFonts w:ascii="Arial" w:cs="Arial" w:eastAsia="Arial" w:hAnsi="Arial"/>
            <w:sz w:val="15"/>
            <w:szCs w:val="15"/>
            <w:u w:val="single" w:color="auto"/>
            <w:color w:val="0000FF"/>
          </w:rPr>
          <w:t>Iliad S.A. (incorporated by reference to Exhibit 2.1 to the Registrant’s Current Report on Form 8-K filed September 23, 2021 (File No. 001-</w:t>
        </w:r>
      </w:hyperlink>
    </w:p>
    <w:p>
      <w:pPr>
        <w:ind w:left="100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35961)).***</w:t>
        </w:r>
      </w:hyperlink>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3 -- Articles of Incorporation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260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1000" w:right="20" w:hanging="308"/>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198">
        <w:r>
          <w:rPr>
            <w:rFonts w:ascii="Arial" w:cs="Arial" w:eastAsia="Arial" w:hAnsi="Arial"/>
            <w:sz w:val="18"/>
            <w:szCs w:val="18"/>
            <w:u w:val="single" w:color="auto"/>
            <w:color w:val="0000FF"/>
          </w:rPr>
          <w:t>Articles of Association of Liberty Global plc, effective as of July 1, 2015 (incorporated by reference to Exhibit 3.1 to the Registrant’s</w:t>
        </w:r>
      </w:hyperlink>
      <w:r>
        <w:rPr>
          <w:rFonts w:ascii="Arial" w:cs="Arial" w:eastAsia="Arial" w:hAnsi="Arial"/>
          <w:sz w:val="18"/>
          <w:szCs w:val="18"/>
          <w:color w:val="auto"/>
        </w:rPr>
        <w:t xml:space="preserve"> </w:t>
      </w:r>
      <w:hyperlink r:id="rId198">
        <w:r>
          <w:rPr>
            <w:rFonts w:ascii="Arial" w:cs="Arial" w:eastAsia="Arial" w:hAnsi="Arial"/>
            <w:sz w:val="18"/>
            <w:szCs w:val="18"/>
            <w:u w:val="single" w:color="auto"/>
            <w:color w:val="0000FF"/>
          </w:rPr>
          <w:t>Registration Statement on Form 8-A filed June 19, 2015 (File No. 001-35961)).</w:t>
        </w:r>
      </w:hyperlink>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260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1000" w:right="20" w:hanging="308"/>
        <w:spacing w:after="0" w:line="24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200">
        <w:r>
          <w:rPr>
            <w:rFonts w:ascii="Arial" w:cs="Arial" w:eastAsia="Arial" w:hAnsi="Arial"/>
            <w:sz w:val="17"/>
            <w:szCs w:val="17"/>
            <w:u w:val="single" w:color="auto"/>
            <w:color w:val="0000FF"/>
          </w:rPr>
          <w:t>Description of the Registrant’s Securities Registered Pursuant to Section 12 of the Securities Exchange Act of 1934 (incorporated by reference</w:t>
        </w:r>
      </w:hyperlink>
      <w:r>
        <w:rPr>
          <w:rFonts w:ascii="Arial" w:cs="Arial" w:eastAsia="Arial" w:hAnsi="Arial"/>
          <w:sz w:val="17"/>
          <w:szCs w:val="17"/>
          <w:color w:val="auto"/>
        </w:rPr>
        <w:t xml:space="preserve"> </w:t>
      </w:r>
      <w:hyperlink r:id="rId200">
        <w:r>
          <w:rPr>
            <w:rFonts w:ascii="Arial" w:cs="Arial" w:eastAsia="Arial" w:hAnsi="Arial"/>
            <w:sz w:val="17"/>
            <w:szCs w:val="17"/>
            <w:u w:val="single" w:color="auto"/>
            <w:color w:val="0000FF"/>
          </w:rPr>
          <w:t>to Exhibit 4.1 to the Registrant’s Annual Report on Form 10-K filed February 13, 2020 (File No. 001-35961)).</w:t>
        </w:r>
      </w:hyperlink>
    </w:p>
    <w:p>
      <w:pPr>
        <w:spacing w:after="0" w:line="11" w:lineRule="exact"/>
        <w:rPr>
          <w:sz w:val="20"/>
          <w:szCs w:val="20"/>
          <w:color w:val="auto"/>
        </w:rPr>
      </w:pPr>
    </w:p>
    <w:p>
      <w:pPr>
        <w:jc w:val="right"/>
        <w:ind w:left="700" w:right="20"/>
        <w:spacing w:after="0" w:line="258"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 </w:t>
      </w:r>
      <w:hyperlink r:id="rId201">
        <w:r>
          <w:rPr>
            <w:rFonts w:ascii="Arial" w:cs="Arial" w:eastAsia="Arial" w:hAnsi="Arial"/>
            <w:sz w:val="15"/>
            <w:szCs w:val="15"/>
            <w:u w:val="single" w:color="auto"/>
            <w:color w:val="0000FF"/>
          </w:rPr>
          <w:t>Amended Credit Agreement to Senior Secured Credit Facility Agreement originally dated January 16, 2004, dated November 29, 2017, among</w:t>
        </w:r>
      </w:hyperlink>
      <w:r>
        <w:rPr>
          <w:rFonts w:ascii="Arial" w:cs="Arial" w:eastAsia="Arial" w:hAnsi="Arial"/>
          <w:sz w:val="15"/>
          <w:szCs w:val="15"/>
          <w:color w:val="auto"/>
        </w:rPr>
        <w:t xml:space="preserve"> </w:t>
      </w:r>
      <w:hyperlink r:id="rId201">
        <w:r>
          <w:rPr>
            <w:rFonts w:ascii="Arial" w:cs="Arial" w:eastAsia="Arial" w:hAnsi="Arial"/>
            <w:sz w:val="15"/>
            <w:szCs w:val="15"/>
            <w:u w:val="single" w:color="auto"/>
            <w:color w:val="0000FF"/>
          </w:rPr>
          <w:t>UPC Broadband Holding B.V. (UPC Broadband Holding) as Borrower, The Bank of Nova Scotia, as Facility Agent, the Guarantors listed</w:t>
        </w:r>
      </w:hyperlink>
    </w:p>
    <w:p>
      <w:pPr>
        <w:jc w:val="both"/>
        <w:ind w:left="1000"/>
        <w:spacing w:after="0" w:line="213" w:lineRule="auto"/>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therein, the Security Agent and the bank and financial institutions acceding thereto from time to time (the UPC Broadband Holding Bank</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Facility) (incorporated by reference to Schedule 2 of Exhibit 4.1 to the Registrant’s Current Report on Form 8-K filed December 5, 2017 (File</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No. 001-35961)(the December 2017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118350" cy="3695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1000" w:right="20" w:hanging="308"/>
        <w:spacing w:after="0" w:line="258"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 </w:t>
      </w:r>
      <w:hyperlink r:id="rId201">
        <w:r>
          <w:rPr>
            <w:rFonts w:ascii="Arial" w:cs="Arial" w:eastAsia="Arial" w:hAnsi="Arial"/>
            <w:sz w:val="15"/>
            <w:szCs w:val="15"/>
            <w:u w:val="single" w:color="auto"/>
            <w:color w:val="0000FF"/>
          </w:rPr>
          <w:t>Supplemental Deed dated November 29, 2017, between UPC Broadband Holding, as Obligor, and the Bank of Nova Scotia, as Facility Agent</w:t>
        </w:r>
      </w:hyperlink>
      <w:r>
        <w:rPr>
          <w:rFonts w:ascii="Arial" w:cs="Arial" w:eastAsia="Arial" w:hAnsi="Arial"/>
          <w:sz w:val="15"/>
          <w:szCs w:val="15"/>
          <w:color w:val="auto"/>
        </w:rPr>
        <w:t xml:space="preserve"> </w:t>
      </w:r>
      <w:hyperlink r:id="rId201">
        <w:r>
          <w:rPr>
            <w:rFonts w:ascii="Arial" w:cs="Arial" w:eastAsia="Arial" w:hAnsi="Arial"/>
            <w:sz w:val="15"/>
            <w:szCs w:val="15"/>
            <w:u w:val="single" w:color="auto"/>
            <w:color w:val="0000FF"/>
          </w:rPr>
          <w:t>and Security Agent, which is supplemental to and amends the UPC Broadband Holding Bank Facility (incorporated by reference to Exhibit 4.1</w:t>
        </w:r>
      </w:hyperlink>
    </w:p>
    <w:p>
      <w:pPr>
        <w:ind w:left="1000"/>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to the December 2017 8-K).</w:t>
        </w:r>
      </w:hyperlink>
    </w:p>
    <w:p>
      <w:pPr>
        <w:spacing w:after="0" w:line="4" w:lineRule="exact"/>
        <w:rPr>
          <w:sz w:val="20"/>
          <w:szCs w:val="20"/>
          <w:color w:val="auto"/>
        </w:rPr>
      </w:pPr>
    </w:p>
    <w:p>
      <w:pPr>
        <w:jc w:val="both"/>
        <w:ind w:left="1000" w:right="20" w:hanging="308"/>
        <w:spacing w:after="0" w:line="210" w:lineRule="auto"/>
        <w:rPr>
          <w:rFonts w:ascii="Arial" w:cs="Arial" w:eastAsia="Arial" w:hAnsi="Arial"/>
          <w:sz w:val="16"/>
          <w:szCs w:val="16"/>
          <w:u w:val="single" w:color="auto"/>
          <w:color w:val="0000FF"/>
        </w:rPr>
      </w:pPr>
      <w:hyperlink r:id="rId203"/>
      <w:r>
        <w:rPr>
          <w:rFonts w:ascii="Arial" w:cs="Arial" w:eastAsia="Arial" w:hAnsi="Arial"/>
          <w:sz w:val="31"/>
          <w:szCs w:val="31"/>
          <w:color w:val="000000"/>
          <w:vertAlign w:val="superscript"/>
        </w:rPr>
        <w:t>4.4</w:t>
      </w:r>
      <w:r>
        <w:rPr>
          <w:rFonts w:ascii="Arial" w:cs="Arial" w:eastAsia="Arial" w:hAnsi="Arial"/>
          <w:sz w:val="16"/>
          <w:szCs w:val="16"/>
          <w:color w:val="0000FF"/>
        </w:rPr>
        <w:t xml:space="preserve"> </w:t>
      </w:r>
      <w:hyperlink r:id="rId203">
        <w:r>
          <w:rPr>
            <w:rFonts w:ascii="Arial" w:cs="Arial" w:eastAsia="Arial" w:hAnsi="Arial"/>
            <w:sz w:val="16"/>
            <w:szCs w:val="16"/>
            <w:u w:val="single" w:color="auto"/>
            <w:color w:val="0000FF"/>
          </w:rPr>
          <w:t>Indenture dated April 15, 2015, among UPCB Finance IV Limited, The Bank of New York Mellon, London Branch as Trustee, Principal Paying</w:t>
        </w:r>
      </w:hyperlink>
      <w:r>
        <w:rPr>
          <w:rFonts w:ascii="Arial" w:cs="Arial" w:eastAsia="Arial" w:hAnsi="Arial"/>
          <w:sz w:val="16"/>
          <w:szCs w:val="16"/>
          <w:color w:val="0000FF"/>
        </w:rPr>
        <w:t xml:space="preserve"> </w:t>
      </w:r>
      <w:hyperlink r:id="rId203">
        <w:r>
          <w:rPr>
            <w:rFonts w:ascii="Arial" w:cs="Arial" w:eastAsia="Arial" w:hAnsi="Arial"/>
            <w:sz w:val="16"/>
            <w:szCs w:val="16"/>
            <w:u w:val="single" w:color="auto"/>
            <w:color w:val="0000FF"/>
          </w:rPr>
          <w:t>Agent, Transfer Agent and Security Agent, The Bank of New York Mellon as New York Paying Agent, New York Transfer Agent and Dollar</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Notes Registrar and The Bank of New York Mellon (Luxembourg) S.A. as Euro Notes Registrar and Transfer Agent (incorporated by reference</w:t>
        </w:r>
      </w:hyperlink>
    </w:p>
    <w:p>
      <w:pPr>
        <w:spacing w:after="0" w:line="2" w:lineRule="exact"/>
        <w:rPr>
          <w:rFonts w:ascii="Arial" w:cs="Arial" w:eastAsia="Arial" w:hAnsi="Arial"/>
          <w:sz w:val="16"/>
          <w:szCs w:val="16"/>
          <w:color w:val="0000FF"/>
        </w:rPr>
      </w:pPr>
    </w:p>
    <w:p>
      <w:pPr>
        <w:jc w:val="center"/>
        <w:ind w:right="-99"/>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to Exhibit 4.1 to the Registrant’s Current Report on Form 8-K/A filed April 21, 2015 (File No. 001-35961) (the April 2015 8-K/A)).</w:t>
        </w:r>
      </w:hyperlink>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58" w:lineRule="exact"/>
        <w:rPr>
          <w:rFonts w:ascii="Arial" w:cs="Arial" w:eastAsia="Arial" w:hAnsi="Arial"/>
          <w:sz w:val="16"/>
          <w:szCs w:val="16"/>
          <w:color w:val="0000FF"/>
        </w:rPr>
      </w:pPr>
    </w:p>
    <w:p>
      <w:pPr>
        <w:jc w:val="center"/>
        <w:ind w:right="-19"/>
        <w:spacing w:after="0"/>
        <w:rPr>
          <w:sz w:val="20"/>
          <w:szCs w:val="20"/>
          <w:color w:val="auto"/>
        </w:rPr>
      </w:pPr>
      <w:r>
        <w:rPr>
          <w:rFonts w:ascii="Arial" w:cs="Arial" w:eastAsia="Arial" w:hAnsi="Arial"/>
          <w:sz w:val="18"/>
          <w:szCs w:val="18"/>
          <w:color w:val="auto"/>
        </w:rPr>
        <w:t>IV-1</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70" w:name="page171"/>
    <w:bookmarkEnd w:id="170"/>
    <w:p>
      <w:pPr>
        <w:spacing w:after="0"/>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4787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18350" cy="478790"/>
                    </a:xfrm>
                    <a:prstGeom prst="rect">
                      <a:avLst/>
                    </a:prstGeom>
                    <a:noFill/>
                  </pic:spPr>
                </pic:pic>
              </a:graphicData>
            </a:graphic>
          </wp:anchor>
        </w:drawing>
      </w:r>
      <w:hyperlink r:id="rId206"/>
      <w:r>
        <w:rPr>
          <w:rFonts w:ascii="Arial" w:cs="Arial" w:eastAsia="Arial" w:hAnsi="Arial"/>
          <w:sz w:val="31"/>
          <w:szCs w:val="31"/>
          <w:color w:val="000000"/>
          <w:vertAlign w:val="superscript"/>
        </w:rPr>
        <w:t>4.5</w:t>
      </w:r>
      <w:r>
        <w:rPr>
          <w:rFonts w:ascii="Arial" w:cs="Arial" w:eastAsia="Arial" w:hAnsi="Arial"/>
          <w:sz w:val="16"/>
          <w:szCs w:val="16"/>
          <w:color w:val="0000FF"/>
        </w:rPr>
        <w:t xml:space="preserve"> </w:t>
      </w:r>
      <w:hyperlink r:id="rId206">
        <w:r>
          <w:rPr>
            <w:rFonts w:ascii="Arial" w:cs="Arial" w:eastAsia="Arial" w:hAnsi="Arial"/>
            <w:sz w:val="16"/>
            <w:szCs w:val="16"/>
            <w:u w:val="single" w:color="auto"/>
            <w:color w:val="0000FF"/>
          </w:rPr>
          <w:t>Additional Facility AK Accession Agreement, dated April 15, 2015, among UPC Financing Partnership (UPC Financing) as Borrower, The</w:t>
        </w:r>
      </w:hyperlink>
    </w:p>
    <w:p>
      <w:pPr>
        <w:jc w:val="both"/>
        <w:ind w:left="300" w:right="20"/>
        <w:spacing w:after="0" w:line="234" w:lineRule="auto"/>
        <w:rPr>
          <w:rFonts w:ascii="Arial" w:cs="Arial" w:eastAsia="Arial" w:hAnsi="Arial"/>
          <w:sz w:val="17"/>
          <w:szCs w:val="17"/>
          <w:u w:val="single" w:color="auto"/>
          <w:color w:val="0000FF"/>
        </w:rPr>
      </w:pPr>
      <w:hyperlink r:id="rId206">
        <w:r>
          <w:rPr>
            <w:rFonts w:ascii="Arial" w:cs="Arial" w:eastAsia="Arial" w:hAnsi="Arial"/>
            <w:sz w:val="17"/>
            <w:szCs w:val="17"/>
            <w:u w:val="single" w:color="auto"/>
            <w:color w:val="0000FF"/>
          </w:rPr>
          <w:t>Bank of Nova Scotia as Facility Agent and Security Agent, UPC Broadband Holding and UPCB Finance IV Limited as Additional Facility AK</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Lender, under the UPC Broadband Holding Bank Facility (incorporated by reference to Exhibit 4.2 to the April 2015 8-K/A).</w:t>
        </w:r>
      </w:hyperlink>
    </w:p>
    <w:p>
      <w:pPr>
        <w:spacing w:after="0" w:line="17" w:lineRule="exact"/>
        <w:rPr>
          <w:sz w:val="20"/>
          <w:szCs w:val="20"/>
          <w:color w:val="auto"/>
        </w:rPr>
      </w:pPr>
    </w:p>
    <w:p>
      <w:pPr>
        <w:ind w:left="40"/>
        <w:spacing w:after="0"/>
        <w:rPr>
          <w:rFonts w:ascii="Arial" w:cs="Arial" w:eastAsia="Arial" w:hAnsi="Arial"/>
          <w:sz w:val="16"/>
          <w:szCs w:val="16"/>
          <w:color w:val="0000FF"/>
        </w:rPr>
      </w:pPr>
      <w:hyperlink r:id="rId207"/>
      <w:r>
        <w:rPr>
          <w:rFonts w:ascii="Arial" w:cs="Arial" w:eastAsia="Arial" w:hAnsi="Arial"/>
          <w:sz w:val="31"/>
          <w:szCs w:val="31"/>
          <w:color w:val="000000"/>
          <w:vertAlign w:val="superscript"/>
        </w:rPr>
        <w:t>4.6</w:t>
      </w:r>
      <w:r>
        <w:rPr>
          <w:rFonts w:ascii="Arial" w:cs="Arial" w:eastAsia="Arial" w:hAnsi="Arial"/>
          <w:sz w:val="16"/>
          <w:szCs w:val="16"/>
          <w:color w:val="0000FF"/>
        </w:rPr>
        <w:t xml:space="preserve"> </w:t>
      </w:r>
      <w:hyperlink r:id="rId207">
        <w:r>
          <w:rPr>
            <w:rFonts w:ascii="Arial" w:cs="Arial" w:eastAsia="Arial" w:hAnsi="Arial"/>
            <w:sz w:val="16"/>
            <w:szCs w:val="16"/>
            <w:u w:val="single" w:color="auto"/>
            <w:color w:val="0000FF"/>
          </w:rPr>
          <w:t>Additional Facility AL Accession Agreement, dated April 15, 2015, among UPC Financing as Borrower, The Bank of Nova Scotia as Facility</w:t>
        </w:r>
      </w:hyperlink>
    </w:p>
    <w:p>
      <w:pPr>
        <w:jc w:val="both"/>
        <w:ind w:left="300" w:right="20"/>
        <w:spacing w:after="0" w:line="221"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Agent and Security Agent, UPC Broadband Holding and UPCB Finance IV Limited as Additional Facility AL Lender, under the UPC</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Broadband Holding Bank Facility (incorporated by reference to Exhibit 4.3 to the April 2015 8-K/A).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59690</wp:posOffset>
            </wp:positionV>
            <wp:extent cx="7118350" cy="596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18350" cy="596900"/>
                    </a:xfrm>
                    <a:prstGeom prst="rect">
                      <a:avLst/>
                    </a:prstGeom>
                    <a:noFill/>
                  </pic:spPr>
                </pic:pic>
              </a:graphicData>
            </a:graphic>
          </wp:anchor>
        </w:drawing>
      </w:r>
    </w:p>
    <w:p>
      <w:pPr>
        <w:ind w:left="40"/>
        <w:spacing w:after="0"/>
        <w:rPr>
          <w:rFonts w:ascii="Arial" w:cs="Arial" w:eastAsia="Arial" w:hAnsi="Arial"/>
          <w:sz w:val="16"/>
          <w:szCs w:val="16"/>
          <w:color w:val="0000FF"/>
        </w:rPr>
      </w:pPr>
      <w:hyperlink r:id="rId209"/>
      <w:r>
        <w:rPr>
          <w:rFonts w:ascii="Arial" w:cs="Arial" w:eastAsia="Arial" w:hAnsi="Arial"/>
          <w:sz w:val="31"/>
          <w:szCs w:val="31"/>
          <w:color w:val="000000"/>
          <w:vertAlign w:val="superscript"/>
        </w:rPr>
        <w:t>4.7</w:t>
      </w:r>
      <w:r>
        <w:rPr>
          <w:rFonts w:ascii="Arial" w:cs="Arial" w:eastAsia="Arial" w:hAnsi="Arial"/>
          <w:sz w:val="16"/>
          <w:szCs w:val="16"/>
          <w:color w:val="0000FF"/>
        </w:rPr>
        <w:t xml:space="preserve"> </w:t>
      </w:r>
      <w:hyperlink r:id="rId209">
        <w:r>
          <w:rPr>
            <w:rFonts w:ascii="Arial" w:cs="Arial" w:eastAsia="Arial" w:hAnsi="Arial"/>
            <w:sz w:val="16"/>
            <w:szCs w:val="16"/>
            <w:u w:val="single" w:color="auto"/>
            <w:color w:val="0000FF"/>
          </w:rPr>
          <w:t>Additional Facility AL2 Accession Agreement, dated May 20, 2015, among UPC Financing as Borrower, The Bank of New York Nova Scotia</w:t>
        </w:r>
      </w:hyperlink>
    </w:p>
    <w:p>
      <w:pPr>
        <w:jc w:val="both"/>
        <w:ind w:left="300" w:right="20"/>
        <w:spacing w:after="0" w:line="213"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as Facility Agent and Security Agent, UPC Broadband Holding and UPCB Finance IV Limited as Additional Facility AL2 Lender, under the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UPC Broadband Holding Bank Facility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21, 2015 (File No. 001-35961)).</w:t>
        </w:r>
      </w:hyperlink>
    </w:p>
    <w:p>
      <w:pPr>
        <w:spacing w:after="0" w:line="110" w:lineRule="exact"/>
        <w:rPr>
          <w:rFonts w:ascii="Arial" w:cs="Arial" w:eastAsia="Arial" w:hAnsi="Arial"/>
          <w:sz w:val="18"/>
          <w:szCs w:val="18"/>
          <w:u w:val="single" w:color="auto"/>
          <w:color w:val="0000FF"/>
        </w:rPr>
      </w:pPr>
    </w:p>
    <w:p>
      <w:pPr>
        <w:jc w:val="both"/>
        <w:ind w:left="300" w:right="20" w:hanging="255"/>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4.8 </w:t>
      </w:r>
      <w:hyperlink r:id="rId210">
        <w:r>
          <w:rPr>
            <w:rFonts w:ascii="Arial" w:cs="Arial" w:eastAsia="Arial" w:hAnsi="Arial"/>
            <w:sz w:val="15"/>
            <w:szCs w:val="15"/>
            <w:u w:val="single" w:color="auto"/>
            <w:color w:val="0000FF"/>
          </w:rPr>
          <w:t>Additional Facility AM Accession Agreement, dated August 3, 2015, among UPC Financing as Borrower, The Bank of Nova Scotia as Facility</w:t>
        </w:r>
      </w:hyperlink>
      <w:r>
        <w:rPr>
          <w:rFonts w:ascii="Arial" w:cs="Arial" w:eastAsia="Arial" w:hAnsi="Arial"/>
          <w:sz w:val="15"/>
          <w:szCs w:val="15"/>
          <w:color w:val="auto"/>
        </w:rPr>
        <w:t xml:space="preserve"> </w:t>
      </w:r>
      <w:hyperlink r:id="rId210">
        <w:r>
          <w:rPr>
            <w:rFonts w:ascii="Arial" w:cs="Arial" w:eastAsia="Arial" w:hAnsi="Arial"/>
            <w:sz w:val="15"/>
            <w:szCs w:val="15"/>
            <w:u w:val="single" w:color="auto"/>
            <w:color w:val="0000FF"/>
          </w:rPr>
          <w:t>Agent and Security Agent and the financial institutions listed therein as Additional Facility AM Lenders, under the UPC Broadband Holding</w:t>
        </w:r>
      </w:hyperlink>
      <w:r>
        <w:rPr>
          <w:rFonts w:ascii="Arial" w:cs="Arial" w:eastAsia="Arial" w:hAnsi="Arial"/>
          <w:sz w:val="15"/>
          <w:szCs w:val="15"/>
          <w:u w:val="single" w:color="auto"/>
          <w:color w:val="0000FF"/>
        </w:rPr>
        <w:t xml:space="preserve"> </w:t>
      </w:r>
      <w:hyperlink r:id="rId210">
        <w:r>
          <w:rPr>
            <w:rFonts w:ascii="Arial" w:cs="Arial" w:eastAsia="Arial" w:hAnsi="Arial"/>
            <w:sz w:val="15"/>
            <w:szCs w:val="15"/>
            <w:u w:val="single" w:color="auto"/>
            <w:color w:val="0000FF"/>
          </w:rPr>
          <w:t>Bank Facility (incorporated by reference to Exhibit 4.1 to the Registrant’s Current Report on Form 8-K filed August 6, 2015 (File No. 001-</w:t>
        </w:r>
      </w:hyperlink>
    </w:p>
    <w:p>
      <w:pPr>
        <w:ind w:left="300"/>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35961)).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-431800</wp:posOffset>
            </wp:positionH>
            <wp:positionV relativeFrom="paragraph">
              <wp:posOffset>1905</wp:posOffset>
            </wp:positionV>
            <wp:extent cx="7118350" cy="4787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18350" cy="478790"/>
                    </a:xfrm>
                    <a:prstGeom prst="rect">
                      <a:avLst/>
                    </a:prstGeom>
                    <a:noFill/>
                  </pic:spPr>
                </pic:pic>
              </a:graphicData>
            </a:graphic>
          </wp:anchor>
        </w:drawing>
      </w:r>
    </w:p>
    <w:p>
      <w:pPr>
        <w:jc w:val="both"/>
        <w:ind w:left="300" w:right="20" w:hanging="255"/>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4.9 </w:t>
      </w:r>
      <w:hyperlink r:id="rId212">
        <w:r>
          <w:rPr>
            <w:rFonts w:ascii="Arial" w:cs="Arial" w:eastAsia="Arial" w:hAnsi="Arial"/>
            <w:sz w:val="15"/>
            <w:szCs w:val="15"/>
            <w:u w:val="single" w:color="auto"/>
            <w:color w:val="0000FF"/>
          </w:rPr>
          <w:t>Additional Facility AQ Accession Agreement dated June 21, 2017 and entered into between, among others, UPC Financing and UPC</w:t>
        </w:r>
      </w:hyperlink>
      <w:r>
        <w:rPr>
          <w:rFonts w:ascii="Arial" w:cs="Arial" w:eastAsia="Arial" w:hAnsi="Arial"/>
          <w:sz w:val="15"/>
          <w:szCs w:val="15"/>
          <w:color w:val="auto"/>
        </w:rPr>
        <w:t xml:space="preserve"> </w:t>
      </w:r>
      <w:hyperlink r:id="rId212">
        <w:r>
          <w:rPr>
            <w:rFonts w:ascii="Arial" w:cs="Arial" w:eastAsia="Arial" w:hAnsi="Arial"/>
            <w:sz w:val="15"/>
            <w:szCs w:val="15"/>
            <w:u w:val="single" w:color="auto"/>
            <w:color w:val="0000FF"/>
          </w:rPr>
          <w:t>Broadband Holding as borrowers and The Bank of Nova Scotia as Facility Agent and Security Agent and the financial institutions listed therein</w:t>
        </w:r>
      </w:hyperlink>
      <w:r>
        <w:rPr>
          <w:rFonts w:ascii="Arial" w:cs="Arial" w:eastAsia="Arial" w:hAnsi="Arial"/>
          <w:sz w:val="15"/>
          <w:szCs w:val="15"/>
          <w:u w:val="single" w:color="auto"/>
          <w:color w:val="0000FF"/>
        </w:rPr>
        <w:t xml:space="preserve"> </w:t>
      </w:r>
      <w:hyperlink r:id="rId212">
        <w:r>
          <w:rPr>
            <w:rFonts w:ascii="Arial" w:cs="Arial" w:eastAsia="Arial" w:hAnsi="Arial"/>
            <w:sz w:val="15"/>
            <w:szCs w:val="15"/>
            <w:u w:val="single" w:color="auto"/>
            <w:color w:val="0000FF"/>
          </w:rPr>
          <w:t>as Additional Facility AQ Lenders under the UPC Broadband Holding Bank Facility (incorporated by reference to Exhibit 4.1 to the</w:t>
        </w:r>
      </w:hyperlink>
    </w:p>
    <w:p>
      <w:pPr>
        <w:ind w:left="300"/>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Registrant’s Current Report on Form 8-K filed June 27, 2017 (File No. 001-35961)).</w:t>
        </w:r>
      </w:hyperlink>
    </w:p>
    <w:p>
      <w:pPr>
        <w:spacing w:after="0" w:line="4" w:lineRule="exact"/>
        <w:rPr>
          <w:rFonts w:ascii="Arial" w:cs="Arial" w:eastAsia="Arial" w:hAnsi="Arial"/>
          <w:sz w:val="15"/>
          <w:szCs w:val="15"/>
          <w:color w:val="auto"/>
        </w:rPr>
      </w:pPr>
    </w:p>
    <w:p>
      <w:pPr>
        <w:jc w:val="both"/>
        <w:ind w:left="30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213">
        <w:r>
          <w:rPr>
            <w:rFonts w:ascii="Arial" w:cs="Arial" w:eastAsia="Arial" w:hAnsi="Arial"/>
            <w:sz w:val="18"/>
            <w:szCs w:val="18"/>
            <w:u w:val="single" w:color="auto"/>
            <w:color w:val="0000FF"/>
          </w:rPr>
          <w:t>Additional Facility AT Accession Agreement dated January 31, 2020 and entered into between, among others, UPC Financing Partnership as the</w:t>
        </w:r>
      </w:hyperlink>
      <w:r>
        <w:rPr>
          <w:rFonts w:ascii="Arial" w:cs="Arial" w:eastAsia="Arial" w:hAnsi="Arial"/>
          <w:sz w:val="18"/>
          <w:szCs w:val="18"/>
          <w:color w:val="auto"/>
        </w:rPr>
        <w:t xml:space="preserve"> </w:t>
      </w:r>
      <w:hyperlink r:id="rId213">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Form 8-K filed February 6, 2020 (File No. 001-35961) (the February 6, 2020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-431800</wp:posOffset>
            </wp:positionH>
            <wp:positionV relativeFrom="paragraph">
              <wp:posOffset>9525</wp:posOffset>
            </wp:positionV>
            <wp:extent cx="7118350" cy="260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300" w:right="20" w:hanging="336"/>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4.11 </w:t>
      </w:r>
      <w:hyperlink r:id="rId215">
        <w:r>
          <w:rPr>
            <w:rFonts w:ascii="Arial" w:cs="Arial" w:eastAsia="Arial" w:hAnsi="Arial"/>
            <w:sz w:val="15"/>
            <w:szCs w:val="15"/>
            <w:u w:val="single" w:color="auto"/>
            <w:color w:val="0000FF"/>
          </w:rPr>
          <w:t>Additional Facility AU Accession Agreement dated January 31, 2020 and entered into between, among others, UPC Broadband Holding B.V. as</w:t>
        </w:r>
      </w:hyperlink>
      <w:r>
        <w:rPr>
          <w:rFonts w:ascii="Arial" w:cs="Arial" w:eastAsia="Arial" w:hAnsi="Arial"/>
          <w:sz w:val="15"/>
          <w:szCs w:val="15"/>
          <w:color w:val="auto"/>
        </w:rPr>
        <w:t xml:space="preserve"> </w:t>
      </w:r>
      <w:hyperlink r:id="rId215">
        <w:r>
          <w:rPr>
            <w:rFonts w:ascii="Arial" w:cs="Arial" w:eastAsia="Arial" w:hAnsi="Arial"/>
            <w:sz w:val="15"/>
            <w:szCs w:val="15"/>
            <w:u w:val="single" w:color="auto"/>
            <w:color w:val="0000FF"/>
          </w:rPr>
          <w:t>the Borrower and The Bank of Nova Scotia as the Facility Agent (incorporated by reference to Exhibit 4.2 to the February 6, 2020 8-K).</w:t>
        </w:r>
      </w:hyperlink>
    </w:p>
    <w:p>
      <w:pPr>
        <w:spacing w:after="0" w:line="1" w:lineRule="exact"/>
        <w:rPr>
          <w:sz w:val="20"/>
          <w:szCs w:val="20"/>
          <w:color w:val="auto"/>
        </w:rPr>
      </w:pPr>
    </w:p>
    <w:p>
      <w:pPr>
        <w:jc w:val="both"/>
        <w:ind w:left="300" w:right="2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216">
        <w:r>
          <w:rPr>
            <w:rFonts w:ascii="Arial" w:cs="Arial" w:eastAsia="Arial" w:hAnsi="Arial"/>
            <w:sz w:val="18"/>
            <w:szCs w:val="18"/>
            <w:u w:val="single" w:color="auto"/>
            <w:color w:val="0000FF"/>
          </w:rPr>
          <w:t>Additional Facility AV Accession Agreement dated August 20, 2020 and entered into between, among others, UPC Financing Partnership as the</w:t>
        </w:r>
      </w:hyperlink>
      <w:r>
        <w:rPr>
          <w:rFonts w:ascii="Arial" w:cs="Arial" w:eastAsia="Arial" w:hAnsi="Arial"/>
          <w:sz w:val="18"/>
          <w:szCs w:val="18"/>
          <w:color w:val="auto"/>
        </w:rPr>
        <w:t xml:space="preserve"> </w:t>
      </w:r>
      <w:hyperlink r:id="rId216">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Form 8-K filed August 26, 2020 (File No. 001-35961) (the August 26, 2020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-431800</wp:posOffset>
            </wp:positionH>
            <wp:positionV relativeFrom="paragraph">
              <wp:posOffset>9525</wp:posOffset>
            </wp:positionV>
            <wp:extent cx="7118350" cy="260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300" w:right="20" w:hanging="343"/>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4.13 </w:t>
      </w:r>
      <w:hyperlink r:id="rId218">
        <w:r>
          <w:rPr>
            <w:rFonts w:ascii="Arial" w:cs="Arial" w:eastAsia="Arial" w:hAnsi="Arial"/>
            <w:sz w:val="15"/>
            <w:szCs w:val="15"/>
            <w:u w:val="single" w:color="auto"/>
            <w:color w:val="0000FF"/>
          </w:rPr>
          <w:t>Additional Facility AW Accession Agreement dated August 20, 2020 and entered into between, among others, UPC Broadband Holding B.V. as</w:t>
        </w:r>
      </w:hyperlink>
      <w:r>
        <w:rPr>
          <w:rFonts w:ascii="Arial" w:cs="Arial" w:eastAsia="Arial" w:hAnsi="Arial"/>
          <w:sz w:val="15"/>
          <w:szCs w:val="15"/>
          <w:color w:val="auto"/>
        </w:rPr>
        <w:t xml:space="preserve"> </w:t>
      </w:r>
      <w:hyperlink r:id="rId218">
        <w:r>
          <w:rPr>
            <w:rFonts w:ascii="Arial" w:cs="Arial" w:eastAsia="Arial" w:hAnsi="Arial"/>
            <w:sz w:val="15"/>
            <w:szCs w:val="15"/>
            <w:u w:val="single" w:color="auto"/>
            <w:color w:val="0000FF"/>
          </w:rPr>
          <w:t>the Borrower and The Bank of Nova Scotia as the Facility Agent (incorporated by reference to Exhibit 4.2 to the August 26, 2020 8-K).</w:t>
        </w:r>
      </w:hyperlink>
    </w:p>
    <w:p>
      <w:pPr>
        <w:spacing w:after="0" w:line="1" w:lineRule="exact"/>
        <w:rPr>
          <w:sz w:val="20"/>
          <w:szCs w:val="20"/>
          <w:color w:val="auto"/>
        </w:rPr>
      </w:pPr>
    </w:p>
    <w:p>
      <w:pPr>
        <w:jc w:val="both"/>
        <w:ind w:left="300" w:hanging="343"/>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219">
        <w:r>
          <w:rPr>
            <w:rFonts w:ascii="Arial" w:cs="Arial" w:eastAsia="Arial" w:hAnsi="Arial"/>
            <w:sz w:val="17"/>
            <w:szCs w:val="17"/>
            <w:u w:val="single" w:color="auto"/>
            <w:color w:val="0000FF"/>
          </w:rPr>
          <w:t>Additional Facility AN Accession Agreement dated May 24, 2018 and entered into between, among others, Telenet Financing USD LLC as the</w:t>
        </w:r>
      </w:hyperlink>
      <w:r>
        <w:rPr>
          <w:rFonts w:ascii="Arial" w:cs="Arial" w:eastAsia="Arial" w:hAnsi="Arial"/>
          <w:sz w:val="17"/>
          <w:szCs w:val="17"/>
          <w:color w:val="auto"/>
        </w:rPr>
        <w:t xml:space="preserve"> </w:t>
      </w:r>
      <w:hyperlink r:id="rId219">
        <w:r>
          <w:rPr>
            <w:rFonts w:ascii="Arial" w:cs="Arial" w:eastAsia="Arial" w:hAnsi="Arial"/>
            <w:sz w:val="17"/>
            <w:szCs w:val="17"/>
            <w:u w:val="single" w:color="auto"/>
            <w:color w:val="0000FF"/>
          </w:rPr>
          <w:t>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219">
        <w:r>
          <w:rPr>
            <w:rFonts w:ascii="Arial" w:cs="Arial" w:eastAsia="Arial" w:hAnsi="Arial"/>
            <w:sz w:val="17"/>
            <w:szCs w:val="17"/>
            <w:u w:val="single" w:color="auto"/>
            <w:color w:val="0000FF"/>
          </w:rPr>
          <w:t>Registrant’s Current Report on Form 8-K filed May 31, 2018 (File No. 001-35961)(the May 2018 8-K)).</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-431800</wp:posOffset>
            </wp:positionH>
            <wp:positionV relativeFrom="paragraph">
              <wp:posOffset>9525</wp:posOffset>
            </wp:positionV>
            <wp:extent cx="7118350" cy="369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300" w:right="20" w:hanging="343"/>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4.15 </w:t>
      </w:r>
      <w:hyperlink r:id="rId221">
        <w:r>
          <w:rPr>
            <w:rFonts w:ascii="Arial" w:cs="Arial" w:eastAsia="Arial" w:hAnsi="Arial"/>
            <w:sz w:val="17"/>
            <w:szCs w:val="17"/>
            <w:u w:val="single" w:color="auto"/>
            <w:color w:val="0000FF"/>
          </w:rPr>
          <w:t>Additional Facility AR Accession Agreement dated January 24, 2020 and entered into between, among others, Telenet Financing USD LLC as</w:t>
        </w:r>
      </w:hyperlink>
      <w:r>
        <w:rPr>
          <w:rFonts w:ascii="Arial" w:cs="Arial" w:eastAsia="Arial" w:hAnsi="Arial"/>
          <w:sz w:val="17"/>
          <w:szCs w:val="17"/>
          <w:color w:val="auto"/>
        </w:rPr>
        <w:t xml:space="preserve"> </w:t>
      </w:r>
      <w:hyperlink r:id="rId221">
        <w:r>
          <w:rPr>
            <w:rFonts w:ascii="Arial" w:cs="Arial" w:eastAsia="Arial" w:hAnsi="Arial"/>
            <w:sz w:val="17"/>
            <w:szCs w:val="17"/>
            <w:u w:val="single" w:color="auto"/>
            <w:color w:val="0000FF"/>
          </w:rPr>
          <w:t>the 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221">
        <w:r>
          <w:rPr>
            <w:rFonts w:ascii="Arial" w:cs="Arial" w:eastAsia="Arial" w:hAnsi="Arial"/>
            <w:sz w:val="17"/>
            <w:szCs w:val="17"/>
            <w:u w:val="single" w:color="auto"/>
            <w:color w:val="0000FF"/>
          </w:rPr>
          <w:t>Registrant’s Current Report on Form 8-K filed January 30, 2020 (File No. 001-35961) (the January 30, 2020 8-K)).</w:t>
        </w:r>
      </w:hyperlink>
    </w:p>
    <w:p>
      <w:pPr>
        <w:spacing w:after="0" w:line="15" w:lineRule="exact"/>
        <w:rPr>
          <w:rFonts w:ascii="Arial" w:cs="Arial" w:eastAsia="Arial" w:hAnsi="Arial"/>
          <w:sz w:val="17"/>
          <w:szCs w:val="17"/>
          <w:color w:val="auto"/>
        </w:rPr>
      </w:pPr>
    </w:p>
    <w:p>
      <w:pPr>
        <w:jc w:val="both"/>
        <w:ind w:left="300" w:right="2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222">
        <w:r>
          <w:rPr>
            <w:rFonts w:ascii="Arial" w:cs="Arial" w:eastAsia="Arial" w:hAnsi="Arial"/>
            <w:sz w:val="18"/>
            <w:szCs w:val="18"/>
            <w:u w:val="single" w:color="auto"/>
            <w:color w:val="0000FF"/>
          </w:rPr>
          <w:t>Additional Facility AQ Accession Agreement dated January 24, 2020 and entered into between, among others, Telenet International Finance S.à</w:t>
        </w:r>
      </w:hyperlink>
      <w:r>
        <w:rPr>
          <w:rFonts w:ascii="Arial" w:cs="Arial" w:eastAsia="Arial" w:hAnsi="Arial"/>
          <w:sz w:val="18"/>
          <w:szCs w:val="18"/>
          <w:color w:val="auto"/>
        </w:rPr>
        <w:t xml:space="preserve"> </w:t>
      </w:r>
      <w:hyperlink r:id="rId222">
        <w:r>
          <w:rPr>
            <w:rFonts w:ascii="Arial" w:cs="Arial" w:eastAsia="Arial" w:hAnsi="Arial"/>
            <w:sz w:val="18"/>
            <w:szCs w:val="18"/>
            <w:u w:val="single" w:color="auto"/>
            <w:color w:val="0000FF"/>
          </w:rPr>
          <w:t>r.l. as the Borrower, Telenet BVBA as a Guarantor and The Bank of Nova Scotia as the Facility Agent (incorporated by reference to Exhibit 4.2</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to the January 30, 2020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-431800</wp:posOffset>
            </wp:positionH>
            <wp:positionV relativeFrom="paragraph">
              <wp:posOffset>9525</wp:posOffset>
            </wp:positionV>
            <wp:extent cx="7118350" cy="3695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300"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224">
        <w:r>
          <w:rPr>
            <w:rFonts w:ascii="Arial" w:cs="Arial" w:eastAsia="Arial" w:hAnsi="Arial"/>
            <w:sz w:val="18"/>
            <w:szCs w:val="18"/>
            <w:u w:val="single" w:color="auto"/>
            <w:color w:val="0000FF"/>
          </w:rPr>
          <w:t>Additional Facility AP Accession Agreement dated May 24, 2019 and entered into between, among others, Telenet International Finance S.à.r.l.</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FF"/>
          </w:rPr>
          <w:t>as the Borrower, the Guarantors listed therein and The Bank of Nova Scotia as the Facility Agent (incorporated by reference to Exhibit 4.1 to</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the Registrant’s Current Report on Form 8-K filed May 30, 3019 (File No. 001-35961)).</w:t>
        </w:r>
      </w:hyperlink>
    </w:p>
    <w:p>
      <w:pPr>
        <w:spacing w:after="0" w:line="16" w:lineRule="exact"/>
        <w:rPr>
          <w:rFonts w:ascii="Arial" w:cs="Arial" w:eastAsia="Arial" w:hAnsi="Arial"/>
          <w:sz w:val="18"/>
          <w:szCs w:val="18"/>
          <w:color w:val="auto"/>
        </w:rPr>
      </w:pPr>
    </w:p>
    <w:p>
      <w:pPr>
        <w:jc w:val="both"/>
        <w:ind w:left="300" w:right="20"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4.18 </w:t>
      </w:r>
      <w:hyperlink r:id="rId225">
        <w:r>
          <w:rPr>
            <w:rFonts w:ascii="Arial" w:cs="Arial" w:eastAsia="Arial" w:hAnsi="Arial"/>
            <w:sz w:val="15"/>
            <w:szCs w:val="15"/>
            <w:u w:val="single" w:color="auto"/>
            <w:color w:val="0000FF"/>
          </w:rPr>
          <w:t>Indenture dated December 13, 2017 between Telenet Finance Luxembourg Notes S.a.r.l., The Bank of New York Mellon, London Branch, as</w:t>
        </w:r>
      </w:hyperlink>
      <w:r>
        <w:rPr>
          <w:rFonts w:ascii="Arial" w:cs="Arial" w:eastAsia="Arial" w:hAnsi="Arial"/>
          <w:sz w:val="15"/>
          <w:szCs w:val="15"/>
          <w:color w:val="auto"/>
        </w:rPr>
        <w:t xml:space="preserve"> </w:t>
      </w:r>
      <w:hyperlink r:id="rId225">
        <w:r>
          <w:rPr>
            <w:rFonts w:ascii="Arial" w:cs="Arial" w:eastAsia="Arial" w:hAnsi="Arial"/>
            <w:sz w:val="15"/>
            <w:szCs w:val="15"/>
            <w:u w:val="single" w:color="auto"/>
            <w:color w:val="0000FF"/>
          </w:rPr>
          <w:t>Trustee and Security Trustee and The Bank of New York Mellon SA/NV, Luxembourg Branch, as Transfer Agent and Registrar (incorporated</w:t>
        </w:r>
      </w:hyperlink>
      <w:r>
        <w:rPr>
          <w:rFonts w:ascii="Arial" w:cs="Arial" w:eastAsia="Arial" w:hAnsi="Arial"/>
          <w:sz w:val="15"/>
          <w:szCs w:val="15"/>
          <w:u w:val="single" w:color="auto"/>
          <w:color w:val="0000FF"/>
        </w:rPr>
        <w:t xml:space="preserve"> </w:t>
      </w:r>
      <w:hyperlink r:id="rId225">
        <w:r>
          <w:rPr>
            <w:rFonts w:ascii="Arial" w:cs="Arial" w:eastAsia="Arial" w:hAnsi="Arial"/>
            <w:sz w:val="15"/>
            <w:szCs w:val="15"/>
            <w:u w:val="single" w:color="auto"/>
            <w:color w:val="0000FF"/>
          </w:rPr>
          <w:t>by reference to Exhibit 4.4 to the Registrant’s Current Report on Form 8-K filed December 18, 2017 (File No. 000.35961)(the December 2017</w:t>
        </w:r>
      </w:hyperlink>
    </w:p>
    <w:p>
      <w:pPr>
        <w:ind w:left="300"/>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8-K/A)).</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-431800</wp:posOffset>
            </wp:positionH>
            <wp:positionV relativeFrom="paragraph">
              <wp:posOffset>1905</wp:posOffset>
            </wp:positionV>
            <wp:extent cx="7118350" cy="3695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300"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4.19 </w:t>
      </w:r>
      <w:hyperlink r:id="rId227">
        <w:r>
          <w:rPr>
            <w:rFonts w:ascii="Arial" w:cs="Arial" w:eastAsia="Arial" w:hAnsi="Arial"/>
            <w:sz w:val="18"/>
            <w:szCs w:val="18"/>
            <w:u w:val="single" w:color="auto"/>
            <w:color w:val="0000FF"/>
          </w:rPr>
          <w:t>Additional Facility AJ Accession Agreement dated December 13, 2017 and entered into between, among others, Telenet International Finance</w:t>
        </w:r>
      </w:hyperlink>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FF"/>
          </w:rPr>
          <w:t>S.a.r.l. as the Borrower, Telenet Financing USD LLC as a Guarantor, The Bank of Nova Scotia as Facility Agent and KBC Bank NV as Security</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Agent (incorporated by reference to Exhibit 4.5 to the December 2017 8-K/A).</w:t>
        </w:r>
      </w:hyperlink>
    </w:p>
    <w:p>
      <w:pPr>
        <w:spacing w:after="0" w:line="16" w:lineRule="exact"/>
        <w:rPr>
          <w:rFonts w:ascii="Arial" w:cs="Arial" w:eastAsia="Arial" w:hAnsi="Arial"/>
          <w:sz w:val="18"/>
          <w:szCs w:val="18"/>
          <w:color w:val="auto"/>
        </w:rPr>
      </w:pPr>
    </w:p>
    <w:p>
      <w:pPr>
        <w:jc w:val="both"/>
        <w:ind w:left="300"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4.20 </w:t>
      </w:r>
      <w:hyperlink r:id="rId228">
        <w:r>
          <w:rPr>
            <w:rFonts w:ascii="Arial" w:cs="Arial" w:eastAsia="Arial" w:hAnsi="Arial"/>
            <w:sz w:val="18"/>
            <w:szCs w:val="18"/>
            <w:u w:val="single" w:color="auto"/>
            <w:color w:val="0000FF"/>
          </w:rPr>
          <w:t>Additional Facility AK Accession Agreement dated December 13, 2017 and entered into between, among others, Telenet International Finance</w:t>
        </w:r>
      </w:hyperlink>
      <w:r>
        <w:rPr>
          <w:rFonts w:ascii="Arial" w:cs="Arial" w:eastAsia="Arial" w:hAnsi="Arial"/>
          <w:sz w:val="18"/>
          <w:szCs w:val="18"/>
          <w:color w:val="auto"/>
        </w:rPr>
        <w:t xml:space="preserve"> </w:t>
      </w:r>
      <w:hyperlink r:id="rId228">
        <w:r>
          <w:rPr>
            <w:rFonts w:ascii="Arial" w:cs="Arial" w:eastAsia="Arial" w:hAnsi="Arial"/>
            <w:sz w:val="18"/>
            <w:szCs w:val="18"/>
            <w:u w:val="single" w:color="auto"/>
            <w:color w:val="0000FF"/>
          </w:rPr>
          <w:t>S.a.r.l. as the Borrower, Telenet Financing USD LLC as a Guarantor, The Bank of Nova Scotia as Facility Agent and KBC Bank NV as Security</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Agent (incorporated by reference to Exhibit 4.6 to the December 2017 8-K/A).</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4760"/>
        <w:spacing w:after="0"/>
        <w:rPr>
          <w:sz w:val="20"/>
          <w:szCs w:val="20"/>
          <w:color w:val="auto"/>
        </w:rPr>
      </w:pPr>
      <w:r>
        <w:rPr>
          <w:rFonts w:ascii="Arial" w:cs="Arial" w:eastAsia="Arial" w:hAnsi="Arial"/>
          <w:sz w:val="18"/>
          <w:szCs w:val="18"/>
          <w:color w:val="auto"/>
        </w:rPr>
        <w:t>IV-2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-452755</wp:posOffset>
            </wp:positionH>
            <wp:positionV relativeFrom="paragraph">
              <wp:posOffset>65405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20"/>
          </w:cols>
          <w:pgMar w:left="1020" w:top="936" w:right="359" w:bottom="1440" w:gutter="0" w:footer="0" w:header="0"/>
        </w:sectPr>
      </w:pPr>
    </w:p>
    <w:bookmarkStart w:id="171" w:name="page172"/>
    <w:bookmarkEnd w:id="171"/>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3695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118350" cy="369570"/>
                    </a:xfrm>
                    <a:prstGeom prst="rect">
                      <a:avLst/>
                    </a:prstGeom>
                    <a:noFill/>
                  </pic:spPr>
                </pic:pic>
              </a:graphicData>
            </a:graphic>
          </wp:anchor>
        </w:drawing>
        <w:t xml:space="preserve">4.21 </w:t>
      </w:r>
      <w:hyperlink r:id="rId231">
        <w:r>
          <w:rPr>
            <w:rFonts w:ascii="Arial" w:cs="Arial" w:eastAsia="Arial" w:hAnsi="Arial"/>
            <w:sz w:val="18"/>
            <w:szCs w:val="18"/>
            <w:u w:val="single" w:color="auto"/>
            <w:color w:val="0000FF"/>
          </w:rPr>
          <w:t>Telenet Supplemental Agreement (Credit Agreement) dated November 16, 2018 between among others, Telenet BVBA as the company, The</w:t>
        </w:r>
      </w:hyperlink>
      <w:r>
        <w:rPr>
          <w:rFonts w:ascii="Arial" w:cs="Arial" w:eastAsia="Arial" w:hAnsi="Arial"/>
          <w:sz w:val="18"/>
          <w:szCs w:val="18"/>
          <w:color w:val="auto"/>
        </w:rPr>
        <w:t xml:space="preserve"> </w:t>
      </w:r>
      <w:hyperlink r:id="rId231">
        <w:r>
          <w:rPr>
            <w:rFonts w:ascii="Arial" w:cs="Arial" w:eastAsia="Arial" w:hAnsi="Arial"/>
            <w:sz w:val="18"/>
            <w:szCs w:val="18"/>
            <w:u w:val="single" w:color="auto"/>
            <w:color w:val="0000FF"/>
          </w:rPr>
          <w:t>Bank of Nova Scotia as facility agent and KBC Bank NV as security agent (incorporated by reference to Exhibit 4.1 to the November 2018 8-K</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w:t>
        </w:r>
      </w:hyperlink>
    </w:p>
    <w:p>
      <w:pPr>
        <w:spacing w:after="0" w:line="16" w:lineRule="exact"/>
        <w:rPr>
          <w:rFonts w:ascii="Arial" w:cs="Arial" w:eastAsia="Arial" w:hAnsi="Arial"/>
          <w:sz w:val="18"/>
          <w:szCs w:val="18"/>
          <w:color w:val="auto"/>
        </w:rPr>
      </w:pPr>
    </w:p>
    <w:p>
      <w:pPr>
        <w:jc w:val="both"/>
        <w:ind w:right="20"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4.22 </w:t>
      </w:r>
      <w:hyperlink r:id="rId232">
        <w:r>
          <w:rPr>
            <w:rFonts w:ascii="Arial" w:cs="Arial" w:eastAsia="Arial" w:hAnsi="Arial"/>
            <w:sz w:val="15"/>
            <w:szCs w:val="15"/>
            <w:u w:val="single" w:color="auto"/>
            <w:color w:val="0000FF"/>
          </w:rPr>
          <w:t>Indenture dated March 28, 2014 between Virgin Media Secured Finance PLC, The Bank of New York Mellon, London Branch, as Trustee,</w:t>
        </w:r>
      </w:hyperlink>
      <w:r>
        <w:rPr>
          <w:rFonts w:ascii="Arial" w:cs="Arial" w:eastAsia="Arial" w:hAnsi="Arial"/>
          <w:sz w:val="15"/>
          <w:szCs w:val="15"/>
          <w:color w:val="auto"/>
        </w:rPr>
        <w:t xml:space="preserve"> </w:t>
      </w:r>
      <w:hyperlink r:id="rId232">
        <w:r>
          <w:rPr>
            <w:rFonts w:ascii="Arial" w:cs="Arial" w:eastAsia="Arial" w:hAnsi="Arial"/>
            <w:sz w:val="15"/>
            <w:szCs w:val="15"/>
            <w:u w:val="single" w:color="auto"/>
            <w:color w:val="0000FF"/>
          </w:rPr>
          <w:t>Transfer Agent and Principal Paying Agent, The Bank of New York Mellon as Paying Agent, and The Bank of New York Mellon (Luxembourg)</w:t>
        </w:r>
      </w:hyperlink>
      <w:r>
        <w:rPr>
          <w:rFonts w:ascii="Arial" w:cs="Arial" w:eastAsia="Arial" w:hAnsi="Arial"/>
          <w:sz w:val="15"/>
          <w:szCs w:val="15"/>
          <w:u w:val="single" w:color="auto"/>
          <w:color w:val="0000FF"/>
        </w:rPr>
        <w:t xml:space="preserve"> </w:t>
      </w:r>
      <w:hyperlink r:id="rId232">
        <w:r>
          <w:rPr>
            <w:rFonts w:ascii="Arial" w:cs="Arial" w:eastAsia="Arial" w:hAnsi="Arial"/>
            <w:sz w:val="15"/>
            <w:szCs w:val="15"/>
            <w:u w:val="single" w:color="auto"/>
            <w:color w:val="0000FF"/>
          </w:rPr>
          <w:t>S.A., as Registrar (incorporated by reference to Exhibit 4.1 to the Registrant’s Current Report on Form 8-K/A filed April 3, 2014 (File No. 001-</w:t>
        </w:r>
      </w:hyperlink>
    </w:p>
    <w:p>
      <w:pPr>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35961)).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8350" cy="3695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right="20" w:hanging="396"/>
        <w:spacing w:after="0" w:line="270"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4.23 </w:t>
      </w:r>
      <w:hyperlink r:id="rId234">
        <w:r>
          <w:rPr>
            <w:rFonts w:ascii="Arial" w:cs="Arial" w:eastAsia="Arial" w:hAnsi="Arial"/>
            <w:sz w:val="15"/>
            <w:szCs w:val="15"/>
            <w:u w:val="single" w:color="auto"/>
            <w:color w:val="0000FF"/>
          </w:rPr>
          <w:t>Indenture dated January 28, 2015 between Virgin Media Finance PLC, The Bank of New York Mellon, London Branch, as Trustee and Principal</w:t>
        </w:r>
      </w:hyperlink>
      <w:r>
        <w:rPr>
          <w:rFonts w:ascii="Arial" w:cs="Arial" w:eastAsia="Arial" w:hAnsi="Arial"/>
          <w:sz w:val="15"/>
          <w:szCs w:val="15"/>
          <w:color w:val="auto"/>
        </w:rPr>
        <w:t xml:space="preserve"> </w:t>
      </w:r>
      <w:hyperlink r:id="rId234">
        <w:r>
          <w:rPr>
            <w:rFonts w:ascii="Arial" w:cs="Arial" w:eastAsia="Arial" w:hAnsi="Arial"/>
            <w:sz w:val="15"/>
            <w:szCs w:val="15"/>
            <w:u w:val="single" w:color="auto"/>
            <w:color w:val="0000FF"/>
          </w:rPr>
          <w:t>Paying Agent, The Bank of Mellon as Paying Agent and Dollar Notes Transfer Agent and Registrar and The Bank of New York Mellon</w:t>
        </w:r>
      </w:hyperlink>
      <w:r>
        <w:rPr>
          <w:rFonts w:ascii="Arial" w:cs="Arial" w:eastAsia="Arial" w:hAnsi="Arial"/>
          <w:sz w:val="15"/>
          <w:szCs w:val="15"/>
          <w:u w:val="single" w:color="auto"/>
          <w:color w:val="0000FF"/>
        </w:rPr>
        <w:t xml:space="preserve"> </w:t>
      </w:r>
      <w:hyperlink r:id="rId234">
        <w:r>
          <w:rPr>
            <w:rFonts w:ascii="Arial" w:cs="Arial" w:eastAsia="Arial" w:hAnsi="Arial"/>
            <w:sz w:val="15"/>
            <w:szCs w:val="15"/>
            <w:u w:val="single" w:color="auto"/>
            <w:color w:val="0000FF"/>
          </w:rPr>
          <w:t>(Luxembourg) S.A., as Euro Notes Registrar and Transfer Agent (incorporated by reference to Exhibit 4.2 to the February 2015 8-K/A).</w:t>
        </w:r>
      </w:hyperlink>
    </w:p>
    <w:p>
      <w:pPr>
        <w:jc w:val="both"/>
        <w:ind w:right="20" w:hanging="396"/>
        <w:spacing w:after="0" w:line="270"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4.24 </w:t>
      </w:r>
      <w:hyperlink r:id="rId235">
        <w:r>
          <w:rPr>
            <w:rFonts w:ascii="Arial" w:cs="Arial" w:eastAsia="Arial" w:hAnsi="Arial"/>
            <w:sz w:val="15"/>
            <w:szCs w:val="15"/>
            <w:u w:val="single" w:color="auto"/>
            <w:color w:val="0000FF"/>
          </w:rPr>
          <w:t>Additional L Facility Accession Deed dated November 10, 2017, between Virgin Media Investment Holdings Limited as the Company, Virgin</w:t>
        </w:r>
      </w:hyperlink>
      <w:r>
        <w:rPr>
          <w:rFonts w:ascii="Arial" w:cs="Arial" w:eastAsia="Arial" w:hAnsi="Arial"/>
          <w:sz w:val="15"/>
          <w:szCs w:val="15"/>
          <w:color w:val="auto"/>
        </w:rPr>
        <w:t xml:space="preserve"> </w:t>
      </w:r>
      <w:hyperlink r:id="rId235">
        <w:r>
          <w:rPr>
            <w:rFonts w:ascii="Arial" w:cs="Arial" w:eastAsia="Arial" w:hAnsi="Arial"/>
            <w:sz w:val="15"/>
            <w:szCs w:val="15"/>
            <w:u w:val="single" w:color="auto"/>
            <w:color w:val="0000FF"/>
          </w:rPr>
          <w:t>Media SFA Finance Limited as the Borrower, The Bank of Nova Scotia as the Facility Agent and The Bank of Nova Scotia as Additional L</w:t>
        </w:r>
      </w:hyperlink>
      <w:r>
        <w:rPr>
          <w:rFonts w:ascii="Arial" w:cs="Arial" w:eastAsia="Arial" w:hAnsi="Arial"/>
          <w:sz w:val="15"/>
          <w:szCs w:val="15"/>
          <w:u w:val="single" w:color="auto"/>
          <w:color w:val="0000FF"/>
        </w:rPr>
        <w:t xml:space="preserve"> </w:t>
      </w:r>
      <w:hyperlink r:id="rId235">
        <w:r>
          <w:rPr>
            <w:rFonts w:ascii="Arial" w:cs="Arial" w:eastAsia="Arial" w:hAnsi="Arial"/>
            <w:sz w:val="15"/>
            <w:szCs w:val="15"/>
            <w:u w:val="single" w:color="auto"/>
            <w:color w:val="0000FF"/>
          </w:rPr>
          <w:t>Facility Lender under the VMF Senior Facilities Agreement (incorporated by reference to Exhibit 4.2 to the November 2017 8-K).</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7118350" cy="3695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hanging="396"/>
        <w:spacing w:after="0" w:line="270"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4.25 </w:t>
      </w:r>
      <w:hyperlink r:id="rId237">
        <w:r>
          <w:rPr>
            <w:rFonts w:ascii="Arial" w:cs="Arial" w:eastAsia="Arial" w:hAnsi="Arial"/>
            <w:sz w:val="15"/>
            <w:szCs w:val="15"/>
            <w:u w:val="single" w:color="auto"/>
            <w:color w:val="0000FF"/>
          </w:rPr>
          <w:t>Additional M Facility Accession Deed dated November 10, 2017, between Virgin Media Investment Holdings Limited as the Company, Virgin</w:t>
        </w:r>
      </w:hyperlink>
      <w:r>
        <w:rPr>
          <w:rFonts w:ascii="Arial" w:cs="Arial" w:eastAsia="Arial" w:hAnsi="Arial"/>
          <w:sz w:val="15"/>
          <w:szCs w:val="15"/>
          <w:color w:val="auto"/>
        </w:rPr>
        <w:t xml:space="preserve"> </w:t>
      </w:r>
      <w:hyperlink r:id="rId237">
        <w:r>
          <w:rPr>
            <w:rFonts w:ascii="Arial" w:cs="Arial" w:eastAsia="Arial" w:hAnsi="Arial"/>
            <w:sz w:val="15"/>
            <w:szCs w:val="15"/>
            <w:u w:val="single" w:color="auto"/>
            <w:color w:val="0000FF"/>
          </w:rPr>
          <w:t>Media SFA Finance Limited as the Borrower, The Bank of Nova Scotia as the Facility Agent and The Bank of Nova Scotia as Additional M</w:t>
        </w:r>
      </w:hyperlink>
      <w:r>
        <w:rPr>
          <w:rFonts w:ascii="Arial" w:cs="Arial" w:eastAsia="Arial" w:hAnsi="Arial"/>
          <w:sz w:val="15"/>
          <w:szCs w:val="15"/>
          <w:u w:val="single" w:color="auto"/>
          <w:color w:val="0000FF"/>
        </w:rPr>
        <w:t xml:space="preserve"> </w:t>
      </w:r>
      <w:hyperlink r:id="rId237">
        <w:r>
          <w:rPr>
            <w:rFonts w:ascii="Arial" w:cs="Arial" w:eastAsia="Arial" w:hAnsi="Arial"/>
            <w:sz w:val="15"/>
            <w:szCs w:val="15"/>
            <w:u w:val="single" w:color="auto"/>
            <w:color w:val="0000FF"/>
          </w:rPr>
          <w:t>Facility Lender under the VMF Senior Facilities Agreement (incorporated by reference to Exhibit 4.3 to the November 2017 8-K).</w:t>
        </w:r>
      </w:hyperlink>
    </w:p>
    <w:p>
      <w:pPr>
        <w:jc w:val="both"/>
        <w:ind w:right="20" w:hanging="396"/>
        <w:spacing w:after="0" w:line="219"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4.26 </w:t>
      </w:r>
      <w:hyperlink r:id="rId238">
        <w:r>
          <w:rPr>
            <w:rFonts w:ascii="Arial" w:cs="Arial" w:eastAsia="Arial" w:hAnsi="Arial"/>
            <w:sz w:val="17"/>
            <w:szCs w:val="17"/>
            <w:u w:val="single" w:color="auto"/>
            <w:color w:val="0000FF"/>
          </w:rPr>
          <w:t>Additional N Facility Accession Deed dated October 4, 2019, between Virgin Media Investment Holdings Limited as the Company, Virgin Media</w:t>
        </w:r>
      </w:hyperlink>
      <w:r>
        <w:rPr>
          <w:rFonts w:ascii="Arial" w:cs="Arial" w:eastAsia="Arial" w:hAnsi="Arial"/>
          <w:sz w:val="18"/>
          <w:szCs w:val="18"/>
          <w:color w:val="auto"/>
        </w:rPr>
        <w:t xml:space="preserve"> </w:t>
      </w:r>
      <w:hyperlink r:id="rId238">
        <w:r>
          <w:rPr>
            <w:rFonts w:ascii="Arial" w:cs="Arial" w:eastAsia="Arial" w:hAnsi="Arial"/>
            <w:sz w:val="17"/>
            <w:szCs w:val="17"/>
            <w:u w:val="single" w:color="auto"/>
            <w:color w:val="0000FF"/>
          </w:rPr>
          <w:t>Bristol LLC as the Borrower, The Bank of Nova Scotia as the Facility Agent and The Bank of Nova Scotia as Additional N Facility Lender</w:t>
        </w:r>
      </w:hyperlink>
      <w:r>
        <w:rPr>
          <w:rFonts w:ascii="Arial" w:cs="Arial" w:eastAsia="Arial" w:hAnsi="Arial"/>
          <w:sz w:val="17"/>
          <w:szCs w:val="17"/>
          <w:u w:val="single" w:color="auto"/>
          <w:color w:val="0000FF"/>
        </w:rPr>
        <w:t xml:space="preserve"> </w:t>
      </w:r>
      <w:hyperlink r:id="rId238">
        <w:r>
          <w:rPr>
            <w:rFonts w:ascii="Arial" w:cs="Arial" w:eastAsia="Arial" w:hAnsi="Arial"/>
            <w:sz w:val="17"/>
            <w:szCs w:val="17"/>
            <w:u w:val="single" w:color="auto"/>
            <w:color w:val="0000FF"/>
          </w:rPr>
          <w:t>(incorporated by reference to Exhibit 4.1 to the Registrant’s Current Report on Form 8-K filed October 10, 2019 (File No. 001-35961) (the October</w:t>
        </w:r>
      </w:hyperlink>
      <w:r>
        <w:rPr>
          <w:rFonts w:ascii="Arial" w:cs="Arial" w:eastAsia="Arial" w:hAnsi="Arial"/>
          <w:sz w:val="17"/>
          <w:szCs w:val="17"/>
          <w:u w:val="single" w:color="auto"/>
          <w:color w:val="0000FF"/>
        </w:rPr>
        <w:t xml:space="preserve"> </w:t>
      </w:r>
      <w:hyperlink r:id="rId238">
        <w:r>
          <w:rPr>
            <w:rFonts w:ascii="Arial" w:cs="Arial" w:eastAsia="Arial" w:hAnsi="Arial"/>
            <w:sz w:val="17"/>
            <w:szCs w:val="17"/>
            <w:u w:val="single" w:color="auto"/>
            <w:color w:val="0000FF"/>
          </w:rPr>
          <w:t>10, 2019 8-K)).</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3810</wp:posOffset>
            </wp:positionV>
            <wp:extent cx="7118350" cy="3695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4.27 </w:t>
      </w:r>
      <w:hyperlink r:id="rId240">
        <w:r>
          <w:rPr>
            <w:rFonts w:ascii="Arial" w:cs="Arial" w:eastAsia="Arial" w:hAnsi="Arial"/>
            <w:sz w:val="18"/>
            <w:szCs w:val="18"/>
            <w:u w:val="single" w:color="auto"/>
            <w:color w:val="0000FF"/>
          </w:rPr>
          <w:t>Additional O Facility Accession Deed dated October 4, 2019, between Virgin Media Investment Holdings Limited as the Company, Virgin</w:t>
        </w:r>
      </w:hyperlink>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Media SFA Finance Limited as the Facility O Borrower, The Bank of Nova Scotia as the Facility Agent and The Bank of Nova Scotia as</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Additional O Facility Lender (incorporated by reference to Exhibit 4.2 to the October 10, 2019 8-K).</w:t>
        </w:r>
      </w:hyperlink>
    </w:p>
    <w:p>
      <w:pPr>
        <w:spacing w:after="0" w:line="16" w:lineRule="exact"/>
        <w:rPr>
          <w:rFonts w:ascii="Arial" w:cs="Arial" w:eastAsia="Arial" w:hAnsi="Arial"/>
          <w:sz w:val="18"/>
          <w:szCs w:val="18"/>
          <w:color w:val="auto"/>
        </w:rPr>
      </w:pPr>
    </w:p>
    <w:p>
      <w:pPr>
        <w:jc w:val="both"/>
        <w:ind w:hanging="396"/>
        <w:spacing w:after="0" w:line="235" w:lineRule="auto"/>
        <w:rPr>
          <w:rFonts w:ascii="Arial" w:cs="Arial" w:eastAsia="Arial" w:hAnsi="Arial"/>
          <w:sz w:val="16"/>
          <w:szCs w:val="16"/>
          <w:u w:val="single" w:color="auto"/>
          <w:color w:val="0000FF"/>
        </w:rPr>
      </w:pPr>
      <w:r>
        <w:rPr>
          <w:rFonts w:ascii="Arial" w:cs="Arial" w:eastAsia="Arial" w:hAnsi="Arial"/>
          <w:sz w:val="17"/>
          <w:szCs w:val="17"/>
          <w:color w:val="auto"/>
        </w:rPr>
        <w:t xml:space="preserve">4.28 </w:t>
      </w:r>
      <w:hyperlink r:id="rId241">
        <w:r>
          <w:rPr>
            <w:rFonts w:ascii="Arial" w:cs="Arial" w:eastAsia="Arial" w:hAnsi="Arial"/>
            <w:sz w:val="16"/>
            <w:szCs w:val="16"/>
            <w:u w:val="single" w:color="auto"/>
            <w:color w:val="0000FF"/>
          </w:rPr>
          <w:t>Facility P Accession Deed dated December 7, 2020 and entered into between Virgin Media Investment Holdings Limited as the Company, VMED</w:t>
        </w:r>
      </w:hyperlink>
      <w:r>
        <w:rPr>
          <w:rFonts w:ascii="Arial" w:cs="Arial" w:eastAsia="Arial" w:hAnsi="Arial"/>
          <w:sz w:val="17"/>
          <w:szCs w:val="17"/>
          <w:color w:val="auto"/>
        </w:rPr>
        <w:t xml:space="preserve"> </w:t>
      </w:r>
      <w:hyperlink r:id="rId241">
        <w:r>
          <w:rPr>
            <w:rFonts w:ascii="Arial" w:cs="Arial" w:eastAsia="Arial" w:hAnsi="Arial"/>
            <w:sz w:val="16"/>
            <w:szCs w:val="16"/>
            <w:u w:val="single" w:color="auto"/>
            <w:color w:val="0000FF"/>
          </w:rPr>
          <w:t>O2 UK Holdco 4 Limited as Borrower, The Bank of Nova Scotia as the Facility Agent and the Additional Facility P Lenders (as defined therein)</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(incorporated by reference to Exhibit 4.1 to the Registrant’s Current Report on Form 8-K filed December 11, 2020 (File No. 001-35961)).</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3175</wp:posOffset>
            </wp:positionV>
            <wp:extent cx="7118350" cy="4787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7118350" cy="478790"/>
                    </a:xfrm>
                    <a:prstGeom prst="rect">
                      <a:avLst/>
                    </a:prstGeom>
                    <a:noFill/>
                  </pic:spPr>
                </pic:pic>
              </a:graphicData>
            </a:graphic>
          </wp:anchor>
        </w:drawing>
      </w:r>
    </w:p>
    <w:p>
      <w:pPr>
        <w:jc w:val="both"/>
        <w:ind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4.29 </w:t>
      </w:r>
      <w:hyperlink r:id="rId243">
        <w:r>
          <w:rPr>
            <w:rFonts w:ascii="Arial" w:cs="Arial" w:eastAsia="Arial" w:hAnsi="Arial"/>
            <w:sz w:val="15"/>
            <w:szCs w:val="15"/>
            <w:u w:val="single" w:color="auto"/>
            <w:color w:val="0000FF"/>
          </w:rPr>
          <w:t>Additional Facility Q Accession Deed dated September 11, 2020 and entered into between Virgin Media Investment Holdings Limited as the</w:t>
        </w:r>
      </w:hyperlink>
      <w:r>
        <w:rPr>
          <w:rFonts w:ascii="Arial" w:cs="Arial" w:eastAsia="Arial" w:hAnsi="Arial"/>
          <w:sz w:val="15"/>
          <w:szCs w:val="15"/>
          <w:color w:val="auto"/>
        </w:rPr>
        <w:t xml:space="preserve"> </w:t>
      </w:r>
      <w:hyperlink r:id="rId243">
        <w:r>
          <w:rPr>
            <w:rFonts w:ascii="Arial" w:cs="Arial" w:eastAsia="Arial" w:hAnsi="Arial"/>
            <w:sz w:val="15"/>
            <w:szCs w:val="15"/>
            <w:u w:val="single" w:color="auto"/>
            <w:color w:val="0000FF"/>
          </w:rPr>
          <w:t>Company, Virgin Media Bristol LLC as Borrower, The Bank of Nova Scotia as the Facility Agent and the Additional Facility Q Lenders (as</w:t>
        </w:r>
      </w:hyperlink>
      <w:r>
        <w:rPr>
          <w:rFonts w:ascii="Arial" w:cs="Arial" w:eastAsia="Arial" w:hAnsi="Arial"/>
          <w:sz w:val="15"/>
          <w:szCs w:val="15"/>
          <w:u w:val="single" w:color="auto"/>
          <w:color w:val="0000FF"/>
        </w:rPr>
        <w:t xml:space="preserve"> </w:t>
      </w:r>
      <w:hyperlink r:id="rId243">
        <w:r>
          <w:rPr>
            <w:rFonts w:ascii="Arial" w:cs="Arial" w:eastAsia="Arial" w:hAnsi="Arial"/>
            <w:sz w:val="15"/>
            <w:szCs w:val="15"/>
            <w:u w:val="single" w:color="auto"/>
            <w:color w:val="0000FF"/>
          </w:rPr>
          <w:t>defined therein) (incorporated by reference to Exhibit 4.1 to the Registrant’s Current Report on Form 8-K filed September 16, 2020 (the</w:t>
        </w:r>
      </w:hyperlink>
    </w:p>
    <w:p>
      <w:pPr>
        <w:spacing w:after="0"/>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September 16, 2020 8-K)).</w:t>
        </w:r>
      </w:hyperlink>
    </w:p>
    <w:p>
      <w:pPr>
        <w:spacing w:after="0" w:line="4" w:lineRule="exact"/>
        <w:rPr>
          <w:rFonts w:ascii="Arial" w:cs="Arial" w:eastAsia="Arial" w:hAnsi="Arial"/>
          <w:sz w:val="15"/>
          <w:szCs w:val="15"/>
          <w:color w:val="auto"/>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4.30 </w:t>
      </w:r>
      <w:hyperlink r:id="rId244">
        <w:r>
          <w:rPr>
            <w:rFonts w:ascii="Arial" w:cs="Arial" w:eastAsia="Arial" w:hAnsi="Arial"/>
            <w:sz w:val="18"/>
            <w:szCs w:val="18"/>
            <w:u w:val="single" w:color="auto"/>
            <w:color w:val="0000FF"/>
          </w:rPr>
          <w:t>Additional Facility R Accession Deed dated September 11, 2020 and entered into between Virgin Media Investment Holdings Limited as the</w:t>
        </w:r>
      </w:hyperlink>
      <w:r>
        <w:rPr>
          <w:rFonts w:ascii="Arial" w:cs="Arial" w:eastAsia="Arial" w:hAnsi="Arial"/>
          <w:sz w:val="18"/>
          <w:szCs w:val="18"/>
          <w:color w:val="auto"/>
        </w:rPr>
        <w:t xml:space="preserve"> </w:t>
      </w:r>
      <w:hyperlink r:id="rId244">
        <w:r>
          <w:rPr>
            <w:rFonts w:ascii="Arial" w:cs="Arial" w:eastAsia="Arial" w:hAnsi="Arial"/>
            <w:sz w:val="18"/>
            <w:szCs w:val="18"/>
            <w:u w:val="single" w:color="auto"/>
            <w:color w:val="0000FF"/>
          </w:rPr>
          <w:t>Company, VMED O2 UK Holdco 4 Limited as Borrower, The Bank of Nova Scotia as the Facility Agent and the Additional Facility R Lenders</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(as defined therein) (incorporated by reference to Exhibit 4.2 to the September 16, 2020 8-K ).</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9525</wp:posOffset>
            </wp:positionV>
            <wp:extent cx="7118350" cy="4787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118350" cy="478790"/>
                    </a:xfrm>
                    <a:prstGeom prst="rect">
                      <a:avLst/>
                    </a:prstGeom>
                    <a:noFill/>
                  </pic:spPr>
                </pic:pic>
              </a:graphicData>
            </a:graphic>
          </wp:anchor>
        </w:drawing>
      </w:r>
    </w:p>
    <w:p>
      <w:pPr>
        <w:jc w:val="both"/>
        <w:ind w:right="20"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4.31 </w:t>
      </w:r>
      <w:hyperlink r:id="rId246">
        <w:r>
          <w:rPr>
            <w:rFonts w:ascii="Arial" w:cs="Arial" w:eastAsia="Arial" w:hAnsi="Arial"/>
            <w:sz w:val="15"/>
            <w:szCs w:val="15"/>
            <w:u w:val="single" w:color="auto"/>
            <w:color w:val="0000FF"/>
          </w:rPr>
          <w:t>Additional Facility S Accession Deed dated September 24, 2020 and entered into between Virgin Media Investment Holdings Limited as the</w:t>
        </w:r>
      </w:hyperlink>
      <w:r>
        <w:rPr>
          <w:rFonts w:ascii="Arial" w:cs="Arial" w:eastAsia="Arial" w:hAnsi="Arial"/>
          <w:sz w:val="15"/>
          <w:szCs w:val="15"/>
          <w:color w:val="auto"/>
        </w:rPr>
        <w:t xml:space="preserve"> </w:t>
      </w:r>
      <w:hyperlink r:id="rId246">
        <w:r>
          <w:rPr>
            <w:rFonts w:ascii="Arial" w:cs="Arial" w:eastAsia="Arial" w:hAnsi="Arial"/>
            <w:sz w:val="15"/>
            <w:szCs w:val="15"/>
            <w:u w:val="single" w:color="auto"/>
            <w:color w:val="0000FF"/>
          </w:rPr>
          <w:t>Company, VMED O2 UK Holdco 4 Limited as Borrower, The Bank of Nova Scotia as the Facility Agent and VMED O2 UK Financing I plc as</w:t>
        </w:r>
      </w:hyperlink>
      <w:r>
        <w:rPr>
          <w:rFonts w:ascii="Arial" w:cs="Arial" w:eastAsia="Arial" w:hAnsi="Arial"/>
          <w:sz w:val="15"/>
          <w:szCs w:val="15"/>
          <w:u w:val="single" w:color="auto"/>
          <w:color w:val="0000FF"/>
        </w:rPr>
        <w:t xml:space="preserve"> </w:t>
      </w:r>
      <w:hyperlink r:id="rId246">
        <w:r>
          <w:rPr>
            <w:rFonts w:ascii="Arial" w:cs="Arial" w:eastAsia="Arial" w:hAnsi="Arial"/>
            <w:sz w:val="15"/>
            <w:szCs w:val="15"/>
            <w:u w:val="single" w:color="auto"/>
            <w:color w:val="0000FF"/>
          </w:rPr>
          <w:t>the Additional Facility S Lender (incorporated by reference to Exhibit 4.1 to the Registrant’s Current Report on Form 8-K filed September 30,</w:t>
        </w:r>
      </w:hyperlink>
    </w:p>
    <w:p>
      <w:pPr>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2020 (the September 30, 2020 8-K)).</w:t>
        </w:r>
      </w:hyperlink>
    </w:p>
    <w:p>
      <w:pPr>
        <w:spacing w:after="0" w:line="4" w:lineRule="exact"/>
        <w:rPr>
          <w:rFonts w:ascii="Arial" w:cs="Arial" w:eastAsia="Arial" w:hAnsi="Arial"/>
          <w:sz w:val="15"/>
          <w:szCs w:val="15"/>
          <w:color w:val="auto"/>
        </w:rPr>
      </w:pPr>
    </w:p>
    <w:p>
      <w:pPr>
        <w:jc w:val="both"/>
        <w:ind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4.32 </w:t>
      </w:r>
      <w:hyperlink r:id="rId247">
        <w:r>
          <w:rPr>
            <w:rFonts w:ascii="Arial" w:cs="Arial" w:eastAsia="Arial" w:hAnsi="Arial"/>
            <w:sz w:val="17"/>
            <w:szCs w:val="17"/>
            <w:u w:val="single" w:color="auto"/>
            <w:color w:val="0000FF"/>
          </w:rPr>
          <w:t>Additional Facility T Accession Deed dated September 24, 2020 and entered into between Virgin Media Investment Holdings Limited as the</w:t>
        </w:r>
      </w:hyperlink>
      <w:r>
        <w:rPr>
          <w:rFonts w:ascii="Arial" w:cs="Arial" w:eastAsia="Arial" w:hAnsi="Arial"/>
          <w:sz w:val="17"/>
          <w:szCs w:val="17"/>
          <w:color w:val="auto"/>
        </w:rPr>
        <w:t xml:space="preserve"> </w:t>
      </w:r>
      <w:hyperlink r:id="rId247">
        <w:r>
          <w:rPr>
            <w:rFonts w:ascii="Arial" w:cs="Arial" w:eastAsia="Arial" w:hAnsi="Arial"/>
            <w:sz w:val="17"/>
            <w:szCs w:val="17"/>
            <w:u w:val="single" w:color="auto"/>
            <w:color w:val="0000FF"/>
          </w:rPr>
          <w:t>Company, VMED O2 UK Holdco 4 Limited as Borrower, The Bank of Nova Scotia as the Facility Agent and VMED O2 UK Financing I plc as</w:t>
        </w:r>
      </w:hyperlink>
      <w:r>
        <w:rPr>
          <w:rFonts w:ascii="Arial" w:cs="Arial" w:eastAsia="Arial" w:hAnsi="Arial"/>
          <w:sz w:val="17"/>
          <w:szCs w:val="17"/>
          <w:u w:val="single" w:color="auto"/>
          <w:color w:val="0000FF"/>
        </w:rPr>
        <w:t xml:space="preserve"> </w:t>
      </w:r>
      <w:hyperlink r:id="rId247">
        <w:r>
          <w:rPr>
            <w:rFonts w:ascii="Arial" w:cs="Arial" w:eastAsia="Arial" w:hAnsi="Arial"/>
            <w:sz w:val="17"/>
            <w:szCs w:val="17"/>
            <w:u w:val="single" w:color="auto"/>
            <w:color w:val="0000FF"/>
          </w:rPr>
          <w:t>the Additional Facility T Lender (incorporated by reference to Exhibit 4.2 to the September 30, 2020 8-K).</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9525</wp:posOffset>
            </wp:positionV>
            <wp:extent cx="7118350" cy="3695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right="20"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4.33 </w:t>
      </w:r>
      <w:hyperlink r:id="rId249">
        <w:r>
          <w:rPr>
            <w:rFonts w:ascii="Arial" w:cs="Arial" w:eastAsia="Arial" w:hAnsi="Arial"/>
            <w:sz w:val="17"/>
            <w:szCs w:val="17"/>
            <w:u w:val="single" w:color="auto"/>
            <w:color w:val="0000FF"/>
          </w:rPr>
          <w:t>Additional Facility U Accession Deed dated September 24, 2020 and entered into between Virgin Media Investment Holdings Limited as the</w:t>
        </w:r>
      </w:hyperlink>
      <w:r>
        <w:rPr>
          <w:rFonts w:ascii="Arial" w:cs="Arial" w:eastAsia="Arial" w:hAnsi="Arial"/>
          <w:sz w:val="17"/>
          <w:szCs w:val="17"/>
          <w:color w:val="auto"/>
        </w:rPr>
        <w:t xml:space="preserve"> </w:t>
      </w:r>
      <w:hyperlink r:id="rId249">
        <w:r>
          <w:rPr>
            <w:rFonts w:ascii="Arial" w:cs="Arial" w:eastAsia="Arial" w:hAnsi="Arial"/>
            <w:sz w:val="17"/>
            <w:szCs w:val="17"/>
            <w:u w:val="single" w:color="auto"/>
            <w:color w:val="0000FF"/>
          </w:rPr>
          <w:t>Company, VMED O2 UK Holdco 4 Limited as Borrower, The Bank of Nova Scotia as the Facility Agent and VMED O2 UK Financing I plc as</w:t>
        </w:r>
      </w:hyperlink>
      <w:r>
        <w:rPr>
          <w:rFonts w:ascii="Arial" w:cs="Arial" w:eastAsia="Arial" w:hAnsi="Arial"/>
          <w:sz w:val="17"/>
          <w:szCs w:val="17"/>
          <w:u w:val="single" w:color="auto"/>
          <w:color w:val="0000FF"/>
        </w:rPr>
        <w:t xml:space="preserve"> </w:t>
      </w:r>
      <w:hyperlink r:id="rId249">
        <w:r>
          <w:rPr>
            <w:rFonts w:ascii="Arial" w:cs="Arial" w:eastAsia="Arial" w:hAnsi="Arial"/>
            <w:sz w:val="17"/>
            <w:szCs w:val="17"/>
            <w:u w:val="single" w:color="auto"/>
            <w:color w:val="0000FF"/>
          </w:rPr>
          <w:t>the Additional Facility U Lender (incorporated by reference to Exhibit 4.3 to the September 30, 2020 8-K).</w:t>
        </w:r>
      </w:hyperlink>
    </w:p>
    <w:p>
      <w:pPr>
        <w:spacing w:after="0" w:line="15" w:lineRule="exact"/>
        <w:rPr>
          <w:rFonts w:ascii="Arial" w:cs="Arial" w:eastAsia="Arial" w:hAnsi="Arial"/>
          <w:sz w:val="17"/>
          <w:szCs w:val="17"/>
          <w:color w:val="auto"/>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4.34 </w:t>
      </w:r>
      <w:hyperlink r:id="rId250">
        <w:r>
          <w:rPr>
            <w:rFonts w:ascii="Arial" w:cs="Arial" w:eastAsia="Arial" w:hAnsi="Arial"/>
            <w:sz w:val="18"/>
            <w:szCs w:val="18"/>
            <w:u w:val="single" w:color="auto"/>
            <w:color w:val="0000FF"/>
          </w:rPr>
          <w:t>Additional Facility AV2 Accession Agreement dated April 12, 2021 and entered into between, among others, UPC Financing Partnership as the</w:t>
        </w:r>
      </w:hyperlink>
      <w:r>
        <w:rPr>
          <w:rFonts w:ascii="Arial" w:cs="Arial" w:eastAsia="Arial" w:hAnsi="Arial"/>
          <w:sz w:val="18"/>
          <w:szCs w:val="18"/>
          <w:color w:val="auto"/>
        </w:rPr>
        <w:t xml:space="preserve"> </w:t>
      </w:r>
      <w:hyperlink r:id="rId250">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Form 8-K filed April 16, 2021 (File no. 001-35961) (the April 16, 2021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9525</wp:posOffset>
            </wp:positionV>
            <wp:extent cx="7118350" cy="260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right="20" w:hanging="396"/>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4.35 </w:t>
      </w:r>
      <w:hyperlink r:id="rId252">
        <w:r>
          <w:rPr>
            <w:rFonts w:ascii="Arial" w:cs="Arial" w:eastAsia="Arial" w:hAnsi="Arial"/>
            <w:sz w:val="15"/>
            <w:szCs w:val="15"/>
            <w:u w:val="single" w:color="auto"/>
            <w:color w:val="0000FF"/>
          </w:rPr>
          <w:t>Additional Facility AW2 Accession Agreement dated April 12, 2021 and entered into between, among others, UPC Broadband Holding B.V. as</w:t>
        </w:r>
      </w:hyperlink>
      <w:r>
        <w:rPr>
          <w:rFonts w:ascii="Arial" w:cs="Arial" w:eastAsia="Arial" w:hAnsi="Arial"/>
          <w:sz w:val="15"/>
          <w:szCs w:val="15"/>
          <w:color w:val="auto"/>
        </w:rPr>
        <w:t xml:space="preserve"> </w:t>
      </w:r>
      <w:hyperlink r:id="rId252">
        <w:r>
          <w:rPr>
            <w:rFonts w:ascii="Arial" w:cs="Arial" w:eastAsia="Arial" w:hAnsi="Arial"/>
            <w:sz w:val="15"/>
            <w:szCs w:val="15"/>
            <w:u w:val="single" w:color="auto"/>
            <w:color w:val="0000FF"/>
          </w:rPr>
          <w:t>the Borrower and The Bank of Nova Scotia as the Facility Agent (incorporated by reference to Exhibit 4.2 to the April 16, 2021 8-K.</w:t>
        </w:r>
      </w:hyperlink>
    </w:p>
    <w:p>
      <w:pPr>
        <w:spacing w:after="0" w:line="1" w:lineRule="exact"/>
        <w:rPr>
          <w:sz w:val="20"/>
          <w:szCs w:val="20"/>
          <w:color w:val="auto"/>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4.36 </w:t>
      </w:r>
      <w:hyperlink r:id="rId253">
        <w:r>
          <w:rPr>
            <w:rFonts w:ascii="Arial" w:cs="Arial" w:eastAsia="Arial" w:hAnsi="Arial"/>
            <w:sz w:val="18"/>
            <w:szCs w:val="18"/>
            <w:u w:val="single" w:color="auto"/>
            <w:color w:val="0000FF"/>
          </w:rPr>
          <w:t>Amended Credit Agreement dated April 12, 2021 and entered into between, among others, UPC Broadband and Upsizing Revolving Facility</w:t>
        </w:r>
      </w:hyperlink>
      <w:r>
        <w:rPr>
          <w:rFonts w:ascii="Arial" w:cs="Arial" w:eastAsia="Arial" w:hAnsi="Arial"/>
          <w:sz w:val="18"/>
          <w:szCs w:val="18"/>
          <w:color w:val="auto"/>
        </w:rPr>
        <w:t xml:space="preserve"> </w:t>
      </w:r>
      <w:hyperlink r:id="rId253">
        <w:r>
          <w:rPr>
            <w:rFonts w:ascii="Arial" w:cs="Arial" w:eastAsia="Arial" w:hAnsi="Arial"/>
            <w:sz w:val="18"/>
            <w:szCs w:val="18"/>
            <w:u w:val="single" w:color="auto"/>
            <w:color w:val="0000FF"/>
          </w:rPr>
          <w:t>lenders (named therein) and The Bank of Nova Scotia as the Facility Agent and Security Agent (incorporated by reference to Exhibit 4.3 to the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April 16, 2021 8-K).</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4460"/>
        <w:spacing w:after="0"/>
        <w:rPr>
          <w:sz w:val="20"/>
          <w:szCs w:val="20"/>
          <w:color w:val="auto"/>
        </w:rPr>
      </w:pPr>
      <w:r>
        <w:rPr>
          <w:rFonts w:ascii="Arial" w:cs="Arial" w:eastAsia="Arial" w:hAnsi="Arial"/>
          <w:sz w:val="18"/>
          <w:szCs w:val="18"/>
          <w:color w:val="auto"/>
        </w:rPr>
        <w:t>IV-3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-643255</wp:posOffset>
            </wp:positionH>
            <wp:positionV relativeFrom="paragraph">
              <wp:posOffset>65405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20"/>
          </w:cols>
          <w:pgMar w:left="1320" w:top="1014" w:right="359" w:bottom="1440" w:gutter="0" w:footer="0" w:header="0"/>
        </w:sectPr>
      </w:pPr>
    </w:p>
    <w:bookmarkStart w:id="172" w:name="page173"/>
    <w:bookmarkEnd w:id="172"/>
    <w:p>
      <w:pPr>
        <w:jc w:val="both"/>
        <w:ind w:left="96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3695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7118350" cy="369570"/>
                    </a:xfrm>
                    <a:prstGeom prst="rect">
                      <a:avLst/>
                    </a:prstGeom>
                    <a:noFill/>
                  </pic:spPr>
                </pic:pic>
              </a:graphicData>
            </a:graphic>
          </wp:anchor>
        </w:drawing>
        <w:t xml:space="preserve">4.37 </w:t>
      </w:r>
      <w:hyperlink r:id="rId256">
        <w:r>
          <w:rPr>
            <w:rFonts w:ascii="Arial" w:cs="Arial" w:eastAsia="Arial" w:hAnsi="Arial"/>
            <w:sz w:val="18"/>
            <w:szCs w:val="18"/>
            <w:u w:val="single" w:color="auto"/>
            <w:color w:val="0000FF"/>
          </w:rPr>
          <w:t>Additional Facility AX Accession Agreement dated April 20, 2021 and entered into between, among others, UPC Financing Partnership as the</w:t>
        </w:r>
      </w:hyperlink>
      <w:r>
        <w:rPr>
          <w:rFonts w:ascii="Arial" w:cs="Arial" w:eastAsia="Arial" w:hAnsi="Arial"/>
          <w:sz w:val="18"/>
          <w:szCs w:val="18"/>
          <w:color w:val="auto"/>
        </w:rPr>
        <w:t xml:space="preserve"> </w:t>
      </w:r>
      <w:hyperlink r:id="rId256">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Form 8-K filed April 26, 2021 (File no. 001-35961) (the April 26, 2021 8-K).</w:t>
        </w:r>
      </w:hyperlink>
    </w:p>
    <w:p>
      <w:pPr>
        <w:spacing w:after="0" w:line="16" w:lineRule="exact"/>
        <w:rPr>
          <w:rFonts w:ascii="Arial" w:cs="Arial" w:eastAsia="Arial" w:hAnsi="Arial"/>
          <w:sz w:val="18"/>
          <w:szCs w:val="18"/>
          <w:color w:val="auto"/>
        </w:rPr>
      </w:pPr>
    </w:p>
    <w:p>
      <w:pPr>
        <w:jc w:val="both"/>
        <w:ind w:left="960" w:hanging="396"/>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4.38 </w:t>
      </w:r>
      <w:hyperlink r:id="rId257">
        <w:r>
          <w:rPr>
            <w:rFonts w:ascii="Arial" w:cs="Arial" w:eastAsia="Arial" w:hAnsi="Arial"/>
            <w:sz w:val="15"/>
            <w:szCs w:val="15"/>
            <w:u w:val="single" w:color="auto"/>
            <w:color w:val="0000FF"/>
          </w:rPr>
          <w:t>Additional Facility AY Accession Agreement dated April 20, 2021 and entered into between, among others, UPC Broadband Holding B.V. as</w:t>
        </w:r>
      </w:hyperlink>
      <w:r>
        <w:rPr>
          <w:rFonts w:ascii="Arial" w:cs="Arial" w:eastAsia="Arial" w:hAnsi="Arial"/>
          <w:sz w:val="15"/>
          <w:szCs w:val="15"/>
          <w:color w:val="auto"/>
        </w:rPr>
        <w:t xml:space="preserve"> </w:t>
      </w:r>
      <w:hyperlink r:id="rId257">
        <w:r>
          <w:rPr>
            <w:rFonts w:ascii="Arial" w:cs="Arial" w:eastAsia="Arial" w:hAnsi="Arial"/>
            <w:sz w:val="15"/>
            <w:szCs w:val="15"/>
            <w:u w:val="single" w:color="auto"/>
            <w:color w:val="0000FF"/>
          </w:rPr>
          <w:t>the Borrower and The Bank of Nova Scotia as the Facility Agent (incorporated by reference to Exhibit 4.2 to the April 26, 2021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0</wp:posOffset>
            </wp:positionV>
            <wp:extent cx="7118350" cy="3695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960"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4.39 </w:t>
      </w:r>
      <w:hyperlink r:id="rId259">
        <w:r>
          <w:rPr>
            <w:rFonts w:ascii="Arial" w:cs="Arial" w:eastAsia="Arial" w:hAnsi="Arial"/>
            <w:sz w:val="17"/>
            <w:szCs w:val="17"/>
            <w:u w:val="single" w:color="auto"/>
            <w:color w:val="0000FF"/>
          </w:rPr>
          <w:t>Additional Facility AZ Accession Agreement dated April 21, 2021 and entered into between, among others, UPC Broadband Holding B.V. as</w:t>
        </w:r>
      </w:hyperlink>
      <w:r>
        <w:rPr>
          <w:rFonts w:ascii="Arial" w:cs="Arial" w:eastAsia="Arial" w:hAnsi="Arial"/>
          <w:sz w:val="17"/>
          <w:szCs w:val="17"/>
          <w:color w:val="auto"/>
        </w:rPr>
        <w:t xml:space="preserve"> </w:t>
      </w:r>
      <w:hyperlink r:id="rId259">
        <w:r>
          <w:rPr>
            <w:rFonts w:ascii="Arial" w:cs="Arial" w:eastAsia="Arial" w:hAnsi="Arial"/>
            <w:sz w:val="17"/>
            <w:szCs w:val="17"/>
            <w:u w:val="single" w:color="auto"/>
            <w:color w:val="0000FF"/>
          </w:rPr>
          <w:t>the Company, UPC Financing Partnership as the Borrower, The Bank of Nova Scotia as the Facility Agent and UPC Broadband Finco B.V. as</w:t>
        </w:r>
      </w:hyperlink>
      <w:r>
        <w:rPr>
          <w:rFonts w:ascii="Arial" w:cs="Arial" w:eastAsia="Arial" w:hAnsi="Arial"/>
          <w:sz w:val="17"/>
          <w:szCs w:val="17"/>
          <w:u w:val="single" w:color="auto"/>
          <w:color w:val="0000FF"/>
        </w:rPr>
        <w:t xml:space="preserve"> </w:t>
      </w:r>
      <w:hyperlink r:id="rId259">
        <w:r>
          <w:rPr>
            <w:rFonts w:ascii="Arial" w:cs="Arial" w:eastAsia="Arial" w:hAnsi="Arial"/>
            <w:sz w:val="17"/>
            <w:szCs w:val="17"/>
            <w:u w:val="single" w:color="auto"/>
            <w:color w:val="0000FF"/>
          </w:rPr>
          <w:t>the Additional Facility AZ Lender (incorporated by reference to Exhibit 4.3 to the April 26, 2021 8-K).</w:t>
        </w:r>
      </w:hyperlink>
    </w:p>
    <w:p>
      <w:pPr>
        <w:spacing w:after="0" w:line="15" w:lineRule="exact"/>
        <w:rPr>
          <w:rFonts w:ascii="Arial" w:cs="Arial" w:eastAsia="Arial" w:hAnsi="Arial"/>
          <w:sz w:val="17"/>
          <w:szCs w:val="17"/>
          <w:color w:val="auto"/>
        </w:rPr>
      </w:pPr>
    </w:p>
    <w:p>
      <w:pPr>
        <w:jc w:val="both"/>
        <w:ind w:left="960"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4.40 </w:t>
      </w:r>
      <w:hyperlink r:id="rId260">
        <w:r>
          <w:rPr>
            <w:rFonts w:ascii="Arial" w:cs="Arial" w:eastAsia="Arial" w:hAnsi="Arial"/>
            <w:sz w:val="15"/>
            <w:szCs w:val="15"/>
            <w:u w:val="single" w:color="auto"/>
            <w:color w:val="0000FF"/>
          </w:rPr>
          <w:t>Amendment and Restatement Agreement dated December 9, 2019 between Virgin Media Investment Holdings Limited (for itself and as agent</w:t>
        </w:r>
      </w:hyperlink>
      <w:r>
        <w:rPr>
          <w:rFonts w:ascii="Arial" w:cs="Arial" w:eastAsia="Arial" w:hAnsi="Arial"/>
          <w:sz w:val="15"/>
          <w:szCs w:val="15"/>
          <w:color w:val="auto"/>
        </w:rPr>
        <w:t xml:space="preserve"> </w:t>
      </w:r>
      <w:hyperlink r:id="rId260">
        <w:r>
          <w:rPr>
            <w:rFonts w:ascii="Arial" w:cs="Arial" w:eastAsia="Arial" w:hAnsi="Arial"/>
            <w:sz w:val="15"/>
            <w:szCs w:val="15"/>
            <w:u w:val="single" w:color="auto"/>
            <w:color w:val="0000FF"/>
          </w:rPr>
          <w:t>on behalf of the other obligors) and The Bank of Nova Scotia (as facility agent), and attached as a schedule thereto, a copy of the Senior</w:t>
        </w:r>
      </w:hyperlink>
      <w:r>
        <w:rPr>
          <w:rFonts w:ascii="Arial" w:cs="Arial" w:eastAsia="Arial" w:hAnsi="Arial"/>
          <w:sz w:val="15"/>
          <w:szCs w:val="15"/>
          <w:u w:val="single" w:color="auto"/>
          <w:color w:val="0000FF"/>
        </w:rPr>
        <w:t xml:space="preserve"> </w:t>
      </w:r>
      <w:hyperlink r:id="rId260">
        <w:r>
          <w:rPr>
            <w:rFonts w:ascii="Arial" w:cs="Arial" w:eastAsia="Arial" w:hAnsi="Arial"/>
            <w:sz w:val="15"/>
            <w:szCs w:val="15"/>
            <w:u w:val="single" w:color="auto"/>
            <w:color w:val="0000FF"/>
          </w:rPr>
          <w:t>Facilities Agreement, originally dated June 7, 2013, between, among others, Virgin Media Investment Holdings Limited as a borrower and a</w:t>
        </w:r>
      </w:hyperlink>
    </w:p>
    <w:p>
      <w:pPr>
        <w:jc w:val="both"/>
        <w:ind w:left="960"/>
        <w:spacing w:after="0" w:line="213"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guarantor, The Bank of Nova Scotia as facility agent and Deutsche Bank AG, London Branch as security trustee as amended and restated by the</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Amendment and Restatement Agreement (incorporated by reference to Exhibit 4.1 to the Registrant’s Current Report on Form 8-K filed</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December 13, 2019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-12700</wp:posOffset>
            </wp:positionH>
            <wp:positionV relativeFrom="paragraph">
              <wp:posOffset>10160</wp:posOffset>
            </wp:positionV>
            <wp:extent cx="7118350" cy="4787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7118350" cy="478790"/>
                    </a:xfrm>
                    <a:prstGeom prst="rect">
                      <a:avLst/>
                    </a:prstGeom>
                    <a:noFill/>
                  </pic:spPr>
                </pic:pic>
              </a:graphicData>
            </a:graphic>
          </wp:anchor>
        </w:drawing>
      </w:r>
    </w:p>
    <w:p>
      <w:pPr>
        <w:jc w:val="both"/>
        <w:ind w:left="960"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4.41 </w:t>
      </w:r>
      <w:hyperlink r:id="rId262">
        <w:r>
          <w:rPr>
            <w:rFonts w:ascii="Arial" w:cs="Arial" w:eastAsia="Arial" w:hAnsi="Arial"/>
            <w:sz w:val="15"/>
            <w:szCs w:val="15"/>
            <w:u w:val="single" w:color="auto"/>
            <w:color w:val="0000FF"/>
          </w:rPr>
          <w:t>Indenture dated May 16, 2019, among Virgin Media Secured Finance PLC, as Issuer, BNY Mellon Corporate Trustee Services Limited as</w:t>
        </w:r>
      </w:hyperlink>
      <w:r>
        <w:rPr>
          <w:rFonts w:ascii="Arial" w:cs="Arial" w:eastAsia="Arial" w:hAnsi="Arial"/>
          <w:sz w:val="15"/>
          <w:szCs w:val="15"/>
          <w:color w:val="auto"/>
        </w:rPr>
        <w:t xml:space="preserve"> </w:t>
      </w:r>
      <w:hyperlink r:id="rId262">
        <w:r>
          <w:rPr>
            <w:rFonts w:ascii="Arial" w:cs="Arial" w:eastAsia="Arial" w:hAnsi="Arial"/>
            <w:sz w:val="15"/>
            <w:szCs w:val="15"/>
            <w:u w:val="single" w:color="auto"/>
            <w:color w:val="0000FF"/>
          </w:rPr>
          <w:t>Trustee, The Bank of New York Mellon, London Branch, as Principal Paying Agent and The Bank of New York Mellon SA/NV, Luxembourg</w:t>
        </w:r>
      </w:hyperlink>
      <w:r>
        <w:rPr>
          <w:rFonts w:ascii="Arial" w:cs="Arial" w:eastAsia="Arial" w:hAnsi="Arial"/>
          <w:sz w:val="15"/>
          <w:szCs w:val="15"/>
          <w:u w:val="single" w:color="auto"/>
          <w:color w:val="0000FF"/>
        </w:rPr>
        <w:t xml:space="preserve"> </w:t>
      </w:r>
      <w:hyperlink r:id="rId262">
        <w:r>
          <w:rPr>
            <w:rFonts w:ascii="Arial" w:cs="Arial" w:eastAsia="Arial" w:hAnsi="Arial"/>
            <w:sz w:val="15"/>
            <w:szCs w:val="15"/>
            <w:u w:val="single" w:color="auto"/>
            <w:color w:val="0000FF"/>
          </w:rPr>
          <w:t>Branch, as Registrar and Transfer Agent (incorporated by reference to Exhibit 4.1 to the Registrant’s Current Report on Form 8-K/A filed May</w:t>
        </w:r>
      </w:hyperlink>
    </w:p>
    <w:p>
      <w:pPr>
        <w:ind w:left="960"/>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17, 2019 (File No. 001-35961)).</w:t>
        </w:r>
      </w:hyperlink>
    </w:p>
    <w:p>
      <w:pPr>
        <w:spacing w:after="0" w:line="4" w:lineRule="exact"/>
        <w:rPr>
          <w:rFonts w:ascii="Arial" w:cs="Arial" w:eastAsia="Arial" w:hAnsi="Arial"/>
          <w:sz w:val="15"/>
          <w:szCs w:val="15"/>
          <w:color w:val="auto"/>
        </w:rPr>
      </w:pPr>
    </w:p>
    <w:p>
      <w:pPr>
        <w:jc w:val="both"/>
        <w:ind w:left="960" w:hanging="396"/>
        <w:spacing w:after="0" w:line="270"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4.42 </w:t>
      </w:r>
      <w:hyperlink r:id="rId263">
        <w:r>
          <w:rPr>
            <w:rFonts w:ascii="Arial" w:cs="Arial" w:eastAsia="Arial" w:hAnsi="Arial"/>
            <w:sz w:val="15"/>
            <w:szCs w:val="15"/>
            <w:u w:val="single" w:color="auto"/>
            <w:color w:val="0000FF"/>
          </w:rPr>
          <w:t>Supplemental Indenture, dated as of July 5, 2019, between Virgin Media Secured Finance PLC as Issuer and BNY Mellon Corporate Trustee</w:t>
        </w:r>
      </w:hyperlink>
      <w:r>
        <w:rPr>
          <w:rFonts w:ascii="Arial" w:cs="Arial" w:eastAsia="Arial" w:hAnsi="Arial"/>
          <w:sz w:val="15"/>
          <w:szCs w:val="15"/>
          <w:color w:val="auto"/>
        </w:rPr>
        <w:t xml:space="preserve"> </w:t>
      </w:r>
      <w:hyperlink r:id="rId263">
        <w:r>
          <w:rPr>
            <w:rFonts w:ascii="Arial" w:cs="Arial" w:eastAsia="Arial" w:hAnsi="Arial"/>
            <w:sz w:val="15"/>
            <w:szCs w:val="15"/>
            <w:u w:val="single" w:color="auto"/>
            <w:color w:val="0000FF"/>
          </w:rPr>
          <w:t>Services Limited as Trustee, to the Indenture dated May 16, 2019 for 5.50% Senior Secured Notes and 5.25% Senior Secured Notes, each due</w:t>
        </w:r>
      </w:hyperlink>
      <w:r>
        <w:rPr>
          <w:rFonts w:ascii="Arial" w:cs="Arial" w:eastAsia="Arial" w:hAnsi="Arial"/>
          <w:sz w:val="15"/>
          <w:szCs w:val="15"/>
          <w:u w:val="single" w:color="auto"/>
          <w:color w:val="0000FF"/>
        </w:rPr>
        <w:t xml:space="preserve"> </w:t>
      </w:r>
      <w:hyperlink r:id="rId263">
        <w:r>
          <w:rPr>
            <w:rFonts w:ascii="Arial" w:cs="Arial" w:eastAsia="Arial" w:hAnsi="Arial"/>
            <w:sz w:val="15"/>
            <w:szCs w:val="15"/>
            <w:u w:val="single" w:color="auto"/>
            <w:color w:val="0000FF"/>
          </w:rPr>
          <w:t>2029 (incorporated by reference to Exhibit 4.1 to the Registrant’s Current Report on Form 8-K filed July 9, 2019 (File No. 001-35961)).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-12700</wp:posOffset>
            </wp:positionH>
            <wp:positionV relativeFrom="paragraph">
              <wp:posOffset>0</wp:posOffset>
            </wp:positionV>
            <wp:extent cx="7118350" cy="5969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118350" cy="596900"/>
                    </a:xfrm>
                    <a:prstGeom prst="rect">
                      <a:avLst/>
                    </a:prstGeom>
                    <a:noFill/>
                  </pic:spPr>
                </pic:pic>
              </a:graphicData>
            </a:graphic>
          </wp:anchor>
        </w:drawing>
      </w:r>
    </w:p>
    <w:p>
      <w:pPr>
        <w:jc w:val="both"/>
        <w:ind w:left="960" w:hanging="396"/>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4.43 </w:t>
      </w:r>
      <w:hyperlink r:id="rId265">
        <w:r>
          <w:rPr>
            <w:rFonts w:ascii="Arial" w:cs="Arial" w:eastAsia="Arial" w:hAnsi="Arial"/>
            <w:sz w:val="15"/>
            <w:szCs w:val="15"/>
            <w:u w:val="single" w:color="auto"/>
            <w:color w:val="0000FF"/>
          </w:rPr>
          <w:t>SFA/ICA Accession Deed dated October 21, 2019, among UPC Poland Holding B.V., UPC Polska Sp. z o. o., UPC Poland Property Sp. z o. o.,</w:t>
        </w:r>
      </w:hyperlink>
      <w:r>
        <w:rPr>
          <w:rFonts w:ascii="Arial" w:cs="Arial" w:eastAsia="Arial" w:hAnsi="Arial"/>
          <w:sz w:val="15"/>
          <w:szCs w:val="15"/>
          <w:color w:val="auto"/>
        </w:rPr>
        <w:t xml:space="preserve"> </w:t>
      </w:r>
      <w:hyperlink r:id="rId265">
        <w:r>
          <w:rPr>
            <w:rFonts w:ascii="Arial" w:cs="Arial" w:eastAsia="Arial" w:hAnsi="Arial"/>
            <w:sz w:val="15"/>
            <w:szCs w:val="15"/>
            <w:u w:val="single" w:color="auto"/>
            <w:color w:val="0000FF"/>
          </w:rPr>
          <w:t>Liberty Global Europe Holdco 2 B.V., and The Bank of Nova Scotia as the Facility Agent and Security Agent, to the Amended Credit</w:t>
        </w:r>
      </w:hyperlink>
      <w:r>
        <w:rPr>
          <w:rFonts w:ascii="Arial" w:cs="Arial" w:eastAsia="Arial" w:hAnsi="Arial"/>
          <w:sz w:val="15"/>
          <w:szCs w:val="15"/>
          <w:u w:val="single" w:color="auto"/>
          <w:color w:val="0000FF"/>
        </w:rPr>
        <w:t xml:space="preserve"> </w:t>
      </w:r>
      <w:hyperlink r:id="rId265">
        <w:r>
          <w:rPr>
            <w:rFonts w:ascii="Arial" w:cs="Arial" w:eastAsia="Arial" w:hAnsi="Arial"/>
            <w:sz w:val="15"/>
            <w:szCs w:val="15"/>
            <w:u w:val="single" w:color="auto"/>
            <w:color w:val="0000FF"/>
          </w:rPr>
          <w:t>Agreement to Senior Secured Credit Facility Agreement originally dated January 16, 2004 (as amended and restated from time to time,</w:t>
        </w:r>
      </w:hyperlink>
    </w:p>
    <w:p>
      <w:pPr>
        <w:ind w:left="960"/>
        <w:spacing w:after="0" w:line="221" w:lineRule="auto"/>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including the Supplemental Deed dated November 29, 2017) (incorporated by reference to Exhibit 4.6 to the Registrant’s Quarterly Report on</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Form 10-Q filed November 6, 2019 (File No. 001-35961) (the November 2019 10-Q)).</w:t>
        </w:r>
      </w:hyperlink>
    </w:p>
    <w:p>
      <w:pPr>
        <w:spacing w:after="0" w:line="15" w:lineRule="exact"/>
        <w:rPr>
          <w:sz w:val="20"/>
          <w:szCs w:val="20"/>
          <w:color w:val="auto"/>
        </w:rPr>
      </w:pPr>
    </w:p>
    <w:p>
      <w:pPr>
        <w:jc w:val="both"/>
        <w:ind w:left="960" w:hanging="343"/>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4.44 </w:t>
      </w:r>
      <w:hyperlink r:id="rId266">
        <w:r>
          <w:rPr>
            <w:rFonts w:ascii="Arial" w:cs="Arial" w:eastAsia="Arial" w:hAnsi="Arial"/>
            <w:sz w:val="15"/>
            <w:szCs w:val="15"/>
            <w:u w:val="single" w:color="auto"/>
            <w:color w:val="0000FF"/>
          </w:rPr>
          <w:t>Supplemental Agreement dated April 6, 2020 between, among others, Telenet BV as company, The Bank of Nova Scotia as facility agent and</w:t>
        </w:r>
      </w:hyperlink>
      <w:r>
        <w:rPr>
          <w:rFonts w:ascii="Arial" w:cs="Arial" w:eastAsia="Arial" w:hAnsi="Arial"/>
          <w:sz w:val="15"/>
          <w:szCs w:val="15"/>
          <w:color w:val="auto"/>
        </w:rPr>
        <w:t xml:space="preserve"> </w:t>
      </w:r>
      <w:hyperlink r:id="rId266">
        <w:r>
          <w:rPr>
            <w:rFonts w:ascii="Arial" w:cs="Arial" w:eastAsia="Arial" w:hAnsi="Arial"/>
            <w:sz w:val="15"/>
            <w:szCs w:val="15"/>
            <w:u w:val="single" w:color="auto"/>
            <w:color w:val="0000FF"/>
          </w:rPr>
          <w:t>KBC Bank NV as security agent and attached as a schedule thereto, a copy of the Amended and Restated Credit Agreement dated April 6, 2020,</w:t>
        </w:r>
      </w:hyperlink>
      <w:r>
        <w:rPr>
          <w:rFonts w:ascii="Arial" w:cs="Arial" w:eastAsia="Arial" w:hAnsi="Arial"/>
          <w:sz w:val="15"/>
          <w:szCs w:val="15"/>
          <w:u w:val="single" w:color="auto"/>
          <w:color w:val="0000FF"/>
        </w:rPr>
        <w:t xml:space="preserve"> </w:t>
      </w:r>
      <w:hyperlink r:id="rId266">
        <w:r>
          <w:rPr>
            <w:rFonts w:ascii="Arial" w:cs="Arial" w:eastAsia="Arial" w:hAnsi="Arial"/>
            <w:sz w:val="15"/>
            <w:szCs w:val="15"/>
            <w:u w:val="single" w:color="auto"/>
            <w:color w:val="0000FF"/>
          </w:rPr>
          <w:t>between, among others, Telenet BV as original borrower and The Bank of Nova Scotia as facility agent and KBC Bank NV as security agent</w:t>
        </w:r>
      </w:hyperlink>
    </w:p>
    <w:p>
      <w:pPr>
        <w:ind w:left="960"/>
        <w:spacing w:after="0"/>
        <w:rPr>
          <w:rFonts w:ascii="Arial" w:cs="Arial" w:eastAsia="Arial" w:hAnsi="Arial"/>
          <w:sz w:val="17"/>
          <w:szCs w:val="17"/>
          <w:u w:val="single" w:color="auto"/>
          <w:color w:val="0000FF"/>
        </w:rPr>
      </w:pPr>
      <w:hyperlink r:id="rId266">
        <w:r>
          <w:rPr>
            <w:rFonts w:ascii="Arial" w:cs="Arial" w:eastAsia="Arial" w:hAnsi="Arial"/>
            <w:sz w:val="17"/>
            <w:szCs w:val="17"/>
            <w:u w:val="single" w:color="auto"/>
            <w:color w:val="0000FF"/>
          </w:rPr>
          <w:t>(incorporated by reference to Exhibit 4.1 to the Registrant’s Current Report on Form 8-K filed April 10, 2020 (File No. 001-35961)).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7118350" cy="4787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7118350" cy="478790"/>
                    </a:xfrm>
                    <a:prstGeom prst="rect">
                      <a:avLst/>
                    </a:prstGeom>
                    <a:noFill/>
                  </pic:spPr>
                </pic:pic>
              </a:graphicData>
            </a:graphic>
          </wp:anchor>
        </w:drawing>
      </w:r>
    </w:p>
    <w:p>
      <w:pPr>
        <w:jc w:val="both"/>
        <w:ind w:left="960" w:hanging="343"/>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4.45 </w:t>
      </w:r>
      <w:hyperlink r:id="rId268">
        <w:r>
          <w:rPr>
            <w:rFonts w:ascii="Arial" w:cs="Arial" w:eastAsia="Arial" w:hAnsi="Arial"/>
            <w:sz w:val="15"/>
            <w:szCs w:val="15"/>
            <w:u w:val="single" w:color="auto"/>
            <w:color w:val="0000FF"/>
          </w:rPr>
          <w:t>Supplemental Deed dated April 23, 2020 between, among others, UPC Broadband Holding B.V. as Obligors’ Agent and The Bank of Nova</w:t>
        </w:r>
      </w:hyperlink>
      <w:r>
        <w:rPr>
          <w:rFonts w:ascii="Arial" w:cs="Arial" w:eastAsia="Arial" w:hAnsi="Arial"/>
          <w:sz w:val="15"/>
          <w:szCs w:val="15"/>
          <w:color w:val="auto"/>
        </w:rPr>
        <w:t xml:space="preserve"> </w:t>
      </w:r>
      <w:hyperlink r:id="rId268">
        <w:r>
          <w:rPr>
            <w:rFonts w:ascii="Arial" w:cs="Arial" w:eastAsia="Arial" w:hAnsi="Arial"/>
            <w:sz w:val="15"/>
            <w:szCs w:val="15"/>
            <w:u w:val="single" w:color="auto"/>
            <w:color w:val="0000FF"/>
          </w:rPr>
          <w:t>Scotia as facility agent and security agent and, attached as a schedule thereto, a copy of the Amended Senior Facilities Agreement dated April</w:t>
        </w:r>
      </w:hyperlink>
      <w:r>
        <w:rPr>
          <w:rFonts w:ascii="Arial" w:cs="Arial" w:eastAsia="Arial" w:hAnsi="Arial"/>
          <w:sz w:val="15"/>
          <w:szCs w:val="15"/>
          <w:u w:val="single" w:color="auto"/>
          <w:color w:val="0000FF"/>
        </w:rPr>
        <w:t xml:space="preserve"> </w:t>
      </w:r>
      <w:hyperlink r:id="rId268">
        <w:r>
          <w:rPr>
            <w:rFonts w:ascii="Arial" w:cs="Arial" w:eastAsia="Arial" w:hAnsi="Arial"/>
            <w:sz w:val="15"/>
            <w:szCs w:val="15"/>
            <w:u w:val="single" w:color="auto"/>
            <w:color w:val="0000FF"/>
          </w:rPr>
          <w:t>23, 2020 between, among others, UPC Broadband Holding B.V. as borrower and The Bank of Nova Scotia as facility agent and security agent</w:t>
        </w:r>
      </w:hyperlink>
    </w:p>
    <w:p>
      <w:pPr>
        <w:ind w:left="960"/>
        <w:spacing w:after="0"/>
        <w:rPr>
          <w:rFonts w:ascii="Arial" w:cs="Arial" w:eastAsia="Arial" w:hAnsi="Arial"/>
          <w:sz w:val="17"/>
          <w:szCs w:val="17"/>
          <w:u w:val="single" w:color="auto"/>
          <w:color w:val="0000FF"/>
        </w:rPr>
      </w:pPr>
      <w:hyperlink r:id="rId268">
        <w:r>
          <w:rPr>
            <w:rFonts w:ascii="Arial" w:cs="Arial" w:eastAsia="Arial" w:hAnsi="Arial"/>
            <w:sz w:val="17"/>
            <w:szCs w:val="17"/>
            <w:u w:val="single" w:color="auto"/>
            <w:color w:val="0000FF"/>
          </w:rPr>
          <w:t>(incorporated by reference to Exhibit 4.1 to the Registrant’s Current Report on Form 8-K filed April 29, 2020 (File No. 001-35961)).</w:t>
        </w:r>
      </w:hyperlink>
    </w:p>
    <w:p>
      <w:pPr>
        <w:spacing w:after="0" w:line="16" w:lineRule="exact"/>
        <w:rPr>
          <w:rFonts w:ascii="Arial" w:cs="Arial" w:eastAsia="Arial" w:hAnsi="Arial"/>
          <w:sz w:val="15"/>
          <w:szCs w:val="15"/>
          <w:color w:val="auto"/>
        </w:rPr>
      </w:pPr>
    </w:p>
    <w:p>
      <w:pPr>
        <w:jc w:val="both"/>
        <w:ind w:left="960" w:hanging="343"/>
        <w:spacing w:after="0" w:line="25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4.46 </w:t>
      </w:r>
      <w:hyperlink r:id="rId269">
        <w:r>
          <w:rPr>
            <w:rFonts w:ascii="Arial" w:cs="Arial" w:eastAsia="Arial" w:hAnsi="Arial"/>
            <w:sz w:val="15"/>
            <w:szCs w:val="15"/>
            <w:u w:val="single" w:color="auto"/>
            <w:color w:val="0000FF"/>
          </w:rPr>
          <w:t>Supplemental Deed dated May 23, 2022 between, among others, UPC Broadband Holding B.V. as Obligors’ Agent and The Bank of Nova</w:t>
        </w:r>
      </w:hyperlink>
      <w:r>
        <w:rPr>
          <w:rFonts w:ascii="Arial" w:cs="Arial" w:eastAsia="Arial" w:hAnsi="Arial"/>
          <w:sz w:val="15"/>
          <w:szCs w:val="15"/>
          <w:color w:val="auto"/>
        </w:rPr>
        <w:t xml:space="preserve"> </w:t>
      </w:r>
      <w:hyperlink r:id="rId269">
        <w:r>
          <w:rPr>
            <w:rFonts w:ascii="Arial" w:cs="Arial" w:eastAsia="Arial" w:hAnsi="Arial"/>
            <w:sz w:val="15"/>
            <w:szCs w:val="15"/>
            <w:u w:val="single" w:color="auto"/>
            <w:color w:val="0000FF"/>
          </w:rPr>
          <w:t>Scotia as Facility Agent and Security Agent and, attached, as a schedule thereto, a copy of the Amended Senior Facilities Agreement dated May</w:t>
        </w:r>
      </w:hyperlink>
      <w:r>
        <w:rPr>
          <w:rFonts w:ascii="Arial" w:cs="Arial" w:eastAsia="Arial" w:hAnsi="Arial"/>
          <w:sz w:val="15"/>
          <w:szCs w:val="15"/>
          <w:u w:val="single" w:color="auto"/>
          <w:color w:val="0000FF"/>
        </w:rPr>
        <w:t xml:space="preserve"> </w:t>
      </w:r>
      <w:hyperlink r:id="rId269">
        <w:r>
          <w:rPr>
            <w:rFonts w:ascii="Arial" w:cs="Arial" w:eastAsia="Arial" w:hAnsi="Arial"/>
            <w:sz w:val="15"/>
            <w:szCs w:val="15"/>
            <w:u w:val="single" w:color="auto"/>
            <w:color w:val="0000FF"/>
          </w:rPr>
          <w:t>23, 2022 between, among others, UPC Broadband Holding B.V. as Borrower and The Bank of Nova Scotia as Facility Agent and Security</w:t>
        </w:r>
      </w:hyperlink>
    </w:p>
    <w:p>
      <w:pPr>
        <w:ind w:left="960"/>
        <w:spacing w:after="0"/>
        <w:rPr>
          <w:rFonts w:ascii="Arial" w:cs="Arial" w:eastAsia="Arial" w:hAnsi="Arial"/>
          <w:sz w:val="17"/>
          <w:szCs w:val="17"/>
          <w:u w:val="single" w:color="auto"/>
          <w:color w:val="0000FF"/>
        </w:rPr>
      </w:pPr>
      <w:hyperlink r:id="rId269">
        <w:r>
          <w:rPr>
            <w:rFonts w:ascii="Arial" w:cs="Arial" w:eastAsia="Arial" w:hAnsi="Arial"/>
            <w:sz w:val="17"/>
            <w:szCs w:val="17"/>
            <w:u w:val="single" w:color="auto"/>
            <w:color w:val="0000FF"/>
          </w:rPr>
          <w:t>Agent (Incorporated by reference to Exhibit 4.1 to the Registrant's Current report on Form 8-K filed May 25, 2022 (File No. 001-35961)).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7118350" cy="260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960"/>
        <w:spacing w:after="0" w:line="229" w:lineRule="auto"/>
        <w:rPr>
          <w:sz w:val="20"/>
          <w:szCs w:val="20"/>
          <w:color w:val="auto"/>
        </w:rPr>
      </w:pPr>
      <w:r>
        <w:rPr>
          <w:rFonts w:ascii="Arial" w:cs="Arial" w:eastAsia="Arial" w:hAnsi="Arial"/>
          <w:sz w:val="18"/>
          <w:szCs w:val="18"/>
          <w:color w:val="auto"/>
        </w:rPr>
        <w:t>The Registrant undertakes to furnish to the Securities and Exchange Commission, upon request, a copy of all instruments with respect to long-term debt not filed herewith.</w:t>
      </w:r>
    </w:p>
    <w:p>
      <w:pPr>
        <w:spacing w:after="0" w:line="1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8"/>
          <w:szCs w:val="18"/>
          <w:color w:val="auto"/>
        </w:rPr>
        <w:t>10 -- Material Contracts:</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7118350" cy="260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96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272">
        <w:r>
          <w:rPr>
            <w:rFonts w:ascii="Arial" w:cs="Arial" w:eastAsia="Arial" w:hAnsi="Arial"/>
            <w:sz w:val="18"/>
            <w:szCs w:val="18"/>
            <w:u w:val="single" w:color="auto"/>
            <w:color w:val="0000FF"/>
          </w:rPr>
          <w:t>Deed of Assumption of Liberty Global plc, dated June 7, 2013 (incorporated by reference to Exhibit 10.1 to the Registrant’s Current Report on</w:t>
        </w:r>
      </w:hyperlink>
      <w:r>
        <w:rPr>
          <w:rFonts w:ascii="Arial" w:cs="Arial" w:eastAsia="Arial" w:hAnsi="Arial"/>
          <w:sz w:val="18"/>
          <w:szCs w:val="18"/>
          <w:color w:val="auto"/>
        </w:rPr>
        <w:t xml:space="preserve"> </w:t>
      </w:r>
      <w:hyperlink r:id="rId272">
        <w:r>
          <w:rPr>
            <w:rFonts w:ascii="Arial" w:cs="Arial" w:eastAsia="Arial" w:hAnsi="Arial"/>
            <w:sz w:val="18"/>
            <w:szCs w:val="18"/>
            <w:u w:val="single" w:color="auto"/>
            <w:color w:val="0000FF"/>
          </w:rPr>
          <w:t>Form 8-K filed June 7, 2013 (File No. 001-35961)(the June 7, 2013 8-K)).</w:t>
        </w:r>
      </w:hyperlink>
    </w:p>
    <w:p>
      <w:pPr>
        <w:spacing w:after="0" w:line="15" w:lineRule="exact"/>
        <w:rPr>
          <w:sz w:val="20"/>
          <w:szCs w:val="20"/>
          <w:color w:val="auto"/>
        </w:rPr>
      </w:pPr>
    </w:p>
    <w:p>
      <w:pPr>
        <w:jc w:val="both"/>
        <w:ind w:left="960" w:hanging="442"/>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273">
        <w:r>
          <w:rPr>
            <w:rFonts w:ascii="Arial" w:cs="Arial" w:eastAsia="Arial" w:hAnsi="Arial"/>
            <w:sz w:val="18"/>
            <w:szCs w:val="18"/>
            <w:u w:val="single" w:color="auto"/>
            <w:color w:val="0000FF"/>
          </w:rPr>
          <w:t>Liberty Global 2014 Incentive Plan (Amended and Restated effective June 11, 2019 (as amended and restated from time to time, the Incentive</w:t>
        </w:r>
      </w:hyperlink>
      <w:r>
        <w:rPr>
          <w:rFonts w:ascii="Arial" w:cs="Arial" w:eastAsia="Arial" w:hAnsi="Arial"/>
          <w:sz w:val="18"/>
          <w:szCs w:val="18"/>
          <w:color w:val="auto"/>
        </w:rPr>
        <w:t xml:space="preserve"> </w:t>
      </w:r>
      <w:hyperlink r:id="rId273">
        <w:r>
          <w:rPr>
            <w:rFonts w:ascii="Arial" w:cs="Arial" w:eastAsia="Arial" w:hAnsi="Arial"/>
            <w:sz w:val="18"/>
            <w:szCs w:val="18"/>
            <w:u w:val="single" w:color="auto"/>
            <w:color w:val="0000FF"/>
          </w:rPr>
          <w:t>Plan) (incorporated by reference to Exhibit 10.1 to the Registrant’s Quarterly Report on Form 10-Q filed August 8, 2019 (File No. 001-35961)</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(the August 2019 10-Q)).</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7118350" cy="260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96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275">
        <w:r>
          <w:rPr>
            <w:rFonts w:ascii="Arial" w:cs="Arial" w:eastAsia="Arial" w:hAnsi="Arial"/>
            <w:sz w:val="18"/>
            <w:szCs w:val="18"/>
            <w:u w:val="single" w:color="auto"/>
            <w:color w:val="0000FF"/>
          </w:rPr>
          <w:t>Liberty Global 2014 Nonemployee Director Incentive Plan Effective March 1, 2014 (the Director Plan) (incorporated by reference to Appendix</w:t>
        </w:r>
      </w:hyperlink>
      <w:r>
        <w:rPr>
          <w:rFonts w:ascii="Arial" w:cs="Arial" w:eastAsia="Arial" w:hAnsi="Arial"/>
          <w:sz w:val="18"/>
          <w:szCs w:val="18"/>
          <w:color w:val="auto"/>
        </w:rPr>
        <w:t xml:space="preserve"> </w:t>
      </w:r>
      <w:hyperlink r:id="rId275">
        <w:r>
          <w:rPr>
            <w:rFonts w:ascii="Arial" w:cs="Arial" w:eastAsia="Arial" w:hAnsi="Arial"/>
            <w:sz w:val="18"/>
            <w:szCs w:val="18"/>
            <w:u w:val="single" w:color="auto"/>
            <w:color w:val="0000FF"/>
          </w:rPr>
          <w:t>B to the Registrant’s Proxy Statement on Schedule 14A filed December 19, 2013 (File No. 001-35961)).</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014" w:right="379" w:bottom="1440" w:gutter="0" w:footer="0" w:header="0"/>
        </w:sectPr>
      </w:pPr>
    </w:p>
    <w:bookmarkStart w:id="173" w:name="page174"/>
    <w:bookmarkEnd w:id="173"/>
    <w:p>
      <w:pPr>
        <w:ind w:left="5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277">
        <w:r>
          <w:rPr>
            <w:rFonts w:ascii="Arial" w:cs="Arial" w:eastAsia="Arial" w:hAnsi="Arial"/>
            <w:sz w:val="18"/>
            <w:szCs w:val="18"/>
            <w:u w:val="single" w:color="auto"/>
            <w:color w:val="0000FF"/>
          </w:rPr>
          <w:t>Form of Non-Qualified Share Option Agreement under the Director Plan (incorporated by reference to Exhibit 10.3 to the Registrant’s Quarterly</w:t>
        </w:r>
      </w:hyperlink>
      <w:r>
        <w:rPr>
          <w:rFonts w:ascii="Arial" w:cs="Arial" w:eastAsia="Arial" w:hAnsi="Arial"/>
          <w:sz w:val="18"/>
          <w:szCs w:val="18"/>
          <w:color w:val="auto"/>
        </w:rPr>
        <w:t xml:space="preserve"> </w:t>
      </w:r>
      <w:hyperlink r:id="rId277">
        <w:r>
          <w:rPr>
            <w:rFonts w:ascii="Arial" w:cs="Arial" w:eastAsia="Arial" w:hAnsi="Arial"/>
            <w:sz w:val="18"/>
            <w:szCs w:val="18"/>
            <w:u w:val="single" w:color="auto"/>
            <w:color w:val="0000FF"/>
          </w:rPr>
          <w:t>Report on Form 10-Q filed August 5, 2014 (File No. 001-35961) (the August 5, 2014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8890</wp:posOffset>
            </wp:positionV>
            <wp:extent cx="7118350" cy="142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80"/>
        <w:spacing w:after="0"/>
        <w:rPr>
          <w:rFonts w:ascii="Arial" w:cs="Arial" w:eastAsia="Arial" w:hAnsi="Arial"/>
          <w:sz w:val="15"/>
          <w:szCs w:val="15"/>
          <w:color w:val="auto"/>
        </w:rPr>
      </w:pPr>
      <w:r>
        <w:rPr>
          <w:rFonts w:ascii="Arial" w:cs="Arial" w:eastAsia="Arial" w:hAnsi="Arial"/>
          <w:sz w:val="15"/>
          <w:szCs w:val="15"/>
          <w:color w:val="auto"/>
        </w:rPr>
        <w:t xml:space="preserve">10.5+ </w:t>
      </w:r>
      <w:hyperlink r:id="rId279">
        <w:r>
          <w:rPr>
            <w:rFonts w:ascii="Arial" w:cs="Arial" w:eastAsia="Arial" w:hAnsi="Arial"/>
            <w:sz w:val="15"/>
            <w:szCs w:val="15"/>
            <w:u w:val="single" w:color="auto"/>
            <w:color w:val="0000FF"/>
          </w:rPr>
          <w:t>Form of Restricted Share Units Agreement under the Director Plan (incorporated by reference to Exhibit 10.4 to the August 5, 2014 10-Q).</w:t>
        </w:r>
      </w:hyperlink>
    </w:p>
    <w:p>
      <w:pPr>
        <w:spacing w:after="0" w:line="53" w:lineRule="exact"/>
        <w:rPr>
          <w:sz w:val="20"/>
          <w:szCs w:val="20"/>
          <w:color w:val="auto"/>
        </w:rPr>
      </w:pPr>
    </w:p>
    <w:p>
      <w:pPr>
        <w:ind w:left="52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280">
        <w:r>
          <w:rPr>
            <w:rFonts w:ascii="Arial" w:cs="Arial" w:eastAsia="Arial" w:hAnsi="Arial"/>
            <w:sz w:val="18"/>
            <w:szCs w:val="18"/>
            <w:u w:val="single" w:color="auto"/>
            <w:color w:val="0000FF"/>
          </w:rPr>
          <w:t>Liberty Global, Inc. 2005 Incentive Plan (as amended and restated effective June 7, 2013) (the 2005 Incentive Plan) (incorporated by reference</w:t>
        </w:r>
      </w:hyperlink>
      <w:r>
        <w:rPr>
          <w:rFonts w:ascii="Arial" w:cs="Arial" w:eastAsia="Arial" w:hAnsi="Arial"/>
          <w:sz w:val="18"/>
          <w:szCs w:val="18"/>
          <w:color w:val="auto"/>
        </w:rPr>
        <w:t xml:space="preserve"> </w:t>
      </w:r>
      <w:hyperlink r:id="rId280">
        <w:r>
          <w:rPr>
            <w:rFonts w:ascii="Arial" w:cs="Arial" w:eastAsia="Arial" w:hAnsi="Arial"/>
            <w:sz w:val="18"/>
            <w:szCs w:val="18"/>
            <w:u w:val="single" w:color="auto"/>
            <w:color w:val="0000FF"/>
          </w:rPr>
          <w:t>to Exhibit 10.2 to 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8890</wp:posOffset>
            </wp:positionV>
            <wp:extent cx="7118350" cy="260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1">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52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282">
        <w:r>
          <w:rPr>
            <w:rFonts w:ascii="Arial" w:cs="Arial" w:eastAsia="Arial" w:hAnsi="Arial"/>
            <w:sz w:val="18"/>
            <w:szCs w:val="18"/>
            <w:u w:val="single" w:color="auto"/>
            <w:color w:val="0000FF"/>
          </w:rPr>
          <w:t>Liberty Global, Inc. 2005 Nonemployee Director Incentive Plan (as amended and restated effective June 7, 2013) (the 2005 Director Plan)</w:t>
        </w:r>
      </w:hyperlink>
      <w:r>
        <w:rPr>
          <w:rFonts w:ascii="Arial" w:cs="Arial" w:eastAsia="Arial" w:hAnsi="Arial"/>
          <w:sz w:val="18"/>
          <w:szCs w:val="18"/>
          <w:color w:val="auto"/>
        </w:rPr>
        <w:t xml:space="preserve"> </w:t>
      </w:r>
      <w:hyperlink r:id="rId282">
        <w:r>
          <w:rPr>
            <w:rFonts w:ascii="Arial" w:cs="Arial" w:eastAsia="Arial" w:hAnsi="Arial"/>
            <w:sz w:val="18"/>
            <w:szCs w:val="18"/>
            <w:u w:val="single" w:color="auto"/>
            <w:color w:val="0000FF"/>
          </w:rPr>
          <w:t>(incorporated by reference to Exhibit 10.3 to the June 7, 2013 8-K).</w:t>
        </w:r>
      </w:hyperlink>
    </w:p>
    <w:p>
      <w:pPr>
        <w:spacing w:after="0" w:line="15" w:lineRule="exact"/>
        <w:rPr>
          <w:sz w:val="20"/>
          <w:szCs w:val="20"/>
          <w:color w:val="auto"/>
        </w:rPr>
      </w:pPr>
    </w:p>
    <w:p>
      <w:pPr>
        <w:ind w:left="80"/>
        <w:spacing w:after="0"/>
        <w:rPr>
          <w:rFonts w:ascii="Arial" w:cs="Arial" w:eastAsia="Arial" w:hAnsi="Arial"/>
          <w:sz w:val="15"/>
          <w:szCs w:val="15"/>
          <w:color w:val="auto"/>
        </w:rPr>
      </w:pPr>
      <w:r>
        <w:rPr>
          <w:rFonts w:ascii="Arial" w:cs="Arial" w:eastAsia="Arial" w:hAnsi="Arial"/>
          <w:sz w:val="15"/>
          <w:szCs w:val="15"/>
          <w:color w:val="auto"/>
        </w:rPr>
        <w:t xml:space="preserve">10.8+ </w:t>
      </w:r>
      <w:hyperlink r:id="rId283">
        <w:r>
          <w:rPr>
            <w:rFonts w:ascii="Arial" w:cs="Arial" w:eastAsia="Arial" w:hAnsi="Arial"/>
            <w:sz w:val="15"/>
            <w:szCs w:val="15"/>
            <w:u w:val="single" w:color="auto"/>
            <w:color w:val="0000FF"/>
          </w:rPr>
          <w:t>Virgin Media 2010 Stock Incentive Plan (as amended and restated effective June 7, 2013) (incorporated by reference to Exhibit 10.4 to the June</w:t>
        </w:r>
      </w:hyperlink>
    </w:p>
    <w:p>
      <w:pPr>
        <w:spacing w:after="0" w:line="14" w:lineRule="exact"/>
        <w:rPr>
          <w:sz w:val="20"/>
          <w:szCs w:val="20"/>
          <w:color w:val="auto"/>
        </w:rPr>
      </w:pPr>
    </w:p>
    <w:p>
      <w:pPr>
        <w:ind w:left="520"/>
        <w:spacing w:after="0"/>
        <w:rPr>
          <w:rFonts w:ascii="Arial" w:cs="Arial" w:eastAsia="Arial" w:hAnsi="Arial"/>
          <w:sz w:val="18"/>
          <w:szCs w:val="18"/>
          <w:u w:val="single" w:color="auto"/>
          <w:color w:val="0000FF"/>
        </w:rPr>
      </w:pPr>
      <w:hyperlink r:id="rId283">
        <w:r>
          <w:rPr>
            <w:rFonts w:ascii="Arial" w:cs="Arial" w:eastAsia="Arial" w:hAnsi="Arial"/>
            <w:sz w:val="18"/>
            <w:szCs w:val="18"/>
            <w:u w:val="single" w:color="auto"/>
            <w:color w:val="0000FF"/>
          </w:rPr>
          <w:t>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10160</wp:posOffset>
            </wp:positionV>
            <wp:extent cx="7118350" cy="260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52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285">
        <w:r>
          <w:rPr>
            <w:rFonts w:ascii="Arial" w:cs="Arial" w:eastAsia="Arial" w:hAnsi="Arial"/>
            <w:sz w:val="18"/>
            <w:szCs w:val="18"/>
            <w:u w:val="single" w:color="auto"/>
            <w:color w:val="0000FF"/>
          </w:rPr>
          <w:t>Form of Non-Qualified Share Option Agreement under the 2005 Director Plan (incorporated by reference to Exhibit 10.6 to the Registrant’s</w:t>
        </w:r>
      </w:hyperlink>
      <w:r>
        <w:rPr>
          <w:rFonts w:ascii="Arial" w:cs="Arial" w:eastAsia="Arial" w:hAnsi="Arial"/>
          <w:sz w:val="18"/>
          <w:szCs w:val="18"/>
          <w:color w:val="auto"/>
        </w:rPr>
        <w:t xml:space="preserve"> </w:t>
      </w:r>
      <w:hyperlink r:id="rId285">
        <w:r>
          <w:rPr>
            <w:rFonts w:ascii="Arial" w:cs="Arial" w:eastAsia="Arial" w:hAnsi="Arial"/>
            <w:sz w:val="18"/>
            <w:szCs w:val="18"/>
            <w:u w:val="single" w:color="auto"/>
            <w:color w:val="0000FF"/>
          </w:rPr>
          <w:t>Quarterly Report on Form 10-Q filed August 1, 2013 (File No. 001-35961)).</w:t>
        </w:r>
      </w:hyperlink>
    </w:p>
    <w:p>
      <w:pPr>
        <w:spacing w:after="0" w:line="15" w:lineRule="exact"/>
        <w:rPr>
          <w:sz w:val="20"/>
          <w:szCs w:val="20"/>
          <w:color w:val="auto"/>
        </w:rPr>
      </w:pPr>
    </w:p>
    <w:p>
      <w:pPr>
        <w:jc w:val="both"/>
        <w:ind w:left="520" w:hanging="530"/>
        <w:spacing w:after="0" w:line="227"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10.10+ </w:t>
      </w:r>
      <w:hyperlink r:id="rId286">
        <w:r>
          <w:rPr>
            <w:rFonts w:ascii="Arial" w:cs="Arial" w:eastAsia="Arial" w:hAnsi="Arial"/>
            <w:sz w:val="17"/>
            <w:szCs w:val="17"/>
            <w:u w:val="single" w:color="auto"/>
            <w:color w:val="0000FF"/>
          </w:rPr>
          <w:t>Liberty Global Compensation Policy for Nonemployee Directors effective June 21, 2017 (incorporated by reference to Appendix A to the</w:t>
        </w:r>
      </w:hyperlink>
      <w:r>
        <w:rPr>
          <w:rFonts w:ascii="Arial" w:cs="Arial" w:eastAsia="Arial" w:hAnsi="Arial"/>
          <w:sz w:val="18"/>
          <w:szCs w:val="18"/>
          <w:color w:val="auto"/>
        </w:rPr>
        <w:t xml:space="preserve"> </w:t>
      </w:r>
      <w:hyperlink r:id="rId286">
        <w:r>
          <w:rPr>
            <w:rFonts w:ascii="Arial" w:cs="Arial" w:eastAsia="Arial" w:hAnsi="Arial"/>
            <w:sz w:val="17"/>
            <w:szCs w:val="17"/>
            <w:u w:val="single" w:color="auto"/>
            <w:color w:val="0000FF"/>
          </w:rPr>
          <w:t>Registrant’s Proxy Statement on Schedule 14A filed May 1, 2017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3175</wp:posOffset>
            </wp:positionV>
            <wp:extent cx="7118350" cy="260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520" w:right="20" w:hanging="52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288">
        <w:r>
          <w:rPr>
            <w:rFonts w:ascii="Arial" w:cs="Arial" w:eastAsia="Arial" w:hAnsi="Arial"/>
            <w:sz w:val="18"/>
            <w:szCs w:val="18"/>
            <w:u w:val="single" w:color="auto"/>
            <w:color w:val="0000FF"/>
          </w:rPr>
          <w:t>Form of Deed of Indemnity between Liberty Global and its Directors and Executive Officers (incorporated by reference to Exhibit 10.10 to the</w:t>
        </w:r>
      </w:hyperlink>
      <w:r>
        <w:rPr>
          <w:rFonts w:ascii="Arial" w:cs="Arial" w:eastAsia="Arial" w:hAnsi="Arial"/>
          <w:sz w:val="18"/>
          <w:szCs w:val="18"/>
          <w:color w:val="auto"/>
        </w:rPr>
        <w:t xml:space="preserve"> </w:t>
      </w:r>
      <w:hyperlink r:id="rId288">
        <w:r>
          <w:rPr>
            <w:rFonts w:ascii="Arial" w:cs="Arial" w:eastAsia="Arial" w:hAnsi="Arial"/>
            <w:sz w:val="18"/>
            <w:szCs w:val="18"/>
            <w:u w:val="single" w:color="auto"/>
            <w:color w:val="0000FF"/>
          </w:rPr>
          <w:t>June 7, 2013 8-K).</w:t>
        </w:r>
      </w:hyperlink>
    </w:p>
    <w:p>
      <w:pPr>
        <w:spacing w:after="0" w:line="15" w:lineRule="exact"/>
        <w:rPr>
          <w:sz w:val="20"/>
          <w:szCs w:val="20"/>
          <w:color w:val="auto"/>
        </w:rPr>
      </w:pPr>
    </w:p>
    <w:p>
      <w:pPr>
        <w:jc w:val="both"/>
        <w:ind w:left="52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289">
        <w:r>
          <w:rPr>
            <w:rFonts w:ascii="Arial" w:cs="Arial" w:eastAsia="Arial" w:hAnsi="Arial"/>
            <w:sz w:val="18"/>
            <w:szCs w:val="18"/>
            <w:u w:val="single" w:color="auto"/>
            <w:color w:val="0000FF"/>
          </w:rPr>
          <w:t>Form of Stock Appreciation Rights Agreement under the 2005 Incentive Plan (incorporated by reference to Exhibit 10.3 to Liberty Global,</w:t>
        </w:r>
      </w:hyperlink>
      <w:r>
        <w:rPr>
          <w:rFonts w:ascii="Arial" w:cs="Arial" w:eastAsia="Arial" w:hAnsi="Arial"/>
          <w:sz w:val="18"/>
          <w:szCs w:val="18"/>
          <w:color w:val="auto"/>
        </w:rPr>
        <w:t xml:space="preserve"> </w:t>
      </w:r>
      <w:hyperlink r:id="rId289">
        <w:r>
          <w:rPr>
            <w:rFonts w:ascii="Arial" w:cs="Arial" w:eastAsia="Arial" w:hAnsi="Arial"/>
            <w:sz w:val="18"/>
            <w:szCs w:val="18"/>
            <w:u w:val="single" w:color="auto"/>
            <w:color w:val="0000FF"/>
          </w:rPr>
          <w:t>Inc.’s (LGI) Quarterly Report on Form 10-Q filed May 7, 2008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8890</wp:posOffset>
            </wp:positionV>
            <wp:extent cx="7118350" cy="3695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0">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520" w:right="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291">
        <w:r>
          <w:rPr>
            <w:rFonts w:ascii="Arial" w:cs="Arial" w:eastAsia="Arial" w:hAnsi="Arial"/>
            <w:sz w:val="18"/>
            <w:szCs w:val="18"/>
            <w:u w:val="single" w:color="auto"/>
            <w:color w:val="0000FF"/>
          </w:rPr>
          <w:t>Form of Performance Share Units Agreement for executive officers under the Incentive Plan (incorporated by reference to Exhibit 10.16 to the</w:t>
        </w:r>
      </w:hyperlink>
      <w:r>
        <w:rPr>
          <w:rFonts w:ascii="Arial" w:cs="Arial" w:eastAsia="Arial" w:hAnsi="Arial"/>
          <w:sz w:val="18"/>
          <w:szCs w:val="18"/>
          <w:color w:val="auto"/>
        </w:rPr>
        <w:t xml:space="preserve"> </w:t>
      </w:r>
      <w:hyperlink r:id="rId291">
        <w:r>
          <w:rPr>
            <w:rFonts w:ascii="Arial" w:cs="Arial" w:eastAsia="Arial" w:hAnsi="Arial"/>
            <w:sz w:val="18"/>
            <w:szCs w:val="18"/>
            <w:u w:val="single" w:color="auto"/>
            <w:color w:val="0000FF"/>
          </w:rPr>
          <w:t>Registrant’s Annual Report on Form 10-K filed February 27, 2019 and amended on Form 10-K/A filed March 27, 2019 (File No. 001-35961)</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(the 2019 10-K)).</w:t>
        </w:r>
      </w:hyperlink>
    </w:p>
    <w:p>
      <w:pPr>
        <w:spacing w:after="0" w:line="16" w:lineRule="exact"/>
        <w:rPr>
          <w:rFonts w:ascii="Arial" w:cs="Arial" w:eastAsia="Arial" w:hAnsi="Arial"/>
          <w:sz w:val="18"/>
          <w:szCs w:val="18"/>
          <w:color w:val="auto"/>
        </w:rPr>
      </w:pPr>
    </w:p>
    <w:p>
      <w:pPr>
        <w:jc w:val="both"/>
        <w:ind w:left="520" w:right="20" w:hanging="530"/>
        <w:spacing w:after="0" w:line="222"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10.14+ </w:t>
      </w:r>
      <w:hyperlink r:id="rId292">
        <w:r>
          <w:rPr>
            <w:rFonts w:ascii="Arial" w:cs="Arial" w:eastAsia="Arial" w:hAnsi="Arial"/>
            <w:sz w:val="17"/>
            <w:szCs w:val="17"/>
            <w:u w:val="single" w:color="auto"/>
            <w:color w:val="0000FF"/>
          </w:rPr>
          <w:t>Liberty Global 2019 Challenge Performance Award program for senior management, including our executive officers under the Incentive Plan (a</w:t>
        </w:r>
      </w:hyperlink>
      <w:r>
        <w:rPr>
          <w:rFonts w:ascii="Arial" w:cs="Arial" w:eastAsia="Arial" w:hAnsi="Arial"/>
          <w:sz w:val="18"/>
          <w:szCs w:val="18"/>
          <w:color w:val="auto"/>
        </w:rPr>
        <w:t xml:space="preserve"> </w:t>
      </w:r>
      <w:hyperlink r:id="rId292">
        <w:r>
          <w:rPr>
            <w:rFonts w:ascii="Arial" w:cs="Arial" w:eastAsia="Arial" w:hAnsi="Arial"/>
            <w:sz w:val="17"/>
            <w:szCs w:val="17"/>
            <w:u w:val="single" w:color="auto"/>
            <w:color w:val="0000FF"/>
          </w:rPr>
          <w:t>description of said program is incorporated by reference to the description thereof included in Item 5.02(e) of the Registrant’s Current Report on</w:t>
        </w:r>
      </w:hyperlink>
      <w:r>
        <w:rPr>
          <w:rFonts w:ascii="Arial" w:cs="Arial" w:eastAsia="Arial" w:hAnsi="Arial"/>
          <w:sz w:val="17"/>
          <w:szCs w:val="17"/>
          <w:u w:val="single" w:color="auto"/>
          <w:color w:val="0000FF"/>
        </w:rPr>
        <w:t xml:space="preserve"> </w:t>
      </w:r>
      <w:hyperlink r:id="rId292">
        <w:r>
          <w:rPr>
            <w:rFonts w:ascii="Arial" w:cs="Arial" w:eastAsia="Arial" w:hAnsi="Arial"/>
            <w:sz w:val="17"/>
            <w:szCs w:val="17"/>
            <w:u w:val="single" w:color="auto"/>
            <w:color w:val="0000FF"/>
          </w:rPr>
          <w:t>Form 8-K filed March 13, 2019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-292100</wp:posOffset>
            </wp:positionH>
            <wp:positionV relativeFrom="paragraph">
              <wp:posOffset>2540</wp:posOffset>
            </wp:positionV>
            <wp:extent cx="7118350" cy="3695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520" w:right="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294">
        <w:r>
          <w:rPr>
            <w:rFonts w:ascii="Arial" w:cs="Arial" w:eastAsia="Arial" w:hAnsi="Arial"/>
            <w:sz w:val="18"/>
            <w:szCs w:val="18"/>
            <w:u w:val="single" w:color="auto"/>
            <w:color w:val="0000FF"/>
          </w:rPr>
          <w:t>Liberty Global 2020 Annual Performance Award Program for executive officers under the Incentive Plan (description of said plan is</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incorporated by reference to the description thereof included in Item 5.02(e) of the Registrant’s Current Report on Form 8-K filed April 3, 2020</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(File No. 001-35961)).</w:t>
        </w:r>
      </w:hyperlink>
    </w:p>
    <w:p>
      <w:pPr>
        <w:spacing w:after="0" w:line="16" w:lineRule="exact"/>
        <w:rPr>
          <w:rFonts w:ascii="Arial" w:cs="Arial" w:eastAsia="Arial" w:hAnsi="Arial"/>
          <w:sz w:val="18"/>
          <w:szCs w:val="18"/>
          <w:color w:val="auto"/>
        </w:rPr>
      </w:pPr>
    </w:p>
    <w:p>
      <w:pPr>
        <w:jc w:val="both"/>
        <w:ind w:left="520" w:right="20" w:hanging="530"/>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10.16+ </w:t>
      </w:r>
      <w:hyperlink r:id="rId295">
        <w:r>
          <w:rPr>
            <w:rFonts w:ascii="Arial" w:cs="Arial" w:eastAsia="Arial" w:hAnsi="Arial"/>
            <w:sz w:val="15"/>
            <w:szCs w:val="15"/>
            <w:u w:val="single" w:color="auto"/>
            <w:color w:val="0000FF"/>
          </w:rPr>
          <w:t>Deferred Compensation Plan (adopted effective December 15, 2008; Amended and Restated as of October 26, 2015)(incorporated by reference</w:t>
        </w:r>
      </w:hyperlink>
      <w:r>
        <w:rPr>
          <w:rFonts w:ascii="Arial" w:cs="Arial" w:eastAsia="Arial" w:hAnsi="Arial"/>
          <w:sz w:val="15"/>
          <w:szCs w:val="15"/>
          <w:color w:val="auto"/>
        </w:rPr>
        <w:t xml:space="preserve"> </w:t>
      </w:r>
      <w:hyperlink r:id="rId295">
        <w:r>
          <w:rPr>
            <w:rFonts w:ascii="Arial" w:cs="Arial" w:eastAsia="Arial" w:hAnsi="Arial"/>
            <w:sz w:val="15"/>
            <w:szCs w:val="15"/>
            <w:u w:val="single" w:color="auto"/>
            <w:color w:val="0000FF"/>
          </w:rPr>
          <w:t>to Exhibit 10.29 to the Registrant’s Annual Report on Form 10-K filed February 16, 2016 (File No. 001-35961)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0</wp:posOffset>
            </wp:positionV>
            <wp:extent cx="7118350" cy="260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6">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52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297">
        <w:r>
          <w:rPr>
            <w:rFonts w:ascii="Arial" w:cs="Arial" w:eastAsia="Arial" w:hAnsi="Arial"/>
            <w:sz w:val="18"/>
            <w:szCs w:val="18"/>
            <w:u w:val="single" w:color="auto"/>
            <w:color w:val="0000FF"/>
          </w:rPr>
          <w:t>Nonemployee Director Deferred Compensation Plan (As Amended and Restated Effective December 11, 2015)(incorporated by reference to</w:t>
        </w:r>
      </w:hyperlink>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Exhibit 10.30 to the 2016 10-K).</w:t>
        </w:r>
      </w:hyperlink>
    </w:p>
    <w:p>
      <w:pPr>
        <w:spacing w:after="0" w:line="1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10.18+ </w:t>
      </w:r>
      <w:hyperlink r:id="rId298">
        <w:r>
          <w:rPr>
            <w:rFonts w:ascii="Arial" w:cs="Arial" w:eastAsia="Arial" w:hAnsi="Arial"/>
            <w:sz w:val="18"/>
            <w:szCs w:val="18"/>
            <w:u w:val="single" w:color="auto"/>
            <w:color w:val="0000FF"/>
          </w:rPr>
          <w:t>Personal Usage of Aircraft Policy, restated June 7, 2013 (incorporated by reference to Exhibit 10.31 to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10795</wp:posOffset>
            </wp:positionV>
            <wp:extent cx="7118350" cy="260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9">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52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300">
        <w:r>
          <w:rPr>
            <w:rFonts w:ascii="Arial" w:cs="Arial" w:eastAsia="Arial" w:hAnsi="Arial"/>
            <w:sz w:val="18"/>
            <w:szCs w:val="18"/>
            <w:u w:val="single" w:color="auto"/>
            <w:color w:val="0000FF"/>
          </w:rPr>
          <w:t>Form of Aircraft Time Sharing Agreement (7X) (incorporated by reference to Exhibit 10.29 to LGI’s Annual Report on Form 10-K filed</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February 13, 2013 (File No. 000-51360)).</w:t>
        </w:r>
      </w:hyperlink>
    </w:p>
    <w:p>
      <w:pPr>
        <w:spacing w:after="0" w:line="15" w:lineRule="exact"/>
        <w:rPr>
          <w:sz w:val="20"/>
          <w:szCs w:val="20"/>
          <w:color w:val="auto"/>
        </w:rPr>
      </w:pPr>
    </w:p>
    <w:p>
      <w:pPr>
        <w:jc w:val="both"/>
        <w:ind w:left="520" w:right="20" w:hanging="530"/>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10.20+ </w:t>
      </w:r>
      <w:hyperlink r:id="rId301">
        <w:r>
          <w:rPr>
            <w:rFonts w:ascii="Arial" w:cs="Arial" w:eastAsia="Arial" w:hAnsi="Arial"/>
            <w:sz w:val="15"/>
            <w:szCs w:val="15"/>
            <w:u w:val="single" w:color="auto"/>
            <w:color w:val="0000FF"/>
          </w:rPr>
          <w:t>Form of Share Appreciation Rights Agreement between the Registrant and our Chief Executive Officer under the Incentive Plan (incorporated</w:t>
        </w:r>
      </w:hyperlink>
      <w:r>
        <w:rPr>
          <w:rFonts w:ascii="Arial" w:cs="Arial" w:eastAsia="Arial" w:hAnsi="Arial"/>
          <w:sz w:val="15"/>
          <w:szCs w:val="15"/>
          <w:color w:val="auto"/>
        </w:rPr>
        <w:t xml:space="preserve"> </w:t>
      </w:r>
      <w:hyperlink r:id="rId301">
        <w:r>
          <w:rPr>
            <w:rFonts w:ascii="Arial" w:cs="Arial" w:eastAsia="Arial" w:hAnsi="Arial"/>
            <w:sz w:val="15"/>
            <w:szCs w:val="15"/>
            <w:u w:val="single" w:color="auto"/>
            <w:color w:val="0000FF"/>
          </w:rPr>
          <w:t>by reference to Exhibit 10.2 to the Registrant’s Quarterly Report on Form 10-Q filed August 4, 2016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0</wp:posOffset>
            </wp:positionV>
            <wp:extent cx="7118350" cy="260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52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303">
        <w:r>
          <w:rPr>
            <w:rFonts w:ascii="Arial" w:cs="Arial" w:eastAsia="Arial" w:hAnsi="Arial"/>
            <w:sz w:val="18"/>
            <w:szCs w:val="18"/>
            <w:u w:val="single" w:color="auto"/>
            <w:color w:val="0000FF"/>
          </w:rPr>
          <w:t>Executive Service Agreement, dated December 15, 2004, between UPC Services Limited and Charles Bracken (incorporated by reference to</w:t>
        </w:r>
      </w:hyperlink>
      <w:r>
        <w:rPr>
          <w:rFonts w:ascii="Arial" w:cs="Arial" w:eastAsia="Arial" w:hAnsi="Arial"/>
          <w:sz w:val="18"/>
          <w:szCs w:val="18"/>
          <w:color w:val="auto"/>
        </w:rPr>
        <w:t xml:space="preserve"> </w:t>
      </w:r>
      <w:hyperlink r:id="rId303">
        <w:r>
          <w:rPr>
            <w:rFonts w:ascii="Arial" w:cs="Arial" w:eastAsia="Arial" w:hAnsi="Arial"/>
            <w:sz w:val="18"/>
            <w:szCs w:val="18"/>
            <w:u w:val="single" w:color="auto"/>
            <w:color w:val="0000FF"/>
          </w:rPr>
          <w:t>Exhibit 10.36 to LGI’s Annual Report on Form 10-K filed February 24, 2010 (File No. 000-51360)).</w:t>
        </w:r>
      </w:hyperlink>
    </w:p>
    <w:p>
      <w:pPr>
        <w:spacing w:after="0" w:line="15" w:lineRule="exact"/>
        <w:rPr>
          <w:sz w:val="20"/>
          <w:szCs w:val="20"/>
          <w:color w:val="auto"/>
        </w:rPr>
      </w:pPr>
    </w:p>
    <w:p>
      <w:pPr>
        <w:jc w:val="both"/>
        <w:ind w:left="520" w:right="20" w:hanging="530"/>
        <w:spacing w:after="0" w:line="227"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10.22+ </w:t>
      </w:r>
      <w:hyperlink r:id="rId304">
        <w:r>
          <w:rPr>
            <w:rFonts w:ascii="Arial" w:cs="Arial" w:eastAsia="Arial" w:hAnsi="Arial"/>
            <w:sz w:val="17"/>
            <w:szCs w:val="17"/>
            <w:u w:val="single" w:color="auto"/>
            <w:color w:val="0000FF"/>
          </w:rPr>
          <w:t>Employment Agreement dated as of June 28, 2018, between LGI and Enrique Rodriguez (incorporated by reference to Exhibit 10.1 to the</w:t>
        </w:r>
      </w:hyperlink>
      <w:r>
        <w:rPr>
          <w:rFonts w:ascii="Arial" w:cs="Arial" w:eastAsia="Arial" w:hAnsi="Arial"/>
          <w:sz w:val="18"/>
          <w:szCs w:val="18"/>
          <w:color w:val="auto"/>
        </w:rPr>
        <w:t xml:space="preserve"> </w:t>
      </w:r>
      <w:hyperlink r:id="rId304">
        <w:r>
          <w:rPr>
            <w:rFonts w:ascii="Arial" w:cs="Arial" w:eastAsia="Arial" w:hAnsi="Arial"/>
            <w:sz w:val="17"/>
            <w:szCs w:val="17"/>
            <w:u w:val="single" w:color="auto"/>
            <w:color w:val="0000FF"/>
          </w:rPr>
          <w:t>Registrant’s Quarterly Report on Form 10-Q filed August 8, 2018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3175</wp:posOffset>
            </wp:positionV>
            <wp:extent cx="7118350" cy="260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5">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spacing w:after="0"/>
        <w:rPr>
          <w:rFonts w:ascii="Arial" w:cs="Arial" w:eastAsia="Arial" w:hAnsi="Arial"/>
          <w:sz w:val="15"/>
          <w:szCs w:val="15"/>
          <w:color w:val="auto"/>
        </w:rPr>
      </w:pPr>
      <w:r>
        <w:rPr>
          <w:rFonts w:ascii="Arial" w:cs="Arial" w:eastAsia="Arial" w:hAnsi="Arial"/>
          <w:sz w:val="15"/>
          <w:szCs w:val="15"/>
          <w:color w:val="auto"/>
        </w:rPr>
        <w:t xml:space="preserve">10.23+ </w:t>
      </w:r>
      <w:hyperlink r:id="rId306">
        <w:r>
          <w:rPr>
            <w:rFonts w:ascii="Arial" w:cs="Arial" w:eastAsia="Arial" w:hAnsi="Arial"/>
            <w:sz w:val="15"/>
            <w:szCs w:val="15"/>
            <w:u w:val="single" w:color="auto"/>
            <w:color w:val="0000FF"/>
          </w:rPr>
          <w:t>Amended and Restated Employment Agreement dated as of April 30, 2019, by and among the Registrant, Liberty Global Inc. and Michael T.</w:t>
        </w:r>
      </w:hyperlink>
    </w:p>
    <w:p>
      <w:pPr>
        <w:spacing w:after="0" w:line="14" w:lineRule="exact"/>
        <w:rPr>
          <w:sz w:val="20"/>
          <w:szCs w:val="20"/>
          <w:color w:val="auto"/>
        </w:rPr>
      </w:pPr>
    </w:p>
    <w:p>
      <w:pPr>
        <w:ind w:left="520"/>
        <w:spacing w:after="0"/>
        <w:rPr>
          <w:rFonts w:ascii="Arial" w:cs="Arial" w:eastAsia="Arial" w:hAnsi="Arial"/>
          <w:sz w:val="18"/>
          <w:szCs w:val="18"/>
          <w:u w:val="single" w:color="auto"/>
          <w:color w:val="0000FF"/>
        </w:rPr>
      </w:pPr>
      <w:hyperlink r:id="rId306">
        <w:r>
          <w:rPr>
            <w:rFonts w:ascii="Arial" w:cs="Arial" w:eastAsia="Arial" w:hAnsi="Arial"/>
            <w:sz w:val="18"/>
            <w:szCs w:val="18"/>
            <w:u w:val="single" w:color="auto"/>
            <w:color w:val="0000FF"/>
          </w:rPr>
          <w:t>Fries (incorporated by reference to Exhibit 10.9 to the August 2019 10-Q).</w:t>
        </w:r>
      </w:hyperlink>
    </w:p>
    <w:p>
      <w:pPr>
        <w:spacing w:after="0" w:line="17"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10.24+ </w:t>
      </w:r>
      <w:hyperlink r:id="rId307">
        <w:r>
          <w:rPr>
            <w:rFonts w:ascii="Arial" w:cs="Arial" w:eastAsia="Arial" w:hAnsi="Arial"/>
            <w:sz w:val="15"/>
            <w:szCs w:val="15"/>
            <w:u w:val="single" w:color="auto"/>
            <w:color w:val="0000FF"/>
          </w:rPr>
          <w:t>Employment Agreement, dated May 21, 2020, by and between Liberty Global, Inc. and Bryan H. Hall (incorporated by reference to Exhibit</w:t>
        </w:r>
      </w:hyperlink>
    </w:p>
    <w:p>
      <w:pPr>
        <w:spacing w:after="0" w:line="14" w:lineRule="exact"/>
        <w:rPr>
          <w:sz w:val="20"/>
          <w:szCs w:val="20"/>
          <w:color w:val="auto"/>
        </w:rPr>
      </w:pPr>
    </w:p>
    <w:p>
      <w:pPr>
        <w:ind w:left="520"/>
        <w:spacing w:after="0"/>
        <w:rPr>
          <w:rFonts w:ascii="Arial" w:cs="Arial" w:eastAsia="Arial" w:hAnsi="Arial"/>
          <w:sz w:val="18"/>
          <w:szCs w:val="18"/>
          <w:u w:val="single" w:color="auto"/>
          <w:color w:val="0000FF"/>
        </w:rPr>
      </w:pPr>
      <w:hyperlink r:id="rId307">
        <w:r>
          <w:rPr>
            <w:rFonts w:ascii="Arial" w:cs="Arial" w:eastAsia="Arial" w:hAnsi="Arial"/>
            <w:sz w:val="18"/>
            <w:szCs w:val="18"/>
            <w:u w:val="single" w:color="auto"/>
            <w:color w:val="0000FF"/>
          </w:rPr>
          <w:t>10.2 to the Registrant’s Quarterly Report on Form 10-Q filed August 3, 2020 (File No. 001-35961) (the August 2020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10160</wp:posOffset>
            </wp:positionV>
            <wp:extent cx="7118350" cy="3695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8">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5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309">
        <w:r>
          <w:rPr>
            <w:rFonts w:ascii="Arial" w:cs="Arial" w:eastAsia="Arial" w:hAnsi="Arial"/>
            <w:sz w:val="18"/>
            <w:szCs w:val="18"/>
            <w:u w:val="single" w:color="auto"/>
            <w:color w:val="0000FF"/>
          </w:rPr>
          <w:t>Employment Agreement, dated May 19, 2005, by and between Liberty Global Europe Limited (formerly known as UGC Europe Services Ltd.)</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FF"/>
          </w:rPr>
          <w:t>and Andrea Salvato, assigned by Liberty Global Europe Limited to Liberty Global plc on November 1, 2013 (incorporated by reference to</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Exhibit 10.3 to the August 2020 10-Q).</w:t>
        </w:r>
      </w:hyperlink>
    </w:p>
    <w:p>
      <w:pPr>
        <w:spacing w:after="0" w:line="16" w:lineRule="exact"/>
        <w:rPr>
          <w:rFonts w:ascii="Arial" w:cs="Arial" w:eastAsia="Arial" w:hAnsi="Arial"/>
          <w:sz w:val="18"/>
          <w:szCs w:val="18"/>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10.26+ </w:t>
      </w:r>
      <w:hyperlink r:id="rId310">
        <w:r>
          <w:rPr>
            <w:rFonts w:ascii="Arial" w:cs="Arial" w:eastAsia="Arial" w:hAnsi="Arial"/>
            <w:sz w:val="15"/>
            <w:szCs w:val="15"/>
            <w:u w:val="single" w:color="auto"/>
            <w:color w:val="0000FF"/>
          </w:rPr>
          <w:t>Form of Performance Share Appreciation Rights Agreement under the Incentive Plan (incorporated by reference to Exhibit 10.2 to the August</w:t>
        </w:r>
      </w:hyperlink>
    </w:p>
    <w:p>
      <w:pPr>
        <w:spacing w:after="0" w:line="14" w:lineRule="exact"/>
        <w:rPr>
          <w:rFonts w:ascii="Arial" w:cs="Arial" w:eastAsia="Arial" w:hAnsi="Arial"/>
          <w:sz w:val="18"/>
          <w:szCs w:val="18"/>
          <w:color w:val="auto"/>
        </w:rPr>
      </w:pPr>
    </w:p>
    <w:p>
      <w:pPr>
        <w:ind w:left="520"/>
        <w:spacing w:after="0"/>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2019 10-Q).</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-292100</wp:posOffset>
            </wp:positionH>
            <wp:positionV relativeFrom="paragraph">
              <wp:posOffset>10160</wp:posOffset>
            </wp:positionV>
            <wp:extent cx="7118350" cy="260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1">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both"/>
        <w:ind w:left="52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312">
        <w:r>
          <w:rPr>
            <w:rFonts w:ascii="Arial" w:cs="Arial" w:eastAsia="Arial" w:hAnsi="Arial"/>
            <w:sz w:val="18"/>
            <w:szCs w:val="18"/>
            <w:u w:val="single" w:color="auto"/>
            <w:color w:val="0000FF"/>
          </w:rPr>
          <w:t>Form of Performance Restricted Share Units Agreement (SHIP) under the Incentive Plan (incorporated by reference to Exhibit 10.4 to the</w:t>
        </w:r>
      </w:hyperlink>
      <w:r>
        <w:rPr>
          <w:rFonts w:ascii="Arial" w:cs="Arial" w:eastAsia="Arial" w:hAnsi="Arial"/>
          <w:sz w:val="18"/>
          <w:szCs w:val="18"/>
          <w:color w:val="auto"/>
        </w:rPr>
        <w:t xml:space="preserve"> </w:t>
      </w:r>
      <w:hyperlink r:id="rId312">
        <w:r>
          <w:rPr>
            <w:rFonts w:ascii="Arial" w:cs="Arial" w:eastAsia="Arial" w:hAnsi="Arial"/>
            <w:sz w:val="18"/>
            <w:szCs w:val="18"/>
            <w:u w:val="single" w:color="auto"/>
            <w:color w:val="0000FF"/>
          </w:rPr>
          <w:t>August 2019 10-Q).</w:t>
        </w:r>
      </w:hyperlink>
    </w:p>
    <w:p>
      <w:pPr>
        <w:spacing w:after="0" w:line="15"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10.28+ </w:t>
      </w:r>
      <w:hyperlink r:id="rId313">
        <w:r>
          <w:rPr>
            <w:rFonts w:ascii="Arial" w:cs="Arial" w:eastAsia="Arial" w:hAnsi="Arial"/>
            <w:sz w:val="15"/>
            <w:szCs w:val="15"/>
            <w:u w:val="single" w:color="auto"/>
            <w:color w:val="0000FF"/>
          </w:rPr>
          <w:t>Form of Share Appreciation Rights Agreement under the Incentive Plan (incorporated by reference to Exhibit 10.5 to the August 2019 10-Q).</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65405</wp:posOffset>
            </wp:positionV>
            <wp:extent cx="716026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00" w:top="1014" w:right="359" w:bottom="1440" w:gutter="0" w:footer="0" w:header="0"/>
        </w:sectPr>
      </w:pPr>
    </w:p>
    <w:bookmarkStart w:id="174" w:name="page175"/>
    <w:bookmarkEnd w:id="174"/>
    <w:p>
      <w:pPr>
        <w:ind w:left="480"/>
        <w:spacing w:after="0"/>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215265</wp:posOffset>
            </wp:positionH>
            <wp:positionV relativeFrom="page">
              <wp:posOffset>643255</wp:posOffset>
            </wp:positionV>
            <wp:extent cx="7118350" cy="142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t xml:space="preserve">10.29+ </w:t>
      </w:r>
      <w:hyperlink r:id="rId316">
        <w:r>
          <w:rPr>
            <w:rFonts w:ascii="Arial" w:cs="Arial" w:eastAsia="Arial" w:hAnsi="Arial"/>
            <w:sz w:val="15"/>
            <w:szCs w:val="15"/>
            <w:u w:val="single" w:color="auto"/>
            <w:color w:val="0000FF"/>
          </w:rPr>
          <w:t>Form of Performance Share Units Agreement under the Incentive Plan (incorporated by reference to Exhibit 10.7 to the August 2019 10-Q).</w:t>
        </w:r>
      </w:hyperlink>
    </w:p>
    <w:p>
      <w:pPr>
        <w:spacing w:after="0" w:line="53" w:lineRule="exact"/>
        <w:rPr>
          <w:sz w:val="20"/>
          <w:szCs w:val="20"/>
          <w:color w:val="auto"/>
        </w:rPr>
      </w:pPr>
    </w:p>
    <w:p>
      <w:pPr>
        <w:ind w:left="1000" w:right="4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317">
        <w:r>
          <w:rPr>
            <w:rFonts w:ascii="Arial" w:cs="Arial" w:eastAsia="Arial" w:hAnsi="Arial"/>
            <w:sz w:val="18"/>
            <w:szCs w:val="18"/>
            <w:u w:val="single" w:color="auto"/>
            <w:color w:val="0000FF"/>
          </w:rPr>
          <w:t>Form of Performance Share Units Agreement between the Registrant and our Chief Executive Officer under the Incentive Plan (incorporated by</w:t>
        </w:r>
      </w:hyperlink>
      <w:r>
        <w:rPr>
          <w:rFonts w:ascii="Arial" w:cs="Arial" w:eastAsia="Arial" w:hAnsi="Arial"/>
          <w:sz w:val="18"/>
          <w:szCs w:val="18"/>
          <w:color w:val="auto"/>
        </w:rPr>
        <w:t xml:space="preserve"> </w:t>
      </w:r>
      <w:hyperlink r:id="rId317">
        <w:r>
          <w:rPr>
            <w:rFonts w:ascii="Arial" w:cs="Arial" w:eastAsia="Arial" w:hAnsi="Arial"/>
            <w:sz w:val="18"/>
            <w:szCs w:val="18"/>
            <w:u w:val="single" w:color="auto"/>
            <w:color w:val="0000FF"/>
          </w:rPr>
          <w:t>reference to Exhibit 10.8 to the August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7118350" cy="260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8">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100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319">
        <w:r>
          <w:rPr>
            <w:rFonts w:ascii="Arial" w:cs="Arial" w:eastAsia="Arial" w:hAnsi="Arial"/>
            <w:sz w:val="18"/>
            <w:szCs w:val="18"/>
            <w:u w:val="single" w:color="auto"/>
            <w:color w:val="0000FF"/>
          </w:rPr>
          <w:t>Form of Share Appreciation Rights Agreement between Registrant and our Chief Executive Officer under the Incentive Plan (incorporated by</w:t>
        </w:r>
      </w:hyperlink>
      <w:r>
        <w:rPr>
          <w:rFonts w:ascii="Arial" w:cs="Arial" w:eastAsia="Arial" w:hAnsi="Arial"/>
          <w:sz w:val="18"/>
          <w:szCs w:val="18"/>
          <w:color w:val="auto"/>
        </w:rPr>
        <w:t xml:space="preserve"> </w:t>
      </w:r>
      <w:hyperlink r:id="rId319">
        <w:r>
          <w:rPr>
            <w:rFonts w:ascii="Arial" w:cs="Arial" w:eastAsia="Arial" w:hAnsi="Arial"/>
            <w:sz w:val="18"/>
            <w:szCs w:val="18"/>
            <w:u w:val="single" w:color="auto"/>
            <w:color w:val="0000FF"/>
          </w:rPr>
          <w:t>reference to Exhibit 10.1 to the November 2019 10-Q).</w:t>
        </w:r>
      </w:hyperlink>
    </w:p>
    <w:p>
      <w:pPr>
        <w:spacing w:after="0" w:line="15" w:lineRule="exact"/>
        <w:rPr>
          <w:sz w:val="20"/>
          <w:szCs w:val="20"/>
          <w:color w:val="auto"/>
        </w:rPr>
      </w:pPr>
    </w:p>
    <w:p>
      <w:pPr>
        <w:ind w:left="1000" w:right="4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320">
        <w:r>
          <w:rPr>
            <w:rFonts w:ascii="Arial" w:cs="Arial" w:eastAsia="Arial" w:hAnsi="Arial"/>
            <w:sz w:val="18"/>
            <w:szCs w:val="18"/>
            <w:u w:val="single" w:color="auto"/>
            <w:color w:val="0000FF"/>
          </w:rPr>
          <w:t>Form of Performance Share Appreciation Rights Agreement between Registrant and our Chief Executive Officer under the Incentive Plan</w:t>
        </w:r>
      </w:hyperlink>
      <w:r>
        <w:rPr>
          <w:rFonts w:ascii="Arial" w:cs="Arial" w:eastAsia="Arial" w:hAnsi="Arial"/>
          <w:sz w:val="18"/>
          <w:szCs w:val="18"/>
          <w:color w:val="auto"/>
        </w:rPr>
        <w:t xml:space="preserve"> </w:t>
      </w:r>
      <w:hyperlink r:id="rId320">
        <w:r>
          <w:rPr>
            <w:rFonts w:ascii="Arial" w:cs="Arial" w:eastAsia="Arial" w:hAnsi="Arial"/>
            <w:sz w:val="18"/>
            <w:szCs w:val="18"/>
            <w:u w:val="single" w:color="auto"/>
            <w:color w:val="0000FF"/>
          </w:rPr>
          <w:t>(incorporated by reference to Exhibit 10.2 to the November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7118350" cy="260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1">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ind w:left="480"/>
        <w:spacing w:after="0"/>
        <w:rPr>
          <w:rFonts w:ascii="Arial" w:cs="Arial" w:eastAsia="Arial" w:hAnsi="Arial"/>
          <w:sz w:val="15"/>
          <w:szCs w:val="15"/>
          <w:color w:val="auto"/>
        </w:rPr>
      </w:pPr>
      <w:r>
        <w:rPr>
          <w:rFonts w:ascii="Arial" w:cs="Arial" w:eastAsia="Arial" w:hAnsi="Arial"/>
          <w:sz w:val="15"/>
          <w:szCs w:val="15"/>
          <w:color w:val="auto"/>
        </w:rPr>
        <w:t xml:space="preserve">10.33+ </w:t>
      </w:r>
      <w:hyperlink r:id="rId322">
        <w:r>
          <w:rPr>
            <w:rFonts w:ascii="Arial" w:cs="Arial" w:eastAsia="Arial" w:hAnsi="Arial"/>
            <w:sz w:val="15"/>
            <w:szCs w:val="15"/>
            <w:u w:val="single" w:color="auto"/>
            <w:color w:val="0000FF"/>
          </w:rPr>
          <w:t>Form of Restricted Share Units Agreement (SHIP) under the Incentive Plan (incorporated by reference to Exhibit 10.6 to the November 2019</w:t>
        </w:r>
      </w:hyperlink>
    </w:p>
    <w:p>
      <w:pPr>
        <w:spacing w:after="0" w:line="14" w:lineRule="exact"/>
        <w:rPr>
          <w:sz w:val="20"/>
          <w:szCs w:val="20"/>
          <w:color w:val="auto"/>
        </w:rPr>
      </w:pPr>
    </w:p>
    <w:p>
      <w:pPr>
        <w:ind w:left="1000"/>
        <w:spacing w:after="0"/>
        <w:rPr>
          <w:rFonts w:ascii="Arial" w:cs="Arial" w:eastAsia="Arial" w:hAnsi="Arial"/>
          <w:sz w:val="18"/>
          <w:szCs w:val="18"/>
          <w:u w:val="single" w:color="auto"/>
          <w:color w:val="0000FF"/>
        </w:rPr>
      </w:pPr>
      <w:hyperlink r:id="rId322">
        <w:r>
          <w:rPr>
            <w:rFonts w:ascii="Arial" w:cs="Arial" w:eastAsia="Arial" w:hAnsi="Arial"/>
            <w:sz w:val="18"/>
            <w:szCs w:val="18"/>
            <w:u w:val="single" w:color="auto"/>
            <w:color w:val="0000FF"/>
          </w:rPr>
          <w:t>10-Q).</w:t>
        </w:r>
      </w:hyperlink>
    </w:p>
    <w:p>
      <w:pPr>
        <w:spacing w:after="0" w:line="17" w:lineRule="exact"/>
        <w:rPr>
          <w:sz w:val="20"/>
          <w:szCs w:val="20"/>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 xml:space="preserve">10.34+ </w:t>
      </w:r>
      <w:hyperlink r:id="rId323">
        <w:r>
          <w:rPr>
            <w:rFonts w:ascii="Arial" w:cs="Arial" w:eastAsia="Arial" w:hAnsi="Arial"/>
            <w:sz w:val="15"/>
            <w:szCs w:val="15"/>
            <w:u w:val="single" w:color="auto"/>
            <w:color w:val="0000FF"/>
          </w:rPr>
          <w:t>Form of Restricted Share Units Agreement under the Incentive Plan (incorporated by reference to Exhibit 10.3 to the November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7118350" cy="260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4">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spacing w:after="0" w:line="33" w:lineRule="exact"/>
        <w:rPr>
          <w:sz w:val="20"/>
          <w:szCs w:val="20"/>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 xml:space="preserve">10.35+ </w:t>
      </w:r>
      <w:hyperlink r:id="rId325">
        <w:r>
          <w:rPr>
            <w:rFonts w:ascii="Arial" w:cs="Arial" w:eastAsia="Arial" w:hAnsi="Arial"/>
            <w:sz w:val="15"/>
            <w:szCs w:val="15"/>
            <w:u w:val="single" w:color="auto"/>
            <w:color w:val="0000FF"/>
          </w:rPr>
          <w:t>Form of Performance Restricted Share Units Agreement under the Incentive Plan (incorporated by reference to Exhibit 10.4 to the November</w:t>
        </w:r>
      </w:hyperlink>
    </w:p>
    <w:p>
      <w:pPr>
        <w:spacing w:after="0" w:line="14" w:lineRule="exact"/>
        <w:rPr>
          <w:sz w:val="20"/>
          <w:szCs w:val="20"/>
          <w:color w:val="auto"/>
        </w:rPr>
      </w:pPr>
    </w:p>
    <w:p>
      <w:pPr>
        <w:ind w:left="1000"/>
        <w:spacing w:after="0"/>
        <w:rPr>
          <w:rFonts w:ascii="Arial" w:cs="Arial" w:eastAsia="Arial" w:hAnsi="Arial"/>
          <w:sz w:val="18"/>
          <w:szCs w:val="18"/>
          <w:u w:val="single" w:color="auto"/>
          <w:color w:val="0000FF"/>
        </w:rPr>
      </w:pPr>
      <w:hyperlink r:id="rId325">
        <w:r>
          <w:rPr>
            <w:rFonts w:ascii="Arial" w:cs="Arial" w:eastAsia="Arial" w:hAnsi="Arial"/>
            <w:sz w:val="18"/>
            <w:szCs w:val="18"/>
            <w:u w:val="single" w:color="auto"/>
            <w:color w:val="0000FF"/>
          </w:rPr>
          <w:t>2019 10-Q).</w:t>
        </w:r>
      </w:hyperlink>
    </w:p>
    <w:p>
      <w:pPr>
        <w:spacing w:after="0" w:line="17" w:lineRule="exact"/>
        <w:rPr>
          <w:sz w:val="20"/>
          <w:szCs w:val="20"/>
          <w:color w:val="auto"/>
        </w:rPr>
      </w:pPr>
    </w:p>
    <w:p>
      <w:pPr>
        <w:ind w:left="1000" w:right="4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10.36+ </w:t>
      </w:r>
      <w:hyperlink r:id="rId326">
        <w:r>
          <w:rPr>
            <w:rFonts w:ascii="Arial" w:cs="Arial" w:eastAsia="Arial" w:hAnsi="Arial"/>
            <w:sz w:val="18"/>
            <w:szCs w:val="18"/>
            <w:u w:val="single" w:color="auto"/>
            <w:color w:val="0000FF"/>
          </w:rPr>
          <w:t>Form of Performance Restricted Share Units Agreement between Registrant and our Chief Executive Officer under the Incentive Plan</w:t>
        </w:r>
      </w:hyperlink>
      <w:r>
        <w:rPr>
          <w:rFonts w:ascii="Arial" w:cs="Arial" w:eastAsia="Arial" w:hAnsi="Arial"/>
          <w:sz w:val="18"/>
          <w:szCs w:val="18"/>
          <w:color w:val="auto"/>
        </w:rPr>
        <w:t xml:space="preserve"> </w:t>
      </w:r>
      <w:hyperlink r:id="rId326">
        <w:r>
          <w:rPr>
            <w:rFonts w:ascii="Arial" w:cs="Arial" w:eastAsia="Arial" w:hAnsi="Arial"/>
            <w:sz w:val="18"/>
            <w:szCs w:val="18"/>
            <w:u w:val="single" w:color="auto"/>
            <w:color w:val="0000FF"/>
          </w:rPr>
          <w:t>(incorporated by reference to Exhibit 10.5 to the November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7118350" cy="260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7">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jc w:val="center"/>
        <w:ind w:left="800" w:right="40"/>
        <w:spacing w:after="0" w:line="28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10.37 </w:t>
      </w:r>
      <w:hyperlink r:id="rId328">
        <w:r>
          <w:rPr>
            <w:rFonts w:ascii="Arial" w:cs="Arial" w:eastAsia="Arial" w:hAnsi="Arial"/>
            <w:sz w:val="15"/>
            <w:szCs w:val="15"/>
            <w:u w:val="single" w:color="auto"/>
            <w:color w:val="0000FF"/>
          </w:rPr>
          <w:t>Shareholders’ Agreement, dated December 31, 2016, by and among, Vodafone International Holdings B.V., Vodafone Group Plc, Liberty Global</w:t>
        </w:r>
      </w:hyperlink>
      <w:r>
        <w:rPr>
          <w:rFonts w:ascii="Arial" w:cs="Arial" w:eastAsia="Arial" w:hAnsi="Arial"/>
          <w:sz w:val="15"/>
          <w:szCs w:val="15"/>
          <w:color w:val="auto"/>
        </w:rPr>
        <w:t xml:space="preserve"> </w:t>
      </w:r>
      <w:hyperlink r:id="rId328">
        <w:r>
          <w:rPr>
            <w:rFonts w:ascii="Arial" w:cs="Arial" w:eastAsia="Arial" w:hAnsi="Arial"/>
            <w:sz w:val="15"/>
            <w:szCs w:val="15"/>
            <w:u w:val="single" w:color="auto"/>
            <w:color w:val="0000FF"/>
          </w:rPr>
          <w:t>Europe Holding B.V., the Registrant and Lynx Global Europe II B.V. (incorporated by reference to Exhibit 10.2 to the January 2017 8-K).</w:t>
        </w:r>
      </w:hyperlink>
    </w:p>
    <w:p>
      <w:pPr>
        <w:spacing w:after="0" w:line="1" w:lineRule="exact"/>
        <w:rPr>
          <w:sz w:val="20"/>
          <w:szCs w:val="20"/>
          <w:color w:val="auto"/>
        </w:rPr>
      </w:pPr>
    </w:p>
    <w:p>
      <w:pPr>
        <w:jc w:val="both"/>
        <w:ind w:left="1000" w:right="4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329">
        <w:r>
          <w:rPr>
            <w:rFonts w:ascii="Arial" w:cs="Arial" w:eastAsia="Arial" w:hAnsi="Arial"/>
            <w:sz w:val="18"/>
            <w:szCs w:val="18"/>
            <w:u w:val="single" w:color="auto"/>
            <w:color w:val="0000FF"/>
          </w:rPr>
          <w:t>Shareholders Agreement, dated June 1, 2021, by and among Liberty Global plc, Liberty Global Europe 2 Limited, Liberty Global Holdco</w:t>
        </w:r>
      </w:hyperlink>
      <w:r>
        <w:rPr>
          <w:rFonts w:ascii="Arial" w:cs="Arial" w:eastAsia="Arial" w:hAnsi="Arial"/>
          <w:sz w:val="18"/>
          <w:szCs w:val="18"/>
          <w:color w:val="auto"/>
        </w:rPr>
        <w:t xml:space="preserve"> </w:t>
      </w:r>
      <w:hyperlink r:id="rId329">
        <w:r>
          <w:rPr>
            <w:rFonts w:ascii="Arial" w:cs="Arial" w:eastAsia="Arial" w:hAnsi="Arial"/>
            <w:sz w:val="18"/>
            <w:szCs w:val="18"/>
            <w:u w:val="single" w:color="auto"/>
            <w:color w:val="0000FF"/>
          </w:rPr>
          <w:t>Limited, Telefonica, S.A. and Telefonica O2 Holdings Limited (incorporated by reference to Exhibit 10.1 to the Registrant’s Current Report on</w:t>
        </w:r>
      </w:hyperlink>
      <w:r>
        <w:rPr>
          <w:rFonts w:ascii="Arial" w:cs="Arial" w:eastAsia="Arial" w:hAnsi="Arial"/>
          <w:sz w:val="18"/>
          <w:szCs w:val="18"/>
          <w:u w:val="single" w:color="auto"/>
          <w:color w:val="0000FF"/>
        </w:rPr>
        <w:t xml:space="preserve"> </w:t>
      </w:r>
      <w:hyperlink r:id="rId329">
        <w:r>
          <w:rPr>
            <w:rFonts w:ascii="Arial" w:cs="Arial" w:eastAsia="Arial" w:hAnsi="Arial"/>
            <w:sz w:val="18"/>
            <w:szCs w:val="18"/>
            <w:u w:val="single" w:color="auto"/>
            <w:color w:val="0000FF"/>
          </w:rPr>
          <w:t>Form 8-K filed June 4, 2021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7118350" cy="3695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0">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jc w:val="both"/>
        <w:ind w:left="1000" w:right="4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10.39+ </w:t>
      </w:r>
      <w:hyperlink r:id="rId294">
        <w:r>
          <w:rPr>
            <w:rFonts w:ascii="Arial" w:cs="Arial" w:eastAsia="Arial" w:hAnsi="Arial"/>
            <w:sz w:val="18"/>
            <w:szCs w:val="18"/>
            <w:u w:val="single" w:color="auto"/>
            <w:color w:val="0000FF"/>
          </w:rPr>
          <w:t>Liberty Global 2020 Long-Term Equity Incentive Program for executive officers under the Incentive Plan (description of said plan is</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incorporated by reference to the description thereof included in Item 5.02(e) of the Registrant’s Current Report on Form 8-K filed April 3, 2020</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(File No. 001-35961)).</w:t>
        </w:r>
      </w:hyperlink>
    </w:p>
    <w:p>
      <w:pPr>
        <w:spacing w:after="0" w:line="16" w:lineRule="exact"/>
        <w:rPr>
          <w:rFonts w:ascii="Arial" w:cs="Arial" w:eastAsia="Arial" w:hAnsi="Arial"/>
          <w:sz w:val="18"/>
          <w:szCs w:val="18"/>
          <w:color w:val="auto"/>
        </w:rPr>
      </w:pPr>
    </w:p>
    <w:p>
      <w:pPr>
        <w:jc w:val="both"/>
        <w:ind w:left="1000" w:right="4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10.40+ </w:t>
      </w:r>
      <w:hyperlink r:id="rId331">
        <w:r>
          <w:rPr>
            <w:rFonts w:ascii="Arial" w:cs="Arial" w:eastAsia="Arial" w:hAnsi="Arial"/>
            <w:sz w:val="18"/>
            <w:szCs w:val="18"/>
            <w:u w:val="single" w:color="auto"/>
            <w:color w:val="0000FF"/>
          </w:rPr>
          <w:t>Liberty Global 2021 Long-Term Equity Incentive Program for executive officers under the Company’s 2021 long-term incentive plan</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(description of said plan is incorporated by reference to the description thereof included in Item 5.02(e) of Registrant’s Current Report on Form</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8-K filed April 15, 2021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7118350" cy="142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FF"/>
        </w:rPr>
        <w:t>21 -- List of Subsidiaries*</w:t>
      </w:r>
    </w:p>
    <w:p>
      <w:pPr>
        <w:spacing w:after="0" w:line="18"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23 -- Consent of Experts and Counsel: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142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0000FF"/>
        </w:rPr>
        <w:t>Consent of KPMG LLP*</w:t>
      </w:r>
    </w:p>
    <w:p>
      <w:pPr>
        <w:spacing w:after="0" w:line="18"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31 -- Rule 13a-14(a)/15d-14(a) Certification: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142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President and Chief Executive Officer*</w:t>
      </w:r>
    </w:p>
    <w:p>
      <w:pPr>
        <w:spacing w:after="0" w:line="18" w:lineRule="exact"/>
        <w:rPr>
          <w:rFonts w:ascii="Arial" w:cs="Arial" w:eastAsia="Arial" w:hAnsi="Arial"/>
          <w:sz w:val="18"/>
          <w:szCs w:val="18"/>
          <w:color w:val="auto"/>
        </w:rPr>
      </w:pPr>
    </w:p>
    <w:p>
      <w:pPr>
        <w:ind w:left="60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Executive Vice President and Chief Financial Officer (Principal Financial Officer)*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142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FF"/>
        </w:rPr>
        <w:t>32 -- Section 1350 Certification **</w:t>
      </w:r>
    </w:p>
    <w:p>
      <w:pPr>
        <w:spacing w:after="0" w:line="229"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Definition Linkbase*</w:t>
            </w:r>
          </w:p>
        </w:tc>
      </w:tr>
      <w:tr>
        <w:trPr>
          <w:trHeight w:val="225"/>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 w:lineRule="exact"/>
        <w:rPr>
          <w:rFonts w:ascii="Arial" w:cs="Arial" w:eastAsia="Arial" w:hAnsi="Arial"/>
          <w:sz w:val="18"/>
          <w:szCs w:val="18"/>
          <w:color w:val="auto"/>
        </w:rPr>
      </w:pPr>
    </w:p>
    <w:p>
      <w:pPr>
        <w:ind w:left="1000" w:hanging="963"/>
        <w:spacing w:after="0"/>
        <w:tabs>
          <w:tab w:leader="none" w:pos="10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w:t>
      </w:r>
    </w:p>
    <w:p>
      <w:pPr>
        <w:spacing w:after="0" w:line="116" w:lineRule="exact"/>
        <w:rPr>
          <w:rFonts w:ascii="Arial" w:cs="Arial" w:eastAsia="Arial" w:hAnsi="Arial"/>
          <w:sz w:val="18"/>
          <w:szCs w:val="18"/>
          <w:color w:val="auto"/>
        </w:rPr>
      </w:pPr>
    </w:p>
    <w:p>
      <w:pPr>
        <w:ind w:left="400" w:hanging="394"/>
        <w:spacing w:after="0"/>
        <w:tabs>
          <w:tab w:leader="none" w:pos="4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0" w:lineRule="exact"/>
        <w:rPr>
          <w:rFonts w:ascii="Arial" w:cs="Arial" w:eastAsia="Arial" w:hAnsi="Arial"/>
          <w:sz w:val="18"/>
          <w:szCs w:val="18"/>
          <w:color w:val="auto"/>
        </w:rPr>
      </w:pPr>
    </w:p>
    <w:p>
      <w:pPr>
        <w:ind w:left="640" w:hanging="634"/>
        <w:spacing w:after="0" w:line="215" w:lineRule="exact"/>
        <w:tabs>
          <w:tab w:leader="none" w:pos="49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Schedules and similar attachments to the agreement have been omitted pursuant to Item 601(a)(5) of Regulation S</w:t>
      </w:r>
      <w:r>
        <w:rPr>
          <w:rFonts w:ascii="MS PGothic" w:cs="MS PGothic" w:eastAsia="MS PGothic" w:hAnsi="MS PGothic"/>
          <w:sz w:val="18"/>
          <w:szCs w:val="18"/>
          <w:color w:val="auto"/>
        </w:rPr>
        <w:t>‑</w:t>
      </w:r>
      <w:r>
        <w:rPr>
          <w:rFonts w:ascii="Arial" w:cs="Arial" w:eastAsia="Arial" w:hAnsi="Arial"/>
          <w:sz w:val="18"/>
          <w:szCs w:val="18"/>
          <w:color w:val="auto"/>
        </w:rPr>
        <w:t>K. The Registrant hereby undertakes to furnish supplemental copies of any of the omitted schedules and similar attachments upon request by the United States Securities and Exchange Commission</w:t>
      </w:r>
    </w:p>
    <w:p>
      <w:pPr>
        <w:spacing w:after="0" w:line="97" w:lineRule="exact"/>
        <w:rPr>
          <w:rFonts w:ascii="Arial" w:cs="Arial" w:eastAsia="Arial" w:hAnsi="Arial"/>
          <w:sz w:val="18"/>
          <w:szCs w:val="18"/>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This document has been identified as a management contract or compensatory plan or arrangement.</w:t>
      </w:r>
    </w:p>
    <w:p>
      <w:pPr>
        <w:spacing w:after="0" w:line="237" w:lineRule="exact"/>
        <w:rPr>
          <w:rFonts w:ascii="Arial" w:cs="Arial" w:eastAsia="Arial" w:hAnsi="Arial"/>
          <w:sz w:val="18"/>
          <w:szCs w:val="18"/>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IV-6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6"/>
              </w:rPr>
              <w:t>LIBERTY GLOBAL PLC</w:t>
            </w:r>
          </w:p>
        </w:tc>
      </w:tr>
      <w:tr>
        <w:trPr>
          <w:trHeight w:val="464"/>
        </w:trPr>
        <w:tc>
          <w:tcPr>
            <w:tcW w:w="3780" w:type="dxa"/>
            <w:vAlign w:val="bottom"/>
          </w:tcPr>
          <w:p>
            <w:pPr>
              <w:spacing w:after="0"/>
              <w:rPr>
                <w:sz w:val="20"/>
                <w:szCs w:val="20"/>
                <w:color w:val="auto"/>
              </w:rPr>
            </w:pPr>
            <w:r>
              <w:rPr>
                <w:rFonts w:ascii="Arial" w:cs="Arial" w:eastAsia="Arial" w:hAnsi="Arial"/>
                <w:sz w:val="18"/>
                <w:szCs w:val="18"/>
                <w:color w:val="auto"/>
              </w:rPr>
              <w:t>Dated: February 22, 2023</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BRYAN H. HALL</w:t>
            </w:r>
          </w:p>
        </w:tc>
      </w:tr>
      <w:tr>
        <w:trPr>
          <w:trHeight w:val="167"/>
        </w:trPr>
        <w:tc>
          <w:tcPr>
            <w:tcW w:w="3780" w:type="dxa"/>
            <w:vAlign w:val="bottom"/>
          </w:tcPr>
          <w:p>
            <w:pPr>
              <w:spacing w:after="0"/>
              <w:rPr>
                <w:sz w:val="14"/>
                <w:szCs w:val="14"/>
                <w:color w:val="auto"/>
              </w:rPr>
            </w:pPr>
          </w:p>
        </w:tc>
        <w:tc>
          <w:tcPr>
            <w:tcW w:w="5100" w:type="dxa"/>
            <w:vAlign w:val="bottom"/>
          </w:tcPr>
          <w:p>
            <w:pPr>
              <w:jc w:val="center"/>
              <w:spacing w:after="0" w:line="167" w:lineRule="exact"/>
              <w:rPr>
                <w:sz w:val="20"/>
                <w:szCs w:val="20"/>
                <w:color w:val="auto"/>
              </w:rPr>
            </w:pPr>
            <w:r>
              <w:rPr>
                <w:rFonts w:ascii="Arial" w:cs="Arial" w:eastAsia="Arial" w:hAnsi="Arial"/>
                <w:sz w:val="18"/>
                <w:szCs w:val="18"/>
                <w:color w:val="auto"/>
                <w:w w:val="94"/>
              </w:rPr>
              <w:t>Bryan H. Hall</w:t>
            </w:r>
          </w:p>
        </w:tc>
      </w:tr>
      <w:tr>
        <w:trPr>
          <w:trHeight w:val="223"/>
        </w:trPr>
        <w:tc>
          <w:tcPr>
            <w:tcW w:w="378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General Counsel and Secretary</w:t>
            </w:r>
          </w:p>
        </w:tc>
      </w:tr>
    </w:tbl>
    <w:p>
      <w:pPr>
        <w:spacing w:after="0" w:line="33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60" w:type="dxa"/>
            <w:vAlign w:val="bottom"/>
          </w:tcPr>
          <w:p>
            <w:pPr>
              <w:spacing w:after="0"/>
              <w:rPr>
                <w:sz w:val="18"/>
                <w:szCs w:val="18"/>
                <w:color w:val="auto"/>
              </w:rPr>
            </w:pPr>
          </w:p>
        </w:tc>
        <w:tc>
          <w:tcPr>
            <w:tcW w:w="508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auto"/>
              </w:rPr>
              <w:t>Title</w:t>
            </w:r>
          </w:p>
        </w:tc>
        <w:tc>
          <w:tcPr>
            <w:tcW w:w="360" w:type="dxa"/>
            <w:vAlign w:val="bottom"/>
          </w:tcPr>
          <w:p>
            <w:pPr>
              <w:spacing w:after="0"/>
              <w:rPr>
                <w:sz w:val="18"/>
                <w:szCs w:val="18"/>
                <w:color w:val="auto"/>
              </w:rPr>
            </w:pPr>
          </w:p>
        </w:tc>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Date</w:t>
            </w:r>
          </w:p>
        </w:tc>
      </w:tr>
      <w:tr>
        <w:trPr>
          <w:trHeight w:val="420"/>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C. MALONE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John C. Malone</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T. FRIES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Michael T. Fries</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ANDREW J. COLE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Andrew J. Cole</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MIRANDA CURTIS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Miranda Curtis</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W. DICK</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John W. Dick</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PAUL A. GOULD</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1"/>
              </w:rPr>
              <w:t>Paul A. Gould</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R. GREEN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Richard R. Green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LARRY E. ROMRELL</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3"/>
              </w:rPr>
              <w:t>Larry E. Romrell</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 DAVID WARGO</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9"/>
              </w:rPr>
              <w:t>J. David Wargo</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MARISA DREW</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1"/>
              </w:rPr>
              <w:t>Marisa Drew</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DANIEL E. SANCHEZ</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7"/>
              </w:rPr>
              <w:t>Daniel E. Sanchez</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H.R. BRACKEN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Charles H.R. Bracken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JASON WALDRON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22, 2023</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6"/>
              </w:rPr>
              <w:t>Jason Waldron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176" w:name="page177"/>
    <w:bookmarkEnd w:id="176"/>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CONDENSED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05"/>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r>
      <w:tr>
        <w:trPr>
          <w:trHeight w:val="202"/>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r>
      <w:tr>
        <w:trPr>
          <w:trHeight w:val="215"/>
        </w:trPr>
        <w:tc>
          <w:tcPr>
            <w:tcW w:w="8680" w:type="dxa"/>
            <w:vAlign w:val="bottom"/>
          </w:tcPr>
          <w:p>
            <w:pPr>
              <w:ind w:left="40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Current notes receivable — related-party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8"/>
        </w:trPr>
        <w:tc>
          <w:tcPr>
            <w:tcW w:w="86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notes receivable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Investments in consolidated subsidiaries, including intercompany balances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51,050.7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52,617.8</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9"/>
        </w:trPr>
        <w:tc>
          <w:tcPr>
            <w:tcW w:w="8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53,144.2</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1"/>
        </w:trPr>
        <w:tc>
          <w:tcPr>
            <w:tcW w:w="8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9"/>
        </w:trPr>
        <w:tc>
          <w:tcPr>
            <w:tcW w:w="8680" w:type="dxa"/>
            <w:vAlign w:val="bottom"/>
          </w:tcPr>
          <w:p>
            <w:pPr>
              <w:ind w:left="26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payables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Other current liabilities — related-party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payable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11,281.7</w:t>
            </w: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and current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19"/>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11,378.7</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Long-term notes payable — related-party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15,822.5</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8"/>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28,921.0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27,209.3</w:t>
            </w:r>
          </w:p>
        </w:tc>
      </w:tr>
      <w:tr>
        <w:trPr>
          <w:trHeight w:val="205"/>
        </w:trPr>
        <w:tc>
          <w:tcPr>
            <w:tcW w:w="8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7"/>
        </w:trPr>
        <w:tc>
          <w:tcPr>
            <w:tcW w:w="8680" w:type="dxa"/>
            <w:vAlign w:val="bottom"/>
            <w:shd w:val="clear" w:color="auto" w:fill="CCEEFF"/>
          </w:tcPr>
          <w:p>
            <w:pPr>
              <w:ind w:left="180"/>
              <w:spacing w:after="0" w:line="187" w:lineRule="exact"/>
              <w:rPr>
                <w:sz w:val="20"/>
                <w:szCs w:val="20"/>
                <w:color w:val="auto"/>
              </w:rPr>
            </w:pPr>
            <w:r>
              <w:rPr>
                <w:rFonts w:ascii="Arial" w:cs="Arial" w:eastAsia="Arial" w:hAnsi="Arial"/>
                <w:sz w:val="18"/>
                <w:szCs w:val="18"/>
                <w:color w:val="auto"/>
                <w:w w:val="97"/>
              </w:rPr>
              <w:t>Class A ordinary shares, $0.01 nominal value. Issued and outstanding 171,917,370 and 174,310,558 shares,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4"/>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w w:val="89"/>
              </w:rPr>
              <w:t>Class B ordinary shares, $0.01 nominal value. Issued and outstanding 12,994,000 and 12,930,839 shares, respectively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187"/>
        </w:trPr>
        <w:tc>
          <w:tcPr>
            <w:tcW w:w="8680" w:type="dxa"/>
            <w:vAlign w:val="bottom"/>
            <w:shd w:val="clear" w:color="auto" w:fill="CCEEFF"/>
          </w:tcPr>
          <w:p>
            <w:pPr>
              <w:ind w:left="180"/>
              <w:spacing w:after="0" w:line="187" w:lineRule="exact"/>
              <w:rPr>
                <w:sz w:val="20"/>
                <w:szCs w:val="20"/>
                <w:color w:val="auto"/>
              </w:rPr>
            </w:pPr>
            <w:r>
              <w:rPr>
                <w:rFonts w:ascii="Arial" w:cs="Arial" w:eastAsia="Arial" w:hAnsi="Arial"/>
                <w:sz w:val="18"/>
                <w:szCs w:val="18"/>
                <w:color w:val="auto"/>
                <w:w w:val="97"/>
              </w:rPr>
              <w:t>Class C ordinary shares, $0.01 nominal value. Issued and outstanding 274,436,585 and 340,114,729 shares,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4"/>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3,893.0</w:t>
            </w:r>
          </w:p>
        </w:tc>
      </w:tr>
      <w:tr>
        <w:trPr>
          <w:trHeight w:val="225"/>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earnings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w:t>
            </w: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other comprehensive earnings, net of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3,892.2</w:t>
            </w:r>
          </w:p>
        </w:tc>
      </w:tr>
      <w:tr>
        <w:trPr>
          <w:trHeight w:val="225"/>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 at cost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8"/>
        </w:trPr>
        <w:tc>
          <w:tcPr>
            <w:tcW w:w="8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22,436.4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25,934.9</w:t>
            </w:r>
          </w:p>
        </w:tc>
      </w:tr>
      <w:tr>
        <w:trPr>
          <w:trHeight w:val="244"/>
        </w:trPr>
        <w:tc>
          <w:tcPr>
            <w:tcW w:w="8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51,357.4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53,144.2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7" w:name="page178"/>
    <w:bookmarkEnd w:id="177"/>
    <w:p>
      <w:pPr>
        <w:ind w:left="458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6"/>
                <w:szCs w:val="16"/>
                <w:b w:val="1"/>
                <w:bCs w:val="1"/>
                <w:color w:val="auto"/>
                <w:w w:val="89"/>
              </w:rPr>
              <w:t>Year ended December 31,</w:t>
            </w:r>
          </w:p>
        </w:tc>
        <w:tc>
          <w:tcPr>
            <w:tcW w:w="780" w:type="dxa"/>
            <w:vAlign w:val="bottom"/>
            <w:tcBorders>
              <w:bottom w:val="single" w:sz="8" w:color="auto"/>
            </w:tcBorders>
          </w:tcPr>
          <w:p>
            <w:pPr>
              <w:spacing w:after="0"/>
              <w:rPr>
                <w:sz w:val="18"/>
                <w:szCs w:val="18"/>
                <w:color w:val="auto"/>
              </w:rPr>
            </w:pPr>
          </w:p>
        </w:tc>
      </w:tr>
      <w:tr>
        <w:trPr>
          <w:trHeight w:val="205"/>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r>
      <w:tr>
        <w:trPr>
          <w:trHeight w:val="202"/>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7640" w:type="dxa"/>
            <w:vAlign w:val="bottom"/>
          </w:tcPr>
          <w:p>
            <w:pPr>
              <w:ind w:left="140"/>
              <w:spacing w:after="0"/>
              <w:rPr>
                <w:sz w:val="20"/>
                <w:szCs w:val="20"/>
                <w:color w:val="auto"/>
              </w:rPr>
            </w:pPr>
            <w:r>
              <w:rPr>
                <w:rFonts w:ascii="Arial" w:cs="Arial" w:eastAsia="Arial" w:hAnsi="Arial"/>
                <w:sz w:val="18"/>
                <w:szCs w:val="18"/>
                <w:color w:val="auto"/>
              </w:rPr>
              <w:t>Selling, general and administrative (including share-based compensation)</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5"/>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Related-party fees and allocations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5"/>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9"/>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05"/>
        </w:trPr>
        <w:tc>
          <w:tcPr>
            <w:tcW w:w="764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5"/>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 related-party</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r>
      <w:tr>
        <w:trPr>
          <w:trHeight w:val="225"/>
        </w:trPr>
        <w:tc>
          <w:tcPr>
            <w:tcW w:w="7640" w:type="dxa"/>
            <w:vAlign w:val="bottom"/>
          </w:tcPr>
          <w:p>
            <w:pPr>
              <w:ind w:left="140"/>
              <w:spacing w:after="0"/>
              <w:rPr>
                <w:sz w:val="20"/>
                <w:szCs w:val="20"/>
                <w:color w:val="auto"/>
              </w:rPr>
            </w:pPr>
            <w:r>
              <w:rPr>
                <w:rFonts w:ascii="Arial" w:cs="Arial" w:eastAsia="Arial" w:hAnsi="Arial"/>
                <w:sz w:val="18"/>
                <w:szCs w:val="18"/>
                <w:color w:val="auto"/>
              </w:rPr>
              <w:t>Interest income — related-party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5"/>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r>
      <w:tr>
        <w:trPr>
          <w:trHeight w:val="225"/>
        </w:trPr>
        <w:tc>
          <w:tcPr>
            <w:tcW w:w="764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8"/>
        </w:trPr>
        <w:tc>
          <w:tcPr>
            <w:tcW w:w="7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(1,369.9)</w:t>
            </w:r>
          </w:p>
        </w:tc>
      </w:tr>
      <w:tr>
        <w:trPr>
          <w:trHeight w:val="219"/>
        </w:trPr>
        <w:tc>
          <w:tcPr>
            <w:tcW w:w="7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before income taxes and equity in earnings (loss) of consolidated subsidiaries,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r>
      <w:tr>
        <w:trPr>
          <w:trHeight w:val="225"/>
        </w:trPr>
        <w:tc>
          <w:tcPr>
            <w:tcW w:w="7640" w:type="dxa"/>
            <w:vAlign w:val="bottom"/>
          </w:tcPr>
          <w:p>
            <w:pPr>
              <w:ind w:left="20"/>
              <w:spacing w:after="0"/>
              <w:rPr>
                <w:sz w:val="20"/>
                <w:szCs w:val="20"/>
                <w:color w:val="auto"/>
              </w:rPr>
            </w:pPr>
            <w:r>
              <w:rPr>
                <w:rFonts w:ascii="Arial" w:cs="Arial" w:eastAsia="Arial" w:hAnsi="Arial"/>
                <w:sz w:val="18"/>
                <w:szCs w:val="18"/>
                <w:color w:val="auto"/>
              </w:rPr>
              <w:t>Equity in earnings (loss) of consolidated subsidiaries,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(401.0)</w:t>
            </w: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19"/>
        </w:trPr>
        <w:tc>
          <w:tcPr>
            <w:tcW w:w="7640" w:type="dxa"/>
            <w:vAlign w:val="bottom"/>
          </w:tcPr>
          <w:p>
            <w:pPr>
              <w:ind w:left="340"/>
              <w:spacing w:after="0"/>
              <w:rPr>
                <w:sz w:val="20"/>
                <w:szCs w:val="20"/>
                <w:color w:val="auto"/>
              </w:rPr>
            </w:pPr>
            <w:r>
              <w:rPr>
                <w:rFonts w:ascii="Arial" w:cs="Arial" w:eastAsia="Arial" w:hAnsi="Arial"/>
                <w:sz w:val="18"/>
                <w:szCs w:val="18"/>
                <w:color w:val="auto"/>
              </w:rPr>
              <w:t>Net earnings (loss)</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(1,628.0)</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65405</wp:posOffset>
            </wp:positionV>
            <wp:extent cx="716026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80" w:top="757" w:right="399" w:bottom="1440" w:gutter="0" w:footer="0" w:header="0"/>
        </w:sectPr>
      </w:pPr>
    </w:p>
    <w:bookmarkStart w:id="178" w:name="page179"/>
    <w:bookmarkEnd w:id="178"/>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CONDENSED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6"/>
                <w:szCs w:val="16"/>
                <w:b w:val="1"/>
                <w:bCs w:val="1"/>
                <w:color w:val="auto"/>
                <w:w w:val="89"/>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13,426.8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(1,628.0)</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(loss) to net cash used by operating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60"/>
              <w:spacing w:after="0"/>
              <w:rPr>
                <w:sz w:val="20"/>
                <w:szCs w:val="20"/>
                <w:color w:val="auto"/>
              </w:rPr>
            </w:pPr>
            <w:r>
              <w:rPr>
                <w:rFonts w:ascii="Arial" w:cs="Arial" w:eastAsia="Arial" w:hAnsi="Arial"/>
                <w:sz w:val="18"/>
                <w:szCs w:val="18"/>
                <w:color w:val="auto"/>
              </w:rPr>
              <w:t>Equity in loss (earnings) of consolidated subsidiaries,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5"/>
        </w:trPr>
        <w:tc>
          <w:tcPr>
            <w:tcW w:w="7820" w:type="dxa"/>
            <w:vAlign w:val="bottom"/>
          </w:tcPr>
          <w:p>
            <w:pPr>
              <w:ind w:left="260"/>
              <w:spacing w:after="0"/>
              <w:rPr>
                <w:sz w:val="20"/>
                <w:szCs w:val="20"/>
                <w:color w:val="auto"/>
              </w:rPr>
            </w:pPr>
            <w:r>
              <w:rPr>
                <w:rFonts w:ascii="Arial" w:cs="Arial" w:eastAsia="Arial" w:hAnsi="Arial"/>
                <w:sz w:val="18"/>
                <w:szCs w:val="18"/>
                <w:color w:val="auto"/>
              </w:rPr>
              <w:t>Related-party fees and allocations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7820" w:type="dxa"/>
            <w:vAlign w:val="bottom"/>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transaction losses (gains),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25"/>
        </w:trPr>
        <w:tc>
          <w:tcPr>
            <w:tcW w:w="7820" w:type="dxa"/>
            <w:vAlign w:val="bottom"/>
          </w:tcPr>
          <w:p>
            <w:pPr>
              <w:ind w:left="260"/>
              <w:spacing w:after="0"/>
              <w:rPr>
                <w:sz w:val="20"/>
                <w:szCs w:val="20"/>
                <w:color w:val="auto"/>
              </w:rPr>
            </w:pPr>
            <w:r>
              <w:rPr>
                <w:rFonts w:ascii="Arial" w:cs="Arial" w:eastAsia="Arial" w:hAnsi="Arial"/>
                <w:sz w:val="18"/>
                <w:szCs w:val="18"/>
                <w:color w:val="auto"/>
              </w:rPr>
              <w:t>Deferred income tax expense (benefit)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420"/>
              <w:spacing w:after="0"/>
              <w:rPr>
                <w:sz w:val="20"/>
                <w:szCs w:val="20"/>
                <w:color w:val="auto"/>
              </w:rPr>
            </w:pPr>
            <w:r>
              <w:rPr>
                <w:rFonts w:ascii="Arial" w:cs="Arial" w:eastAsia="Arial" w:hAnsi="Arial"/>
                <w:sz w:val="18"/>
                <w:szCs w:val="18"/>
                <w:color w:val="auto"/>
              </w:rPr>
              <w:t>Receivables and other operating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and accruals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560"/>
              <w:spacing w:after="0" w:line="204" w:lineRule="exact"/>
              <w:rPr>
                <w:sz w:val="20"/>
                <w:szCs w:val="20"/>
                <w:color w:val="auto"/>
              </w:rPr>
            </w:pPr>
            <w:r>
              <w:rPr>
                <w:rFonts w:ascii="Arial" w:cs="Arial" w:eastAsia="Arial" w:hAnsi="Arial"/>
                <w:sz w:val="18"/>
                <w:szCs w:val="18"/>
                <w:color w:val="auto"/>
              </w:rPr>
              <w:t>Net cash used by operating activities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139"/>
        </w:trPr>
        <w:tc>
          <w:tcPr>
            <w:tcW w:w="7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related to derivative instruments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w w:val="97"/>
              </w:rPr>
              <w:t>Distributions and repayments from (investments in and advances to) consolidated subsidiaries,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released from the Vodafone Escrow Accounts,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Other investing activities, net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7820" w:type="dxa"/>
            <w:vAlign w:val="bottom"/>
            <w:tcBorders>
              <w:top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Net cash provided (used) by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139"/>
        </w:trPr>
        <w:tc>
          <w:tcPr>
            <w:tcW w:w="7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Borrowings of related-party debt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2,087.5</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related-party debt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(1,072.3)</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issuance of Liberty Global shares upon exercise of options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139"/>
        </w:trPr>
        <w:tc>
          <w:tcPr>
            <w:tcW w:w="7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8"/>
        </w:trPr>
        <w:tc>
          <w:tcPr>
            <w:tcW w:w="7820" w:type="dxa"/>
            <w:vAlign w:val="bottom"/>
          </w:tcPr>
          <w:p>
            <w:pPr>
              <w:ind w:left="320"/>
              <w:spacing w:after="0" w:line="204"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and restricted cash:</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Beginning of year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560"/>
              <w:spacing w:after="0" w:line="205" w:lineRule="exact"/>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year cash and cash equivalents and restricted cash:</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7"/>
        </w:trPr>
        <w:tc>
          <w:tcPr>
            <w:tcW w:w="7820" w:type="dxa"/>
            <w:vAlign w:val="bottom"/>
          </w:tcPr>
          <w:p>
            <w:pPr>
              <w:ind w:left="320"/>
              <w:spacing w:after="0" w:line="204" w:lineRule="exact"/>
              <w:rPr>
                <w:sz w:val="20"/>
                <w:szCs w:val="20"/>
                <w:color w:val="auto"/>
              </w:rPr>
            </w:pPr>
            <w:r>
              <w:rPr>
                <w:rFonts w:ascii="Arial" w:cs="Arial" w:eastAsia="Arial" w:hAnsi="Arial"/>
                <w:sz w:val="18"/>
                <w:szCs w:val="18"/>
                <w:color w:val="auto"/>
              </w:rPr>
              <w:t>Total cash and cash equivalents and restricted cash</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
        </w:trPr>
        <w:tc>
          <w:tcPr>
            <w:tcW w:w="7820" w:type="dxa"/>
            <w:vAlign w:val="bottom"/>
            <w:vMerge w:val="restart"/>
          </w:tcPr>
          <w:p>
            <w:pPr>
              <w:ind w:left="5420"/>
              <w:spacing w:after="0"/>
              <w:rPr>
                <w:sz w:val="20"/>
                <w:szCs w:val="20"/>
                <w:color w:val="auto"/>
              </w:rPr>
            </w:pPr>
            <w:r>
              <w:rPr>
                <w:rFonts w:ascii="Arial" w:cs="Arial" w:eastAsia="Arial" w:hAnsi="Arial"/>
                <w:sz w:val="18"/>
                <w:szCs w:val="18"/>
                <w:color w:val="auto"/>
              </w:rPr>
              <w:t>IV-10</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0"/>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79" w:name="page180"/>
    <w:bookmarkEnd w:id="179"/>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center"/>
              <w:ind w:right="295"/>
              <w:spacing w:after="0"/>
              <w:rPr>
                <w:sz w:val="20"/>
                <w:szCs w:val="20"/>
                <w:color w:val="auto"/>
              </w:rPr>
            </w:pPr>
            <w:r>
              <w:rPr>
                <w:rFonts w:ascii="Arial" w:cs="Arial" w:eastAsia="Arial" w:hAnsi="Arial"/>
                <w:sz w:val="16"/>
                <w:szCs w:val="16"/>
                <w:b w:val="1"/>
                <w:bCs w:val="1"/>
                <w:color w:val="auto"/>
                <w:w w:val="88"/>
              </w:rPr>
              <w:t>Allowance for doubtful accounts — Trade receivables</w:t>
            </w: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95"/>
              <w:spacing w:after="0"/>
              <w:rPr>
                <w:sz w:val="20"/>
                <w:szCs w:val="20"/>
                <w:color w:val="auto"/>
              </w:rPr>
            </w:pPr>
            <w:r>
              <w:rPr>
                <w:rFonts w:ascii="Arial" w:cs="Arial" w:eastAsia="Arial" w:hAnsi="Arial"/>
                <w:sz w:val="16"/>
                <w:szCs w:val="16"/>
                <w:b w:val="1"/>
                <w:bCs w:val="1"/>
                <w:color w:val="auto"/>
                <w:w w:val="87"/>
              </w:rPr>
              <w:t>Balance at</w:t>
            </w:r>
          </w:p>
        </w:tc>
        <w:tc>
          <w:tcPr>
            <w:tcW w:w="10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Impact of</w:t>
            </w: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Additions to</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center"/>
              <w:ind w:left="176"/>
              <w:spacing w:after="0" w:line="155" w:lineRule="exact"/>
              <w:rPr>
                <w:sz w:val="20"/>
                <w:szCs w:val="20"/>
                <w:color w:val="auto"/>
              </w:rPr>
            </w:pPr>
            <w:r>
              <w:rPr>
                <w:rFonts w:ascii="Arial" w:cs="Arial" w:eastAsia="Arial" w:hAnsi="Arial"/>
                <w:sz w:val="16"/>
                <w:szCs w:val="16"/>
                <w:b w:val="1"/>
                <w:bCs w:val="1"/>
                <w:color w:val="auto"/>
                <w:w w:val="91"/>
              </w:rPr>
              <w:t>Foreign</w:t>
            </w:r>
          </w:p>
        </w:tc>
        <w:tc>
          <w:tcPr>
            <w:tcW w:w="20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adoption of</w:t>
            </w:r>
          </w:p>
        </w:tc>
        <w:tc>
          <w:tcPr>
            <w:tcW w:w="12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Deductions</w:t>
            </w:r>
          </w:p>
        </w:tc>
        <w:tc>
          <w:tcPr>
            <w:tcW w:w="1080" w:type="dxa"/>
            <w:vAlign w:val="bottom"/>
          </w:tcPr>
          <w:p>
            <w:pPr>
              <w:jc w:val="center"/>
              <w:ind w:left="176"/>
              <w:spacing w:after="0" w:line="159" w:lineRule="exact"/>
              <w:rPr>
                <w:sz w:val="20"/>
                <w:szCs w:val="20"/>
                <w:color w:val="auto"/>
              </w:rPr>
            </w:pPr>
            <w:r>
              <w:rPr>
                <w:rFonts w:ascii="Arial" w:cs="Arial" w:eastAsia="Arial" w:hAnsi="Arial"/>
                <w:sz w:val="16"/>
                <w:szCs w:val="16"/>
                <w:b w:val="1"/>
                <w:bCs w:val="1"/>
                <w:color w:val="auto"/>
                <w:w w:val="91"/>
              </w:rPr>
              <w:t>currency</w:t>
            </w: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1020" w:type="dxa"/>
            <w:vAlign w:val="bottom"/>
            <w:gridSpan w:val="2"/>
          </w:tcPr>
          <w:p>
            <w:pPr>
              <w:jc w:val="right"/>
              <w:ind w:right="35"/>
              <w:spacing w:after="0" w:line="159" w:lineRule="exact"/>
              <w:rPr>
                <w:sz w:val="20"/>
                <w:szCs w:val="20"/>
                <w:color w:val="auto"/>
              </w:rPr>
            </w:pPr>
            <w:r>
              <w:rPr>
                <w:rFonts w:ascii="Arial" w:cs="Arial" w:eastAsia="Arial" w:hAnsi="Arial"/>
                <w:sz w:val="16"/>
                <w:szCs w:val="16"/>
                <w:b w:val="1"/>
                <w:bCs w:val="1"/>
                <w:color w:val="auto"/>
                <w:w w:val="91"/>
              </w:rPr>
              <w:t>beginning of</w:t>
            </w:r>
          </w:p>
        </w:tc>
        <w:tc>
          <w:tcPr>
            <w:tcW w:w="10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ASU 2014-</w:t>
            </w:r>
          </w:p>
        </w:tc>
        <w:tc>
          <w:tcPr>
            <w:tcW w:w="1220" w:type="dxa"/>
            <w:vAlign w:val="bottom"/>
            <w:gridSpan w:val="2"/>
          </w:tcPr>
          <w:p>
            <w:pPr>
              <w:jc w:val="center"/>
              <w:ind w:right="1"/>
              <w:spacing w:after="0" w:line="159" w:lineRule="exact"/>
              <w:rPr>
                <w:sz w:val="20"/>
                <w:szCs w:val="20"/>
                <w:color w:val="auto"/>
              </w:rPr>
            </w:pPr>
            <w:r>
              <w:rPr>
                <w:rFonts w:ascii="Arial" w:cs="Arial" w:eastAsia="Arial" w:hAnsi="Arial"/>
                <w:sz w:val="16"/>
                <w:szCs w:val="16"/>
                <w:b w:val="1"/>
                <w:bCs w:val="1"/>
                <w:color w:val="auto"/>
                <w:w w:val="82"/>
              </w:rPr>
              <w:t>costs and</w:t>
            </w:r>
          </w:p>
        </w:tc>
        <w:tc>
          <w:tcPr>
            <w:tcW w:w="1260" w:type="dxa"/>
            <w:vAlign w:val="bottom"/>
            <w:gridSpan w:val="2"/>
            <w:vMerge w:val="restart"/>
          </w:tcPr>
          <w:p>
            <w:pPr>
              <w:jc w:val="right"/>
              <w:ind w:right="177"/>
              <w:spacing w:after="0"/>
              <w:rPr>
                <w:sz w:val="20"/>
                <w:szCs w:val="20"/>
                <w:color w:val="auto"/>
              </w:rPr>
            </w:pPr>
            <w:r>
              <w:rPr>
                <w:rFonts w:ascii="Arial" w:cs="Arial" w:eastAsia="Arial" w:hAnsi="Arial"/>
                <w:sz w:val="16"/>
                <w:szCs w:val="16"/>
                <w:b w:val="1"/>
                <w:bCs w:val="1"/>
                <w:color w:val="auto"/>
              </w:rPr>
              <w:t>Acquisitions</w:t>
            </w:r>
          </w:p>
        </w:tc>
        <w:tc>
          <w:tcPr>
            <w:tcW w:w="1160" w:type="dxa"/>
            <w:vAlign w:val="bottom"/>
            <w:gridSpan w:val="2"/>
            <w:vMerge w:val="restart"/>
          </w:tcPr>
          <w:p>
            <w:pPr>
              <w:jc w:val="right"/>
              <w:ind w:right="137"/>
              <w:spacing w:after="0"/>
              <w:rPr>
                <w:sz w:val="20"/>
                <w:szCs w:val="20"/>
                <w:color w:val="auto"/>
              </w:rPr>
            </w:pPr>
            <w:r>
              <w:rPr>
                <w:rFonts w:ascii="Arial" w:cs="Arial" w:eastAsia="Arial" w:hAnsi="Arial"/>
                <w:sz w:val="16"/>
                <w:szCs w:val="16"/>
                <w:b w:val="1"/>
                <w:bCs w:val="1"/>
                <w:color w:val="auto"/>
                <w:w w:val="95"/>
              </w:rPr>
              <w:t>Dispositions</w:t>
            </w:r>
          </w:p>
        </w:tc>
        <w:tc>
          <w:tcPr>
            <w:tcW w:w="1040" w:type="dxa"/>
            <w:vAlign w:val="bottom"/>
            <w:gridSpan w:val="2"/>
            <w:vMerge w:val="continue"/>
          </w:tcPr>
          <w:p>
            <w:pPr>
              <w:spacing w:after="0"/>
              <w:rPr>
                <w:sz w:val="13"/>
                <w:szCs w:val="13"/>
                <w:color w:val="auto"/>
              </w:rPr>
            </w:pPr>
          </w:p>
        </w:tc>
        <w:tc>
          <w:tcPr>
            <w:tcW w:w="1080" w:type="dxa"/>
            <w:vAlign w:val="bottom"/>
          </w:tcPr>
          <w:p>
            <w:pPr>
              <w:jc w:val="center"/>
              <w:ind w:left="176"/>
              <w:spacing w:after="0" w:line="159" w:lineRule="exact"/>
              <w:rPr>
                <w:sz w:val="20"/>
                <w:szCs w:val="20"/>
                <w:color w:val="auto"/>
              </w:rPr>
            </w:pPr>
            <w:r>
              <w:rPr>
                <w:rFonts w:ascii="Arial" w:cs="Arial" w:eastAsia="Arial" w:hAnsi="Arial"/>
                <w:sz w:val="16"/>
                <w:szCs w:val="16"/>
                <w:b w:val="1"/>
                <w:bCs w:val="1"/>
                <w:color w:val="auto"/>
                <w:w w:val="90"/>
              </w:rPr>
              <w:t>translation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5"/>
              <w:spacing w:after="0" w:line="159" w:lineRule="exact"/>
              <w:rPr>
                <w:sz w:val="20"/>
                <w:szCs w:val="20"/>
                <w:color w:val="auto"/>
              </w:rPr>
            </w:pPr>
            <w:r>
              <w:rPr>
                <w:rFonts w:ascii="Arial" w:cs="Arial" w:eastAsia="Arial" w:hAnsi="Arial"/>
                <w:sz w:val="16"/>
                <w:szCs w:val="16"/>
                <w:b w:val="1"/>
                <w:bCs w:val="1"/>
                <w:color w:val="auto"/>
                <w:w w:val="87"/>
              </w:rPr>
              <w:t>end of</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period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09</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2"/>
              </w:rPr>
              <w:t>expenses</w:t>
            </w:r>
          </w:p>
        </w:tc>
        <w:tc>
          <w:tcPr>
            <w:tcW w:w="126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or write-offs</w:t>
            </w:r>
          </w:p>
        </w:tc>
        <w:tc>
          <w:tcPr>
            <w:tcW w:w="1080" w:type="dxa"/>
            <w:vAlign w:val="bottom"/>
            <w:tcBorders>
              <w:bottom w:val="single" w:sz="8" w:color="auto"/>
            </w:tcBorders>
          </w:tcPr>
          <w:p>
            <w:pPr>
              <w:jc w:val="center"/>
              <w:ind w:left="176"/>
              <w:spacing w:after="0"/>
              <w:rPr>
                <w:sz w:val="20"/>
                <w:szCs w:val="20"/>
                <w:color w:val="auto"/>
              </w:rPr>
            </w:pPr>
            <w:r>
              <w:rPr>
                <w:rFonts w:ascii="Arial" w:cs="Arial" w:eastAsia="Arial" w:hAnsi="Arial"/>
                <w:sz w:val="16"/>
                <w:szCs w:val="16"/>
                <w:b w:val="1"/>
                <w:bCs w:val="1"/>
                <w:color w:val="auto"/>
                <w:w w:val="86"/>
              </w:rPr>
              <w:t>adjustments</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millions</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7"/>
              </w:rPr>
              <w:t>Year ended December 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60" w:type="dxa"/>
            <w:vAlign w:val="bottom"/>
          </w:tcPr>
          <w:p>
            <w:pPr>
              <w:jc w:val="right"/>
              <w:ind w:right="1632"/>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41.7</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81.8</w:t>
            </w:r>
          </w:p>
        </w:tc>
        <w:tc>
          <w:tcPr>
            <w:tcW w:w="560" w:type="dxa"/>
            <w:vAlign w:val="bottom"/>
          </w:tcPr>
          <w:p>
            <w:pPr>
              <w:spacing w:after="0"/>
              <w:rPr>
                <w:sz w:val="19"/>
                <w:szCs w:val="19"/>
                <w:color w:val="auto"/>
              </w:rPr>
            </w:pP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19.4</w:t>
            </w:r>
          </w:p>
        </w:tc>
        <w:tc>
          <w:tcPr>
            <w:tcW w:w="58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w w:val="97"/>
              </w:rPr>
              <w:t>(26.2)</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(73.6)</w:t>
            </w: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3.8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48.3</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16.3</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4"/>
        </w:trPr>
        <w:tc>
          <w:tcPr>
            <w:tcW w:w="2260" w:type="dxa"/>
            <w:vAlign w:val="bottom"/>
          </w:tcPr>
          <w:p>
            <w:pPr>
              <w:jc w:val="right"/>
              <w:ind w:right="1632"/>
              <w:spacing w:after="0"/>
              <w:rPr>
                <w:sz w:val="20"/>
                <w:szCs w:val="20"/>
                <w:color w:val="auto"/>
              </w:rPr>
            </w:pPr>
            <w:r>
              <w:rPr>
                <w:rFonts w:ascii="Arial" w:cs="Arial" w:eastAsia="Arial" w:hAnsi="Arial"/>
                <w:sz w:val="18"/>
                <w:szCs w:val="18"/>
                <w:color w:val="auto"/>
              </w:rPr>
              <w:t>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42.0</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30.8</w:t>
            </w:r>
          </w:p>
        </w:tc>
        <w:tc>
          <w:tcPr>
            <w:tcW w:w="560" w:type="dxa"/>
            <w:vAlign w:val="bottom"/>
          </w:tcPr>
          <w:p>
            <w:pPr>
              <w:spacing w:after="0"/>
              <w:rPr>
                <w:sz w:val="19"/>
                <w:szCs w:val="19"/>
                <w:color w:val="auto"/>
              </w:rPr>
            </w:pP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646"/>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Allowance for doubtful accounts — Loans to affiliates</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9"/>
              </w:rPr>
              <w:t>Balance at</w:t>
            </w:r>
          </w:p>
        </w:tc>
        <w:tc>
          <w:tcPr>
            <w:tcW w:w="12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Impact of</w:t>
            </w:r>
          </w:p>
        </w:tc>
        <w:tc>
          <w:tcPr>
            <w:tcW w:w="1140" w:type="dxa"/>
            <w:vAlign w:val="bottom"/>
            <w:gridSpan w:val="2"/>
          </w:tcPr>
          <w:p>
            <w:pPr>
              <w:jc w:val="center"/>
              <w:ind w:left="137"/>
              <w:spacing w:after="0" w:line="155" w:lineRule="exact"/>
              <w:rPr>
                <w:sz w:val="20"/>
                <w:szCs w:val="20"/>
                <w:color w:val="auto"/>
              </w:rPr>
            </w:pPr>
            <w:r>
              <w:rPr>
                <w:rFonts w:ascii="Arial" w:cs="Arial" w:eastAsia="Arial" w:hAnsi="Arial"/>
                <w:sz w:val="16"/>
                <w:szCs w:val="16"/>
                <w:b w:val="1"/>
                <w:bCs w:val="1"/>
                <w:color w:val="auto"/>
                <w:w w:val="89"/>
              </w:rPr>
              <w:t>Additions to</w:t>
            </w:r>
          </w:p>
        </w:tc>
        <w:tc>
          <w:tcPr>
            <w:tcW w:w="1560" w:type="dxa"/>
            <w:vAlign w:val="bottom"/>
            <w:gridSpan w:val="2"/>
          </w:tcPr>
          <w:p>
            <w:pPr>
              <w:jc w:val="right"/>
              <w:ind w:right="36"/>
              <w:spacing w:after="0" w:line="155" w:lineRule="exact"/>
              <w:rPr>
                <w:sz w:val="20"/>
                <w:szCs w:val="20"/>
                <w:color w:val="auto"/>
              </w:rPr>
            </w:pPr>
            <w:r>
              <w:rPr>
                <w:rFonts w:ascii="Arial" w:cs="Arial" w:eastAsia="Arial" w:hAnsi="Arial"/>
                <w:sz w:val="16"/>
                <w:szCs w:val="16"/>
                <w:b w:val="1"/>
                <w:bCs w:val="1"/>
                <w:color w:val="auto"/>
              </w:rPr>
              <w:t>Foreign currency</w:t>
            </w:r>
          </w:p>
        </w:tc>
        <w:tc>
          <w:tcPr>
            <w:tcW w:w="200" w:type="dxa"/>
            <w:vAlign w:val="bottom"/>
          </w:tcPr>
          <w:p>
            <w:pPr>
              <w:spacing w:after="0"/>
              <w:rPr>
                <w:sz w:val="13"/>
                <w:szCs w:val="13"/>
                <w:color w:val="auto"/>
              </w:rPr>
            </w:pPr>
          </w:p>
        </w:tc>
        <w:tc>
          <w:tcPr>
            <w:tcW w:w="960" w:type="dxa"/>
            <w:vAlign w:val="bottom"/>
            <w:gridSpan w:val="2"/>
          </w:tcPr>
          <w:p>
            <w:pPr>
              <w:jc w:val="right"/>
              <w:ind w:right="235"/>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8"/>
              </w:rPr>
              <w:t>beginning</w:t>
            </w:r>
          </w:p>
        </w:tc>
        <w:tc>
          <w:tcPr>
            <w:tcW w:w="12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9"/>
              </w:rPr>
              <w:t>adoption of ASU</w:t>
            </w:r>
          </w:p>
        </w:tc>
        <w:tc>
          <w:tcPr>
            <w:tcW w:w="1140" w:type="dxa"/>
            <w:vAlign w:val="bottom"/>
            <w:gridSpan w:val="2"/>
          </w:tcPr>
          <w:p>
            <w:pPr>
              <w:jc w:val="center"/>
              <w:ind w:left="157"/>
              <w:spacing w:after="0" w:line="159" w:lineRule="exact"/>
              <w:rPr>
                <w:sz w:val="20"/>
                <w:szCs w:val="20"/>
                <w:color w:val="auto"/>
              </w:rPr>
            </w:pPr>
            <w:r>
              <w:rPr>
                <w:rFonts w:ascii="Arial" w:cs="Arial" w:eastAsia="Arial" w:hAnsi="Arial"/>
                <w:sz w:val="16"/>
                <w:szCs w:val="16"/>
                <w:b w:val="1"/>
                <w:bCs w:val="1"/>
                <w:color w:val="auto"/>
                <w:w w:val="82"/>
              </w:rPr>
              <w:t>costs and</w:t>
            </w:r>
          </w:p>
        </w:tc>
        <w:tc>
          <w:tcPr>
            <w:tcW w:w="480" w:type="dxa"/>
            <w:vAlign w:val="bottom"/>
          </w:tcPr>
          <w:p>
            <w:pPr>
              <w:spacing w:after="0"/>
              <w:rPr>
                <w:sz w:val="13"/>
                <w:szCs w:val="13"/>
                <w:color w:val="auto"/>
              </w:rPr>
            </w:pPr>
          </w:p>
        </w:tc>
        <w:tc>
          <w:tcPr>
            <w:tcW w:w="1080" w:type="dxa"/>
            <w:vAlign w:val="bottom"/>
          </w:tcPr>
          <w:p>
            <w:pPr>
              <w:jc w:val="right"/>
              <w:ind w:right="256"/>
              <w:spacing w:after="0" w:line="159" w:lineRule="exact"/>
              <w:rPr>
                <w:sz w:val="20"/>
                <w:szCs w:val="20"/>
                <w:color w:val="auto"/>
              </w:rPr>
            </w:pPr>
            <w:r>
              <w:rPr>
                <w:rFonts w:ascii="Arial" w:cs="Arial" w:eastAsia="Arial" w:hAnsi="Arial"/>
                <w:sz w:val="16"/>
                <w:szCs w:val="16"/>
                <w:b w:val="1"/>
                <w:bCs w:val="1"/>
                <w:color w:val="auto"/>
                <w:w w:val="87"/>
              </w:rPr>
              <w:t>translation</w:t>
            </w:r>
          </w:p>
        </w:tc>
        <w:tc>
          <w:tcPr>
            <w:tcW w:w="200" w:type="dxa"/>
            <w:vAlign w:val="bottom"/>
          </w:tcPr>
          <w:p>
            <w:pPr>
              <w:spacing w:after="0"/>
              <w:rPr>
                <w:sz w:val="13"/>
                <w:szCs w:val="13"/>
                <w:color w:val="auto"/>
              </w:rPr>
            </w:pPr>
          </w:p>
        </w:tc>
        <w:tc>
          <w:tcPr>
            <w:tcW w:w="960" w:type="dxa"/>
            <w:vAlign w:val="bottom"/>
            <w:gridSpan w:val="2"/>
          </w:tcPr>
          <w:p>
            <w:pPr>
              <w:ind w:left="80"/>
              <w:spacing w:after="0" w:line="159" w:lineRule="exact"/>
              <w:rPr>
                <w:sz w:val="20"/>
                <w:szCs w:val="20"/>
                <w:color w:val="auto"/>
              </w:rPr>
            </w:pPr>
            <w:r>
              <w:rPr>
                <w:rFonts w:ascii="Arial" w:cs="Arial" w:eastAsia="Arial" w:hAnsi="Arial"/>
                <w:sz w:val="16"/>
                <w:szCs w:val="16"/>
                <w:b w:val="1"/>
                <w:bCs w:val="1"/>
                <w:color w:val="auto"/>
              </w:rPr>
              <w:t>at end of</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period</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2016-13</w:t>
            </w:r>
          </w:p>
        </w:tc>
        <w:tc>
          <w:tcPr>
            <w:tcW w:w="114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6"/>
                <w:szCs w:val="16"/>
                <w:b w:val="1"/>
                <w:bCs w:val="1"/>
                <w:color w:val="auto"/>
                <w:w w:val="79"/>
              </w:rPr>
              <w:t>expenses</w:t>
            </w:r>
          </w:p>
        </w:tc>
        <w:tc>
          <w:tcPr>
            <w:tcW w:w="156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6"/>
                <w:szCs w:val="16"/>
                <w:b w:val="1"/>
                <w:bCs w:val="1"/>
                <w:color w:val="auto"/>
              </w:rPr>
              <w:t>adjustments</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w w:val="85"/>
              </w:rPr>
              <w:t>period</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center"/>
              <w:ind w:left="157"/>
              <w:spacing w:after="0"/>
              <w:rPr>
                <w:sz w:val="20"/>
                <w:szCs w:val="20"/>
                <w:color w:val="auto"/>
              </w:rPr>
            </w:pPr>
            <w:r>
              <w:rPr>
                <w:rFonts w:ascii="Arial" w:cs="Arial" w:eastAsia="Arial" w:hAnsi="Arial"/>
                <w:sz w:val="16"/>
                <w:szCs w:val="16"/>
                <w:b w:val="1"/>
                <w:bCs w:val="1"/>
                <w:color w:val="auto"/>
                <w:w w:val="88"/>
              </w:rPr>
              <w:t>in millions</w:t>
            </w: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7"/>
              </w:rPr>
              <w:t>Year ended December 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60" w:type="dxa"/>
            <w:vAlign w:val="bottom"/>
          </w:tcPr>
          <w:p>
            <w:pPr>
              <w:jc w:val="right"/>
              <w:ind w:right="163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580" w:type="dxa"/>
            <w:vAlign w:val="bottom"/>
          </w:tcPr>
          <w:p>
            <w:pPr>
              <w:spacing w:after="0"/>
              <w:rPr>
                <w:sz w:val="19"/>
                <w:szCs w:val="19"/>
                <w:color w:val="auto"/>
              </w:rPr>
            </w:pPr>
          </w:p>
        </w:tc>
        <w:tc>
          <w:tcPr>
            <w:tcW w:w="1040" w:type="dxa"/>
            <w:vAlign w:val="bottom"/>
            <w:gridSpan w:val="2"/>
          </w:tcPr>
          <w:p>
            <w:pPr>
              <w:jc w:val="right"/>
              <w:ind w:right="315"/>
              <w:spacing w:after="0"/>
              <w:rPr>
                <w:sz w:val="20"/>
                <w:szCs w:val="20"/>
                <w:color w:val="auto"/>
              </w:rPr>
            </w:pPr>
            <w:r>
              <w:rPr>
                <w:rFonts w:ascii="Arial" w:cs="Arial" w:eastAsia="Arial" w:hAnsi="Arial"/>
                <w:sz w:val="18"/>
                <w:szCs w:val="18"/>
                <w:color w:val="auto"/>
              </w:rPr>
              <w:t>10.3</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15"/>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4"/>
        </w:trPr>
        <w:tc>
          <w:tcPr>
            <w:tcW w:w="2260" w:type="dxa"/>
            <w:vAlign w:val="bottom"/>
          </w:tcPr>
          <w:p>
            <w:pPr>
              <w:jc w:val="right"/>
              <w:ind w:right="1632"/>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6"/>
              </w:rPr>
              <w:t>(4.5)</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IV-11</w:t>
      </w:r>
    </w:p>
    <w:p>
      <w:pPr>
        <w:sectPr>
          <w:pgSz w:w="11900" w:h="16838" w:orient="portrait"/>
          <w:cols w:equalWidth="0" w:num="1">
            <w:col w:w="11240"/>
          </w:cols>
          <w:pgMar w:left="320" w:top="756"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71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89"/>
              </w:rPr>
              <w:t>Liberty Global plc Subsidiaries</w:t>
            </w:r>
          </w:p>
        </w:tc>
      </w:tr>
      <w:tr>
        <w:trPr>
          <w:trHeight w:val="229"/>
        </w:trPr>
        <w:tc>
          <w:tcPr>
            <w:tcW w:w="4140" w:type="dxa"/>
            <w:vAlign w:val="bottom"/>
          </w:tcPr>
          <w:p>
            <w:pPr>
              <w:spacing w:after="0"/>
              <w:rPr>
                <w:sz w:val="19"/>
                <w:szCs w:val="19"/>
                <w:color w:val="auto"/>
              </w:rPr>
            </w:pPr>
          </w:p>
        </w:tc>
        <w:tc>
          <w:tcPr>
            <w:tcW w:w="7100" w:type="dxa"/>
            <w:vAlign w:val="bottom"/>
            <w:gridSpan w:val="3"/>
          </w:tcPr>
          <w:p>
            <w:pPr>
              <w:jc w:val="center"/>
              <w:ind w:right="4032"/>
              <w:spacing w:after="0"/>
              <w:rPr>
                <w:sz w:val="20"/>
                <w:szCs w:val="20"/>
                <w:color w:val="auto"/>
              </w:rPr>
            </w:pPr>
            <w:r>
              <w:rPr>
                <w:rFonts w:ascii="Arial" w:cs="Arial" w:eastAsia="Arial" w:hAnsi="Arial"/>
                <w:sz w:val="18"/>
                <w:szCs w:val="18"/>
                <w:b w:val="1"/>
                <w:bCs w:val="1"/>
                <w:color w:val="auto"/>
                <w:w w:val="87"/>
              </w:rPr>
              <w:t>December 31, 2022</w:t>
            </w:r>
          </w:p>
        </w:tc>
      </w:tr>
      <w:tr>
        <w:trPr>
          <w:trHeight w:val="266"/>
        </w:trPr>
        <w:tc>
          <w:tcPr>
            <w:tcW w:w="41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25"/>
        </w:trPr>
        <w:tc>
          <w:tcPr>
            <w:tcW w:w="41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10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4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Beluga Tree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Caviar Antwerp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Caviar Film Financing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Caviar Group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Connectify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Décor Oyenbrug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Doccle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Doccle.Up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Initials LA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Loft International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Loom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MaRo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Native Nation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Roses Are Blue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SBS Belgium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Group Holding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Group NV/SA</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Newco 1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Newco 2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Retail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Vlaanderen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Park Entertainment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Ucast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Woestijnvis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Liberty Global Ltd.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Bermuda</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Caviar Paris SAS</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Liberty Global Smart Sourcing GmbH</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Unitymedia Finanz-Service GmbH</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Casey Cablevision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6 Broadcasting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Cullen Broadcasting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Kish Media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P.B.N. Holdings Ltd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Tullamore Beta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TVThree Enterprises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TVThree Sales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33"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Ulana Business Management Ltd</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Ireland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Television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VMIE Group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6320 Canal SA</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Luxembourg Sàrl</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Property Holdco I Sàrl</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Telenet Finance Luxembourg Notes Sàrl</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International Finance Sàrl</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Telenet Luxembourg Finance Center Sàrl</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Solutions Luxembourg SA</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Holding Company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Malta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Insurance Company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Malta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Binan Investments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Labesa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Holdco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Ventures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Communication Services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Content Investments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Corporate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Financing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HoldCo 2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Holding 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Management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Switzerland HoldCo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Technology Services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Group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Holding II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Networks Europe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The Park Entertainment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Broadband Finco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Broadband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Holding 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Poland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4"/>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Slovakia Group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78"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25"/>
        </w:trPr>
        <w:tc>
          <w:tcPr>
            <w:tcW w:w="7640" w:type="dxa"/>
            <w:vAlign w:val="bottom"/>
            <w:gridSpan w:val="2"/>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7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Borders>
              <w:top w:val="single" w:sz="8" w:color="auto"/>
            </w:tcBorders>
          </w:tcPr>
          <w:p>
            <w:pPr>
              <w:spacing w:after="0"/>
              <w:rPr>
                <w:sz w:val="12"/>
                <w:szCs w:val="12"/>
                <w:color w:val="auto"/>
              </w:rPr>
            </w:pP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Slovakia Holding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Slovakia Holding 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Switzerland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Polska Holdco III Sp Zoo</w:t>
            </w:r>
          </w:p>
        </w:tc>
        <w:tc>
          <w:tcPr>
            <w:tcW w:w="3600" w:type="dxa"/>
            <w:vAlign w:val="bottom"/>
          </w:tcPr>
          <w:p>
            <w:pPr>
              <w:jc w:val="center"/>
              <w:spacing w:after="0"/>
              <w:rPr>
                <w:sz w:val="20"/>
                <w:szCs w:val="20"/>
                <w:color w:val="auto"/>
              </w:rPr>
            </w:pPr>
            <w:r>
              <w:rPr>
                <w:rFonts w:ascii="Arial" w:cs="Arial" w:eastAsia="Arial" w:hAnsi="Arial"/>
                <w:sz w:val="18"/>
                <w:szCs w:val="18"/>
                <w:color w:val="auto"/>
                <w:w w:val="85"/>
              </w:rPr>
              <w:t>Poland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Sunrise Portugal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Portugal</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Broadband Slovakia sro</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Slovak Republic</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ello communications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ITV Betriebsgesellschaft GmbH</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Sitel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Sunrise GmbH</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Swiss Open Fiber AG</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TELDAS GmbH</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Teledistal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Telelavaux SA</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Catalyst NewCo 1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Caviar London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Global Handset Finco Ltd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LGCI Holdings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Germany Holding II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Germany Holding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Holding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II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Capital Asset Company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Capital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Development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2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Finance I (UK)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Finance II (UK)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Financial Services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Management Services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Procurement Services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Property and Financial Services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SSC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Technology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Group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Holding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Infrastructure Real Estate HoldCo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Holdco 6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78"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Phoenix Renewables Ltd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Park Playground UK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Caviar LA,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Gifted Youth,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Imposter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Learning Depot,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Loom,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Squirrel Rork Industries,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Stay Busy,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Vampire Productions,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USA-California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Technology Holdings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Management,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Services,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Rider,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UIM Aircraft,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75 Sunset Films,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Associated SMR,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HoldCo LP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International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LGI Ventures Management,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Holdings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Programming Japan,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Financing Partnership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Roses Are Blue,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Telenet Financing USD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The Park Entertainment,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UnitedGlobalCom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Financing Partnership</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VMIE Financing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7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9"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We consent to the incorporation by reference in the registration statements (No. 333-189220, 333-189222, 333-189223, 333-189224, 333-194578, 333-194581, 333-205542, 333-205543, and 333-254168) on Form S-8 of our reports dated February 22, 2023, with respect to the consolidated balance sheets of Liberty Global plc as of December 31, 2022 and 2021, the related consolidated statements of operations, comprehensive earnings (loss), equity, and cash flows for each of the years in the three-year period ended December 31, 2022, and the related notes and financial statement schedules I and II, and the effectiveness of internal control over financial reporting as of December 31, 2022, which reports appear in the December 31, 2022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Liberty Global plc.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12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200" w:lineRule="exact"/>
        <w:rPr>
          <w:sz w:val="20"/>
          <w:szCs w:val="20"/>
          <w:color w:val="auto"/>
        </w:rPr>
      </w:pPr>
    </w:p>
    <w:p>
      <w:pPr>
        <w:spacing w:after="0" w:line="215" w:lineRule="exact"/>
        <w:rPr>
          <w:sz w:val="20"/>
          <w:szCs w:val="20"/>
          <w:color w:val="auto"/>
        </w:rPr>
      </w:pPr>
    </w:p>
    <w:p>
      <w:pPr>
        <w:ind w:left="640" w:hanging="31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97" w:lineRule="exact"/>
        <w:rPr>
          <w:rFonts w:ascii="Arial" w:cs="Arial" w:eastAsia="Arial" w:hAnsi="Arial"/>
          <w:sz w:val="18"/>
          <w:szCs w:val="18"/>
          <w:color w:val="auto"/>
        </w:rPr>
      </w:pPr>
    </w:p>
    <w:p>
      <w:pPr>
        <w:jc w:val="both"/>
        <w:ind w:left="640" w:hanging="316"/>
        <w:spacing w:after="0" w:line="254" w:lineRule="auto"/>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7"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1"/>
        <w:spacing w:after="0" w:line="294" w:lineRule="auto"/>
        <w:tabs>
          <w:tab w:leader="none" w:pos="127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1"/>
        <w:spacing w:after="0" w:line="264" w:lineRule="auto"/>
        <w:tabs>
          <w:tab w:leader="none" w:pos="12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22, 2023</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10795</wp:posOffset>
            </wp:positionV>
            <wp:extent cx="2689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2">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5"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4" w:lineRule="exact"/>
        <w:rPr>
          <w:sz w:val="20"/>
          <w:szCs w:val="20"/>
          <w:color w:val="auto"/>
        </w:rPr>
      </w:pPr>
    </w:p>
    <w:p>
      <w:pPr>
        <w:ind w:left="640" w:hanging="31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97" w:lineRule="exact"/>
        <w:rPr>
          <w:rFonts w:ascii="Arial" w:cs="Arial" w:eastAsia="Arial" w:hAnsi="Arial"/>
          <w:sz w:val="18"/>
          <w:szCs w:val="18"/>
          <w:color w:val="auto"/>
        </w:rPr>
      </w:pPr>
    </w:p>
    <w:p>
      <w:pPr>
        <w:jc w:val="both"/>
        <w:ind w:left="640" w:hanging="316"/>
        <w:spacing w:after="0" w:line="254"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0"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0"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7"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7" w:lineRule="exact"/>
        <w:rPr>
          <w:rFonts w:ascii="Arial" w:cs="Arial" w:eastAsia="Arial" w:hAnsi="Arial"/>
          <w:sz w:val="17"/>
          <w:szCs w:val="17"/>
          <w:color w:val="auto"/>
        </w:rPr>
      </w:pPr>
    </w:p>
    <w:p>
      <w:pPr>
        <w:ind w:left="1280" w:hanging="321"/>
        <w:spacing w:after="0" w:line="294" w:lineRule="auto"/>
        <w:tabs>
          <w:tab w:leader="none" w:pos="127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280" w:hanging="321"/>
        <w:spacing w:after="0" w:line="264" w:lineRule="auto"/>
        <w:tabs>
          <w:tab w:leader="none" w:pos="126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16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10795</wp:posOffset>
            </wp:positionV>
            <wp:extent cx="2689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3">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Annual Report on Form 10-K for the year ended December 31, 2022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2022 and December 31, 2021, and for the years ended December 31, 2022, 2021 and 2020.</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ind w:left="500"/>
              <w:spacing w:after="0"/>
              <w:rPr>
                <w:sz w:val="20"/>
                <w:szCs w:val="20"/>
                <w:color w:val="auto"/>
              </w:rPr>
            </w:pPr>
            <w:r>
              <w:rPr>
                <w:rFonts w:ascii="Arial" w:cs="Arial" w:eastAsia="Arial" w:hAnsi="Arial"/>
                <w:sz w:val="18"/>
                <w:szCs w:val="18"/>
                <w:color w:val="auto"/>
              </w:rPr>
              <w:t>February 22, 2023</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T. Fries</w:t>
            </w:r>
          </w:p>
        </w:tc>
      </w:tr>
      <w:tr>
        <w:trPr>
          <w:trHeight w:val="218"/>
        </w:trPr>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Michael T. Fries</w:t>
            </w:r>
          </w:p>
        </w:tc>
      </w:tr>
      <w:tr>
        <w:trPr>
          <w:trHeight w:val="225"/>
        </w:trPr>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90"/>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ind w:left="500"/>
              <w:spacing w:after="0"/>
              <w:rPr>
                <w:sz w:val="20"/>
                <w:szCs w:val="20"/>
                <w:color w:val="auto"/>
              </w:rPr>
            </w:pPr>
            <w:r>
              <w:rPr>
                <w:rFonts w:ascii="Arial" w:cs="Arial" w:eastAsia="Arial" w:hAnsi="Arial"/>
                <w:sz w:val="18"/>
                <w:szCs w:val="18"/>
                <w:color w:val="auto"/>
              </w:rPr>
              <w:t>February 22, 2023</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H.R. Bracken</w:t>
            </w:r>
          </w:p>
        </w:tc>
      </w:tr>
      <w:tr>
        <w:trPr>
          <w:trHeight w:val="218"/>
        </w:trPr>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H.R. Bracken</w:t>
            </w:r>
          </w:p>
        </w:tc>
      </w:tr>
      <w:tr>
        <w:trPr>
          <w:trHeight w:val="225"/>
        </w:trPr>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358"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240"/>
      </w:cols>
      <w:pgMar w:left="320" w:top="1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1)"/>
      <w:numFmt w:val="decimal"/>
      <w:start w:val="1"/>
    </w:lvl>
  </w:abstractNum>
  <w:abstractNum w:abstractNumId="10">
    <w:nsid w:val="5DC79EA8"/>
    <w:multiLevelType w:val="hybridMultilevel"/>
    <w:lvl w:ilvl="0">
      <w:lvlJc w:val="left"/>
      <w:lvlText w:val="(%1)"/>
      <w:numFmt w:val="decimal"/>
      <w:start w:val="7"/>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1)"/>
      <w:numFmt w:val="lowerLetter"/>
      <w:start w:val="1"/>
    </w:lvl>
  </w:abstractNum>
  <w:abstractNum w:abstractNumId="36">
    <w:nsid w:val="76272110"/>
    <w:multiLevelType w:val="hybridMultilevel"/>
    <w:lvl w:ilvl="0">
      <w:lvlJc w:val="left"/>
      <w:lvlText w:val="(%1)"/>
      <w:numFmt w:val="lowerLetter"/>
      <w:start w:val="1"/>
    </w:lvl>
  </w:abstractNum>
  <w:abstractNum w:abstractNumId="37">
    <w:nsid w:val="4C04A8AF"/>
    <w:multiLevelType w:val="hybridMultilevel"/>
    <w:lvl w:ilvl="0">
      <w:lvlJc w:val="left"/>
      <w:lvlText w:val="(%1)"/>
      <w:numFmt w:val="lowerLetter"/>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1)"/>
      <w:numFmt w:val="lowerLetter"/>
      <w:start w:val="1"/>
    </w:lvl>
  </w:abstractNum>
  <w:abstractNum w:abstractNumId="40">
    <w:nsid w:val="3222E7CD"/>
    <w:multiLevelType w:val="hybridMultilevel"/>
    <w:lvl w:ilvl="0">
      <w:lvlJc w:val="left"/>
      <w:lvlText w:val="(%1)"/>
      <w:numFmt w:val="lowerLetter"/>
      <w:start w:val="4"/>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lowerLetter"/>
      <w:start w:val="1"/>
    </w:lvl>
  </w:abstractNum>
  <w:abstractNum w:abstractNumId="46">
    <w:nsid w:val="39EE015C"/>
    <w:multiLevelType w:val="hybridMultilevel"/>
    <w:lvl w:ilvl="0">
      <w:lvlJc w:val="left"/>
      <w:lvlText w:val="(%1)"/>
      <w:numFmt w:val="lowerLetter"/>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1)"/>
      <w:numFmt w:val="lowerLetter"/>
      <w:start w:val="1"/>
    </w:lvl>
  </w:abstractNum>
  <w:abstractNum w:abstractNumId="50">
    <w:nsid w:val="60EF0119"/>
    <w:multiLevelType w:val="hybridMultilevel"/>
    <w:lvl w:ilvl="0">
      <w:lvlJc w:val="left"/>
      <w:lvlText w:val="(%1)"/>
      <w:numFmt w:val="lowerRoman"/>
      <w:start w:val="3"/>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1)"/>
      <w:numFmt w:val="lowerLetter"/>
      <w:start w:val="1"/>
    </w:lvl>
  </w:abstractNum>
  <w:abstractNum w:abstractNumId="55">
    <w:nsid w:val="5FB8370B"/>
    <w:multiLevelType w:val="hybridMultilevel"/>
    <w:lvl w:ilvl="0">
      <w:lvlJc w:val="left"/>
      <w:lvlText w:val="(%1)"/>
      <w:numFmt w:val="decimal"/>
      <w:start w:val="1"/>
    </w:lvl>
  </w:abstractNum>
  <w:abstractNum w:abstractNumId="56">
    <w:nsid w:val="50801EE1"/>
    <w:multiLevelType w:val="hybridMultilevel"/>
    <w:lvl w:ilvl="0">
      <w:lvlJc w:val="left"/>
      <w:lvlText w:val="(%1)"/>
      <w:numFmt w:val="lowerRoman"/>
      <w:start w:val="2"/>
    </w:lvl>
  </w:abstractNum>
  <w:abstractNum w:abstractNumId="57">
    <w:nsid w:val="488AC1A"/>
    <w:multiLevelType w:val="hybridMultilevel"/>
    <w:lvl w:ilvl="0">
      <w:lvlJc w:val="left"/>
      <w:lvlText w:val="(%1)"/>
      <w:numFmt w:val="lowerLetter"/>
      <w:start w:val="2"/>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1)"/>
      <w:numFmt w:val="lowerLetter"/>
      <w:start w:val="1"/>
    </w:lvl>
  </w:abstractNum>
  <w:abstractNum w:abstractNumId="60">
    <w:nsid w:val="7672BD23"/>
    <w:multiLevelType w:val="hybridMultilevel"/>
    <w:lvl w:ilvl="0">
      <w:lvlJc w:val="left"/>
      <w:lvlText w:val="(%1)"/>
      <w:numFmt w:val="lowerLetter"/>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Roman"/>
      <w:start w:val="1"/>
    </w:lvl>
  </w:abstractNum>
  <w:abstractNum w:abstractNumId="63">
    <w:nsid w:val="7D5E18F8"/>
    <w:multiLevelType w:val="hybridMultilevel"/>
    <w:lvl w:ilvl="0">
      <w:lvlJc w:val="left"/>
      <w:lvlText w:val="(%1)"/>
      <w:numFmt w:val="lowerRoman"/>
      <w:start w:val="3"/>
    </w:lvl>
  </w:abstractNum>
  <w:abstractNum w:abstractNumId="64">
    <w:nsid w:val="5F3534A4"/>
    <w:multiLevelType w:val="hybridMultilevel"/>
    <w:lvl w:ilvl="0">
      <w:lvlJc w:val="left"/>
      <w:lvlText w:val="(%1)"/>
      <w:numFmt w:val="lowerRoman"/>
      <w:start w:val="1"/>
    </w:lvl>
  </w:abstractNum>
  <w:abstractNum w:abstractNumId="65">
    <w:nsid w:val="73A1821B"/>
    <w:multiLevelType w:val="hybridMultilevel"/>
    <w:lvl w:ilvl="0">
      <w:lvlJc w:val="left"/>
      <w:lvlText w:val="(%1)"/>
      <w:numFmt w:val="lowerLetter"/>
      <w:start w:val="1"/>
    </w:lvl>
  </w:abstractNum>
  <w:abstractNum w:abstractNumId="66">
    <w:nsid w:val="7DE67713"/>
    <w:multiLevelType w:val="hybridMultilevel"/>
    <w:lvl w:ilvl="0">
      <w:lvlJc w:val="left"/>
      <w:lvlText w:val="(%1)"/>
      <w:numFmt w:val="lowerLetter"/>
      <w:start w:val="1"/>
    </w:lvl>
  </w:abstractNum>
  <w:abstractNum w:abstractNumId="67">
    <w:nsid w:val="555C55B5"/>
    <w:multiLevelType w:val="hybridMultilevel"/>
    <w:lvl w:ilvl="0">
      <w:lvlJc w:val="left"/>
      <w:lvlText w:val="(%1)"/>
      <w:numFmt w:val="decimal"/>
      <w:start w:val="1"/>
    </w:lvl>
  </w:abstractNum>
  <w:abstractNum w:abstractNumId="68">
    <w:nsid w:val="3FA62ACA"/>
    <w:multiLevelType w:val="hybridMultilevel"/>
    <w:lvl w:ilvl="0">
      <w:lvlJc w:val="left"/>
      <w:lvlText w:val="(%1)"/>
      <w:numFmt w:val="decimal"/>
      <w:start w:val="2"/>
    </w:lvl>
  </w:abstractNum>
  <w:abstractNum w:abstractNumId="69">
    <w:nsid w:val="14FCE74E"/>
    <w:multiLevelType w:val="hybridMultilevel"/>
    <w:lvl w:ilvl="0">
      <w:lvlJc w:val="left"/>
      <w:lvlText w:val="(%1)"/>
      <w:numFmt w:val="decimal"/>
      <w:start w:val="3"/>
    </w:lvl>
  </w:abstractNum>
  <w:abstractNum w:abstractNumId="70">
    <w:nsid w:val="6A3DD3E8"/>
    <w:multiLevelType w:val="hybridMultilevel"/>
    <w:lvl w:ilvl="0">
      <w:lvlJc w:val="left"/>
      <w:lvlText w:val="(%1)"/>
      <w:numFmt w:val="lowerRoman"/>
      <w:start w:val="1"/>
    </w:lvl>
  </w:abstractNum>
  <w:abstractNum w:abstractNumId="71">
    <w:nsid w:val="71C91298"/>
    <w:multiLevelType w:val="hybridMultilevel"/>
    <w:lvl w:ilvl="0">
      <w:lvlJc w:val="left"/>
      <w:lvlText w:val="(%1)"/>
      <w:numFmt w:val="decimal"/>
      <w:start w:val="4"/>
    </w:lvl>
  </w:abstractNum>
  <w:abstractNum w:abstractNumId="72">
    <w:nsid w:val="9DAF632"/>
    <w:multiLevelType w:val="hybridMultilevel"/>
    <w:lvl w:ilvl="0">
      <w:lvlJc w:val="left"/>
      <w:lvlText w:val="(%1)"/>
      <w:numFmt w:val="decimal"/>
      <w:start w:val="5"/>
    </w:lvl>
  </w:abstractNum>
  <w:abstractNum w:abstractNumId="73">
    <w:nsid w:val="53299938"/>
    <w:multiLevelType w:val="hybridMultilevel"/>
    <w:lvl w:ilvl="0">
      <w:lvlJc w:val="left"/>
      <w:lvlText w:val="(%1)"/>
      <w:numFmt w:val="lowerLetter"/>
      <w:start w:val="1"/>
    </w:lvl>
  </w:abstractNum>
  <w:abstractNum w:abstractNumId="74">
    <w:nsid w:val="1FBFE8E0"/>
    <w:multiLevelType w:val="hybridMultilevel"/>
    <w:lvl w:ilvl="0">
      <w:lvlJc w:val="left"/>
      <w:lvlText w:val="(%1)"/>
      <w:numFmt w:val="decimal"/>
      <w:start w:val="6"/>
    </w:lvl>
  </w:abstractNum>
  <w:abstractNum w:abstractNumId="75">
    <w:nsid w:val="5092CA79"/>
    <w:multiLevelType w:val="hybridMultilevel"/>
    <w:lvl w:ilvl="0">
      <w:lvlJc w:val="left"/>
      <w:lvlText w:val="(%1)"/>
      <w:numFmt w:val="lowerLetter"/>
      <w:start w:val="1"/>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1)"/>
      <w:numFmt w:val="lowerLetter"/>
      <w:start w:val="3"/>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4"/>
    </w:lvl>
  </w:abstractNum>
  <w:abstractNum w:abstractNumId="81">
    <w:nsid w:val="97E1B4E"/>
    <w:multiLevelType w:val="hybridMultilevel"/>
    <w:lvl w:ilvl="0">
      <w:lvlJc w:val="left"/>
      <w:lvlText w:val="(%1)"/>
      <w:numFmt w:val="lowerLetter"/>
      <w:start w:val="1"/>
    </w:lvl>
  </w:abstractNum>
  <w:abstractNum w:abstractNumId="82">
    <w:nsid w:val="51088277"/>
    <w:multiLevelType w:val="hybridMultilevel"/>
    <w:lvl w:ilvl="0">
      <w:lvlJc w:val="left"/>
      <w:lvlText w:val="(%1)"/>
      <w:numFmt w:val="lowerLetter"/>
      <w:start w:val="1"/>
    </w:lvl>
  </w:abstractNum>
  <w:abstractNum w:abstractNumId="83">
    <w:nsid w:val="1CA0C5FA"/>
    <w:multiLevelType w:val="hybridMultilevel"/>
    <w:lvl w:ilvl="0">
      <w:lvlJc w:val="left"/>
      <w:lvlText w:val="(%1)"/>
      <w:numFmt w:val="decimal"/>
      <w:start w:val="8"/>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1)"/>
      <w:numFmt w:val="lowerLetter"/>
      <w:start w:val="1"/>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lowerLetter"/>
      <w:start w:val="1"/>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decimal"/>
      <w:start w:val="9"/>
    </w:lvl>
  </w:abstractNum>
  <w:abstractNum w:abstractNumId="90">
    <w:nsid w:val="E7FFA2B"/>
    <w:multiLevelType w:val="hybridMultilevel"/>
    <w:lvl w:ilvl="0">
      <w:lvlJc w:val="left"/>
      <w:lvlText w:val="%1."/>
      <w:numFmt w:val="decimal"/>
      <w:start w:val="8"/>
    </w:lvl>
  </w:abstractNum>
  <w:abstractNum w:abstractNumId="91">
    <w:nsid w:val="3C5991AA"/>
    <w:multiLevelType w:val="hybridMultilevel"/>
    <w:lvl w:ilvl="0">
      <w:lvlJc w:val="left"/>
      <w:lvlText w:val="(%1)"/>
      <w:numFmt w:val="lowerLetter"/>
      <w:start w:val="1"/>
    </w:lvl>
  </w:abstractNum>
  <w:abstractNum w:abstractNumId="92">
    <w:nsid w:val="4BD8591A"/>
    <w:multiLevelType w:val="hybridMultilevel"/>
    <w:lvl w:ilvl="0">
      <w:lvlJc w:val="left"/>
      <w:lvlText w:val="(%1)"/>
      <w:numFmt w:val="decimal"/>
      <w:start w:val="10"/>
    </w:lvl>
  </w:abstractNum>
  <w:abstractNum w:abstractNumId="93">
    <w:nsid w:val="78DF6A55"/>
    <w:multiLevelType w:val="hybridMultilevel"/>
    <w:lvl w:ilvl="0">
      <w:lvlJc w:val="left"/>
      <w:lvlText w:val="(%1)"/>
      <w:numFmt w:val="decimal"/>
      <w:start w:val="11"/>
    </w:lvl>
  </w:abstractNum>
  <w:abstractNum w:abstractNumId="94">
    <w:nsid w:val="39B7AAA2"/>
    <w:multiLevelType w:val="hybridMultilevel"/>
    <w:lvl w:ilvl="0">
      <w:lvlJc w:val="left"/>
      <w:lvlText w:val="(%1)"/>
      <w:numFmt w:val="lowerLetter"/>
      <w:start w:val="1"/>
    </w:lvl>
  </w:abstractNum>
  <w:abstractNum w:abstractNumId="95">
    <w:nsid w:val="2B0D8DBE"/>
    <w:multiLevelType w:val="hybridMultilevel"/>
    <w:lvl w:ilvl="0">
      <w:lvlJc w:val="left"/>
      <w:lvlText w:val="(%1)"/>
      <w:numFmt w:val="lowerLetter"/>
      <w:start w:val="3"/>
    </w:lvl>
  </w:abstractNum>
  <w:abstractNum w:abstractNumId="96">
    <w:nsid w:val="6C80EC70"/>
    <w:multiLevelType w:val="hybridMultilevel"/>
    <w:lvl w:ilvl="0">
      <w:lvlJc w:val="left"/>
      <w:lvlText w:val="(%1)"/>
      <w:numFmt w:val="lowerLetter"/>
      <w:start w:val="8"/>
    </w:lvl>
  </w:abstractNum>
  <w:abstractNum w:abstractNumId="97">
    <w:nsid w:val="379E21B5"/>
    <w:multiLevelType w:val="hybridMultilevel"/>
    <w:lvl w:ilvl="0">
      <w:lvlJc w:val="left"/>
      <w:lvlText w:val="•"/>
      <w:numFmt w:val="bullet"/>
      <w:start w:val="1"/>
    </w:lvl>
    <w:lvl w:ilvl="1">
      <w:lvlJc w:val="left"/>
      <w:lvlText w:val="(%2)"/>
      <w:numFmt w:val="lowerRoman"/>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lowerLetter"/>
      <w:start w:val="1"/>
    </w:lvl>
  </w:abstractNum>
  <w:abstractNum w:abstractNumId="101">
    <w:nsid w:val="6AA7B75C"/>
    <w:multiLevelType w:val="hybridMultilevel"/>
    <w:lvl w:ilvl="0">
      <w:lvlJc w:val="left"/>
      <w:lvlText w:val="(%1)"/>
      <w:numFmt w:val="decimal"/>
      <w:start w:val="12"/>
    </w:lvl>
  </w:abstractNum>
  <w:abstractNum w:abstractNumId="102">
    <w:nsid w:val="1DF029D3"/>
    <w:multiLevelType w:val="hybridMultilevel"/>
    <w:lvl w:ilvl="0">
      <w:lvlJc w:val="left"/>
      <w:lvlText w:val="(%1)"/>
      <w:numFmt w:val="lowerLetter"/>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decimal"/>
      <w:start w:val="13"/>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lowerLetter"/>
      <w:start w:val="1"/>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decimal"/>
      <w:start w:val="14"/>
    </w:lvl>
  </w:abstractNum>
  <w:abstractNum w:abstractNumId="109">
    <w:nsid w:val="4F97E3E4"/>
    <w:multiLevelType w:val="hybridMultilevel"/>
    <w:lvl w:ilvl="0">
      <w:lvlJc w:val="left"/>
      <w:lvlText w:val="(%1)"/>
      <w:numFmt w:val="lowerLetter"/>
      <w:start w:val="1"/>
    </w:lvl>
  </w:abstractNum>
  <w:abstractNum w:abstractNumId="110">
    <w:nsid w:val="53B0A9E"/>
    <w:multiLevelType w:val="hybridMultilevel"/>
    <w:lvl w:ilvl="0">
      <w:lvlJc w:val="left"/>
      <w:lvlText w:val="(%1)"/>
      <w:numFmt w:val="decimal"/>
      <w:start w:val="15"/>
    </w:lvl>
  </w:abstractNum>
  <w:abstractNum w:abstractNumId="111">
    <w:nsid w:val="34FD6B4F"/>
    <w:multiLevelType w:val="hybridMultilevel"/>
    <w:lvl w:ilvl="0">
      <w:lvlJc w:val="left"/>
      <w:lvlText w:val="(%1)"/>
      <w:numFmt w:val="lowerLetter"/>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decimal"/>
      <w:start w:val="1"/>
    </w:lvl>
  </w:abstractNum>
  <w:abstractNum w:abstractNumId="114">
    <w:nsid w:val="519E3149"/>
    <w:multiLevelType w:val="hybridMultilevel"/>
    <w:lvl w:ilvl="0">
      <w:lvlJc w:val="left"/>
      <w:lvlText w:val="(%1)"/>
      <w:numFmt w:val="decimal"/>
      <w:start w:val="16"/>
    </w:lvl>
  </w:abstractNum>
  <w:abstractNum w:abstractNumId="115">
    <w:nsid w:val="2C6E4AFD"/>
    <w:multiLevelType w:val="hybridMultilevel"/>
    <w:lvl w:ilvl="0">
      <w:lvlJc w:val="left"/>
      <w:lvlText w:val="(%1)"/>
      <w:numFmt w:val="lowerLetter"/>
      <w:start w:val="1"/>
    </w:lvl>
  </w:abstractNum>
  <w:abstractNum w:abstractNumId="116">
    <w:nsid w:val="17A1B582"/>
    <w:multiLevelType w:val="hybridMultilevel"/>
    <w:lvl w:ilvl="0">
      <w:lvlJc w:val="left"/>
      <w:lvlText w:val="(%1)"/>
      <w:numFmt w:val="decimal"/>
      <w:start w:val="17"/>
    </w:lvl>
  </w:abstractNum>
  <w:abstractNum w:abstractNumId="117">
    <w:nsid w:val="4DF72E4E"/>
    <w:multiLevelType w:val="hybridMultilevel"/>
    <w:lvl w:ilvl="0">
      <w:lvlJc w:val="left"/>
      <w:lvlText w:val="(%1)"/>
      <w:numFmt w:val="lowerLetter"/>
      <w:start w:val="1"/>
    </w:lvl>
  </w:abstractNum>
  <w:abstractNum w:abstractNumId="118">
    <w:nsid w:val="5046B5A9"/>
    <w:multiLevelType w:val="hybridMultilevel"/>
    <w:lvl w:ilvl="0">
      <w:lvlJc w:val="left"/>
      <w:lvlText w:val="(%1)"/>
      <w:numFmt w:val="decimal"/>
      <w:start w:val="18"/>
    </w:lvl>
  </w:abstractNum>
  <w:abstractNum w:abstractNumId="119">
    <w:nsid w:val="5D888A08"/>
    <w:multiLevelType w:val="hybridMultilevel"/>
    <w:lvl w:ilvl="0">
      <w:lvlJc w:val="left"/>
      <w:lvlText w:val="(%1)"/>
      <w:numFmt w:val="decimal"/>
      <w:start w:val="19"/>
    </w:lvl>
  </w:abstractNum>
  <w:abstractNum w:abstractNumId="120">
    <w:nsid w:val="2A082C70"/>
    <w:multiLevelType w:val="hybridMultilevel"/>
    <w:lvl w:ilvl="0">
      <w:lvlJc w:val="left"/>
      <w:lvlText w:val="(%1)"/>
      <w:numFmt w:val="lowerLetter"/>
      <w:start w:val="2"/>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
      <w:numFmt w:val="bullet"/>
      <w:start w:val="1"/>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lowerLetter"/>
      <w:start w:val="1"/>
    </w:lvl>
  </w:abstractNum>
  <w:abstractNum w:abstractNumId="125">
    <w:nsid w:val="5399C654"/>
    <w:multiLevelType w:val="hybridMultilevel"/>
    <w:lvl w:ilvl="0">
      <w:lvlJc w:val="left"/>
      <w:lvlText w:val="(%1)"/>
      <w:numFmt w:val="lowerLetter"/>
      <w:start w:val="1"/>
    </w:lvl>
  </w:abstractNum>
  <w:abstractNum w:abstractNumId="126">
    <w:nsid w:val="20EE1348"/>
    <w:multiLevelType w:val="hybridMultilevel"/>
    <w:lvl w:ilvl="0">
      <w:lvlJc w:val="left"/>
      <w:lvlText w:val="(%1)"/>
      <w:numFmt w:val="lowerLetter"/>
      <w:start w:val="5"/>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20"/>
    </w:lvl>
  </w:abstractNum>
  <w:abstractNum w:abstractNumId="130">
    <w:nsid w:val="704E1DD5"/>
    <w:multiLevelType w:val="hybridMultilevel"/>
    <w:lvl w:ilvl="0">
      <w:lvlJc w:val="left"/>
      <w:lvlText w:val="(%1)"/>
      <w:numFmt w:val="decimal"/>
      <w:start w:val="1"/>
    </w:lvl>
  </w:abstractNum>
  <w:abstractNum w:abstractNumId="131">
    <w:nsid w:val="57D2F10E"/>
    <w:multiLevelType w:val="hybridMultilevel"/>
    <w:lvl w:ilvl="0">
      <w:lvlJc w:val="left"/>
      <w:lvlText w:val="(%1)"/>
      <w:numFmt w:val="decimal"/>
      <w:start w:val="2"/>
    </w:lvl>
  </w:abstractNum>
  <w:abstractNum w:abstractNumId="132">
    <w:nsid w:val="BFFAE18"/>
    <w:multiLevelType w:val="hybridMultilevel"/>
    <w:lvl w:ilvl="0">
      <w:lvlJc w:val="left"/>
      <w:lvlText w:val="*"/>
      <w:numFmt w:val="bullet"/>
      <w:start w:val="1"/>
    </w:lvl>
    <w:lvl w:ilvl="1">
      <w:lvlJc w:val="left"/>
      <w:lvlText w:val="%2"/>
      <w:numFmt w:val="decimal"/>
      <w:start w:val="104"/>
    </w:lvl>
  </w:abstractNum>
  <w:abstractNum w:abstractNumId="133">
    <w:nsid w:val="E3E47A8"/>
    <w:multiLevelType w:val="hybridMultilevel"/>
    <w:lvl w:ilvl="0">
      <w:lvlJc w:val="left"/>
      <w:lvlText w:val="**"/>
      <w:numFmt w:val="bullet"/>
      <w:start w:val="1"/>
    </w:lvl>
    <w:lvl w:ilvl="1">
      <w:lvlJc w:val="left"/>
      <w:lvlText w:val="%2"/>
      <w:numFmt w:val="decimal"/>
      <w:start w:val="1"/>
    </w:lvl>
  </w:abstractNum>
  <w:abstractNum w:abstractNumId="134">
    <w:nsid w:val="2E48F044"/>
    <w:multiLevelType w:val="hybridMultilevel"/>
    <w:lvl w:ilvl="0">
      <w:lvlJc w:val="left"/>
      <w:lvlText w:val="***"/>
      <w:numFmt w:val="bullet"/>
      <w:start w:val="1"/>
    </w:lvl>
    <w:lvl w:ilvl="1">
      <w:lvlJc w:val="left"/>
      <w:lvlText w:val="%2"/>
      <w:numFmt w:val="decimal"/>
      <w:start w:val="1"/>
    </w:lvl>
  </w:abstractNum>
  <w:abstractNum w:abstractNumId="135">
    <w:nsid w:val="49D0FEAC"/>
    <w:multiLevelType w:val="hybridMultilevel"/>
    <w:lvl w:ilvl="0">
      <w:lvlJc w:val="left"/>
      <w:lvlText w:val="%1."/>
      <w:numFmt w:val="decimal"/>
      <w:start w:val="1"/>
    </w:lvl>
    <w:lvl w:ilvl="1">
      <w:lvlJc w:val="left"/>
      <w:lvlText w:val="%2)"/>
      <w:numFmt w:val="lowerLetter"/>
      <w:start w:val="1"/>
    </w:lvl>
  </w:abstractNum>
  <w:abstractNum w:abstractNumId="136">
    <w:nsid w:val="4BEE5A5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2" Type="http://schemas.openxmlformats.org/officeDocument/2006/relationships/image" Target="media/image184.png"/><Relationship Id="rId195" Type="http://schemas.openxmlformats.org/officeDocument/2006/relationships/image" Target="media/image185.png"/><Relationship Id="rId197" Type="http://schemas.openxmlformats.org/officeDocument/2006/relationships/image" Target="media/image186.png"/><Relationship Id="rId199" Type="http://schemas.openxmlformats.org/officeDocument/2006/relationships/image" Target="media/image187.png"/><Relationship Id="rId202"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8" Type="http://schemas.openxmlformats.org/officeDocument/2006/relationships/image" Target="media/image191.png"/><Relationship Id="rId211" Type="http://schemas.openxmlformats.org/officeDocument/2006/relationships/image" Target="media/image192.png"/><Relationship Id="rId214" Type="http://schemas.openxmlformats.org/officeDocument/2006/relationships/image" Target="media/image193.png"/><Relationship Id="rId217" Type="http://schemas.openxmlformats.org/officeDocument/2006/relationships/image" Target="media/image194.png"/><Relationship Id="rId220" Type="http://schemas.openxmlformats.org/officeDocument/2006/relationships/image" Target="media/image195.png"/><Relationship Id="rId223" Type="http://schemas.openxmlformats.org/officeDocument/2006/relationships/image" Target="media/image196.png"/><Relationship Id="rId226"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3" Type="http://schemas.openxmlformats.org/officeDocument/2006/relationships/image" Target="media/image200.png"/><Relationship Id="rId236" Type="http://schemas.openxmlformats.org/officeDocument/2006/relationships/image" Target="media/image201.png"/><Relationship Id="rId239" Type="http://schemas.openxmlformats.org/officeDocument/2006/relationships/image" Target="media/image202.png"/><Relationship Id="rId242" Type="http://schemas.openxmlformats.org/officeDocument/2006/relationships/image" Target="media/image203.png"/><Relationship Id="rId245" Type="http://schemas.openxmlformats.org/officeDocument/2006/relationships/image" Target="media/image204.png"/><Relationship Id="rId248" Type="http://schemas.openxmlformats.org/officeDocument/2006/relationships/image" Target="media/image205.png"/><Relationship Id="rId251"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8" Type="http://schemas.openxmlformats.org/officeDocument/2006/relationships/image" Target="media/image209.png"/><Relationship Id="rId261" Type="http://schemas.openxmlformats.org/officeDocument/2006/relationships/image" Target="media/image210.png"/><Relationship Id="rId264" Type="http://schemas.openxmlformats.org/officeDocument/2006/relationships/image" Target="media/image211.png"/><Relationship Id="rId267"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4" Type="http://schemas.openxmlformats.org/officeDocument/2006/relationships/image" Target="media/image215.png"/><Relationship Id="rId276" Type="http://schemas.openxmlformats.org/officeDocument/2006/relationships/image" Target="media/image216.png"/><Relationship Id="rId278" Type="http://schemas.openxmlformats.org/officeDocument/2006/relationships/image" Target="media/image217.png"/><Relationship Id="rId281" Type="http://schemas.openxmlformats.org/officeDocument/2006/relationships/image" Target="media/image218.png"/><Relationship Id="rId284" Type="http://schemas.openxmlformats.org/officeDocument/2006/relationships/image" Target="media/image219.png"/><Relationship Id="rId287" Type="http://schemas.openxmlformats.org/officeDocument/2006/relationships/image" Target="media/image220.png"/><Relationship Id="rId290" Type="http://schemas.openxmlformats.org/officeDocument/2006/relationships/image" Target="media/image221.png"/><Relationship Id="rId293" Type="http://schemas.openxmlformats.org/officeDocument/2006/relationships/image" Target="media/image222.png"/><Relationship Id="rId296" Type="http://schemas.openxmlformats.org/officeDocument/2006/relationships/image" Target="media/image223.png"/><Relationship Id="rId299" Type="http://schemas.openxmlformats.org/officeDocument/2006/relationships/image" Target="media/image224.png"/><Relationship Id="rId302" Type="http://schemas.openxmlformats.org/officeDocument/2006/relationships/image" Target="media/image225.png"/><Relationship Id="rId305" Type="http://schemas.openxmlformats.org/officeDocument/2006/relationships/image" Target="media/image226.png"/><Relationship Id="rId308" Type="http://schemas.openxmlformats.org/officeDocument/2006/relationships/image" Target="media/image227.png"/><Relationship Id="rId311" Type="http://schemas.openxmlformats.org/officeDocument/2006/relationships/image" Target="media/image228.png"/><Relationship Id="rId314" Type="http://schemas.openxmlformats.org/officeDocument/2006/relationships/image" Target="media/image229.png"/><Relationship Id="rId315" Type="http://schemas.openxmlformats.org/officeDocument/2006/relationships/image" Target="media/image230.png"/><Relationship Id="rId318" Type="http://schemas.openxmlformats.org/officeDocument/2006/relationships/image" Target="media/image231.png"/><Relationship Id="rId321" Type="http://schemas.openxmlformats.org/officeDocument/2006/relationships/image" Target="media/image232.png"/><Relationship Id="rId324" Type="http://schemas.openxmlformats.org/officeDocument/2006/relationships/image" Target="media/image233.png"/><Relationship Id="rId327" Type="http://schemas.openxmlformats.org/officeDocument/2006/relationships/image" Target="media/image234.png"/><Relationship Id="rId330" Type="http://schemas.openxmlformats.org/officeDocument/2006/relationships/image" Target="media/image235.png"/><Relationship Id="rId332" Type="http://schemas.openxmlformats.org/officeDocument/2006/relationships/image" Target="media/image236.png"/><Relationship Id="rId333" Type="http://schemas.openxmlformats.org/officeDocument/2006/relationships/image" Target="media/image237.png"/><Relationship Id="rId334" Type="http://schemas.openxmlformats.org/officeDocument/2006/relationships/image" Target="media/image238.png"/><Relationship Id="rId335" Type="http://schemas.openxmlformats.org/officeDocument/2006/relationships/image" Target="media/image239.png"/><Relationship Id="rId336" Type="http://schemas.openxmlformats.org/officeDocument/2006/relationships/image" Target="media/image240.png"/><Relationship Id="rId337" Type="http://schemas.openxmlformats.org/officeDocument/2006/relationships/image" Target="media/image241.png"/><Relationship Id="rId338" Type="http://schemas.openxmlformats.org/officeDocument/2006/relationships/image" Target="media/image242.png"/><Relationship Id="rId339" Type="http://schemas.openxmlformats.org/officeDocument/2006/relationships/image" Target="media/image243.png"/><Relationship Id="rId340" Type="http://schemas.openxmlformats.org/officeDocument/2006/relationships/image" Target="media/image244.png"/><Relationship Id="rId341" Type="http://schemas.openxmlformats.org/officeDocument/2006/relationships/image" Target="media/image245.png"/><Relationship Id="rId342" Type="http://schemas.openxmlformats.org/officeDocument/2006/relationships/image" Target="media/image246.png"/><Relationship Id="rId343" Type="http://schemas.openxmlformats.org/officeDocument/2006/relationships/image" Target="media/image247.png"/><Relationship Id="rId191" Type="http://schemas.openxmlformats.org/officeDocument/2006/relationships/hyperlink" Target="http://www.sec.gov/Archives/edgar/data/1570585/000157058519000214/ex21scorpioamendedspa30jul.htm" TargetMode="External"/><Relationship Id="rId193" Type="http://schemas.openxmlformats.org/officeDocument/2006/relationships/hyperlink" Target="https://www.sec.gov/Archives/edgar/data/1570585/000094787120000457/ss173285_ex201.htm" TargetMode="External"/><Relationship Id="rId194" Type="http://schemas.openxmlformats.org/officeDocument/2006/relationships/hyperlink" Target="https://www.sec.gov/Archives/edgar/data/1570585/000157058520000313/ex21sapphiretransactio.htm" TargetMode="External"/><Relationship Id="rId196" Type="http://schemas.openxmlformats.org/officeDocument/2006/relationships/hyperlink" Target="https://www.sec.gov/Archives/edgar/data/1570585/000157058521000311/ex21saleofupcpolandspafinal.htm" TargetMode="External"/><Relationship Id="rId198" Type="http://schemas.openxmlformats.org/officeDocument/2006/relationships/hyperlink" Target="http://www.sec.gov/Archives/edgar/data/1570585/000119312515228955/d944743dex31.htm" TargetMode="External"/><Relationship Id="rId200" Type="http://schemas.openxmlformats.org/officeDocument/2006/relationships/hyperlink" Target="https://www.sec.gov/Archives/edgar/data/1570585/000157058520000023/ex41descriptionofsecur.htm" TargetMode="External"/><Relationship Id="rId201" Type="http://schemas.openxmlformats.org/officeDocument/2006/relationships/hyperlink" Target="http://www.sec.gov/Archives/edgar/data/1570585/000157058517000399/active_65561104x7xupcxsfax.htm" TargetMode="External"/><Relationship Id="rId203" Type="http://schemas.openxmlformats.org/officeDocument/2006/relationships/hyperlink" Target="http://www.sec.gov/Archives/edgar/data/1570585/000157058515000068/exhibit41upcfinanceivlimit.htm" TargetMode="External"/><Relationship Id="rId206" Type="http://schemas.openxmlformats.org/officeDocument/2006/relationships/hyperlink" Target="http://www.sec.gov/Archives/edgar/data/1570585/000157058515000068/exhibit42additionalfacilit.htm" TargetMode="External"/><Relationship Id="rId207" Type="http://schemas.openxmlformats.org/officeDocument/2006/relationships/hyperlink" Target="http://www.sec.gov/Archives/edgar/data/1570585/000157058515000068/exhibit43additionafacility.htm" TargetMode="External"/><Relationship Id="rId209" Type="http://schemas.openxmlformats.org/officeDocument/2006/relationships/hyperlink" Target="http://www.sec.gov/Archives/edgar/data/1570585/000157058515000095/ex41upcadditionalfacilitya.htm" TargetMode="External"/><Relationship Id="rId210" Type="http://schemas.openxmlformats.org/officeDocument/2006/relationships/hyperlink" Target="http://www.sec.gov/Archives/edgar/data/1570585/000157058515000165/exhibit41upcaddlfacilityam.htm" TargetMode="External"/><Relationship Id="rId212" Type="http://schemas.openxmlformats.org/officeDocument/2006/relationships/hyperlink" Target="http://www.sec.gov/Archives/edgar/data/1570585/000157058517000225/exhibit41additionalfacilit.htm" TargetMode="External"/><Relationship Id="rId213" Type="http://schemas.openxmlformats.org/officeDocument/2006/relationships/hyperlink" Target="http://www.sec.gov/Archives/edgar/data/1570585/000157058520000013/ex41facilityataccessio.htm" TargetMode="External"/><Relationship Id="rId215" Type="http://schemas.openxmlformats.org/officeDocument/2006/relationships/hyperlink" Target="http://www.sec.gov/Archives/edgar/data/1570585/000157058520000013/ex42facilityauaccessio.htm" TargetMode="External"/><Relationship Id="rId216" Type="http://schemas.openxmlformats.org/officeDocument/2006/relationships/hyperlink" Target="https://www.sec.gov/Archives/edgar/data/1570585/000157058520000260/ex41facilityavaccessio.htm" TargetMode="External"/><Relationship Id="rId218" Type="http://schemas.openxmlformats.org/officeDocument/2006/relationships/hyperlink" Target="https://www.sec.gov/Archives/edgar/data/1570585/000157058520000260/ex42facilityawaccessio.htm" TargetMode="External"/><Relationship Id="rId219" Type="http://schemas.openxmlformats.org/officeDocument/2006/relationships/hyperlink" Target="http://www.sec.gov/Archives/edgar/data/1570585/000157058518000216/ex41-additionalfacilityana.htm" TargetMode="External"/><Relationship Id="rId221" Type="http://schemas.openxmlformats.org/officeDocument/2006/relationships/hyperlink" Target="http://www.sec.gov/Archives/edgar/data/1570585/000157058520000011/ex41facilityaraccessio.htm" TargetMode="External"/><Relationship Id="rId222" Type="http://schemas.openxmlformats.org/officeDocument/2006/relationships/hyperlink" Target="http://www.sec.gov/Archives/edgar/data/1570585/000157058520000011/ex42facilityaqaccessio.htm" TargetMode="External"/><Relationship Id="rId224" Type="http://schemas.openxmlformats.org/officeDocument/2006/relationships/hyperlink" Target="http://www.sec.gov/Archives/edgar/data/1570585/000157058519000157/ex41apaccessionagreement.htm" TargetMode="External"/><Relationship Id="rId225" Type="http://schemas.openxmlformats.org/officeDocument/2006/relationships/hyperlink" Target="http://www.sec.gov/Archives/edgar/data/1570585/000157058517000410/ex44projectcassandraindent.htm" TargetMode="External"/><Relationship Id="rId227" Type="http://schemas.openxmlformats.org/officeDocument/2006/relationships/hyperlink" Target="http://www.sec.gov/Archives/edgar/data/1570585/000157058517000410/ex45additionalfacilityajac.htm" TargetMode="External"/><Relationship Id="rId228" Type="http://schemas.openxmlformats.org/officeDocument/2006/relationships/hyperlink" Target="http://www.sec.gov/Archives/edgar/data/1570585/000157058517000410/ex46additionalfacilityakac.htm" TargetMode="External"/><Relationship Id="rId231" Type="http://schemas.openxmlformats.org/officeDocument/2006/relationships/hyperlink" Target="http://www.sec.gov/Archives/edgar/data/1570585/000157058518000360/exhibit41telenetsfa.htm" TargetMode="External"/><Relationship Id="rId232" Type="http://schemas.openxmlformats.org/officeDocument/2006/relationships/hyperlink" Target="http://www.sec.gov/Archives/edgar/data/1570585/000110465914025659/a14-9870_1ex4d1.htm" TargetMode="External"/><Relationship Id="rId234" Type="http://schemas.openxmlformats.org/officeDocument/2006/relationships/hyperlink" Target="http://www.sec.gov/Archives/edgar/data/1570585/000119312515031784/d861713dex42.htm" TargetMode="External"/><Relationship Id="rId235" Type="http://schemas.openxmlformats.org/officeDocument/2006/relationships/hyperlink" Target="http://www.sec.gov/Archives/edgar/data/1570585/000157058517000377/ex42stingeradditionallfaci.htm" TargetMode="External"/><Relationship Id="rId237" Type="http://schemas.openxmlformats.org/officeDocument/2006/relationships/hyperlink" Target="http://www.sec.gov/Archives/edgar/data/1570585/000157058517000377/ex43stingeradditionalmfaci.htm" TargetMode="External"/><Relationship Id="rId238" Type="http://schemas.openxmlformats.org/officeDocument/2006/relationships/hyperlink" Target="http://www.sec.gov/Archives/edgar/data/1570585/000157058519000271/ex41tayloradditionalfa.htm" TargetMode="External"/><Relationship Id="rId240" Type="http://schemas.openxmlformats.org/officeDocument/2006/relationships/hyperlink" Target="http://www.sec.gov/Archives/edgar/data/1570585/000157058519000271/ex42tayloradditionalfa.htm" TargetMode="External"/><Relationship Id="rId241" Type="http://schemas.openxmlformats.org/officeDocument/2006/relationships/hyperlink" Target="https://www.sec.gov/Archives/edgar/data/1570585/000157058520000342/ex41additionalpfacilit.htm" TargetMode="External"/><Relationship Id="rId243" Type="http://schemas.openxmlformats.org/officeDocument/2006/relationships/hyperlink" Target="https://www.sec.gov/Archives/edgar/data/1570585/000157058520000270/ex41facilityqaccession.htm" TargetMode="External"/><Relationship Id="rId244" Type="http://schemas.openxmlformats.org/officeDocument/2006/relationships/hyperlink" Target="https://www.sec.gov/Archives/edgar/data/1570585/000157058520000270/ex42facilityraccession.htm" TargetMode="External"/><Relationship Id="rId246" Type="http://schemas.openxmlformats.org/officeDocument/2006/relationships/hyperlink" Target="https://www.sec.gov/Archives/edgar/data/1570585/000157058520000273/exhibit41-additionalfa.htm" TargetMode="External"/><Relationship Id="rId247" Type="http://schemas.openxmlformats.org/officeDocument/2006/relationships/hyperlink" Target="https://www.sec.gov/Archives/edgar/data/1570585/000157058520000273/exhibit42-additionalfa.htm" TargetMode="External"/><Relationship Id="rId249" Type="http://schemas.openxmlformats.org/officeDocument/2006/relationships/hyperlink" Target="https://www.sec.gov/Archives/edgar/data/1570585/000157058520000273/exhibit43-additionalfa.htm" TargetMode="External"/><Relationship Id="rId250" Type="http://schemas.openxmlformats.org/officeDocument/2006/relationships/hyperlink" Target="https://www.sec.gov/Archives/edgar/data/1570585/000157058521000134/exhibit41upcfacilityav2.htm" TargetMode="External"/><Relationship Id="rId252" Type="http://schemas.openxmlformats.org/officeDocument/2006/relationships/hyperlink" Target="https://www.sec.gov/Archives/edgar/data/1570585/000157058521000134/exhibit42upcfacilityaw2.htm" TargetMode="External"/><Relationship Id="rId253" Type="http://schemas.openxmlformats.org/officeDocument/2006/relationships/hyperlink" Target="https://www.sec.gov/Archives/edgar/data/1570585/000157058521000134/exhibit43upcrcfamendment.htm" TargetMode="External"/><Relationship Id="rId256" Type="http://schemas.openxmlformats.org/officeDocument/2006/relationships/hyperlink" Target="https://www.sec.gov/Archives/edgar/data/1570585/000157058521000139/exhibit41facilityax.htm" TargetMode="External"/><Relationship Id="rId257" Type="http://schemas.openxmlformats.org/officeDocument/2006/relationships/hyperlink" Target="https://www.sec.gov/Archives/edgar/data/1570585/000157058521000139/exhibit42facilityay.htm" TargetMode="External"/><Relationship Id="rId259" Type="http://schemas.openxmlformats.org/officeDocument/2006/relationships/hyperlink" Target="https://www.sec.gov/Archives/edgar/data/1570585/000157058521000139/exhibit43facilityaz.htm" TargetMode="External"/><Relationship Id="rId260" Type="http://schemas.openxmlformats.org/officeDocument/2006/relationships/hyperlink" Target="http://www.sec.gov/Archives/edgar/data/1570585/000157058519000309/ex41amendmentandrestat.htm" TargetMode="External"/><Relationship Id="rId262" Type="http://schemas.openxmlformats.org/officeDocument/2006/relationships/hyperlink" Target="http://www.sec.gov/Archives/edgar/data/1570585/000157058519000143/ex41vmssnindenture5-16x19.htm" TargetMode="External"/><Relationship Id="rId263" Type="http://schemas.openxmlformats.org/officeDocument/2006/relationships/hyperlink" Target="http://www.sec.gov/Archives/edgar/data/1570585/000157058519000202/ex41vmssnindentureamendmen.htm" TargetMode="External"/><Relationship Id="rId265" Type="http://schemas.openxmlformats.org/officeDocument/2006/relationships/hyperlink" Target="http://www.sec.gov/Archives/edgar/data/1570585/000157058519000295/ex46capri-sfaicaaccess.htm" TargetMode="External"/><Relationship Id="rId266" Type="http://schemas.openxmlformats.org/officeDocument/2006/relationships/hyperlink" Target="https://www.sec.gov/Archives/edgar/data/1570585/000157058520000106/ex41telenetnewrevolvin.htm" TargetMode="External"/><Relationship Id="rId268" Type="http://schemas.openxmlformats.org/officeDocument/2006/relationships/hyperlink" Target="https://www.sec.gov/Archives/edgar/data/1570585/000157058520000139/ex41upccancelfacilitya.htm" TargetMode="External"/><Relationship Id="rId269" Type="http://schemas.openxmlformats.org/officeDocument/2006/relationships/hyperlink" Target="https://www.sec.gov/Archives/edgar/data/1570585/000157058522000145/ex41upcrcfamendmentagreeme.htm" TargetMode="External"/><Relationship Id="rId272" Type="http://schemas.openxmlformats.org/officeDocument/2006/relationships/hyperlink" Target="http://www.sec.gov/Archives/edgar/data/1570585/000119312513251863/d548311dex101.htm" TargetMode="External"/><Relationship Id="rId273" Type="http://schemas.openxmlformats.org/officeDocument/2006/relationships/hyperlink" Target="http://www.sec.gov/Archives/edgar/data/1570585/000157058519000229/ex101lgi2014incentivep.htm" TargetMode="External"/><Relationship Id="rId275" Type="http://schemas.openxmlformats.org/officeDocument/2006/relationships/hyperlink" Target="http://www.sec.gov/Archives/edgar/data/1570585/000157058513000097/dec2013proxy.htm" TargetMode="External"/><Relationship Id="rId277" Type="http://schemas.openxmlformats.org/officeDocument/2006/relationships/hyperlink" Target="http://www.sec.gov/Archives/edgar/data/1570585/000157058514000149/ex103-2014libertyglobalned.htm" TargetMode="External"/><Relationship Id="rId279" Type="http://schemas.openxmlformats.org/officeDocument/2006/relationships/hyperlink" Target="http://www.sec.gov/Archives/edgar/data/1570585/000157058514000149/ex104-libertyglobalrsuagmt.htm" TargetMode="External"/><Relationship Id="rId280" Type="http://schemas.openxmlformats.org/officeDocument/2006/relationships/hyperlink" Target="http://www.sec.gov/Archives/edgar/data/1570585/000119312513251863/d548311dex102.htm" TargetMode="External"/><Relationship Id="rId282" Type="http://schemas.openxmlformats.org/officeDocument/2006/relationships/hyperlink" Target="http://www.sec.gov/Archives/edgar/data/1570585/000119312513251863/d548311dex103.htm" TargetMode="External"/><Relationship Id="rId283" Type="http://schemas.openxmlformats.org/officeDocument/2006/relationships/hyperlink" Target="http://www.sec.gov/Archives/edgar/data/1570585/000119312513251863/d548311dex104.htm" TargetMode="External"/><Relationship Id="rId285" Type="http://schemas.openxmlformats.org/officeDocument/2006/relationships/hyperlink" Target="http://www.sec.gov/Archives/edgar/data/1570585/000157058513000050/lgi-201363013xex_106.htm" TargetMode="External"/><Relationship Id="rId286" Type="http://schemas.openxmlformats.org/officeDocument/2006/relationships/hyperlink" Target="http://www.sec.gov/Archives/edgar/data/1570585/000157058514000086/a2014agmproxy.htm" TargetMode="External"/><Relationship Id="rId288" Type="http://schemas.openxmlformats.org/officeDocument/2006/relationships/hyperlink" Target="http://www.sec.gov/Archives/edgar/data/1570585/000119312513251863/d548311dex1010.htm" TargetMode="External"/><Relationship Id="rId289" Type="http://schemas.openxmlformats.org/officeDocument/2006/relationships/hyperlink" Target="http://www.sec.gov/Archives/edgar/data/1316631/000095013408008743/d56181exv10w3.htm" TargetMode="External"/><Relationship Id="rId291" Type="http://schemas.openxmlformats.org/officeDocument/2006/relationships/hyperlink" Target="http://www.sec.gov/Archives/edgar/data/1570585/000157058519000039/ex1016psuagmtnonexec20.htm" TargetMode="External"/><Relationship Id="rId292" Type="http://schemas.openxmlformats.org/officeDocument/2006/relationships/hyperlink" Target="http://www.sec.gov/Archives/edgar/data/1570585/000157058519000051/a3-13x198xklg502challengea.htm" TargetMode="External"/><Relationship Id="rId294" Type="http://schemas.openxmlformats.org/officeDocument/2006/relationships/hyperlink" Target="https://www.sec.gov/ix?doc=/Archives/edgar/data/1570585/000157058520000095/a4-3x208xklg2020x22ltip.htm" TargetMode="External"/><Relationship Id="rId295" Type="http://schemas.openxmlformats.org/officeDocument/2006/relationships/hyperlink" Target="http://www.sec.gov/Archives/edgar/data/1570585/000157058516000395/ex1029-lgideferredcompensa.htm" TargetMode="External"/><Relationship Id="rId297" Type="http://schemas.openxmlformats.org/officeDocument/2006/relationships/hyperlink" Target="http://www.sec.gov/Archives/edgar/data/1570585/000157058516000395/ex1030-nonemployeedirector.htm" TargetMode="External"/><Relationship Id="rId298" Type="http://schemas.openxmlformats.org/officeDocument/2006/relationships/hyperlink" Target="http://www.sec.gov/Archives/edgar/data/1570585/000157058516000395/ex1031-personalusageofairc.htm" TargetMode="External"/><Relationship Id="rId300" Type="http://schemas.openxmlformats.org/officeDocument/2006/relationships/hyperlink" Target="http://www.sec.gov/Archives/edgar/data/1316631/000131663113000030/ex1029formofaircrafttimesh.htm" TargetMode="External"/><Relationship Id="rId301" Type="http://schemas.openxmlformats.org/officeDocument/2006/relationships/hyperlink" Target="http://www.sec.gov/Archives/edgar/data/1570585/000157058516000761/ex102ceosaragmt-form.htm" TargetMode="External"/><Relationship Id="rId303" Type="http://schemas.openxmlformats.org/officeDocument/2006/relationships/hyperlink" Target="http://www.sec.gov/Archives/edgar/data/1316631/000119312510039013/dex1036.htm" TargetMode="External"/><Relationship Id="rId304" Type="http://schemas.openxmlformats.org/officeDocument/2006/relationships/hyperlink" Target="http://www.sec.gov/Archives/edgar/data/1570585/000157058518000300/ex21employmentagreemen.htm" TargetMode="External"/><Relationship Id="rId306" Type="http://schemas.openxmlformats.org/officeDocument/2006/relationships/hyperlink" Target="http://www.sec.gov/Archives/edgar/data/1570585/000157058519000229/ex109fries2019employme.htm" TargetMode="External"/><Relationship Id="rId307" Type="http://schemas.openxmlformats.org/officeDocument/2006/relationships/hyperlink" Target="https://www.sec.gov/Archives/edgar/data/1570585/000157058520000238/ex102lgiexecemptagmtbh_hall.htm" TargetMode="External"/><Relationship Id="rId309" Type="http://schemas.openxmlformats.org/officeDocument/2006/relationships/hyperlink" Target="https://www.sec.gov/Archives/edgar/data/1570585/000157058520000238/ex103lgiexecemptagmta_salv.htm" TargetMode="External"/><Relationship Id="rId310" Type="http://schemas.openxmlformats.org/officeDocument/2006/relationships/hyperlink" Target="http://www.sec.gov/Archives/edgar/data/1570585/000157058519000229/ex102formperformancesa.htm" TargetMode="External"/><Relationship Id="rId312" Type="http://schemas.openxmlformats.org/officeDocument/2006/relationships/hyperlink" Target="http://www.sec.gov/Archives/edgar/data/1570585/000157058519000229/ex104formchallegersusa.htm" TargetMode="External"/><Relationship Id="rId313" Type="http://schemas.openxmlformats.org/officeDocument/2006/relationships/hyperlink" Target="http://www.sec.gov/Archives/edgar/data/1570585/000157058519000229/ex105lgformofsaragmtem.htm" TargetMode="External"/><Relationship Id="rId316" Type="http://schemas.openxmlformats.org/officeDocument/2006/relationships/hyperlink" Target="http://www.sec.gov/Archives/edgar/data/1570585/000157058519000229/ex107formpsuagmt2019.htm" TargetMode="External"/><Relationship Id="rId317" Type="http://schemas.openxmlformats.org/officeDocument/2006/relationships/hyperlink" Target="http://www.sec.gov/Archives/edgar/data/1570585/000157058519000229/ex108formoflgpsuagmtce.htm" TargetMode="External"/><Relationship Id="rId319" Type="http://schemas.openxmlformats.org/officeDocument/2006/relationships/hyperlink" Target="http://www.sec.gov/Archives/edgar/data/1570585/000157058519000295/ex101formoflibertyglob.htm" TargetMode="External"/><Relationship Id="rId320" Type="http://schemas.openxmlformats.org/officeDocument/2006/relationships/hyperlink" Target="http://www.sec.gov/Archives/edgar/data/1570585/000157058519000295/ex102formofceoperforma.htm" TargetMode="External"/><Relationship Id="rId322" Type="http://schemas.openxmlformats.org/officeDocument/2006/relationships/hyperlink" Target="http://www.sec.gov/Archives/edgar/data/1570585/000157058519000295/ex106lgformofrsuagmtem.htm" TargetMode="External"/><Relationship Id="rId323" Type="http://schemas.openxmlformats.org/officeDocument/2006/relationships/hyperlink" Target="http://www.sec.gov/Archives/edgar/data/1570585/000157058519000295/ex103restrictedshareun.htm" TargetMode="External"/><Relationship Id="rId325" Type="http://schemas.openxmlformats.org/officeDocument/2006/relationships/hyperlink" Target="http://www.sec.gov/Archives/edgar/data/1570585/000157058519000295/ex104formchallegersusa.htm" TargetMode="External"/><Relationship Id="rId326" Type="http://schemas.openxmlformats.org/officeDocument/2006/relationships/hyperlink" Target="http://www.sec.gov/Archives/edgar/data/1570585/000157058519000295/ex105formofchallegersu.htm" TargetMode="External"/><Relationship Id="rId328" Type="http://schemas.openxmlformats.org/officeDocument/2006/relationships/hyperlink" Target="http://www.sec.gov/Archives/edgar/data/1570585/000157058517000018/exhibit102pancake-amendeds.htm" TargetMode="External"/><Relationship Id="rId329" Type="http://schemas.openxmlformats.org/officeDocument/2006/relationships/hyperlink" Target="https://www.sec.gov/Archives/edgar/data/1570585/000157058521000209/exhibit101shareholdersagre.htm" TargetMode="External"/><Relationship Id="rId331" Type="http://schemas.openxmlformats.org/officeDocument/2006/relationships/hyperlink" Target="https://www.sec.gov/ix?doc=/Archives/edgar/data/1570585/000157058521000115/lbtya-202104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2023-02-22T19:30:04Z</dcterms:created>
  <dcterms:modified xsi:type="dcterms:W3CDTF">2023-02-22T19:30:04Z</dcterms:modified>
</cp:coreProperties>
</file>