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198755</wp:posOffset>
            </wp:positionH>
            <wp:positionV relativeFrom="page">
              <wp:posOffset>1323975</wp:posOffset>
            </wp:positionV>
            <wp:extent cx="71520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1287145</wp:posOffset>
            </wp:positionV>
            <wp:extent cx="7152005" cy="14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005" cy="14605"/>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UNITED STATES SECURITIES AND EXCHANGE COMMISSION</w:t>
      </w:r>
    </w:p>
    <w:p>
      <w:pPr>
        <w:spacing w:after="0" w:line="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14" w:lineRule="exact"/>
        <w:rPr>
          <w:sz w:val="24"/>
          <w:szCs w:val="24"/>
          <w:color w:val="auto"/>
        </w:rPr>
      </w:pPr>
    </w:p>
    <w:p>
      <w:pPr>
        <w:ind w:left="860" w:hanging="852"/>
        <w:spacing w:after="0"/>
        <w:tabs>
          <w:tab w:leader="none" w:pos="86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40"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2025</w:t>
      </w:r>
    </w:p>
    <w:p>
      <w:pPr>
        <w:spacing w:after="0" w:line="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4" w:lineRule="exact"/>
        <w:rPr>
          <w:sz w:val="24"/>
          <w:szCs w:val="24"/>
          <w:color w:val="auto"/>
        </w:rPr>
      </w:pPr>
    </w:p>
    <w:p>
      <w:pPr>
        <w:ind w:left="860" w:hanging="852"/>
        <w:spacing w:after="0"/>
        <w:tabs>
          <w:tab w:leader="none" w:pos="86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40" w:lineRule="exact"/>
        <w:rPr>
          <w:sz w:val="24"/>
          <w:szCs w:val="24"/>
          <w:color w:val="auto"/>
        </w:rPr>
      </w:pPr>
    </w:p>
    <w:p>
      <w:pPr>
        <w:ind w:left="860"/>
        <w:spacing w:after="0"/>
        <w:tabs>
          <w:tab w:leader="none" w:pos="336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Commission file number 001-35961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3273425</wp:posOffset>
            </wp:positionH>
            <wp:positionV relativeFrom="paragraph">
              <wp:posOffset>39370</wp:posOffset>
            </wp:positionV>
            <wp:extent cx="595630" cy="595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5630" cy="5956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Liberty Global Ltd.</w:t>
      </w:r>
    </w:p>
    <w:p>
      <w:pPr>
        <w:spacing w:after="0" w:line="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(Exact name of Registrant as specified in its charter)</w:t>
      </w:r>
    </w:p>
    <w:p>
      <w:pPr>
        <w:sectPr>
          <w:pgSz w:w="11900" w:h="16838" w:orient="portrait"/>
          <w:cols w:equalWidth="0" w:num="1">
            <w:col w:w="11260"/>
          </w:cols>
          <w:pgMar w:left="320" w:top="1440" w:right="319" w:bottom="1440" w:gutter="0" w:footer="0" w:header="0"/>
        </w:sectPr>
      </w:pPr>
    </w:p>
    <w:p>
      <w:pPr>
        <w:spacing w:after="0" w:line="137"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0"/>
          <w:szCs w:val="10"/>
          <w:b w:val="1"/>
          <w:bCs w:val="1"/>
          <w:color w:val="auto"/>
        </w:rPr>
        <w:t>Bermuda</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98-1750381</w:t>
      </w:r>
    </w:p>
    <w:p>
      <w:pPr>
        <w:spacing w:after="0" w:line="39" w:lineRule="exact"/>
        <w:rPr>
          <w:sz w:val="24"/>
          <w:szCs w:val="24"/>
          <w:color w:val="auto"/>
        </w:rPr>
      </w:pPr>
    </w:p>
    <w:p>
      <w:pPr>
        <w:sectPr>
          <w:pgSz w:w="11900" w:h="16838" w:orient="portrait"/>
          <w:cols w:equalWidth="0" w:num="2">
            <w:col w:w="6380" w:space="720"/>
            <w:col w:w="4160"/>
          </w:cols>
          <w:pgMar w:left="320" w:top="1440" w:right="319" w:bottom="1440" w:gutter="0" w:footer="0" w:header="0"/>
          <w:type w:val="continuous"/>
        </w:sectPr>
      </w:pPr>
    </w:p>
    <w:p>
      <w:pPr>
        <w:spacing w:after="0" w:line="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0"/>
          <w:szCs w:val="10"/>
          <w:i w:val="1"/>
          <w:iCs w:val="1"/>
          <w:color w:val="auto"/>
        </w:rPr>
        <w:t>(State or other jurisdiction of</w:t>
      </w:r>
    </w:p>
    <w:p>
      <w:pPr>
        <w:spacing w:after="0" w:line="15"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0"/>
          <w:szCs w:val="10"/>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3440"/>
        <w:spacing w:after="0"/>
        <w:rPr>
          <w:sz w:val="20"/>
          <w:szCs w:val="20"/>
          <w:color w:val="auto"/>
        </w:rPr>
      </w:pPr>
      <w:r>
        <w:rPr>
          <w:rFonts w:ascii="Times New Roman" w:cs="Times New Roman" w:eastAsia="Times New Roman" w:hAnsi="Times New Roman"/>
          <w:sz w:val="12"/>
          <w:szCs w:val="12"/>
          <w:i w:val="1"/>
          <w:iCs w:val="1"/>
          <w:color w:val="auto"/>
        </w:rPr>
        <w:t>(I.R.S. Employer</w:t>
      </w:r>
    </w:p>
    <w:p>
      <w:pPr>
        <w:jc w:val="center"/>
        <w:ind w:right="3440"/>
        <w:spacing w:after="0"/>
        <w:rPr>
          <w:sz w:val="20"/>
          <w:szCs w:val="20"/>
          <w:color w:val="auto"/>
        </w:rPr>
      </w:pPr>
      <w:r>
        <w:rPr>
          <w:rFonts w:ascii="Times New Roman" w:cs="Times New Roman" w:eastAsia="Times New Roman" w:hAnsi="Times New Roman"/>
          <w:sz w:val="10"/>
          <w:szCs w:val="10"/>
          <w:i w:val="1"/>
          <w:iCs w:val="1"/>
          <w:color w:val="auto"/>
        </w:rPr>
        <w:t>Identification No.)</w:t>
      </w:r>
    </w:p>
    <w:p>
      <w:pPr>
        <w:spacing w:after="0" w:line="170" w:lineRule="exact"/>
        <w:rPr>
          <w:sz w:val="24"/>
          <w:szCs w:val="24"/>
          <w:color w:val="auto"/>
        </w:rPr>
      </w:pPr>
    </w:p>
    <w:p>
      <w:pPr>
        <w:sectPr>
          <w:pgSz w:w="11900" w:h="16838" w:orient="portrait"/>
          <w:cols w:equalWidth="0" w:num="2">
            <w:col w:w="6240" w:space="720"/>
            <w:col w:w="4300"/>
          </w:cols>
          <w:pgMar w:left="320" w:top="1440"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Clarendon House, 2 Church Street, Hamilton HM 11, Bermuda</w:t>
      </w:r>
    </w:p>
    <w:p>
      <w:pPr>
        <w:spacing w:after="0" w:line="8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2"/>
          <w:szCs w:val="12"/>
          <w:i w:val="1"/>
          <w:iCs w:val="1"/>
          <w:color w:val="auto"/>
        </w:rPr>
        <w:t>(Address of Principal Executive Office)</w:t>
      </w:r>
    </w:p>
    <w:p>
      <w:pPr>
        <w:spacing w:after="0" w:line="94"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+1.303.220.6600</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ectPr>
          <w:pgSz w:w="11900" w:h="16838" w:orient="portrait"/>
          <w:cols w:equalWidth="0" w:num="1">
            <w:col w:w="11260"/>
          </w:cols>
          <w:pgMar w:left="320" w:top="1440" w:right="319" w:bottom="1440" w:gutter="0" w:footer="0" w:header="0"/>
          <w:type w:val="continuous"/>
        </w:sectPr>
      </w:pPr>
    </w:p>
    <w:p>
      <w:pPr>
        <w:spacing w:after="0" w:line="134"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Trading Symbol(s)</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p>
      <w:pPr>
        <w:spacing w:after="0" w:line="84" w:lineRule="exact"/>
        <w:rPr>
          <w:sz w:val="24"/>
          <w:szCs w:val="24"/>
          <w:color w:val="auto"/>
        </w:rPr>
      </w:pPr>
    </w:p>
    <w:p>
      <w:pPr>
        <w:sectPr>
          <w:pgSz w:w="11900" w:h="16838" w:orient="portrait"/>
          <w:cols w:equalWidth="0" w:num="3">
            <w:col w:w="3980" w:space="720"/>
            <w:col w:w="1660" w:space="720"/>
            <w:col w:w="4180"/>
          </w:cols>
          <w:pgMar w:left="320" w:top="1440" w:right="319" w:bottom="1440" w:gutter="0" w:footer="0" w:header="0"/>
          <w:type w:val="continuous"/>
        </w:sectPr>
      </w:pPr>
    </w:p>
    <w:p>
      <w:pPr>
        <w:jc w:val="center"/>
        <w:ind w:left="720"/>
        <w:spacing w:after="0"/>
        <w:rPr>
          <w:sz w:val="20"/>
          <w:szCs w:val="20"/>
          <w:color w:val="auto"/>
        </w:rPr>
      </w:pPr>
      <w:r>
        <w:rPr>
          <w:rFonts w:ascii="Times New Roman" w:cs="Times New Roman" w:eastAsia="Times New Roman" w:hAnsi="Times New Roman"/>
          <w:sz w:val="13"/>
          <w:szCs w:val="13"/>
          <w:color w:val="auto"/>
        </w:rPr>
        <w:t>Class A common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LBTYA</w:t>
      </w:r>
    </w:p>
    <w:p>
      <w:pPr>
        <w:spacing w:after="0" w:line="20" w:lineRule="exact"/>
        <w:rPr>
          <w:sz w:val="24"/>
          <w:szCs w:val="24"/>
          <w:color w:val="auto"/>
        </w:rPr>
      </w:pPr>
      <w:r>
        <w:rPr>
          <w:sz w:val="24"/>
          <w:szCs w:val="24"/>
          <w:color w:val="auto"/>
        </w:rPr>
        <w:br w:type="column"/>
      </w:r>
    </w:p>
    <w:p>
      <w:pPr>
        <w:jc w:val="center"/>
        <w:ind w:right="2080"/>
        <w:spacing w:after="0"/>
        <w:rPr>
          <w:sz w:val="20"/>
          <w:szCs w:val="20"/>
          <w:color w:val="auto"/>
        </w:rPr>
      </w:pPr>
      <w:r>
        <w:rPr>
          <w:rFonts w:ascii="Times New Roman" w:cs="Times New Roman" w:eastAsia="Times New Roman" w:hAnsi="Times New Roman"/>
          <w:sz w:val="13"/>
          <w:szCs w:val="13"/>
          <w:color w:val="auto"/>
        </w:rPr>
        <w:t>Nasdaq Global Select Market</w:t>
      </w:r>
    </w:p>
    <w:p>
      <w:pPr>
        <w:spacing w:after="0" w:line="36" w:lineRule="exact"/>
        <w:rPr>
          <w:sz w:val="24"/>
          <w:szCs w:val="24"/>
          <w:color w:val="auto"/>
        </w:rPr>
      </w:pPr>
    </w:p>
    <w:p>
      <w:pPr>
        <w:sectPr>
          <w:pgSz w:w="11900" w:h="16838" w:orient="portrait"/>
          <w:cols w:equalWidth="0" w:num="3">
            <w:col w:w="4300" w:space="720"/>
            <w:col w:w="1800" w:space="720"/>
            <w:col w:w="3720"/>
          </w:cols>
          <w:pgMar w:left="320" w:top="1440" w:right="319" w:bottom="1440" w:gutter="0" w:footer="0" w:header="0"/>
          <w:type w:val="continuous"/>
        </w:sectPr>
      </w:pPr>
    </w:p>
    <w:p>
      <w:pPr>
        <w:jc w:val="center"/>
        <w:ind w:left="740"/>
        <w:spacing w:after="0"/>
        <w:rPr>
          <w:sz w:val="20"/>
          <w:szCs w:val="20"/>
          <w:color w:val="auto"/>
        </w:rPr>
      </w:pPr>
      <w:r>
        <w:rPr>
          <w:rFonts w:ascii="Times New Roman" w:cs="Times New Roman" w:eastAsia="Times New Roman" w:hAnsi="Times New Roman"/>
          <w:sz w:val="13"/>
          <w:szCs w:val="13"/>
          <w:color w:val="auto"/>
        </w:rPr>
        <w:t>Class B common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LBTYB</w:t>
      </w:r>
    </w:p>
    <w:p>
      <w:pPr>
        <w:spacing w:after="0" w:line="20" w:lineRule="exact"/>
        <w:rPr>
          <w:sz w:val="24"/>
          <w:szCs w:val="24"/>
          <w:color w:val="auto"/>
        </w:rPr>
      </w:pPr>
      <w:r>
        <w:rPr>
          <w:sz w:val="24"/>
          <w:szCs w:val="24"/>
          <w:color w:val="auto"/>
        </w:rPr>
        <w:br w:type="column"/>
      </w:r>
    </w:p>
    <w:p>
      <w:pPr>
        <w:jc w:val="center"/>
        <w:ind w:right="2080"/>
        <w:spacing w:after="0"/>
        <w:rPr>
          <w:sz w:val="20"/>
          <w:szCs w:val="20"/>
          <w:color w:val="auto"/>
        </w:rPr>
      </w:pPr>
      <w:r>
        <w:rPr>
          <w:rFonts w:ascii="Times New Roman" w:cs="Times New Roman" w:eastAsia="Times New Roman" w:hAnsi="Times New Roman"/>
          <w:sz w:val="13"/>
          <w:szCs w:val="13"/>
          <w:color w:val="auto"/>
        </w:rPr>
        <w:t>Nasdaq Global Select Market</w:t>
      </w:r>
    </w:p>
    <w:p>
      <w:pPr>
        <w:spacing w:after="0" w:line="35" w:lineRule="exact"/>
        <w:rPr>
          <w:sz w:val="24"/>
          <w:szCs w:val="24"/>
          <w:color w:val="auto"/>
        </w:rPr>
      </w:pPr>
    </w:p>
    <w:p>
      <w:pPr>
        <w:sectPr>
          <w:pgSz w:w="11900" w:h="16838" w:orient="portrait"/>
          <w:cols w:equalWidth="0" w:num="3">
            <w:col w:w="4300" w:space="720"/>
            <w:col w:w="1800" w:space="720"/>
            <w:col w:w="3720"/>
          </w:cols>
          <w:pgMar w:left="320" w:top="1440" w:right="319" w:bottom="1440" w:gutter="0" w:footer="0" w:header="0"/>
          <w:type w:val="continuous"/>
        </w:sectPr>
      </w:pPr>
    </w:p>
    <w:p>
      <w:pPr>
        <w:jc w:val="center"/>
        <w:ind w:left="740"/>
        <w:spacing w:after="0"/>
        <w:rPr>
          <w:sz w:val="20"/>
          <w:szCs w:val="20"/>
          <w:color w:val="auto"/>
        </w:rPr>
      </w:pPr>
      <w:r>
        <w:rPr>
          <w:rFonts w:ascii="Times New Roman" w:cs="Times New Roman" w:eastAsia="Times New Roman" w:hAnsi="Times New Roman"/>
          <w:sz w:val="13"/>
          <w:szCs w:val="13"/>
          <w:color w:val="auto"/>
        </w:rPr>
        <w:t>Class C common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LBTYK</w:t>
      </w:r>
    </w:p>
    <w:p>
      <w:pPr>
        <w:spacing w:after="0" w:line="20" w:lineRule="exact"/>
        <w:rPr>
          <w:sz w:val="24"/>
          <w:szCs w:val="24"/>
          <w:color w:val="auto"/>
        </w:rPr>
      </w:pPr>
      <w:r>
        <w:rPr>
          <w:sz w:val="24"/>
          <w:szCs w:val="24"/>
          <w:color w:val="auto"/>
        </w:rPr>
        <w:br w:type="column"/>
      </w:r>
    </w:p>
    <w:p>
      <w:pPr>
        <w:jc w:val="center"/>
        <w:ind w:right="2080"/>
        <w:spacing w:after="0"/>
        <w:rPr>
          <w:sz w:val="20"/>
          <w:szCs w:val="20"/>
          <w:color w:val="auto"/>
        </w:rPr>
      </w:pPr>
      <w:r>
        <w:rPr>
          <w:rFonts w:ascii="Times New Roman" w:cs="Times New Roman" w:eastAsia="Times New Roman" w:hAnsi="Times New Roman"/>
          <w:sz w:val="13"/>
          <w:szCs w:val="13"/>
          <w:color w:val="auto"/>
        </w:rPr>
        <w:t>Nasdaq Global Select Market</w:t>
      </w:r>
    </w:p>
    <w:p>
      <w:pPr>
        <w:spacing w:after="0" w:line="200" w:lineRule="exact"/>
        <w:rPr>
          <w:sz w:val="24"/>
          <w:szCs w:val="24"/>
          <w:color w:val="auto"/>
        </w:rPr>
      </w:pPr>
    </w:p>
    <w:p>
      <w:pPr>
        <w:sectPr>
          <w:pgSz w:w="11900" w:h="16838" w:orient="portrait"/>
          <w:cols w:equalWidth="0" w:num="3">
            <w:col w:w="4300" w:space="720"/>
            <w:col w:w="1800" w:space="720"/>
            <w:col w:w="3720"/>
          </w:cols>
          <w:pgMar w:left="320" w:top="1440" w:right="319" w:bottom="1440" w:gutter="0" w:footer="0" w:header="0"/>
          <w:type w:val="continuous"/>
        </w:sectPr>
      </w:pPr>
    </w:p>
    <w:p>
      <w:pPr>
        <w:spacing w:after="0" w:line="44" w:lineRule="exact"/>
        <w:rPr>
          <w:sz w:val="24"/>
          <w:szCs w:val="24"/>
          <w:color w:val="auto"/>
        </w:rPr>
      </w:pPr>
    </w:p>
    <w:p>
      <w:pPr>
        <w:ind w:right="300"/>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0" w:lineRule="exact"/>
        <w:rPr>
          <w:sz w:val="24"/>
          <w:szCs w:val="24"/>
          <w:color w:val="auto"/>
        </w:rPr>
      </w:pPr>
    </w:p>
    <w:p>
      <w:pPr>
        <w:ind w:right="12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0" w:lineRule="exact"/>
        <w:rPr>
          <w:sz w:val="24"/>
          <w:szCs w:val="24"/>
          <w:color w:val="auto"/>
        </w:rPr>
      </w:pPr>
    </w:p>
    <w:p>
      <w:pPr>
        <w:ind w:right="60"/>
        <w:spacing w:after="0" w:line="27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8" w:lineRule="exact"/>
        <w:rPr>
          <w:sz w:val="24"/>
          <w:szCs w:val="24"/>
          <w:color w:val="auto"/>
        </w:rPr>
      </w:pPr>
    </w:p>
    <w:p>
      <w:pPr>
        <w:ind w:left="352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Non-Accelerated Filer </w:t>
      </w:r>
      <w:r>
        <w:rPr>
          <w:rFonts w:ascii="MS PGothic" w:cs="MS PGothic" w:eastAsia="MS PGothic" w:hAnsi="MS PGothic"/>
          <w:sz w:val="14"/>
          <w:szCs w:val="14"/>
          <w:color w:val="auto"/>
        </w:rPr>
        <w:t>☐</w:t>
      </w:r>
    </w:p>
    <w:p>
      <w:pPr>
        <w:spacing w:after="0" w:line="74" w:lineRule="exact"/>
        <w:rPr>
          <w:sz w:val="24"/>
          <w:szCs w:val="24"/>
          <w:color w:val="auto"/>
        </w:rPr>
      </w:pPr>
    </w:p>
    <w:p>
      <w:pPr>
        <w:ind w:left="3760"/>
        <w:spacing w:after="0" w:line="184" w:lineRule="exact"/>
        <w:tabs>
          <w:tab w:leader="none" w:pos="5660" w:val="left"/>
        </w:tabs>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ab/>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23" w:lineRule="exact"/>
        <w:rPr>
          <w:sz w:val="24"/>
          <w:szCs w:val="24"/>
          <w:color w:val="auto"/>
        </w:rPr>
      </w:pPr>
    </w:p>
    <w:p>
      <w:pPr>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72" w:lineRule="exact"/>
        <w:rPr>
          <w:sz w:val="24"/>
          <w:szCs w:val="24"/>
          <w:color w:val="auto"/>
        </w:rPr>
      </w:pPr>
    </w:p>
    <w:p>
      <w:pPr>
        <w:ind w:right="20"/>
        <w:spacing w:after="0" w:line="272" w:lineRule="auto"/>
        <w:rPr>
          <w:sz w:val="20"/>
          <w:szCs w:val="20"/>
          <w:color w:val="auto"/>
        </w:rPr>
      </w:pPr>
      <w:r>
        <w:rPr>
          <w:rFonts w:ascii="Times New Roman" w:cs="Times New Roman" w:eastAsia="Times New Roman" w:hAnsi="Times New Roman"/>
          <w:sz w:val="14"/>
          <w:szCs w:val="14"/>
          <w:color w:val="auto"/>
        </w:rPr>
        <w:t>The number of outstanding common shares of Liberty Global Ltd. as of October 24, 2025 was: 174,444,278 class A common shares, 12,968,658 class B common shares and 149,366,104 class C 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535305</wp:posOffset>
            </wp:positionV>
            <wp:extent cx="717740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7405" cy="40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70485</wp:posOffset>
            </wp:positionV>
            <wp:extent cx="7152005"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2005" cy="146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48260</wp:posOffset>
            </wp:positionV>
            <wp:extent cx="71520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1" w:name="page2"/>
    <w:bookmarkEnd w:id="1"/>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TABLE OF CONTENTS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84"/>
        </w:trPr>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80" w:type="dxa"/>
            <w:vAlign w:val="bottom"/>
            <w:gridSpan w:val="10"/>
            <w:vMerge w:val="restart"/>
          </w:tcPr>
          <w:p>
            <w:pPr>
              <w:jc w:val="center"/>
              <w:ind w:right="2220"/>
              <w:spacing w:after="0"/>
              <w:rPr>
                <w:sz w:val="20"/>
                <w:szCs w:val="20"/>
                <w:color w:val="auto"/>
              </w:rPr>
            </w:pPr>
            <w:r>
              <w:rPr>
                <w:rFonts w:ascii="Times New Roman" w:cs="Times New Roman" w:eastAsia="Times New Roman" w:hAnsi="Times New Roman"/>
                <w:sz w:val="15"/>
                <w:szCs w:val="15"/>
                <w:b w:val="1"/>
                <w:bCs w:val="1"/>
                <w:color w:val="auto"/>
              </w:rPr>
              <w:t>PART I — FINANCIAL INFORMATION</w:t>
            </w: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0" w:type="dxa"/>
            <w:vAlign w:val="bottom"/>
          </w:tcPr>
          <w:p>
            <w:pPr>
              <w:spacing w:after="0"/>
              <w:rPr>
                <w:sz w:val="1"/>
                <w:szCs w:val="1"/>
                <w:color w:val="auto"/>
              </w:rPr>
            </w:pPr>
          </w:p>
        </w:tc>
      </w:tr>
      <w:tr>
        <w:trPr>
          <w:trHeight w:val="175"/>
        </w:trPr>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80" w:type="dxa"/>
            <w:vAlign w:val="bottom"/>
            <w:gridSpan w:val="10"/>
            <w:vMerge w:val="continue"/>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auto"/>
              </w:rPr>
              <w:t>ITEM 1.</w:t>
            </w:r>
          </w:p>
        </w:tc>
        <w:tc>
          <w:tcPr>
            <w:tcW w:w="9300" w:type="dxa"/>
            <w:vAlign w:val="bottom"/>
            <w:gridSpan w:val="15"/>
          </w:tcPr>
          <w:p>
            <w:pPr>
              <w:spacing w:after="0"/>
              <w:rPr>
                <w:sz w:val="20"/>
                <w:szCs w:val="20"/>
                <w:color w:val="auto"/>
              </w:rPr>
            </w:pPr>
            <w:r>
              <w:rPr>
                <w:rFonts w:ascii="Times New Roman" w:cs="Times New Roman" w:eastAsia="Times New Roman" w:hAnsi="Times New Roman"/>
                <w:sz w:val="15"/>
                <w:szCs w:val="15"/>
                <w:color w:val="auto"/>
              </w:rPr>
              <w:t>FINANCIAL STATEMENTS</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080" w:type="dxa"/>
            <w:vAlign w:val="bottom"/>
          </w:tcPr>
          <w:p>
            <w:pPr>
              <w:spacing w:after="0"/>
              <w:rPr>
                <w:sz w:val="14"/>
                <w:szCs w:val="14"/>
                <w:color w:val="auto"/>
              </w:rPr>
            </w:pPr>
          </w:p>
        </w:tc>
        <w:tc>
          <w:tcPr>
            <w:tcW w:w="9300" w:type="dxa"/>
            <w:vAlign w:val="bottom"/>
            <w:gridSpan w:val="15"/>
          </w:tcPr>
          <w:p>
            <w:pPr>
              <w:spacing w:after="0" w:line="165" w:lineRule="exact"/>
              <w:rPr>
                <w:sz w:val="20"/>
                <w:szCs w:val="20"/>
                <w:color w:val="auto"/>
              </w:rPr>
            </w:pPr>
            <w:r>
              <w:rPr>
                <w:rFonts w:ascii="Times New Roman" w:cs="Times New Roman" w:eastAsia="Times New Roman" w:hAnsi="Times New Roman"/>
                <w:sz w:val="15"/>
                <w:szCs w:val="15"/>
                <w:color w:val="0000FF"/>
              </w:rPr>
              <w:t>Condensed Consolidated Balance Sheets as of September 30, 2025 and December 31, 2024 (unaudited)</w:t>
            </w:r>
          </w:p>
        </w:tc>
        <w:tc>
          <w:tcPr>
            <w:tcW w:w="480" w:type="dxa"/>
            <w:vAlign w:val="bottom"/>
            <w:gridSpan w:val="2"/>
          </w:tcPr>
          <w:p>
            <w:pPr>
              <w:jc w:val="center"/>
              <w:ind w:left="325"/>
              <w:spacing w:after="0" w:line="165" w:lineRule="exact"/>
              <w:rPr>
                <w:sz w:val="20"/>
                <w:szCs w:val="20"/>
                <w:color w:val="auto"/>
              </w:rPr>
            </w:pPr>
            <w:r>
              <w:rPr>
                <w:rFonts w:ascii="Times New Roman" w:cs="Times New Roman" w:eastAsia="Times New Roman" w:hAnsi="Times New Roman"/>
                <w:sz w:val="15"/>
                <w:szCs w:val="15"/>
                <w:color w:val="0000FF"/>
              </w:rPr>
              <w:t>1</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080" w:type="dxa"/>
            <w:vAlign w:val="bottom"/>
          </w:tcPr>
          <w:p>
            <w:pPr>
              <w:spacing w:after="0"/>
              <w:rPr>
                <w:sz w:val="15"/>
                <w:szCs w:val="15"/>
                <w:color w:val="auto"/>
              </w:rPr>
            </w:pPr>
          </w:p>
        </w:tc>
        <w:tc>
          <w:tcPr>
            <w:tcW w:w="8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5"/>
                <w:szCs w:val="15"/>
                <w:color w:val="0000FF"/>
              </w:rPr>
              <w:t>Condensed Consolidated Statements of Operations for the Three and Nine Months Ended September 30, 2025 and 2024 (unaudited)</w:t>
            </w:r>
          </w:p>
        </w:tc>
        <w:tc>
          <w:tcPr>
            <w:tcW w:w="114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5"/>
                <w:szCs w:val="15"/>
                <w:color w:val="0000FF"/>
              </w:rPr>
              <w:t>3</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80" w:type="dxa"/>
            <w:vAlign w:val="bottom"/>
          </w:tcPr>
          <w:p>
            <w:pPr>
              <w:spacing w:after="0"/>
              <w:rPr>
                <w:sz w:val="15"/>
                <w:szCs w:val="15"/>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5"/>
                <w:szCs w:val="15"/>
                <w:color w:val="0000FF"/>
              </w:rPr>
              <w:t>Condensed Consolidated Statements of Comprehensive Earnings (Loss) for the Three and Nine Months Ended September 30, 2025 and 2024</w:t>
            </w:r>
          </w:p>
        </w:tc>
        <w:tc>
          <w:tcPr>
            <w:tcW w:w="480" w:type="dxa"/>
            <w:vAlign w:val="bottom"/>
            <w:gridSpan w:val="2"/>
            <w:vMerge w:val="restart"/>
          </w:tcPr>
          <w:p>
            <w:pPr>
              <w:jc w:val="center"/>
              <w:ind w:left="325"/>
              <w:spacing w:after="0"/>
              <w:rPr>
                <w:sz w:val="20"/>
                <w:szCs w:val="20"/>
                <w:color w:val="auto"/>
              </w:rPr>
            </w:pPr>
            <w:r>
              <w:rPr>
                <w:rFonts w:ascii="Times New Roman" w:cs="Times New Roman" w:eastAsia="Times New Roman" w:hAnsi="Times New Roman"/>
                <w:sz w:val="15"/>
                <w:szCs w:val="15"/>
                <w:color w:val="0000FF"/>
              </w:rPr>
              <w:t>4</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080" w:type="dxa"/>
            <w:vAlign w:val="bottom"/>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8580" w:type="dxa"/>
            <w:vAlign w:val="bottom"/>
            <w:tcBorders>
              <w:top w:val="single" w:sz="8" w:color="0000FF"/>
            </w:tcBorders>
            <w:gridSpan w:val="13"/>
          </w:tcPr>
          <w:p>
            <w:pPr>
              <w:spacing w:after="0" w:line="119" w:lineRule="exact"/>
              <w:rPr>
                <w:sz w:val="20"/>
                <w:szCs w:val="20"/>
                <w:color w:val="auto"/>
              </w:rPr>
            </w:pPr>
            <w:r>
              <w:rPr>
                <w:rFonts w:ascii="Times New Roman" w:cs="Times New Roman" w:eastAsia="Times New Roman" w:hAnsi="Times New Roman"/>
                <w:sz w:val="13"/>
                <w:szCs w:val="13"/>
                <w:color w:val="0000FF"/>
              </w:rPr>
              <w:t>(unaudited)</w:t>
            </w:r>
          </w:p>
        </w:tc>
        <w:tc>
          <w:tcPr>
            <w:tcW w:w="5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900" w:type="dxa"/>
            <w:vAlign w:val="bottom"/>
            <w:gridSpan w:val="2"/>
            <w:shd w:val="clear" w:color="auto" w:fill="0000FF"/>
          </w:tcPr>
          <w:p>
            <w:pPr>
              <w:spacing w:after="0"/>
              <w:rPr>
                <w:sz w:val="2"/>
                <w:szCs w:val="2"/>
                <w:color w:val="auto"/>
              </w:rPr>
            </w:pPr>
          </w:p>
        </w:tc>
        <w:tc>
          <w:tcPr>
            <w:tcW w:w="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080" w:type="dxa"/>
            <w:vAlign w:val="bottom"/>
          </w:tcPr>
          <w:p>
            <w:pPr>
              <w:spacing w:after="0"/>
              <w:rPr>
                <w:sz w:val="16"/>
                <w:szCs w:val="16"/>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5"/>
                <w:szCs w:val="15"/>
                <w:color w:val="0000FF"/>
              </w:rPr>
              <w:t>Condensed Consolidated Statements of Equity for the Three and Nine Months Ended September 30, 2025 and 2024 (unaudited)</w:t>
            </w:r>
          </w:p>
        </w:tc>
        <w:tc>
          <w:tcPr>
            <w:tcW w:w="480" w:type="dxa"/>
            <w:vAlign w:val="bottom"/>
            <w:gridSpan w:val="2"/>
          </w:tcPr>
          <w:p>
            <w:pPr>
              <w:jc w:val="center"/>
              <w:ind w:left="325"/>
              <w:spacing w:after="0"/>
              <w:rPr>
                <w:sz w:val="20"/>
                <w:szCs w:val="20"/>
                <w:color w:val="auto"/>
              </w:rPr>
            </w:pPr>
            <w:r>
              <w:rPr>
                <w:rFonts w:ascii="Times New Roman" w:cs="Times New Roman" w:eastAsia="Times New Roman" w:hAnsi="Times New Roman"/>
                <w:sz w:val="15"/>
                <w:szCs w:val="15"/>
                <w:color w:val="0000FF"/>
              </w:rPr>
              <w:t>5</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080" w:type="dxa"/>
            <w:vAlign w:val="bottom"/>
          </w:tcPr>
          <w:p>
            <w:pPr>
              <w:spacing w:after="0"/>
              <w:rPr>
                <w:sz w:val="15"/>
                <w:szCs w:val="15"/>
                <w:color w:val="auto"/>
              </w:rPr>
            </w:pPr>
          </w:p>
        </w:tc>
        <w:tc>
          <w:tcPr>
            <w:tcW w:w="754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5"/>
                <w:szCs w:val="15"/>
                <w:color w:val="0000FF"/>
              </w:rPr>
              <w:t>Condensed Consolidated Statements of Cash Flows for the Nine Months Ended September 30, 2025 and 2024 (unaudited)</w:t>
            </w:r>
          </w:p>
        </w:tc>
        <w:tc>
          <w:tcPr>
            <w:tcW w:w="340" w:type="dxa"/>
            <w:vAlign w:val="bottom"/>
            <w:tcBorders>
              <w:top w:val="single" w:sz="8" w:color="0000FF"/>
            </w:tcBorders>
            <w:gridSpan w:val="2"/>
          </w:tcPr>
          <w:p>
            <w:pPr>
              <w:spacing w:after="0"/>
              <w:rPr>
                <w:sz w:val="15"/>
                <w:szCs w:val="15"/>
                <w:color w:val="auto"/>
              </w:rPr>
            </w:pPr>
          </w:p>
        </w:tc>
        <w:tc>
          <w:tcPr>
            <w:tcW w:w="1420" w:type="dxa"/>
            <w:vAlign w:val="bottom"/>
            <w:gridSpan w:val="3"/>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5"/>
                <w:szCs w:val="15"/>
                <w:color w:val="0000FF"/>
              </w:rPr>
              <w:t>7</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80" w:type="dxa"/>
            <w:vAlign w:val="bottom"/>
          </w:tcPr>
          <w:p>
            <w:pPr>
              <w:spacing w:after="0"/>
              <w:rPr>
                <w:sz w:val="15"/>
                <w:szCs w:val="15"/>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5"/>
                <w:szCs w:val="15"/>
                <w:color w:val="0000FF"/>
              </w:rPr>
              <w:t>Notes to Condensed Consolidated Financial Statements (unaudited)</w:t>
            </w: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0000FF"/>
              </w:rPr>
              <w:t>10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auto"/>
              </w:rPr>
              <w:t>ITEM 2.</w:t>
            </w:r>
          </w:p>
        </w:tc>
        <w:tc>
          <w:tcPr>
            <w:tcW w:w="76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5"/>
                <w:szCs w:val="15"/>
                <w:color w:val="0000FF"/>
              </w:rPr>
              <w:t>MANAGEMENT’S DISCUSSION AND ANALYSIS OF FINANCIAL CONDITION AND RESULTS OF OPERATIONS</w:t>
            </w:r>
          </w:p>
        </w:tc>
        <w:tc>
          <w:tcPr>
            <w:tcW w:w="1660" w:type="dxa"/>
            <w:vAlign w:val="bottom"/>
            <w:gridSpan w:val="4"/>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5"/>
                <w:szCs w:val="15"/>
                <w:color w:val="0000FF"/>
                <w:w w:val="79"/>
              </w:rPr>
              <w:t>53</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auto"/>
              </w:rPr>
              <w:t>ITEM 3.</w:t>
            </w:r>
          </w:p>
        </w:tc>
        <w:tc>
          <w:tcPr>
            <w:tcW w:w="52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5"/>
                <w:szCs w:val="15"/>
                <w:color w:val="0000FF"/>
              </w:rPr>
              <w:t>QUANTITATIVE AND QUALITATIVE DISCLOSURES ABOUT MARKET RISK</w:t>
            </w:r>
          </w:p>
        </w:tc>
        <w:tc>
          <w:tcPr>
            <w:tcW w:w="4040" w:type="dxa"/>
            <w:vAlign w:val="bottom"/>
            <w:gridSpan w:val="7"/>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5"/>
                <w:szCs w:val="15"/>
                <w:color w:val="0000FF"/>
                <w:w w:val="79"/>
              </w:rPr>
              <w:t>83</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auto"/>
              </w:rPr>
              <w:t>ITEM 4.</w:t>
            </w:r>
          </w:p>
        </w:tc>
        <w:tc>
          <w:tcPr>
            <w:tcW w:w="9300" w:type="dxa"/>
            <w:vAlign w:val="bottom"/>
            <w:gridSpan w:val="15"/>
          </w:tcPr>
          <w:p>
            <w:pPr>
              <w:spacing w:after="0"/>
              <w:rPr>
                <w:sz w:val="20"/>
                <w:szCs w:val="20"/>
                <w:color w:val="auto"/>
              </w:rPr>
            </w:pPr>
            <w:r>
              <w:rPr>
                <w:rFonts w:ascii="Times New Roman" w:cs="Times New Roman" w:eastAsia="Times New Roman" w:hAnsi="Times New Roman"/>
                <w:sz w:val="15"/>
                <w:szCs w:val="15"/>
                <w:color w:val="0000FF"/>
              </w:rPr>
              <w:t>CONTROLS AND PROCEDURES</w:t>
            </w: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0000FF"/>
              </w:rPr>
              <w:t>85</w:t>
            </w:r>
          </w:p>
        </w:tc>
        <w:tc>
          <w:tcPr>
            <w:tcW w:w="0" w:type="dxa"/>
            <w:vAlign w:val="bottom"/>
          </w:tcPr>
          <w:p>
            <w:pPr>
              <w:spacing w:after="0"/>
              <w:rPr>
                <w:sz w:val="1"/>
                <w:szCs w:val="1"/>
                <w:color w:val="auto"/>
              </w:rPr>
            </w:pPr>
          </w:p>
        </w:tc>
      </w:tr>
      <w:tr>
        <w:trPr>
          <w:trHeight w:val="209"/>
        </w:trPr>
        <w:tc>
          <w:tcPr>
            <w:tcW w:w="1080" w:type="dxa"/>
            <w:vAlign w:val="bottom"/>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7080" w:type="dxa"/>
            <w:vAlign w:val="bottom"/>
            <w:gridSpan w:val="10"/>
          </w:tcPr>
          <w:p>
            <w:pPr>
              <w:jc w:val="center"/>
              <w:ind w:right="2240"/>
              <w:spacing w:after="0"/>
              <w:rPr>
                <w:sz w:val="20"/>
                <w:szCs w:val="20"/>
                <w:color w:val="auto"/>
              </w:rPr>
            </w:pPr>
            <w:r>
              <w:rPr>
                <w:rFonts w:ascii="Times New Roman" w:cs="Times New Roman" w:eastAsia="Times New Roman" w:hAnsi="Times New Roman"/>
                <w:sz w:val="15"/>
                <w:szCs w:val="15"/>
                <w:b w:val="1"/>
                <w:bCs w:val="1"/>
                <w:color w:val="auto"/>
              </w:rPr>
              <w:t>PART II — OTHER INFORMATION</w:t>
            </w:r>
          </w:p>
        </w:tc>
        <w:tc>
          <w:tcPr>
            <w:tcW w:w="4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08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ITEM 1.</w:t>
            </w:r>
          </w:p>
        </w:tc>
        <w:tc>
          <w:tcPr>
            <w:tcW w:w="1600" w:type="dxa"/>
            <w:vAlign w:val="bottom"/>
            <w:tcBorders>
              <w:bottom w:val="single" w:sz="8" w:color="0000FF"/>
            </w:tcBorders>
            <w:gridSpan w:val="4"/>
          </w:tcPr>
          <w:p>
            <w:pPr>
              <w:spacing w:after="0" w:line="165" w:lineRule="exact"/>
              <w:rPr>
                <w:sz w:val="20"/>
                <w:szCs w:val="20"/>
                <w:color w:val="auto"/>
              </w:rPr>
            </w:pPr>
            <w:r>
              <w:rPr>
                <w:rFonts w:ascii="Times New Roman" w:cs="Times New Roman" w:eastAsia="Times New Roman" w:hAnsi="Times New Roman"/>
                <w:sz w:val="15"/>
                <w:szCs w:val="15"/>
                <w:color w:val="0000FF"/>
              </w:rPr>
              <w:t>LEGAL PROCEEDINGS</w:t>
            </w:r>
          </w:p>
        </w:tc>
        <w:tc>
          <w:tcPr>
            <w:tcW w:w="7700" w:type="dxa"/>
            <w:vAlign w:val="bottom"/>
            <w:gridSpan w:val="11"/>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0000FF"/>
            </w:tcBorders>
          </w:tcPr>
          <w:p>
            <w:pPr>
              <w:jc w:val="center"/>
              <w:spacing w:after="0" w:line="165" w:lineRule="exact"/>
              <w:rPr>
                <w:sz w:val="20"/>
                <w:szCs w:val="20"/>
                <w:color w:val="auto"/>
              </w:rPr>
            </w:pPr>
            <w:r>
              <w:rPr>
                <w:rFonts w:ascii="Times New Roman" w:cs="Times New Roman" w:eastAsia="Times New Roman" w:hAnsi="Times New Roman"/>
                <w:sz w:val="15"/>
                <w:szCs w:val="15"/>
                <w:color w:val="0000FF"/>
                <w:w w:val="79"/>
              </w:rPr>
              <w:t>87</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auto"/>
              </w:rPr>
              <w:t>ITEM 2.</w:t>
            </w:r>
          </w:p>
        </w:tc>
        <w:tc>
          <w:tcPr>
            <w:tcW w:w="52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5"/>
                <w:szCs w:val="15"/>
                <w:color w:val="0000FF"/>
              </w:rPr>
              <w:t>UNREGISTERED SALES OF EQUITY SECURITIES AND USE OF PROCEEDS</w:t>
            </w:r>
          </w:p>
        </w:tc>
        <w:tc>
          <w:tcPr>
            <w:tcW w:w="4100" w:type="dxa"/>
            <w:vAlign w:val="bottom"/>
            <w:gridSpan w:val="8"/>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5"/>
                <w:szCs w:val="15"/>
                <w:color w:val="0000FF"/>
                <w:w w:val="79"/>
              </w:rPr>
              <w:t>87</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auto"/>
              </w:rPr>
              <w:t>ITEM 5.</w:t>
            </w:r>
          </w:p>
        </w:tc>
        <w:tc>
          <w:tcPr>
            <w:tcW w:w="9300" w:type="dxa"/>
            <w:vAlign w:val="bottom"/>
            <w:gridSpan w:val="15"/>
          </w:tcPr>
          <w:p>
            <w:pPr>
              <w:spacing w:after="0"/>
              <w:rPr>
                <w:sz w:val="20"/>
                <w:szCs w:val="20"/>
                <w:color w:val="auto"/>
              </w:rPr>
            </w:pPr>
            <w:r>
              <w:rPr>
                <w:rFonts w:ascii="Times New Roman" w:cs="Times New Roman" w:eastAsia="Times New Roman" w:hAnsi="Times New Roman"/>
                <w:sz w:val="15"/>
                <w:szCs w:val="15"/>
                <w:color w:val="0000FF"/>
              </w:rPr>
              <w:t>OTHER INFORMATION</w:t>
            </w: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0000FF"/>
              </w:rPr>
              <w:t>87</w:t>
            </w:r>
          </w:p>
        </w:tc>
        <w:tc>
          <w:tcPr>
            <w:tcW w:w="0" w:type="dxa"/>
            <w:vAlign w:val="bottom"/>
          </w:tcPr>
          <w:p>
            <w:pPr>
              <w:spacing w:after="0"/>
              <w:rPr>
                <w:sz w:val="1"/>
                <w:szCs w:val="1"/>
                <w:color w:val="auto"/>
              </w:rPr>
            </w:pPr>
          </w:p>
        </w:tc>
      </w:tr>
      <w:tr>
        <w:trPr>
          <w:trHeight w:val="177"/>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auto"/>
              </w:rPr>
              <w:t>ITEM 6.</w:t>
            </w:r>
          </w:p>
        </w:tc>
        <w:tc>
          <w:tcPr>
            <w:tcW w:w="16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5"/>
                <w:szCs w:val="15"/>
                <w:color w:val="0000FF"/>
              </w:rPr>
              <w:t>EXHIBITS</w:t>
            </w:r>
          </w:p>
        </w:tc>
        <w:tc>
          <w:tcPr>
            <w:tcW w:w="7700" w:type="dxa"/>
            <w:vAlign w:val="bottom"/>
            <w:gridSpan w:val="11"/>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5"/>
                <w:szCs w:val="15"/>
                <w:color w:val="0000FF"/>
                <w:w w:val="79"/>
              </w:rPr>
              <w:t>88</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8"/>
        </w:trPr>
        <w:tc>
          <w:tcPr>
            <w:tcW w:w="108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2" w:name="page3"/>
    <w:bookmarkEnd w:id="2"/>
    <w:p>
      <w:pPr>
        <w:spacing w:after="0" w:line="34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5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110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84"/>
        </w:trPr>
        <w:tc>
          <w:tcPr>
            <w:tcW w:w="8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5"/>
        </w:trPr>
        <w:tc>
          <w:tcPr>
            <w:tcW w:w="8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5"/>
                <w:szCs w:val="15"/>
                <w:color w:val="auto"/>
              </w:rPr>
            </w:pPr>
          </w:p>
        </w:tc>
      </w:tr>
      <w:tr>
        <w:trPr>
          <w:trHeight w:val="186"/>
        </w:trPr>
        <w:tc>
          <w:tcPr>
            <w:tcW w:w="8440" w:type="dxa"/>
            <w:vAlign w:val="bottom"/>
          </w:tcPr>
          <w:p>
            <w:pPr>
              <w:ind w:left="39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7"/>
        </w:trPr>
        <w:tc>
          <w:tcPr>
            <w:tcW w:w="8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1,674.2</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1,816.3</w:t>
            </w:r>
          </w:p>
        </w:tc>
      </w:tr>
      <w:tr>
        <w:trPr>
          <w:trHeight w:val="197"/>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Trade receivables, net (note 3)</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518.3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449.8</w:t>
            </w:r>
          </w:p>
        </w:tc>
      </w:tr>
      <w:tr>
        <w:trPr>
          <w:trHeight w:val="197"/>
        </w:trPr>
        <w:tc>
          <w:tcPr>
            <w:tcW w:w="8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Short-term investments (measured at fair value on a recurring basis) (note 5)</w:t>
            </w:r>
          </w:p>
        </w:tc>
        <w:tc>
          <w:tcPr>
            <w:tcW w:w="1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335.6</w:t>
            </w:r>
          </w:p>
        </w:tc>
      </w:tr>
      <w:tr>
        <w:trPr>
          <w:trHeight w:val="197"/>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Derivative instruments (note 6)</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287.0</w:t>
            </w:r>
          </w:p>
        </w:tc>
      </w:tr>
      <w:tr>
        <w:trPr>
          <w:trHeight w:val="197"/>
        </w:trPr>
        <w:tc>
          <w:tcPr>
            <w:tcW w:w="8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Other current assets (notes 3 and 5)</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434.2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411.6</w:t>
            </w:r>
          </w:p>
        </w:tc>
      </w:tr>
      <w:tr>
        <w:trPr>
          <w:trHeight w:val="188"/>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current assets</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2,778.2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3,300.3</w:t>
            </w:r>
          </w:p>
        </w:tc>
      </w:tr>
      <w:tr>
        <w:trPr>
          <w:trHeight w:val="150"/>
        </w:trPr>
        <w:tc>
          <w:tcPr>
            <w:tcW w:w="8440" w:type="dxa"/>
            <w:vAlign w:val="bottom"/>
          </w:tcPr>
          <w:p>
            <w:pPr>
              <w:spacing w:after="0" w:line="151" w:lineRule="exact"/>
              <w:rPr>
                <w:sz w:val="20"/>
                <w:szCs w:val="20"/>
                <w:color w:val="auto"/>
              </w:rPr>
            </w:pPr>
            <w:r>
              <w:rPr>
                <w:rFonts w:ascii="Times New Roman" w:cs="Times New Roman" w:eastAsia="Times New Roman" w:hAnsi="Times New Roman"/>
                <w:sz w:val="15"/>
                <w:szCs w:val="15"/>
                <w:color w:val="auto"/>
              </w:rPr>
              <w:t>Investments and related notes receivable (including $1,910.2 million and $2,907.7 million, respectively, measured at fair value on a</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8"/>
        </w:trPr>
        <w:tc>
          <w:tcPr>
            <w:tcW w:w="8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recurring basis) (note 5)</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11,045.4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11,688.0</w:t>
            </w:r>
          </w:p>
        </w:tc>
      </w:tr>
      <w:tr>
        <w:trPr>
          <w:trHeight w:val="197"/>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and equipment, net (notes 8 and 10)</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5,165.3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4,326.0</w:t>
            </w:r>
          </w:p>
        </w:tc>
      </w:tr>
      <w:tr>
        <w:trPr>
          <w:trHeight w:val="197"/>
        </w:trPr>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Goodwill (note 8)</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3,615.1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3,152.6</w:t>
            </w:r>
          </w:p>
        </w:tc>
      </w:tr>
      <w:tr>
        <w:trPr>
          <w:trHeight w:val="197"/>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Intangible assets subject to amortization, net (note 8)</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1,402.0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1,290.4</w:t>
            </w:r>
          </w:p>
        </w:tc>
      </w:tr>
      <w:tr>
        <w:trPr>
          <w:trHeight w:val="197"/>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 assets, net (notes 3, 6 and 10)</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1,388.7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1,682.4</w:t>
            </w:r>
          </w:p>
        </w:tc>
      </w:tr>
      <w:tr>
        <w:trPr>
          <w:trHeight w:val="213"/>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assets</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25,394.7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25,439.7</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condensed consolidated financial statements.</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 w:name="page4"/>
    <w:bookmarkEnd w:id="3"/>
    <w:p>
      <w:pPr>
        <w:spacing w:after="0" w:line="34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5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SHEETS — (Continued)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110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84"/>
        </w:trPr>
        <w:tc>
          <w:tcPr>
            <w:tcW w:w="8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5"/>
        </w:trPr>
        <w:tc>
          <w:tcPr>
            <w:tcW w:w="8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5"/>
                <w:szCs w:val="15"/>
                <w:color w:val="auto"/>
              </w:rPr>
            </w:pPr>
          </w:p>
        </w:tc>
      </w:tr>
      <w:tr>
        <w:trPr>
          <w:trHeight w:val="186"/>
        </w:trPr>
        <w:tc>
          <w:tcPr>
            <w:tcW w:w="8440" w:type="dxa"/>
            <w:vAlign w:val="bottom"/>
          </w:tcPr>
          <w:p>
            <w:pPr>
              <w:ind w:left="334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7"/>
        </w:trPr>
        <w:tc>
          <w:tcPr>
            <w:tcW w:w="8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Accounts payable</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404.2</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371.2</w:t>
            </w:r>
          </w:p>
        </w:tc>
      </w:tr>
      <w:tr>
        <w:trPr>
          <w:trHeight w:val="197"/>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Deferred revenue (note 3)</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285.3</w:t>
            </w:r>
          </w:p>
        </w:tc>
      </w:tr>
      <w:tr>
        <w:trPr>
          <w:trHeight w:val="197"/>
        </w:trPr>
        <w:tc>
          <w:tcPr>
            <w:tcW w:w="8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Current portion of debt and finance lease obligations (notes 9 and 10)</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678.5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898.5</w:t>
            </w:r>
          </w:p>
        </w:tc>
      </w:tr>
      <w:tr>
        <w:trPr>
          <w:trHeight w:val="197"/>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Accrued capital expenditures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226.5</w:t>
            </w:r>
          </w:p>
        </w:tc>
      </w:tr>
      <w:tr>
        <w:trPr>
          <w:trHeight w:val="197"/>
        </w:trPr>
        <w:tc>
          <w:tcPr>
            <w:tcW w:w="8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Accrued income taxes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272.5</w:t>
            </w:r>
          </w:p>
        </w:tc>
      </w:tr>
      <w:tr>
        <w:trPr>
          <w:trHeight w:val="197"/>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accrued and current liabilities (notes 6 and 10)</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1,133.3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1,079.9</w:t>
            </w:r>
          </w:p>
        </w:tc>
      </w:tr>
      <w:tr>
        <w:trPr>
          <w:trHeight w:val="188"/>
        </w:trPr>
        <w:tc>
          <w:tcPr>
            <w:tcW w:w="84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2,907.0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3,133.9</w:t>
            </w:r>
          </w:p>
        </w:tc>
      </w:tr>
      <w:tr>
        <w:trPr>
          <w:trHeight w:val="197"/>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Long-term debt and finance lease obligations (notes 9 and 10)</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7,817.0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8,202.5</w:t>
            </w:r>
          </w:p>
        </w:tc>
      </w:tr>
      <w:tr>
        <w:trPr>
          <w:trHeight w:val="197"/>
        </w:trPr>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Long-term operating lease liabilities (note 10)</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733.4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677.5</w:t>
            </w:r>
          </w:p>
        </w:tc>
      </w:tr>
      <w:tr>
        <w:trPr>
          <w:trHeight w:val="197"/>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long-term liabilities (notes 3 and 6)</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975.3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881.5</w:t>
            </w:r>
          </w:p>
        </w:tc>
      </w:tr>
      <w:tr>
        <w:trPr>
          <w:trHeight w:val="188"/>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5"/>
                <w:szCs w:val="15"/>
                <w:color w:val="auto"/>
              </w:rPr>
              <w:t>Total liabilities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12,432.7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12,895.4</w:t>
            </w:r>
          </w:p>
        </w:tc>
      </w:tr>
      <w:tr>
        <w:trPr>
          <w:trHeight w:val="165"/>
        </w:trPr>
        <w:tc>
          <w:tcPr>
            <w:tcW w:w="8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7"/>
        </w:trPr>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Commitments and contingencies (notes 6, 9, 10, 11 and 15)</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5"/>
        </w:trPr>
        <w:tc>
          <w:tcPr>
            <w:tcW w:w="8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7"/>
        </w:trPr>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Equity (note 12):</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7"/>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Liberty Global shareholders: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7"/>
        </w:trPr>
        <w:tc>
          <w:tcPr>
            <w:tcW w:w="84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Class A common shares, $0.01 nominal value. Issued and outstanding 174,442,630 and 173,046,371 shares, respectively</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97"/>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Class B common shares, $0.01 nominal value. Issued and outstanding 12,968,658 and 12,968,658 shares, respectively</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197"/>
        </w:trPr>
        <w:tc>
          <w:tcPr>
            <w:tcW w:w="84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Class C common shares, $0.01 nominal value. Issued and outstanding 150,256,862 and 162,710,787 shares, respectively</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97"/>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719.8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777.0</w:t>
            </w:r>
          </w:p>
        </w:tc>
      </w:tr>
      <w:tr>
        <w:trPr>
          <w:trHeight w:val="197"/>
        </w:trPr>
        <w:tc>
          <w:tcPr>
            <w:tcW w:w="84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Accumulated earnings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8,021.7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12,242.6</w:t>
            </w:r>
          </w:p>
        </w:tc>
      </w:tr>
      <w:tr>
        <w:trPr>
          <w:trHeight w:val="197"/>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Accumulated other comprehensive earnings (loss), net of taxes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3,999.0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(657.0)</w:t>
            </w:r>
          </w:p>
        </w:tc>
      </w:tr>
      <w:tr>
        <w:trPr>
          <w:trHeight w:val="197"/>
        </w:trPr>
        <w:tc>
          <w:tcPr>
            <w:tcW w:w="8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Treasury shares, at cost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188"/>
        </w:trPr>
        <w:tc>
          <w:tcPr>
            <w:tcW w:w="8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Liberty Global shareholders</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12,743.7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12,365.9</w:t>
            </w:r>
          </w:p>
        </w:tc>
      </w:tr>
      <w:tr>
        <w:trPr>
          <w:trHeight w:val="197"/>
        </w:trPr>
        <w:tc>
          <w:tcPr>
            <w:tcW w:w="8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Noncontrolling interests</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218.3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178.4</w:t>
            </w:r>
          </w:p>
        </w:tc>
      </w:tr>
      <w:tr>
        <w:trPr>
          <w:trHeight w:val="188"/>
        </w:trPr>
        <w:tc>
          <w:tcPr>
            <w:tcW w:w="8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Total equity</w:t>
            </w: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12,962.0</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12,544.3</w:t>
            </w:r>
          </w:p>
        </w:tc>
      </w:tr>
      <w:tr>
        <w:trPr>
          <w:trHeight w:val="188"/>
        </w:trPr>
        <w:tc>
          <w:tcPr>
            <w:tcW w:w="84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Total liabilities and equity</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25,394.7</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25,439.7</w:t>
            </w:r>
          </w:p>
        </w:tc>
      </w:tr>
      <w:tr>
        <w:trPr>
          <w:trHeight w:val="20"/>
        </w:trPr>
        <w:tc>
          <w:tcPr>
            <w:tcW w:w="8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condensed consolidated financial statements.</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4" w:name="page5"/>
    <w:bookmarkEnd w:id="4"/>
    <w:p>
      <w:pPr>
        <w:spacing w:after="0" w:line="34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5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060" w:type="dxa"/>
            <w:vAlign w:val="bottom"/>
            <w:gridSpan w:val="4"/>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4"/>
        </w:trPr>
        <w:tc>
          <w:tcPr>
            <w:tcW w:w="6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177"/>
        </w:trPr>
        <w:tc>
          <w:tcPr>
            <w:tcW w:w="64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76"/>
        </w:trPr>
        <w:tc>
          <w:tcPr>
            <w:tcW w:w="6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40"/>
        </w:trPr>
        <w:tc>
          <w:tcPr>
            <w:tcW w:w="6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97"/>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 (notes 3, 4, 5 and 16)</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1,207.1</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1,069.5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3,647.4</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3,218.7</w:t>
            </w:r>
          </w:p>
        </w:tc>
      </w:tr>
      <w:tr>
        <w:trPr>
          <w:trHeight w:val="177"/>
        </w:trPr>
        <w:tc>
          <w:tcPr>
            <w:tcW w:w="6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costs and expenses (exclusive of depreciation and amortization, shown separately below):</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7"/>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Programming and other direct costs of services (note 10)</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392.9</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1,261.6</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1,051.3</w:t>
            </w:r>
          </w:p>
        </w:tc>
      </w:tr>
      <w:tr>
        <w:trPr>
          <w:trHeight w:val="197"/>
        </w:trPr>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Other operating (notes 10 and 13)</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624.9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566.3</w:t>
            </w:r>
          </w:p>
        </w:tc>
      </w:tr>
      <w:tr>
        <w:trPr>
          <w:trHeight w:val="197"/>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Selling, general and administrative (</w:t>
            </w:r>
            <w:r>
              <w:rPr>
                <w:rFonts w:ascii="Times New Roman" w:cs="Times New Roman" w:eastAsia="Times New Roman" w:hAnsi="Times New Roman"/>
                <w:sz w:val="15"/>
                <w:szCs w:val="15"/>
                <w:b w:val="1"/>
                <w:bCs w:val="1"/>
                <w:color w:val="auto"/>
              </w:rPr>
              <w:t>SG&amp;A</w:t>
            </w:r>
            <w:r>
              <w:rPr>
                <w:rFonts w:ascii="Times New Roman" w:cs="Times New Roman" w:eastAsia="Times New Roman" w:hAnsi="Times New Roman"/>
                <w:sz w:val="15"/>
                <w:szCs w:val="15"/>
                <w:color w:val="auto"/>
              </w:rPr>
              <w:t>) (notes 10 and 13)</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308.0</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893.9</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818.5</w:t>
            </w:r>
          </w:p>
        </w:tc>
      </w:tr>
      <w:tr>
        <w:trPr>
          <w:trHeight w:val="197"/>
        </w:trPr>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758.9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750.4</w:t>
            </w:r>
          </w:p>
        </w:tc>
      </w:tr>
      <w:tr>
        <w:trPr>
          <w:trHeight w:val="197"/>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Impairment, restructuring and other operating items, net (note 10)</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44.1</w:t>
            </w:r>
          </w:p>
        </w:tc>
      </w:tr>
      <w:tr>
        <w:trPr>
          <w:trHeight w:val="188"/>
        </w:trPr>
        <w:tc>
          <w:tcPr>
            <w:tcW w:w="64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1,215.1</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1,036.1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3,565.1</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3,230.6</w:t>
            </w:r>
          </w:p>
        </w:tc>
      </w:tr>
      <w:tr>
        <w:trPr>
          <w:trHeight w:val="188"/>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Operating income (loss)</w:t>
            </w: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33.4</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82.3</w:t>
            </w:r>
          </w:p>
        </w:tc>
        <w:tc>
          <w:tcPr>
            <w:tcW w:w="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r>
      <w:tr>
        <w:trPr>
          <w:trHeight w:val="177"/>
        </w:trPr>
        <w:tc>
          <w:tcPr>
            <w:tcW w:w="6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Non-operating income (expense):</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7"/>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Interest expense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(123.3)</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(380.3)</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(434.2)</w:t>
            </w:r>
          </w:p>
        </w:tc>
      </w:tr>
      <w:tr>
        <w:trPr>
          <w:trHeight w:val="197"/>
        </w:trPr>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Realized and unrealized losses on derivative instruments, net (note 6)</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(39.3)</w:t>
            </w:r>
          </w:p>
        </w:tc>
      </w:tr>
      <w:tr>
        <w:trPr>
          <w:trHeight w:val="197"/>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Foreign currency transaction gains (losses), net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(934.9)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(3,160.9)</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(202.1)</w:t>
            </w:r>
          </w:p>
        </w:tc>
      </w:tr>
      <w:tr>
        <w:trPr>
          <w:trHeight w:val="150"/>
        </w:trPr>
        <w:tc>
          <w:tcPr>
            <w:tcW w:w="6420" w:type="dxa"/>
            <w:vAlign w:val="bottom"/>
          </w:tcPr>
          <w:p>
            <w:pPr>
              <w:ind w:left="120"/>
              <w:spacing w:after="0" w:line="151" w:lineRule="exact"/>
              <w:rPr>
                <w:sz w:val="20"/>
                <w:szCs w:val="20"/>
                <w:color w:val="auto"/>
              </w:rPr>
            </w:pPr>
            <w:r>
              <w:rPr>
                <w:rFonts w:ascii="Times New Roman" w:cs="Times New Roman" w:eastAsia="Times New Roman" w:hAnsi="Times New Roman"/>
                <w:sz w:val="15"/>
                <w:szCs w:val="15"/>
                <w:color w:val="auto"/>
              </w:rPr>
              <w:t>Realized and unrealized gains (losses) due to changes in fair values of certain investments, net (notes</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08"/>
        </w:trPr>
        <w:tc>
          <w:tcPr>
            <w:tcW w:w="64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5 and 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w:t>
            </w:r>
          </w:p>
        </w:tc>
      </w:tr>
      <w:tr>
        <w:trPr>
          <w:trHeight w:val="197"/>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Losses on debt extinguishment, net (note 9)</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Share of results of affiliates, net (note 5)</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(455.9)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(164.4)</w:t>
            </w:r>
          </w:p>
        </w:tc>
      </w:tr>
      <w:tr>
        <w:trPr>
          <w:trHeight w:val="197"/>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Gain on sale of All3Media</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242.9</w:t>
            </w:r>
          </w:p>
        </w:tc>
      </w:tr>
      <w:tr>
        <w:trPr>
          <w:trHeight w:val="197"/>
        </w:trPr>
        <w:tc>
          <w:tcPr>
            <w:tcW w:w="6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Other income, net</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27.5</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80.0</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166.0</w:t>
            </w:r>
          </w:p>
        </w:tc>
      </w:tr>
      <w:tr>
        <w:trPr>
          <w:trHeight w:val="188"/>
        </w:trPr>
        <w:tc>
          <w:tcPr>
            <w:tcW w:w="64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(122.3)</w:t>
            </w:r>
          </w:p>
        </w:tc>
        <w:tc>
          <w:tcPr>
            <w:tcW w:w="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(1,468.3)</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(4,378.8)</w:t>
            </w:r>
          </w:p>
        </w:tc>
        <w:tc>
          <w:tcPr>
            <w:tcW w:w="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(393.4)</w:t>
            </w:r>
          </w:p>
        </w:tc>
      </w:tr>
      <w:tr>
        <w:trPr>
          <w:trHeight w:val="188"/>
        </w:trPr>
        <w:tc>
          <w:tcPr>
            <w:tcW w:w="64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Loss from continuing operations before income taxes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(1,434.9)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(4,296.5)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(405.3)</w:t>
            </w:r>
          </w:p>
        </w:tc>
      </w:tr>
      <w:tr>
        <w:trPr>
          <w:trHeight w:val="197"/>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tax benefit (expense) (note 11)</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116.0</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(59.8)</w:t>
            </w:r>
          </w:p>
        </w:tc>
      </w:tr>
      <w:tr>
        <w:trPr>
          <w:trHeight w:val="188"/>
        </w:trPr>
        <w:tc>
          <w:tcPr>
            <w:tcW w:w="64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Loss from continuing operations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(1,423.7)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(4,180.5)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(465.1)</w:t>
            </w:r>
          </w:p>
        </w:tc>
      </w:tr>
      <w:tr>
        <w:trPr>
          <w:trHeight w:val="197"/>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Earnings (loss) from discounted operations, net of taxes (note 4)</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(143.6)</w:t>
            </w:r>
          </w:p>
        </w:tc>
      </w:tr>
      <w:tr>
        <w:trPr>
          <w:trHeight w:val="188"/>
        </w:trPr>
        <w:tc>
          <w:tcPr>
            <w:tcW w:w="64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Net loss</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(83.4)</w:t>
            </w:r>
          </w:p>
        </w:tc>
        <w:tc>
          <w:tcPr>
            <w:tcW w:w="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(1,410.9)</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(4,180.5)</w:t>
            </w:r>
          </w:p>
        </w:tc>
        <w:tc>
          <w:tcPr>
            <w:tcW w:w="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(608.7)</w:t>
            </w:r>
          </w:p>
        </w:tc>
      </w:tr>
      <w:tr>
        <w:trPr>
          <w:trHeight w:val="197"/>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earnings attributable to noncontrolling interests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(40.4)</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w:t>
            </w:r>
          </w:p>
        </w:tc>
      </w:tr>
      <w:tr>
        <w:trPr>
          <w:trHeight w:val="188"/>
        </w:trPr>
        <w:tc>
          <w:tcPr>
            <w:tcW w:w="64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Net loss attributable to Liberty Global shareholders</w:t>
            </w:r>
          </w:p>
        </w:tc>
        <w:tc>
          <w:tcPr>
            <w:tcW w:w="2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(90.7)</w:t>
            </w:r>
          </w:p>
        </w:tc>
        <w:tc>
          <w:tcPr>
            <w:tcW w:w="80" w:type="dxa"/>
            <w:vAlign w:val="bottom"/>
          </w:tcPr>
          <w:p>
            <w:pPr>
              <w:spacing w:after="0"/>
              <w:rPr>
                <w:sz w:val="16"/>
                <w:szCs w:val="16"/>
                <w:color w:val="auto"/>
              </w:rPr>
            </w:pPr>
          </w:p>
        </w:tc>
        <w:tc>
          <w:tcPr>
            <w:tcW w:w="4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(1,434.1)</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(4,220.9)</w:t>
            </w:r>
          </w:p>
        </w:tc>
        <w:tc>
          <w:tcPr>
            <w:tcW w:w="80" w:type="dxa"/>
            <w:vAlign w:val="bottom"/>
          </w:tcPr>
          <w:p>
            <w:pPr>
              <w:spacing w:after="0"/>
              <w:rPr>
                <w:sz w:val="16"/>
                <w:szCs w:val="16"/>
                <w:color w:val="auto"/>
              </w:rPr>
            </w:pPr>
          </w:p>
        </w:tc>
        <w:tc>
          <w:tcPr>
            <w:tcW w:w="4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(656.0)</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02"/>
        </w:trPr>
        <w:tc>
          <w:tcPr>
            <w:tcW w:w="64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r>
      <w:tr>
        <w:trPr>
          <w:trHeight w:val="197"/>
        </w:trPr>
        <w:tc>
          <w:tcPr>
            <w:tcW w:w="64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Basic and diluted loss attributable to Liberty Global shareholders per share (note 14):</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7"/>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Continuing operations</w:t>
            </w: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(0.27)</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(12.26)</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w:t>
            </w:r>
          </w:p>
        </w:tc>
      </w:tr>
      <w:tr>
        <w:trPr>
          <w:trHeight w:val="197"/>
        </w:trPr>
        <w:tc>
          <w:tcPr>
            <w:tcW w:w="6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Discontinued operations (note 4)</w:t>
            </w:r>
          </w:p>
        </w:tc>
        <w:tc>
          <w:tcPr>
            <w:tcW w:w="2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(0.39)</w:t>
            </w:r>
          </w:p>
        </w:tc>
      </w:tr>
      <w:tr>
        <w:trPr>
          <w:trHeight w:val="213"/>
        </w:trPr>
        <w:tc>
          <w:tcPr>
            <w:tcW w:w="64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condensed consolidated financial statements.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63500</wp:posOffset>
            </wp:positionV>
            <wp:extent cx="7177405"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160"/>
          </w:cols>
          <w:pgMar w:left="360" w:top="1440" w:right="379" w:bottom="1440" w:gutter="0" w:footer="0" w:header="0"/>
        </w:sectPr>
      </w:pPr>
    </w:p>
    <w:bookmarkStart w:id="5" w:name="page6"/>
    <w:bookmarkEnd w:id="5"/>
    <w:p>
      <w:pPr>
        <w:spacing w:after="0" w:line="34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5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COMPREHENSIVE EARNINGS (LOSS)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Three months ended</w:t>
            </w:r>
          </w:p>
        </w:tc>
        <w:tc>
          <w:tcPr>
            <w:tcW w:w="360" w:type="dxa"/>
            <w:vAlign w:val="bottom"/>
          </w:tcPr>
          <w:p>
            <w:pPr>
              <w:spacing w:after="0"/>
              <w:rPr>
                <w:sz w:val="13"/>
                <w:szCs w:val="13"/>
                <w:color w:val="auto"/>
              </w:rPr>
            </w:pPr>
          </w:p>
        </w:tc>
        <w:tc>
          <w:tcPr>
            <w:tcW w:w="1980" w:type="dxa"/>
            <w:vAlign w:val="bottom"/>
            <w:gridSpan w:val="4"/>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4"/>
        </w:trPr>
        <w:tc>
          <w:tcPr>
            <w:tcW w:w="6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385"/>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177"/>
        </w:trPr>
        <w:tc>
          <w:tcPr>
            <w:tcW w:w="6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76"/>
        </w:trPr>
        <w:tc>
          <w:tcPr>
            <w:tcW w:w="6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7"/>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7"/>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(83.4)</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(1,410.9)</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(4,180.5)</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(608.7)</w:t>
            </w:r>
          </w:p>
        </w:tc>
      </w:tr>
      <w:tr>
        <w:trPr>
          <w:trHeight w:val="177"/>
        </w:trPr>
        <w:tc>
          <w:tcPr>
            <w:tcW w:w="652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earnings (loss), net of taxes: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7"/>
        </w:trPr>
        <w:tc>
          <w:tcPr>
            <w:tcW w:w="6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Continuing operations: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97"/>
        </w:trPr>
        <w:tc>
          <w:tcPr>
            <w:tcW w:w="6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1,804.6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4,656.6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348.9</w:t>
            </w:r>
          </w:p>
        </w:tc>
      </w:tr>
      <w:tr>
        <w:trPr>
          <w:trHeight w:val="197"/>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Reclassification adjustment included in net loss</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6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Pension-related adjustments and other</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w:t>
            </w:r>
          </w:p>
        </w:tc>
      </w:tr>
      <w:tr>
        <w:trPr>
          <w:trHeight w:val="188"/>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comprehensive earnings (loss) from continuing operations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(144.9)</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1,794.2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4,656.0</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339.4</w:t>
            </w:r>
          </w:p>
        </w:tc>
      </w:tr>
      <w:tr>
        <w:trPr>
          <w:trHeight w:val="197"/>
        </w:trPr>
        <w:tc>
          <w:tcPr>
            <w:tcW w:w="65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Other comprehensive earnings from discontinued operations (note 4)</w:t>
            </w:r>
          </w:p>
        </w:tc>
        <w:tc>
          <w:tcPr>
            <w:tcW w:w="260" w:type="dxa"/>
            <w:vAlign w:val="bottom"/>
          </w:tcPr>
          <w:p>
            <w:pPr>
              <w:spacing w:after="0"/>
              <w:rPr>
                <w:sz w:val="17"/>
                <w:szCs w:val="17"/>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309.7</w:t>
            </w:r>
          </w:p>
        </w:tc>
      </w:tr>
      <w:tr>
        <w:trPr>
          <w:trHeight w:val="188"/>
        </w:trPr>
        <w:tc>
          <w:tcPr>
            <w:tcW w:w="652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Other comprehensive earnings (loss)</w:t>
            </w: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(144.9)</w:t>
            </w:r>
          </w:p>
        </w:tc>
        <w:tc>
          <w:tcPr>
            <w:tcW w:w="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1,874.0</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4,656.0</w:t>
            </w:r>
          </w:p>
        </w:tc>
        <w:tc>
          <w:tcPr>
            <w:tcW w:w="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649.1</w:t>
            </w:r>
          </w:p>
        </w:tc>
      </w:tr>
      <w:tr>
        <w:trPr>
          <w:trHeight w:val="188"/>
        </w:trPr>
        <w:tc>
          <w:tcPr>
            <w:tcW w:w="652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Comprehensive earnings (loss)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463.1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475.5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40.4</w:t>
            </w:r>
          </w:p>
        </w:tc>
      </w:tr>
      <w:tr>
        <w:trPr>
          <w:trHeight w:val="197"/>
        </w:trPr>
        <w:tc>
          <w:tcPr>
            <w:tcW w:w="6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Comprehensive earnings attributable to noncontrolling interests</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(40.4)</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w:t>
            </w:r>
          </w:p>
        </w:tc>
      </w:tr>
      <w:tr>
        <w:trPr>
          <w:trHeight w:val="188"/>
        </w:trPr>
        <w:tc>
          <w:tcPr>
            <w:tcW w:w="652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Comprehensive earnings (loss) attributable to Liberty Global shareholders</w:t>
            </w: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(235.6)</w:t>
            </w:r>
          </w:p>
        </w:tc>
        <w:tc>
          <w:tcPr>
            <w:tcW w:w="80" w:type="dxa"/>
            <w:vAlign w:val="bottom"/>
          </w:tcPr>
          <w:p>
            <w:pPr>
              <w:spacing w:after="0"/>
              <w:rPr>
                <w:sz w:val="16"/>
                <w:szCs w:val="16"/>
                <w:color w:val="auto"/>
              </w:rPr>
            </w:pPr>
          </w:p>
        </w:tc>
        <w:tc>
          <w:tcPr>
            <w:tcW w:w="4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440.4</w:t>
            </w: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435.1</w:t>
            </w:r>
          </w:p>
        </w:tc>
        <w:tc>
          <w:tcPr>
            <w:tcW w:w="80" w:type="dxa"/>
            <w:vAlign w:val="bottom"/>
          </w:tcPr>
          <w:p>
            <w:pPr>
              <w:spacing w:after="0"/>
              <w:rPr>
                <w:sz w:val="16"/>
                <w:szCs w:val="16"/>
                <w:color w:val="auto"/>
              </w:rPr>
            </w:pPr>
          </w:p>
        </w:tc>
        <w:tc>
          <w:tcPr>
            <w:tcW w:w="4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condensed consolidated financial statements.</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6" w:name="page7"/>
    <w:bookmarkEnd w:id="6"/>
    <w:p>
      <w:pPr>
        <w:spacing w:after="0" w:line="34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5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EQUITY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323" w:lineRule="exact"/>
        <w:rPr>
          <w:sz w:val="20"/>
          <w:szCs w:val="20"/>
          <w:color w:val="auto"/>
        </w:rPr>
      </w:pPr>
    </w:p>
    <w:tbl>
      <w:tblPr>
        <w:tblLayout w:type="fixed"/>
        <w:tblInd w:w="2960" w:type="dxa"/>
        <w:tblCellMar>
          <w:top w:w="0" w:type="dxa"/>
          <w:left w:w="0" w:type="dxa"/>
          <w:bottom w:w="0" w:type="dxa"/>
          <w:right w:w="0" w:type="dxa"/>
        </w:tblCellMar>
      </w:tblPr>
      <w:tr>
        <w:trPr>
          <w:trHeight w:val="186"/>
        </w:trPr>
        <w:tc>
          <w:tcPr>
            <w:tcW w:w="1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Liberty Global shareholders</w:t>
            </w:r>
          </w:p>
        </w:tc>
        <w:tc>
          <w:tcPr>
            <w:tcW w:w="7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0" w:type="dxa"/>
            <w:vAlign w:val="bottom"/>
          </w:tcPr>
          <w:p>
            <w:pPr>
              <w:spacing w:after="0"/>
              <w:rPr>
                <w:sz w:val="12"/>
                <w:szCs w:val="12"/>
                <w:color w:val="auto"/>
              </w:rPr>
            </w:pPr>
          </w:p>
        </w:tc>
        <w:tc>
          <w:tcPr>
            <w:tcW w:w="11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other</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Total Liberty</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9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90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7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900" w:type="dxa"/>
            <w:vAlign w:val="bottom"/>
            <w:tcBorders>
              <w:bottom w:val="single" w:sz="8" w:color="auto"/>
            </w:tcBorders>
            <w:gridSpan w:val="2"/>
            <w:vMerge w:val="continue"/>
          </w:tcPr>
          <w:p>
            <w:pPr>
              <w:spacing w:after="0"/>
              <w:rPr>
                <w:sz w:val="11"/>
                <w:szCs w:val="11"/>
                <w:color w:val="auto"/>
              </w:rPr>
            </w:pPr>
          </w:p>
        </w:tc>
        <w:tc>
          <w:tcPr>
            <w:tcW w:w="90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12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earnings, net of</w:t>
            </w:r>
          </w:p>
        </w:tc>
        <w:tc>
          <w:tcPr>
            <w:tcW w:w="7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shares, at</w:t>
            </w:r>
          </w:p>
        </w:tc>
        <w:tc>
          <w:tcPr>
            <w:tcW w:w="94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Global</w:t>
            </w:r>
          </w:p>
        </w:tc>
        <w:tc>
          <w:tcPr>
            <w:tcW w:w="9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540" w:type="dxa"/>
            <w:vAlign w:val="bottom"/>
          </w:tcPr>
          <w:p>
            <w:pPr>
              <w:jc w:val="center"/>
              <w:ind w:left="93"/>
              <w:spacing w:after="0" w:line="11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5"/>
        </w:trPr>
        <w:tc>
          <w:tcPr>
            <w:tcW w:w="12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Class A   Class B</w:t>
            </w:r>
          </w:p>
        </w:tc>
        <w:tc>
          <w:tcPr>
            <w:tcW w:w="6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earnings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taxes</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shareholders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interests</w:t>
            </w:r>
          </w:p>
        </w:tc>
        <w:tc>
          <w:tcPr>
            <w:tcW w:w="540" w:type="dxa"/>
            <w:vAlign w:val="bottom"/>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1884045</wp:posOffset>
            </wp:positionH>
            <wp:positionV relativeFrom="paragraph">
              <wp:posOffset>635</wp:posOffset>
            </wp:positionV>
            <wp:extent cx="52628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62880" cy="7620"/>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4"/>
          <w:szCs w:val="14"/>
          <w:b w:val="1"/>
          <w:bCs w:val="1"/>
          <w:color w:val="auto"/>
        </w:rPr>
        <w:t>in millions</w:t>
      </w:r>
    </w:p>
    <w:p>
      <w:pPr>
        <w:sectPr>
          <w:pgSz w:w="11900" w:h="16838" w:orient="portrait"/>
          <w:cols w:equalWidth="0" w:num="1">
            <w:col w:w="11260"/>
          </w:cols>
          <w:pgMar w:left="320" w:top="1440" w:right="319" w:bottom="1440" w:gutter="0" w:footer="0" w:header="0"/>
        </w:sect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Balance at January 1, 2024</w:t>
            </w: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5"/>
                <w:szCs w:val="15"/>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earnings</w:t>
            </w:r>
          </w:p>
        </w:tc>
        <w:tc>
          <w:tcPr>
            <w:tcW w:w="22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 net of taxes</w:t>
            </w:r>
          </w:p>
        </w:tc>
        <w:tc>
          <w:tcPr>
            <w:tcW w:w="22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960" w:type="dxa"/>
            <w:vAlign w:val="bottom"/>
          </w:tcPr>
          <w:p>
            <w:pPr>
              <w:ind w:left="120"/>
              <w:spacing w:after="0" w:line="143" w:lineRule="exact"/>
              <w:rPr>
                <w:sz w:val="20"/>
                <w:szCs w:val="20"/>
                <w:color w:val="auto"/>
              </w:rPr>
            </w:pPr>
            <w:r>
              <w:rPr>
                <w:rFonts w:ascii="Times New Roman" w:cs="Times New Roman" w:eastAsia="Times New Roman" w:hAnsi="Times New Roman"/>
                <w:sz w:val="14"/>
                <w:szCs w:val="14"/>
                <w:color w:val="auto"/>
              </w:rPr>
              <w:t>Repurchases and cancellations of Liberty Global</w:t>
            </w:r>
          </w:p>
        </w:tc>
        <w:tc>
          <w:tcPr>
            <w:tcW w:w="22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common shares (note 12)</w:t>
            </w:r>
          </w:p>
        </w:tc>
        <w:tc>
          <w:tcPr>
            <w:tcW w:w="22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 (note 13)</w:t>
            </w:r>
          </w:p>
        </w:tc>
        <w:tc>
          <w:tcPr>
            <w:tcW w:w="22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960" w:type="dxa"/>
            <w:vAlign w:val="bottom"/>
          </w:tcPr>
          <w:p>
            <w:pPr>
              <w:ind w:left="120"/>
              <w:spacing w:after="0" w:line="143" w:lineRule="exact"/>
              <w:rPr>
                <w:sz w:val="20"/>
                <w:szCs w:val="20"/>
                <w:color w:val="auto"/>
              </w:rPr>
            </w:pPr>
            <w:r>
              <w:rPr>
                <w:rFonts w:ascii="Times New Roman" w:cs="Times New Roman" w:eastAsia="Times New Roman" w:hAnsi="Times New Roman"/>
                <w:sz w:val="14"/>
                <w:szCs w:val="14"/>
                <w:color w:val="auto"/>
                <w:w w:val="99"/>
              </w:rPr>
              <w:t>Adjustments due to changes in subsidiaries’ equity</w:t>
            </w:r>
          </w:p>
        </w:tc>
        <w:tc>
          <w:tcPr>
            <w:tcW w:w="22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and other, net</w:t>
            </w:r>
          </w:p>
        </w:tc>
        <w:tc>
          <w:tcPr>
            <w:tcW w:w="22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Balance at March 31, 2024</w:t>
            </w:r>
          </w:p>
        </w:tc>
        <w:tc>
          <w:tcPr>
            <w:tcW w:w="2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earnings</w:t>
            </w:r>
          </w:p>
        </w:tc>
        <w:tc>
          <w:tcPr>
            <w:tcW w:w="22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 net of taxes</w:t>
            </w:r>
          </w:p>
        </w:tc>
        <w:tc>
          <w:tcPr>
            <w:tcW w:w="22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960" w:type="dxa"/>
            <w:vAlign w:val="bottom"/>
          </w:tcPr>
          <w:p>
            <w:pPr>
              <w:ind w:left="120"/>
              <w:spacing w:after="0" w:line="143" w:lineRule="exact"/>
              <w:rPr>
                <w:sz w:val="20"/>
                <w:szCs w:val="20"/>
                <w:color w:val="auto"/>
              </w:rPr>
            </w:pPr>
            <w:r>
              <w:rPr>
                <w:rFonts w:ascii="Times New Roman" w:cs="Times New Roman" w:eastAsia="Times New Roman" w:hAnsi="Times New Roman"/>
                <w:sz w:val="14"/>
                <w:szCs w:val="14"/>
                <w:color w:val="auto"/>
              </w:rPr>
              <w:t>Repurchases and cancellations of Liberty Global</w:t>
            </w:r>
          </w:p>
        </w:tc>
        <w:tc>
          <w:tcPr>
            <w:tcW w:w="22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common shares (note 12)</w:t>
            </w:r>
          </w:p>
        </w:tc>
        <w:tc>
          <w:tcPr>
            <w:tcW w:w="22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 (note 13)</w:t>
            </w:r>
          </w:p>
        </w:tc>
        <w:tc>
          <w:tcPr>
            <w:tcW w:w="22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960" w:type="dxa"/>
            <w:vAlign w:val="bottom"/>
          </w:tcPr>
          <w:p>
            <w:pPr>
              <w:ind w:left="120"/>
              <w:spacing w:after="0" w:line="143" w:lineRule="exact"/>
              <w:rPr>
                <w:sz w:val="20"/>
                <w:szCs w:val="20"/>
                <w:color w:val="auto"/>
              </w:rPr>
            </w:pPr>
            <w:r>
              <w:rPr>
                <w:rFonts w:ascii="Times New Roman" w:cs="Times New Roman" w:eastAsia="Times New Roman" w:hAnsi="Times New Roman"/>
                <w:sz w:val="14"/>
                <w:szCs w:val="14"/>
                <w:color w:val="auto"/>
                <w:w w:val="99"/>
              </w:rPr>
              <w:t>Adjustments due to changes in subsidiaries’ equity</w:t>
            </w:r>
          </w:p>
        </w:tc>
        <w:tc>
          <w:tcPr>
            <w:tcW w:w="22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and other, net</w:t>
            </w:r>
          </w:p>
        </w:tc>
        <w:tc>
          <w:tcPr>
            <w:tcW w:w="22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Balance at June 30, 2024</w:t>
            </w:r>
          </w:p>
        </w:tc>
        <w:tc>
          <w:tcPr>
            <w:tcW w:w="2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earnings, net of taxes</w:t>
            </w:r>
          </w:p>
        </w:tc>
        <w:tc>
          <w:tcPr>
            <w:tcW w:w="22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960" w:type="dxa"/>
            <w:vAlign w:val="bottom"/>
          </w:tcPr>
          <w:p>
            <w:pPr>
              <w:ind w:left="120"/>
              <w:spacing w:after="0" w:line="143" w:lineRule="exact"/>
              <w:rPr>
                <w:sz w:val="20"/>
                <w:szCs w:val="20"/>
                <w:color w:val="auto"/>
              </w:rPr>
            </w:pPr>
            <w:r>
              <w:rPr>
                <w:rFonts w:ascii="Times New Roman" w:cs="Times New Roman" w:eastAsia="Times New Roman" w:hAnsi="Times New Roman"/>
                <w:sz w:val="14"/>
                <w:szCs w:val="14"/>
                <w:color w:val="auto"/>
              </w:rPr>
              <w:t>Repurchases and cancellations of Liberty Global</w:t>
            </w:r>
          </w:p>
        </w:tc>
        <w:tc>
          <w:tcPr>
            <w:tcW w:w="22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common shares (note 12)</w:t>
            </w:r>
          </w:p>
        </w:tc>
        <w:tc>
          <w:tcPr>
            <w:tcW w:w="22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 (note 13)</w:t>
            </w:r>
          </w:p>
        </w:tc>
        <w:tc>
          <w:tcPr>
            <w:tcW w:w="22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960" w:type="dxa"/>
            <w:vAlign w:val="bottom"/>
          </w:tcPr>
          <w:p>
            <w:pPr>
              <w:ind w:left="120"/>
              <w:spacing w:after="0" w:line="143" w:lineRule="exact"/>
              <w:rPr>
                <w:sz w:val="20"/>
                <w:szCs w:val="20"/>
                <w:color w:val="auto"/>
              </w:rPr>
            </w:pPr>
            <w:r>
              <w:rPr>
                <w:rFonts w:ascii="Times New Roman" w:cs="Times New Roman" w:eastAsia="Times New Roman" w:hAnsi="Times New Roman"/>
                <w:sz w:val="14"/>
                <w:szCs w:val="14"/>
                <w:color w:val="auto"/>
                <w:w w:val="99"/>
              </w:rPr>
              <w:t>Adjustments due to changes in subsidiaries’ equity</w:t>
            </w:r>
          </w:p>
        </w:tc>
        <w:tc>
          <w:tcPr>
            <w:tcW w:w="22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and other, net</w:t>
            </w:r>
          </w:p>
        </w:tc>
        <w:tc>
          <w:tcPr>
            <w:tcW w:w="22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22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95"/>
              </w:rPr>
              <w:t>1,322.6</w:t>
            </w: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15,566.0</w:t>
            </w:r>
          </w:p>
        </w:tc>
        <w:tc>
          <w:tcPr>
            <w:tcW w:w="100" w:type="dxa"/>
            <w:vAlign w:val="bottom"/>
          </w:tcPr>
          <w:p>
            <w:pPr>
              <w:spacing w:after="0"/>
              <w:rPr>
                <w:sz w:val="15"/>
                <w:szCs w:val="15"/>
                <w:color w:val="auto"/>
              </w:rPr>
            </w:pP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2,170.3</w:t>
            </w:r>
          </w:p>
        </w:tc>
        <w:tc>
          <w:tcPr>
            <w:tcW w:w="8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5"/>
                <w:szCs w:val="15"/>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19,062.6</w:t>
            </w:r>
          </w:p>
        </w:tc>
        <w:tc>
          <w:tcPr>
            <w:tcW w:w="8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19,007.4</w:t>
            </w:r>
          </w:p>
        </w:tc>
      </w:tr>
      <w:tr>
        <w:trPr>
          <w:trHeight w:val="185"/>
        </w:trPr>
        <w:tc>
          <w:tcPr>
            <w:tcW w:w="5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527.0</w:t>
            </w:r>
          </w:p>
        </w:tc>
      </w:tr>
      <w:tr>
        <w:trPr>
          <w:trHeight w:val="185"/>
        </w:trPr>
        <w:tc>
          <w:tcPr>
            <w:tcW w:w="5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(1,026.4)</w:t>
            </w:r>
          </w:p>
        </w:tc>
      </w:tr>
      <w:tr>
        <w:trPr>
          <w:trHeight w:val="324"/>
        </w:trPr>
        <w:tc>
          <w:tcPr>
            <w:tcW w:w="5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(170.4)</w:t>
            </w:r>
          </w:p>
        </w:tc>
        <w:tc>
          <w:tcPr>
            <w:tcW w:w="24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w:t>
            </w:r>
          </w:p>
        </w:tc>
      </w:tr>
      <w:tr>
        <w:trPr>
          <w:trHeight w:val="185"/>
        </w:trPr>
        <w:tc>
          <w:tcPr>
            <w:tcW w:w="5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35.4</w:t>
            </w:r>
          </w:p>
        </w:tc>
        <w:tc>
          <w:tcPr>
            <w:tcW w:w="2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r>
      <w:tr>
        <w:trPr>
          <w:trHeight w:val="324"/>
        </w:trPr>
        <w:tc>
          <w:tcPr>
            <w:tcW w:w="5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18.6</w:t>
            </w:r>
          </w:p>
        </w:tc>
        <w:tc>
          <w:tcPr>
            <w:tcW w:w="24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r>
      <w:tr>
        <w:trPr>
          <w:trHeight w:val="178"/>
        </w:trPr>
        <w:tc>
          <w:tcPr>
            <w:tcW w:w="5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95"/>
              </w:rPr>
              <w:t>1,206.2</w:t>
            </w:r>
          </w:p>
        </w:tc>
        <w:tc>
          <w:tcPr>
            <w:tcW w:w="2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16,076.0</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1,143.3</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18,429.1</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18,391.4</w:t>
            </w:r>
          </w:p>
        </w:tc>
      </w:tr>
      <w:tr>
        <w:trPr>
          <w:trHeight w:val="184"/>
        </w:trPr>
        <w:tc>
          <w:tcPr>
            <w:tcW w:w="5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275.2</w:t>
            </w:r>
          </w:p>
        </w:tc>
      </w:tr>
      <w:tr>
        <w:trPr>
          <w:trHeight w:val="185"/>
        </w:trPr>
        <w:tc>
          <w:tcPr>
            <w:tcW w:w="5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(198.5)</w:t>
            </w:r>
          </w:p>
        </w:tc>
      </w:tr>
      <w:tr>
        <w:trPr>
          <w:trHeight w:val="324"/>
        </w:trPr>
        <w:tc>
          <w:tcPr>
            <w:tcW w:w="5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(167.4)</w:t>
            </w:r>
          </w:p>
        </w:tc>
        <w:tc>
          <w:tcPr>
            <w:tcW w:w="24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(167.4)</w:t>
            </w:r>
          </w:p>
        </w:tc>
      </w:tr>
      <w:tr>
        <w:trPr>
          <w:trHeight w:val="185"/>
        </w:trPr>
        <w:tc>
          <w:tcPr>
            <w:tcW w:w="5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46.1</w:t>
            </w:r>
          </w:p>
        </w:tc>
        <w:tc>
          <w:tcPr>
            <w:tcW w:w="2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r>
      <w:tr>
        <w:trPr>
          <w:trHeight w:val="324"/>
        </w:trPr>
        <w:tc>
          <w:tcPr>
            <w:tcW w:w="5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(30.0)</w:t>
            </w:r>
          </w:p>
        </w:tc>
        <w:tc>
          <w:tcPr>
            <w:tcW w:w="24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r>
      <w:tr>
        <w:trPr>
          <w:trHeight w:val="178"/>
        </w:trPr>
        <w:tc>
          <w:tcPr>
            <w:tcW w:w="5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95"/>
              </w:rPr>
              <w:t>1,054.9</w:t>
            </w:r>
          </w:p>
        </w:tc>
        <w:tc>
          <w:tcPr>
            <w:tcW w:w="2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16,344.1</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944.9</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18,347.5</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18,316.8</w:t>
            </w:r>
          </w:p>
        </w:tc>
      </w:tr>
      <w:tr>
        <w:trPr>
          <w:trHeight w:val="184"/>
        </w:trPr>
        <w:tc>
          <w:tcPr>
            <w:tcW w:w="5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(1,434.1)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(1,410.9)</w:t>
            </w:r>
          </w:p>
        </w:tc>
      </w:tr>
      <w:tr>
        <w:trPr>
          <w:trHeight w:val="185"/>
        </w:trPr>
        <w:tc>
          <w:tcPr>
            <w:tcW w:w="5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1,874.0</w:t>
            </w:r>
          </w:p>
        </w:tc>
      </w:tr>
      <w:tr>
        <w:trPr>
          <w:trHeight w:val="324"/>
        </w:trPr>
        <w:tc>
          <w:tcPr>
            <w:tcW w:w="5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(165.1)</w:t>
            </w:r>
          </w:p>
        </w:tc>
        <w:tc>
          <w:tcPr>
            <w:tcW w:w="24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w:t>
            </w:r>
          </w:p>
        </w:tc>
      </w:tr>
      <w:tr>
        <w:trPr>
          <w:trHeight w:val="185"/>
        </w:trPr>
        <w:tc>
          <w:tcPr>
            <w:tcW w:w="5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37.3</w:t>
            </w:r>
          </w:p>
        </w:tc>
        <w:tc>
          <w:tcPr>
            <w:tcW w:w="2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r>
      <w:tr>
        <w:trPr>
          <w:trHeight w:val="324"/>
        </w:trPr>
        <w:tc>
          <w:tcPr>
            <w:tcW w:w="5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(0.9)</w:t>
            </w:r>
          </w:p>
        </w:tc>
        <w:tc>
          <w:tcPr>
            <w:tcW w:w="24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79"/>
        </w:trPr>
        <w:tc>
          <w:tcPr>
            <w:tcW w:w="5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926.2</w:t>
            </w: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14,910.0</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2,819.4</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18,659.1</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18,651.6</w:t>
            </w:r>
          </w:p>
        </w:tc>
      </w:tr>
      <w:tr>
        <w:trPr>
          <w:trHeight w:val="20"/>
        </w:trPr>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-2814320</wp:posOffset>
            </wp:positionV>
            <wp:extent cx="7152005" cy="1174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2005" cy="11747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-2579370</wp:posOffset>
            </wp:positionV>
            <wp:extent cx="7152005" cy="1174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2005" cy="11747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-2256155</wp:posOffset>
            </wp:positionV>
            <wp:extent cx="7152005" cy="1174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2005" cy="11747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-1689735</wp:posOffset>
            </wp:positionV>
            <wp:extent cx="7152005" cy="1174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2005" cy="11747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-1366520</wp:posOffset>
            </wp:positionV>
            <wp:extent cx="7152005" cy="1174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2005" cy="11747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-800735</wp:posOffset>
            </wp:positionV>
            <wp:extent cx="7152005" cy="1174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2005" cy="11747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-476885</wp:posOffset>
            </wp:positionV>
            <wp:extent cx="7152005" cy="1174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2005" cy="11747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-153670</wp:posOffset>
            </wp:positionV>
            <wp:extent cx="715200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2005" cy="15430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-1043305</wp:posOffset>
            </wp:positionV>
            <wp:extent cx="7152005" cy="1250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2005" cy="12509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-1932305</wp:posOffset>
            </wp:positionV>
            <wp:extent cx="7152005" cy="1250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2005" cy="1250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40" w:space="200"/>
            <w:col w:w="6020"/>
          </w:cols>
          <w:pgMar w:left="320" w:top="1440" w:right="319" w:bottom="1440" w:gutter="0" w:footer="0" w:header="0"/>
          <w:type w:val="continuous"/>
        </w:sect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condensed consolidated financial statements.</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7" w:name="page8"/>
    <w:bookmarkEnd w:id="7"/>
    <w:p>
      <w:pPr>
        <w:spacing w:after="0" w:line="34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5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EQUITY — (Continued)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8"/>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Liberty Global shareholders</w:t>
            </w: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80"/>
              <w:spacing w:after="0" w:line="133"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4"/>
                <w:szCs w:val="14"/>
                <w:b w:val="1"/>
                <w:bCs w:val="1"/>
                <w:color w:val="auto"/>
                <w:w w:val="93"/>
              </w:rPr>
              <w:t>other</w:t>
            </w:r>
          </w:p>
        </w:tc>
        <w:tc>
          <w:tcPr>
            <w:tcW w:w="7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9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Total Liberty</w:t>
            </w:r>
          </w:p>
        </w:tc>
        <w:tc>
          <w:tcPr>
            <w:tcW w:w="120" w:type="dxa"/>
            <w:vAlign w:val="bottom"/>
          </w:tcPr>
          <w:p>
            <w:pPr>
              <w:spacing w:after="0"/>
              <w:rPr>
                <w:sz w:val="12"/>
                <w:szCs w:val="12"/>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6"/>
            <w:vMerge w:val="restart"/>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9"/>
              </w:rPr>
              <w:t>Common shares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80"/>
              <w:spacing w:after="0" w:line="13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760" w:type="dxa"/>
            <w:vAlign w:val="bottom"/>
            <w:gridSpan w:val="3"/>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9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6"/>
            <w:vMerge w:val="continue"/>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20" w:type="dxa"/>
            <w:vAlign w:val="bottom"/>
            <w:gridSpan w:val="3"/>
          </w:tcPr>
          <w:p>
            <w:pPr>
              <w:jc w:val="center"/>
              <w:ind w:right="80"/>
              <w:spacing w:after="0" w:line="11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100" w:type="dxa"/>
            <w:vAlign w:val="bottom"/>
            <w:gridSpan w:val="3"/>
          </w:tcPr>
          <w:p>
            <w:pPr>
              <w:jc w:val="center"/>
              <w:ind w:right="80"/>
              <w:spacing w:after="0" w:line="119" w:lineRule="exact"/>
              <w:rPr>
                <w:sz w:val="20"/>
                <w:szCs w:val="20"/>
                <w:color w:val="auto"/>
              </w:rPr>
            </w:pPr>
            <w:r>
              <w:rPr>
                <w:rFonts w:ascii="Times New Roman" w:cs="Times New Roman" w:eastAsia="Times New Roman" w:hAnsi="Times New Roman"/>
                <w:sz w:val="13"/>
                <w:szCs w:val="13"/>
                <w:b w:val="1"/>
                <w:bCs w:val="1"/>
                <w:color w:val="auto"/>
              </w:rPr>
              <w:t>earnings (loss),</w:t>
            </w:r>
          </w:p>
        </w:tc>
        <w:tc>
          <w:tcPr>
            <w:tcW w:w="760" w:type="dxa"/>
            <w:vAlign w:val="bottom"/>
            <w:gridSpan w:val="3"/>
          </w:tcPr>
          <w:p>
            <w:pPr>
              <w:jc w:val="right"/>
              <w:ind w:right="140"/>
              <w:spacing w:after="0" w:line="119" w:lineRule="exact"/>
              <w:rPr>
                <w:sz w:val="20"/>
                <w:szCs w:val="20"/>
                <w:color w:val="auto"/>
              </w:rPr>
            </w:pPr>
            <w:r>
              <w:rPr>
                <w:rFonts w:ascii="Times New Roman" w:cs="Times New Roman" w:eastAsia="Times New Roman" w:hAnsi="Times New Roman"/>
                <w:sz w:val="13"/>
                <w:szCs w:val="13"/>
                <w:b w:val="1"/>
                <w:bCs w:val="1"/>
                <w:color w:val="auto"/>
              </w:rPr>
              <w:t>shares, at</w:t>
            </w:r>
          </w:p>
        </w:tc>
        <w:tc>
          <w:tcPr>
            <w:tcW w:w="160" w:type="dxa"/>
            <w:vAlign w:val="bottom"/>
          </w:tcPr>
          <w:p>
            <w:pPr>
              <w:spacing w:after="0"/>
              <w:rPr>
                <w:sz w:val="11"/>
                <w:szCs w:val="11"/>
                <w:color w:val="auto"/>
              </w:rPr>
            </w:pPr>
          </w:p>
        </w:tc>
        <w:tc>
          <w:tcPr>
            <w:tcW w:w="82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3"/>
                <w:szCs w:val="13"/>
                <w:b w:val="1"/>
                <w:bCs w:val="1"/>
                <w:color w:val="auto"/>
              </w:rPr>
              <w:t>Global</w:t>
            </w:r>
          </w:p>
        </w:tc>
        <w:tc>
          <w:tcPr>
            <w:tcW w:w="860" w:type="dxa"/>
            <w:vAlign w:val="bottom"/>
            <w:gridSpan w:val="3"/>
          </w:tcPr>
          <w:p>
            <w:pPr>
              <w:jc w:val="center"/>
              <w:ind w:right="80"/>
              <w:spacing w:after="0" w:line="119"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140" w:type="dxa"/>
            <w:vAlign w:val="bottom"/>
          </w:tcPr>
          <w:p>
            <w:pPr>
              <w:spacing w:after="0"/>
              <w:rPr>
                <w:sz w:val="11"/>
                <w:szCs w:val="11"/>
                <w:color w:val="auto"/>
              </w:rPr>
            </w:pPr>
          </w:p>
        </w:tc>
        <w:tc>
          <w:tcPr>
            <w:tcW w:w="640" w:type="dxa"/>
            <w:vAlign w:val="bottom"/>
          </w:tcPr>
          <w:p>
            <w:pPr>
              <w:jc w:val="right"/>
              <w:ind w:right="171"/>
              <w:spacing w:after="0" w:line="11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6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6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6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earnings</w:t>
            </w: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net of taxes</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8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shareholders</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interests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January 1, 2025</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12,242.6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12,365.9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12,544.3</w:t>
            </w:r>
          </w:p>
        </w:tc>
        <w:tc>
          <w:tcPr>
            <w:tcW w:w="0" w:type="dxa"/>
            <w:vAlign w:val="bottom"/>
          </w:tcPr>
          <w:p>
            <w:pPr>
              <w:spacing w:after="0"/>
              <w:rPr>
                <w:sz w:val="1"/>
                <w:szCs w:val="1"/>
                <w:color w:val="auto"/>
              </w:rPr>
            </w:pPr>
          </w:p>
        </w:tc>
      </w:tr>
      <w:tr>
        <w:trPr>
          <w:trHeight w:val="183"/>
        </w:trPr>
        <w:tc>
          <w:tcPr>
            <w:tcW w:w="2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(1,323.3)</w:t>
            </w:r>
          </w:p>
        </w:tc>
        <w:tc>
          <w:tcPr>
            <w:tcW w:w="0" w:type="dxa"/>
            <w:vAlign w:val="bottom"/>
          </w:tcPr>
          <w:p>
            <w:pPr>
              <w:spacing w:after="0"/>
              <w:rPr>
                <w:sz w:val="1"/>
                <w:szCs w:val="1"/>
                <w:color w:val="auto"/>
              </w:rPr>
            </w:pPr>
          </w:p>
        </w:tc>
      </w:tr>
      <w:tr>
        <w:trPr>
          <w:trHeight w:val="187"/>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earnings, net of taxes</w:t>
            </w:r>
          </w:p>
        </w:tc>
        <w:tc>
          <w:tcPr>
            <w:tcW w:w="2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1,621.9</w:t>
            </w:r>
          </w:p>
        </w:tc>
        <w:tc>
          <w:tcPr>
            <w:tcW w:w="0" w:type="dxa"/>
            <w:vAlign w:val="bottom"/>
          </w:tcPr>
          <w:p>
            <w:pPr>
              <w:spacing w:after="0"/>
              <w:rPr>
                <w:sz w:val="1"/>
                <w:szCs w:val="1"/>
                <w:color w:val="auto"/>
              </w:rPr>
            </w:pPr>
          </w:p>
        </w:tc>
      </w:tr>
      <w:tr>
        <w:trPr>
          <w:trHeight w:val="139"/>
        </w:trPr>
        <w:tc>
          <w:tcPr>
            <w:tcW w:w="294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Repurchases and cancellations of Liberty Global</w:t>
            </w:r>
          </w:p>
        </w:tc>
        <w:tc>
          <w:tcPr>
            <w:tcW w:w="22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0" w:type="dxa"/>
            <w:vAlign w:val="bottom"/>
          </w:tcPr>
          <w:p>
            <w:pPr>
              <w:spacing w:after="0"/>
              <w:rPr>
                <w:sz w:val="1"/>
                <w:szCs w:val="1"/>
                <w:color w:val="auto"/>
              </w:rPr>
            </w:pPr>
          </w:p>
        </w:tc>
      </w:tr>
      <w:tr>
        <w:trPr>
          <w:trHeight w:val="183"/>
        </w:trPr>
        <w:tc>
          <w:tcPr>
            <w:tcW w:w="2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common shares (note 12)</w:t>
            </w:r>
          </w:p>
        </w:tc>
        <w:tc>
          <w:tcPr>
            <w:tcW w:w="22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Share-based compensation (note 13)</w:t>
            </w:r>
          </w:p>
        </w:tc>
        <w:tc>
          <w:tcPr>
            <w:tcW w:w="2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0" w:type="dxa"/>
            <w:vAlign w:val="bottom"/>
          </w:tcPr>
          <w:p>
            <w:pPr>
              <w:spacing w:after="0"/>
              <w:rPr>
                <w:sz w:val="1"/>
                <w:szCs w:val="1"/>
                <w:color w:val="auto"/>
              </w:rPr>
            </w:pPr>
          </w:p>
        </w:tc>
      </w:tr>
      <w:tr>
        <w:trPr>
          <w:trHeight w:val="139"/>
        </w:trPr>
        <w:tc>
          <w:tcPr>
            <w:tcW w:w="294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Adjustments due to changes in subsidiaries’</w:t>
            </w:r>
          </w:p>
        </w:tc>
        <w:tc>
          <w:tcPr>
            <w:tcW w:w="22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83"/>
        </w:trPr>
        <w:tc>
          <w:tcPr>
            <w:tcW w:w="2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equity and other, net</w:t>
            </w:r>
          </w:p>
        </w:tc>
        <w:tc>
          <w:tcPr>
            <w:tcW w:w="22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March 31, 2025</w:t>
            </w:r>
          </w:p>
        </w:tc>
        <w:tc>
          <w:tcPr>
            <w:tcW w:w="2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10,905.3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964.9</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12,648.8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12,841.3</w:t>
            </w:r>
          </w:p>
        </w:tc>
        <w:tc>
          <w:tcPr>
            <w:tcW w:w="0" w:type="dxa"/>
            <w:vAlign w:val="bottom"/>
          </w:tcPr>
          <w:p>
            <w:pPr>
              <w:spacing w:after="0"/>
              <w:rPr>
                <w:sz w:val="1"/>
                <w:szCs w:val="1"/>
                <w:color w:val="auto"/>
              </w:rPr>
            </w:pPr>
          </w:p>
        </w:tc>
      </w:tr>
      <w:tr>
        <w:trPr>
          <w:trHeight w:val="184"/>
        </w:trPr>
        <w:tc>
          <w:tcPr>
            <w:tcW w:w="2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(2,773.8)</w:t>
            </w:r>
          </w:p>
        </w:tc>
        <w:tc>
          <w:tcPr>
            <w:tcW w:w="0" w:type="dxa"/>
            <w:vAlign w:val="bottom"/>
          </w:tcPr>
          <w:p>
            <w:pPr>
              <w:spacing w:after="0"/>
              <w:rPr>
                <w:sz w:val="1"/>
                <w:szCs w:val="1"/>
                <w:color w:val="auto"/>
              </w:rPr>
            </w:pPr>
          </w:p>
        </w:tc>
      </w:tr>
      <w:tr>
        <w:trPr>
          <w:trHeight w:val="186"/>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earnings, net of taxes</w:t>
            </w:r>
          </w:p>
        </w:tc>
        <w:tc>
          <w:tcPr>
            <w:tcW w:w="2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3,179.0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3,179.0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3,179.0</w:t>
            </w:r>
          </w:p>
        </w:tc>
        <w:tc>
          <w:tcPr>
            <w:tcW w:w="0" w:type="dxa"/>
            <w:vAlign w:val="bottom"/>
          </w:tcPr>
          <w:p>
            <w:pPr>
              <w:spacing w:after="0"/>
              <w:rPr>
                <w:sz w:val="1"/>
                <w:szCs w:val="1"/>
                <w:color w:val="auto"/>
              </w:rPr>
            </w:pPr>
          </w:p>
        </w:tc>
      </w:tr>
      <w:tr>
        <w:trPr>
          <w:trHeight w:val="139"/>
        </w:trPr>
        <w:tc>
          <w:tcPr>
            <w:tcW w:w="294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Repurchases and cancellations of Liberty Global</w:t>
            </w:r>
          </w:p>
        </w:tc>
        <w:tc>
          <w:tcPr>
            <w:tcW w:w="22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0" w:type="dxa"/>
            <w:vAlign w:val="bottom"/>
          </w:tcPr>
          <w:p>
            <w:pPr>
              <w:spacing w:after="0"/>
              <w:rPr>
                <w:sz w:val="1"/>
                <w:szCs w:val="1"/>
                <w:color w:val="auto"/>
              </w:rPr>
            </w:pPr>
          </w:p>
        </w:tc>
      </w:tr>
      <w:tr>
        <w:trPr>
          <w:trHeight w:val="183"/>
        </w:trPr>
        <w:tc>
          <w:tcPr>
            <w:tcW w:w="2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common shares (note 12)</w:t>
            </w:r>
          </w:p>
        </w:tc>
        <w:tc>
          <w:tcPr>
            <w:tcW w:w="22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Share-based compensation (note 13)</w:t>
            </w:r>
          </w:p>
        </w:tc>
        <w:tc>
          <w:tcPr>
            <w:tcW w:w="2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139"/>
        </w:trPr>
        <w:tc>
          <w:tcPr>
            <w:tcW w:w="294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Adjustments due to changes in subsidiaries’</w:t>
            </w:r>
          </w:p>
        </w:tc>
        <w:tc>
          <w:tcPr>
            <w:tcW w:w="22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83"/>
        </w:trPr>
        <w:tc>
          <w:tcPr>
            <w:tcW w:w="2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equity and other, net</w:t>
            </w:r>
          </w:p>
        </w:tc>
        <w:tc>
          <w:tcPr>
            <w:tcW w:w="22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 2025</w:t>
            </w:r>
          </w:p>
        </w:tc>
        <w:tc>
          <w:tcPr>
            <w:tcW w:w="2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734.5</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8,112.4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4,143.9</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12,994.0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13,205.0</w:t>
            </w:r>
          </w:p>
        </w:tc>
        <w:tc>
          <w:tcPr>
            <w:tcW w:w="0" w:type="dxa"/>
            <w:vAlign w:val="bottom"/>
          </w:tcPr>
          <w:p>
            <w:pPr>
              <w:spacing w:after="0"/>
              <w:rPr>
                <w:sz w:val="1"/>
                <w:szCs w:val="1"/>
                <w:color w:val="auto"/>
              </w:rPr>
            </w:pPr>
          </w:p>
        </w:tc>
      </w:tr>
      <w:tr>
        <w:trPr>
          <w:trHeight w:val="183"/>
        </w:trPr>
        <w:tc>
          <w:tcPr>
            <w:tcW w:w="2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0" w:type="dxa"/>
            <w:vAlign w:val="bottom"/>
          </w:tcPr>
          <w:p>
            <w:pPr>
              <w:spacing w:after="0"/>
              <w:rPr>
                <w:sz w:val="1"/>
                <w:szCs w:val="1"/>
                <w:color w:val="auto"/>
              </w:rPr>
            </w:pPr>
          </w:p>
        </w:tc>
      </w:tr>
      <w:tr>
        <w:trPr>
          <w:trHeight w:val="187"/>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 net of taxes</w:t>
            </w:r>
          </w:p>
        </w:tc>
        <w:tc>
          <w:tcPr>
            <w:tcW w:w="2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w:t>
            </w:r>
          </w:p>
        </w:tc>
        <w:tc>
          <w:tcPr>
            <w:tcW w:w="0" w:type="dxa"/>
            <w:vAlign w:val="bottom"/>
          </w:tcPr>
          <w:p>
            <w:pPr>
              <w:spacing w:after="0"/>
              <w:rPr>
                <w:sz w:val="1"/>
                <w:szCs w:val="1"/>
                <w:color w:val="auto"/>
              </w:rPr>
            </w:pPr>
          </w:p>
        </w:tc>
      </w:tr>
      <w:tr>
        <w:trPr>
          <w:trHeight w:val="139"/>
        </w:trPr>
        <w:tc>
          <w:tcPr>
            <w:tcW w:w="294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Repurchases and cancellations of Liberty Global</w:t>
            </w:r>
          </w:p>
        </w:tc>
        <w:tc>
          <w:tcPr>
            <w:tcW w:w="22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0" w:type="dxa"/>
            <w:vAlign w:val="bottom"/>
          </w:tcPr>
          <w:p>
            <w:pPr>
              <w:spacing w:after="0"/>
              <w:rPr>
                <w:sz w:val="1"/>
                <w:szCs w:val="1"/>
                <w:color w:val="auto"/>
              </w:rPr>
            </w:pPr>
          </w:p>
        </w:tc>
      </w:tr>
      <w:tr>
        <w:trPr>
          <w:trHeight w:val="183"/>
        </w:trPr>
        <w:tc>
          <w:tcPr>
            <w:tcW w:w="2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common shares (note 12)</w:t>
            </w:r>
          </w:p>
        </w:tc>
        <w:tc>
          <w:tcPr>
            <w:tcW w:w="22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Share-based compensation (note 13)</w:t>
            </w:r>
          </w:p>
        </w:tc>
        <w:tc>
          <w:tcPr>
            <w:tcW w:w="2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0" w:type="dxa"/>
            <w:vAlign w:val="bottom"/>
          </w:tcPr>
          <w:p>
            <w:pPr>
              <w:spacing w:after="0"/>
              <w:rPr>
                <w:sz w:val="1"/>
                <w:szCs w:val="1"/>
                <w:color w:val="auto"/>
              </w:rPr>
            </w:pPr>
          </w:p>
        </w:tc>
      </w:tr>
      <w:tr>
        <w:trPr>
          <w:trHeight w:val="139"/>
        </w:trPr>
        <w:tc>
          <w:tcPr>
            <w:tcW w:w="294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Adjustments due to changes in subsidiaries’</w:t>
            </w:r>
          </w:p>
        </w:tc>
        <w:tc>
          <w:tcPr>
            <w:tcW w:w="22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83"/>
        </w:trPr>
        <w:tc>
          <w:tcPr>
            <w:tcW w:w="2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equity and other, net</w:t>
            </w:r>
          </w:p>
        </w:tc>
        <w:tc>
          <w:tcPr>
            <w:tcW w:w="22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8,021.7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3,999.0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12,743.7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12,962.0</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condensed consolidated financial statements.</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8" w:name="page9"/>
    <w:bookmarkEnd w:id="8"/>
    <w:p>
      <w:pPr>
        <w:spacing w:after="0" w:line="34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5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319"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5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56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5"/>
        </w:trPr>
        <w:tc>
          <w:tcPr>
            <w:tcW w:w="8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5"/>
                <w:szCs w:val="15"/>
                <w:color w:val="auto"/>
              </w:rPr>
            </w:pPr>
          </w:p>
        </w:tc>
      </w:tr>
      <w:tr>
        <w:trPr>
          <w:trHeight w:val="140"/>
        </w:trPr>
        <w:tc>
          <w:tcPr>
            <w:tcW w:w="8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97"/>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7"/>
        </w:trPr>
        <w:tc>
          <w:tcPr>
            <w:tcW w:w="85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Net loss</w:t>
            </w: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(4,180.5)</w:t>
            </w:r>
          </w:p>
        </w:tc>
        <w:tc>
          <w:tcPr>
            <w:tcW w:w="8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(608.7)</w:t>
            </w:r>
          </w:p>
        </w:tc>
      </w:tr>
      <w:tr>
        <w:trPr>
          <w:trHeight w:val="197"/>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Loss from discontinued operations</w:t>
            </w: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(143.6)</w:t>
            </w:r>
          </w:p>
        </w:tc>
      </w:tr>
      <w:tr>
        <w:trPr>
          <w:trHeight w:val="188"/>
        </w:trPr>
        <w:tc>
          <w:tcPr>
            <w:tcW w:w="85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Loss from continuing operations</w:t>
            </w: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(4,180.5)</w:t>
            </w:r>
          </w:p>
        </w:tc>
        <w:tc>
          <w:tcPr>
            <w:tcW w:w="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(465.1)</w:t>
            </w:r>
          </w:p>
        </w:tc>
      </w:tr>
      <w:tr>
        <w:trPr>
          <w:trHeight w:val="197"/>
        </w:trPr>
        <w:tc>
          <w:tcPr>
            <w:tcW w:w="8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Adjustments to reconcile loss from continuing operations to net cash provided by operating activities of continuing operations: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7"/>
        </w:trPr>
        <w:tc>
          <w:tcPr>
            <w:tcW w:w="85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129.4</w:t>
            </w:r>
          </w:p>
        </w:tc>
      </w:tr>
      <w:tr>
        <w:trPr>
          <w:trHeight w:val="197"/>
        </w:trPr>
        <w:tc>
          <w:tcPr>
            <w:tcW w:w="8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758.9</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750.4</w:t>
            </w:r>
          </w:p>
        </w:tc>
      </w:tr>
      <w:tr>
        <w:trPr>
          <w:trHeight w:val="197"/>
        </w:trPr>
        <w:tc>
          <w:tcPr>
            <w:tcW w:w="85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Impairment, restructuring and other operating items, net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w:t>
            </w:r>
          </w:p>
        </w:tc>
      </w:tr>
      <w:tr>
        <w:trPr>
          <w:trHeight w:val="197"/>
        </w:trPr>
        <w:tc>
          <w:tcPr>
            <w:tcW w:w="8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Amortization of deferred financing costs and non-cash interest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43.2</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48.6</w:t>
            </w:r>
          </w:p>
        </w:tc>
      </w:tr>
      <w:tr>
        <w:trPr>
          <w:trHeight w:val="197"/>
        </w:trPr>
        <w:tc>
          <w:tcPr>
            <w:tcW w:w="85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Realized and unrealized losses on derivative instruments, net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39.3</w:t>
            </w:r>
          </w:p>
        </w:tc>
      </w:tr>
      <w:tr>
        <w:trPr>
          <w:trHeight w:val="197"/>
        </w:trPr>
        <w:tc>
          <w:tcPr>
            <w:tcW w:w="8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Foreign currency transaction losses, net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3,160.9</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202.1</w:t>
            </w:r>
          </w:p>
        </w:tc>
      </w:tr>
      <w:tr>
        <w:trPr>
          <w:trHeight w:val="197"/>
        </w:trPr>
        <w:tc>
          <w:tcPr>
            <w:tcW w:w="85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Realized and unrealized gains due to changes in fair values of certain investments, net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w:t>
            </w:r>
          </w:p>
        </w:tc>
      </w:tr>
      <w:tr>
        <w:trPr>
          <w:trHeight w:val="197"/>
        </w:trPr>
        <w:tc>
          <w:tcPr>
            <w:tcW w:w="8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Losses on debt extinguishment, net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85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Share of results of affiliates, net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455.9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164.4</w:t>
            </w:r>
          </w:p>
        </w:tc>
      </w:tr>
      <w:tr>
        <w:trPr>
          <w:trHeight w:val="197"/>
        </w:trPr>
        <w:tc>
          <w:tcPr>
            <w:tcW w:w="8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Deferred income tax benefit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(151.1)</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w:t>
            </w:r>
          </w:p>
        </w:tc>
      </w:tr>
      <w:tr>
        <w:trPr>
          <w:trHeight w:val="197"/>
        </w:trPr>
        <w:tc>
          <w:tcPr>
            <w:tcW w:w="85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Gain on sale of All3Media</w:t>
            </w:r>
          </w:p>
        </w:tc>
        <w:tc>
          <w:tcPr>
            <w:tcW w:w="3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(242.9)</w:t>
            </w:r>
          </w:p>
        </w:tc>
      </w:tr>
      <w:tr>
        <w:trPr>
          <w:trHeight w:val="197"/>
        </w:trPr>
        <w:tc>
          <w:tcPr>
            <w:tcW w:w="8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Changes in operating assets and liabilities, net of the effects of acquisitions and dispositions</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(124.0)</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60.6</w:t>
            </w:r>
          </w:p>
        </w:tc>
      </w:tr>
      <w:tr>
        <w:trPr>
          <w:trHeight w:val="188"/>
        </w:trPr>
        <w:tc>
          <w:tcPr>
            <w:tcW w:w="85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Net cash provided by operating activities of continuing operations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580.2</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664.1</w:t>
            </w:r>
          </w:p>
        </w:tc>
      </w:tr>
      <w:tr>
        <w:trPr>
          <w:trHeight w:val="197"/>
        </w:trPr>
        <w:tc>
          <w:tcPr>
            <w:tcW w:w="8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Net cash provided by operating activities of discontinued operations</w:t>
            </w: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577.2</w:t>
            </w:r>
          </w:p>
        </w:tc>
      </w:tr>
      <w:tr>
        <w:trPr>
          <w:trHeight w:val="188"/>
        </w:trPr>
        <w:tc>
          <w:tcPr>
            <w:tcW w:w="856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30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580.2</w:t>
            </w:r>
          </w:p>
        </w:tc>
        <w:tc>
          <w:tcPr>
            <w:tcW w:w="8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condensed consolidated financial statements.</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9" w:name="page10"/>
    <w:bookmarkEnd w:id="9"/>
    <w:p>
      <w:pPr>
        <w:spacing w:after="0" w:line="34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5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 — (Continued)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3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54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5"/>
        </w:trPr>
        <w:tc>
          <w:tcPr>
            <w:tcW w:w="8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gridSpan w:val="3"/>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5"/>
                <w:szCs w:val="15"/>
                <w:color w:val="auto"/>
              </w:rPr>
            </w:pPr>
          </w:p>
        </w:tc>
      </w:tr>
      <w:tr>
        <w:trPr>
          <w:trHeight w:val="140"/>
        </w:trPr>
        <w:tc>
          <w:tcPr>
            <w:tcW w:w="8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97"/>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7"/>
        </w:trPr>
        <w:tc>
          <w:tcPr>
            <w:tcW w:w="85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Capital expenditures, net</w:t>
            </w:r>
          </w:p>
        </w:tc>
        <w:tc>
          <w:tcPr>
            <w:tcW w:w="800" w:type="dxa"/>
            <w:vAlign w:val="bottom"/>
          </w:tcPr>
          <w:p>
            <w:pPr>
              <w:jc w:val="right"/>
              <w:ind w:right="645"/>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(905.5)</w:t>
            </w:r>
          </w:p>
        </w:tc>
        <w:tc>
          <w:tcPr>
            <w:tcW w:w="10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(611.9)</w:t>
            </w:r>
          </w:p>
        </w:tc>
      </w:tr>
      <w:tr>
        <w:trPr>
          <w:trHeight w:val="197"/>
        </w:trPr>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Cash received from the sale of investments</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810.4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3,259.4</w:t>
            </w:r>
          </w:p>
        </w:tc>
      </w:tr>
      <w:tr>
        <w:trPr>
          <w:trHeight w:val="197"/>
        </w:trPr>
        <w:tc>
          <w:tcPr>
            <w:tcW w:w="85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Cash paid for investments</w:t>
            </w:r>
          </w:p>
        </w:tc>
        <w:tc>
          <w:tcPr>
            <w:tcW w:w="8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(527.5)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(2,319.7)</w:t>
            </w:r>
          </w:p>
        </w:tc>
      </w:tr>
      <w:tr>
        <w:trPr>
          <w:trHeight w:val="197"/>
        </w:trPr>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Cash received in connection with the sale of All3Media</w:t>
            </w:r>
          </w:p>
        </w:tc>
        <w:tc>
          <w:tcPr>
            <w:tcW w:w="8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411.7</w:t>
            </w:r>
          </w:p>
        </w:tc>
      </w:tr>
      <w:tr>
        <w:trPr>
          <w:trHeight w:val="197"/>
        </w:trPr>
        <w:tc>
          <w:tcPr>
            <w:tcW w:w="8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Other investing activities, net</w:t>
            </w:r>
          </w:p>
        </w:tc>
        <w:tc>
          <w:tcPr>
            <w:tcW w:w="8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(19.6)</w:t>
            </w:r>
          </w:p>
        </w:tc>
      </w:tr>
      <w:tr>
        <w:trPr>
          <w:trHeight w:val="188"/>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cash provided (used) by investing activities of continuing operations</w:t>
            </w:r>
          </w:p>
        </w:tc>
        <w:tc>
          <w:tcPr>
            <w:tcW w:w="8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(607.8)</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719.9</w:t>
            </w:r>
          </w:p>
        </w:tc>
      </w:tr>
      <w:tr>
        <w:trPr>
          <w:trHeight w:val="197"/>
        </w:trPr>
        <w:tc>
          <w:tcPr>
            <w:tcW w:w="85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cash used by investing activities of discontinued operations</w:t>
            </w:r>
          </w:p>
        </w:tc>
        <w:tc>
          <w:tcPr>
            <w:tcW w:w="80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(385.0)</w:t>
            </w:r>
          </w:p>
        </w:tc>
      </w:tr>
      <w:tr>
        <w:trPr>
          <w:trHeight w:val="188"/>
        </w:trPr>
        <w:tc>
          <w:tcPr>
            <w:tcW w:w="85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Net cash provided (used) by investing activities</w:t>
            </w:r>
          </w:p>
        </w:tc>
        <w:tc>
          <w:tcPr>
            <w:tcW w:w="80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(607.8)</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334.9</w:t>
            </w:r>
          </w:p>
        </w:tc>
      </w:tr>
      <w:tr>
        <w:trPr>
          <w:trHeight w:val="212"/>
        </w:trPr>
        <w:tc>
          <w:tcPr>
            <w:tcW w:w="8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97"/>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7"/>
        </w:trPr>
        <w:tc>
          <w:tcPr>
            <w:tcW w:w="85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Borrowings of debt</w:t>
            </w:r>
          </w:p>
        </w:tc>
        <w:tc>
          <w:tcPr>
            <w:tcW w:w="8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604.5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197"/>
        </w:trPr>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Operating-related vendor financing additions</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291.9</w:t>
            </w:r>
          </w:p>
        </w:tc>
      </w:tr>
      <w:tr>
        <w:trPr>
          <w:trHeight w:val="197"/>
        </w:trPr>
        <w:tc>
          <w:tcPr>
            <w:tcW w:w="85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Repayments and repurchases of debt and finance lease obligations:</w:t>
            </w: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7"/>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Debt (excluding vendor financing)</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(663.1)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w:t>
            </w:r>
          </w:p>
        </w:tc>
      </w:tr>
      <w:tr>
        <w:trPr>
          <w:trHeight w:val="197"/>
        </w:trPr>
        <w:tc>
          <w:tcPr>
            <w:tcW w:w="85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Principal payments on operating-related vendor financing</w:t>
            </w:r>
          </w:p>
        </w:tc>
        <w:tc>
          <w:tcPr>
            <w:tcW w:w="8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(283.2)</w:t>
            </w:r>
          </w:p>
        </w:tc>
      </w:tr>
      <w:tr>
        <w:trPr>
          <w:trHeight w:val="197"/>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Principal payments on capital-related vendor financing</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(71.0)</w:t>
            </w:r>
          </w:p>
        </w:tc>
      </w:tr>
      <w:tr>
        <w:trPr>
          <w:trHeight w:val="197"/>
        </w:trPr>
        <w:tc>
          <w:tcPr>
            <w:tcW w:w="85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Principal payments on finance leases</w:t>
            </w:r>
          </w:p>
        </w:tc>
        <w:tc>
          <w:tcPr>
            <w:tcW w:w="8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197"/>
        </w:trPr>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Repurchases of Liberty Global common shares</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(511.9)</w:t>
            </w:r>
          </w:p>
        </w:tc>
      </w:tr>
      <w:tr>
        <w:trPr>
          <w:trHeight w:val="197"/>
        </w:trPr>
        <w:tc>
          <w:tcPr>
            <w:tcW w:w="85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Net cash received (paid) related to derivative instruments</w:t>
            </w:r>
          </w:p>
        </w:tc>
        <w:tc>
          <w:tcPr>
            <w:tcW w:w="8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197"/>
        </w:trPr>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financing activities, net</w:t>
            </w:r>
          </w:p>
        </w:tc>
        <w:tc>
          <w:tcPr>
            <w:tcW w:w="8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(60.3)</w:t>
            </w:r>
          </w:p>
        </w:tc>
      </w:tr>
      <w:tr>
        <w:trPr>
          <w:trHeight w:val="188"/>
        </w:trPr>
        <w:tc>
          <w:tcPr>
            <w:tcW w:w="85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cash used by financing activities of continuing operations</w:t>
            </w:r>
          </w:p>
        </w:tc>
        <w:tc>
          <w:tcPr>
            <w:tcW w:w="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(643.5)</w:t>
            </w:r>
          </w:p>
        </w:tc>
      </w:tr>
      <w:tr>
        <w:trPr>
          <w:trHeight w:val="197"/>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cash used by financing activities of discontinued operations</w:t>
            </w:r>
          </w:p>
        </w:tc>
        <w:tc>
          <w:tcPr>
            <w:tcW w:w="8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r>
      <w:tr>
        <w:trPr>
          <w:trHeight w:val="188"/>
        </w:trPr>
        <w:tc>
          <w:tcPr>
            <w:tcW w:w="85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Net cash used by financing activities</w:t>
            </w:r>
          </w:p>
        </w:tc>
        <w:tc>
          <w:tcPr>
            <w:tcW w:w="800" w:type="dxa"/>
            <w:vAlign w:val="bottom"/>
            <w:tcBorders>
              <w:top w:val="single" w:sz="8" w:color="auto"/>
              <w:bottom w:val="single" w:sz="8" w:color="auto"/>
            </w:tcBorders>
          </w:tcPr>
          <w:p>
            <w:pPr>
              <w:jc w:val="right"/>
              <w:ind w:right="645"/>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(273.4)</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condensed consolidated financial statements.</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0" w:name="page11"/>
    <w:bookmarkEnd w:id="10"/>
    <w:p>
      <w:pPr>
        <w:spacing w:after="0" w:line="34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5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 — (Continued)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3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54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5"/>
        </w:trPr>
        <w:tc>
          <w:tcPr>
            <w:tcW w:w="8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3"/>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8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Effect of exchange rate changes on cash and cash equivalents and restricted cash:</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5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Continuing operations</w:t>
            </w: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158.8</w:t>
            </w:r>
          </w:p>
        </w:tc>
        <w:tc>
          <w:tcPr>
            <w:tcW w:w="10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w:t>
            </w:r>
          </w:p>
        </w:tc>
        <w:tc>
          <w:tcPr>
            <w:tcW w:w="0" w:type="dxa"/>
            <w:vAlign w:val="bottom"/>
          </w:tcPr>
          <w:p>
            <w:pPr>
              <w:spacing w:after="0"/>
              <w:rPr>
                <w:sz w:val="1"/>
                <w:szCs w:val="1"/>
                <w:color w:val="auto"/>
              </w:rPr>
            </w:pPr>
          </w:p>
        </w:tc>
      </w:tr>
      <w:tr>
        <w:trPr>
          <w:trHeight w:val="197"/>
        </w:trPr>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Discontinued operations</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0" w:type="dxa"/>
            <w:vAlign w:val="bottom"/>
          </w:tcPr>
          <w:p>
            <w:pPr>
              <w:spacing w:after="0"/>
              <w:rPr>
                <w:sz w:val="1"/>
                <w:szCs w:val="1"/>
                <w:color w:val="auto"/>
              </w:rPr>
            </w:pPr>
          </w:p>
        </w:tc>
      </w:tr>
      <w:tr>
        <w:trPr>
          <w:trHeight w:val="188"/>
        </w:trPr>
        <w:tc>
          <w:tcPr>
            <w:tcW w:w="85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Total</w:t>
            </w: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158.8</w:t>
            </w: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0" w:type="dxa"/>
            <w:vAlign w:val="bottom"/>
          </w:tcPr>
          <w:p>
            <w:pPr>
              <w:spacing w:after="0"/>
              <w:rPr>
                <w:sz w:val="1"/>
                <w:szCs w:val="1"/>
                <w:color w:val="auto"/>
              </w:rPr>
            </w:pPr>
          </w:p>
        </w:tc>
      </w:tr>
      <w:tr>
        <w:trPr>
          <w:trHeight w:val="232"/>
        </w:trPr>
        <w:tc>
          <w:tcPr>
            <w:tcW w:w="8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540" w:type="dxa"/>
            <w:vAlign w:val="bottom"/>
          </w:tcPr>
          <w:p>
            <w:pPr>
              <w:spacing w:after="0"/>
              <w:rPr>
                <w:sz w:val="20"/>
                <w:szCs w:val="20"/>
                <w:color w:val="auto"/>
              </w:rPr>
            </w:pPr>
            <w:r>
              <w:rPr>
                <w:rFonts w:ascii="Times New Roman" w:cs="Times New Roman" w:eastAsia="Times New Roman" w:hAnsi="Times New Roman"/>
                <w:sz w:val="15"/>
                <w:szCs w:val="15"/>
                <w:color w:val="auto"/>
              </w:rPr>
              <w:t>Net increase (decrease) in cash and cash equivalents and restricted cash:</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Continuing operations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756.6</w:t>
            </w:r>
          </w:p>
        </w:tc>
        <w:tc>
          <w:tcPr>
            <w:tcW w:w="0" w:type="dxa"/>
            <w:vAlign w:val="bottom"/>
          </w:tcPr>
          <w:p>
            <w:pPr>
              <w:spacing w:after="0"/>
              <w:rPr>
                <w:sz w:val="1"/>
                <w:szCs w:val="1"/>
                <w:color w:val="auto"/>
              </w:rPr>
            </w:pPr>
          </w:p>
        </w:tc>
      </w:tr>
      <w:tr>
        <w:trPr>
          <w:trHeight w:val="197"/>
        </w:trPr>
        <w:tc>
          <w:tcPr>
            <w:tcW w:w="85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Discontinued operations</w:t>
            </w:r>
          </w:p>
        </w:tc>
        <w:tc>
          <w:tcPr>
            <w:tcW w:w="3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184.8</w:t>
            </w:r>
          </w:p>
        </w:tc>
        <w:tc>
          <w:tcPr>
            <w:tcW w:w="0" w:type="dxa"/>
            <w:vAlign w:val="bottom"/>
          </w:tcPr>
          <w:p>
            <w:pPr>
              <w:spacing w:after="0"/>
              <w:rPr>
                <w:sz w:val="1"/>
                <w:szCs w:val="1"/>
                <w:color w:val="auto"/>
              </w:rPr>
            </w:pPr>
          </w:p>
        </w:tc>
      </w:tr>
      <w:tr>
        <w:trPr>
          <w:trHeight w:val="188"/>
        </w:trPr>
        <w:tc>
          <w:tcPr>
            <w:tcW w:w="854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w:t>
            </w:r>
          </w:p>
        </w:tc>
        <w:tc>
          <w:tcPr>
            <w:tcW w:w="3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(142.2)</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941.4</w:t>
            </w:r>
          </w:p>
        </w:tc>
        <w:tc>
          <w:tcPr>
            <w:tcW w:w="0" w:type="dxa"/>
            <w:vAlign w:val="bottom"/>
          </w:tcPr>
          <w:p>
            <w:pPr>
              <w:spacing w:after="0"/>
              <w:rPr>
                <w:sz w:val="1"/>
                <w:szCs w:val="1"/>
                <w:color w:val="auto"/>
              </w:rPr>
            </w:pPr>
          </w:p>
        </w:tc>
      </w:tr>
      <w:tr>
        <w:trPr>
          <w:trHeight w:val="174"/>
        </w:trPr>
        <w:tc>
          <w:tcPr>
            <w:tcW w:w="8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 and restricted cash:</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5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Beginning of period</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1,822.3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1,422.9</w:t>
            </w:r>
          </w:p>
        </w:tc>
        <w:tc>
          <w:tcPr>
            <w:tcW w:w="0" w:type="dxa"/>
            <w:vAlign w:val="bottom"/>
          </w:tcPr>
          <w:p>
            <w:pPr>
              <w:spacing w:after="0"/>
              <w:rPr>
                <w:sz w:val="1"/>
                <w:szCs w:val="1"/>
                <w:color w:val="auto"/>
              </w:rPr>
            </w:pPr>
          </w:p>
        </w:tc>
      </w:tr>
      <w:tr>
        <w:trPr>
          <w:trHeight w:val="197"/>
        </w:trPr>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increase (decrease)</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(142.2)</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941.4</w:t>
            </w:r>
          </w:p>
        </w:tc>
        <w:tc>
          <w:tcPr>
            <w:tcW w:w="0" w:type="dxa"/>
            <w:vAlign w:val="bottom"/>
          </w:tcPr>
          <w:p>
            <w:pPr>
              <w:spacing w:after="0"/>
              <w:rPr>
                <w:sz w:val="1"/>
                <w:szCs w:val="1"/>
                <w:color w:val="auto"/>
              </w:rPr>
            </w:pPr>
          </w:p>
        </w:tc>
      </w:tr>
      <w:tr>
        <w:trPr>
          <w:trHeight w:val="188"/>
        </w:trPr>
        <w:tc>
          <w:tcPr>
            <w:tcW w:w="85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End of period</w:t>
            </w:r>
          </w:p>
        </w:tc>
        <w:tc>
          <w:tcPr>
            <w:tcW w:w="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1,680.1</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2,364.3</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8540" w:type="dxa"/>
            <w:vAlign w:val="bottom"/>
          </w:tcPr>
          <w:p>
            <w:pPr>
              <w:spacing w:after="0"/>
              <w:rPr>
                <w:sz w:val="20"/>
                <w:szCs w:val="20"/>
                <w:color w:val="auto"/>
              </w:rPr>
            </w:pPr>
            <w:r>
              <w:rPr>
                <w:rFonts w:ascii="Times New Roman" w:cs="Times New Roman" w:eastAsia="Times New Roman" w:hAnsi="Times New Roman"/>
                <w:sz w:val="15"/>
                <w:szCs w:val="15"/>
                <w:color w:val="auto"/>
              </w:rPr>
              <w:t>Cash paid for interest:</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Continuing operations</w:t>
            </w:r>
          </w:p>
        </w:tc>
        <w:tc>
          <w:tcPr>
            <w:tcW w:w="3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406.5</w:t>
            </w:r>
          </w:p>
        </w:tc>
        <w:tc>
          <w:tcPr>
            <w:tcW w:w="0" w:type="dxa"/>
            <w:vAlign w:val="bottom"/>
          </w:tcPr>
          <w:p>
            <w:pPr>
              <w:spacing w:after="0"/>
              <w:rPr>
                <w:sz w:val="1"/>
                <w:szCs w:val="1"/>
                <w:color w:val="auto"/>
              </w:rPr>
            </w:pPr>
          </w:p>
        </w:tc>
      </w:tr>
      <w:tr>
        <w:trPr>
          <w:trHeight w:val="197"/>
        </w:trPr>
        <w:tc>
          <w:tcPr>
            <w:tcW w:w="85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Discontinued operations</w:t>
            </w:r>
          </w:p>
        </w:tc>
        <w:tc>
          <w:tcPr>
            <w:tcW w:w="3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347.2</w:t>
            </w:r>
          </w:p>
        </w:tc>
        <w:tc>
          <w:tcPr>
            <w:tcW w:w="0" w:type="dxa"/>
            <w:vAlign w:val="bottom"/>
          </w:tcPr>
          <w:p>
            <w:pPr>
              <w:spacing w:after="0"/>
              <w:rPr>
                <w:sz w:val="1"/>
                <w:szCs w:val="1"/>
                <w:color w:val="auto"/>
              </w:rPr>
            </w:pPr>
          </w:p>
        </w:tc>
      </w:tr>
      <w:tr>
        <w:trPr>
          <w:trHeight w:val="213"/>
        </w:trPr>
        <w:tc>
          <w:tcPr>
            <w:tcW w:w="85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w:t>
            </w:r>
          </w:p>
        </w:tc>
        <w:tc>
          <w:tcPr>
            <w:tcW w:w="30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753.7</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Net cash paid for taxes: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5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Continuing operations</w:t>
            </w:r>
          </w:p>
        </w:tc>
        <w:tc>
          <w:tcPr>
            <w:tcW w:w="3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192.9</w:t>
            </w:r>
          </w:p>
        </w:tc>
        <w:tc>
          <w:tcPr>
            <w:tcW w:w="0" w:type="dxa"/>
            <w:vAlign w:val="bottom"/>
          </w:tcPr>
          <w:p>
            <w:pPr>
              <w:spacing w:after="0"/>
              <w:rPr>
                <w:sz w:val="1"/>
                <w:szCs w:val="1"/>
                <w:color w:val="auto"/>
              </w:rPr>
            </w:pPr>
          </w:p>
        </w:tc>
      </w:tr>
      <w:tr>
        <w:trPr>
          <w:trHeight w:val="197"/>
        </w:trPr>
        <w:tc>
          <w:tcPr>
            <w:tcW w:w="85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Discontinued operations</w:t>
            </w:r>
          </w:p>
        </w:tc>
        <w:tc>
          <w:tcPr>
            <w:tcW w:w="3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213"/>
        </w:trPr>
        <w:tc>
          <w:tcPr>
            <w:tcW w:w="85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w:t>
            </w:r>
          </w:p>
        </w:tc>
        <w:tc>
          <w:tcPr>
            <w:tcW w:w="30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194.2</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Details of end of period cash and cash equivalents and restricted cash:</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5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1,674.2</w:t>
            </w:r>
          </w:p>
        </w:tc>
        <w:tc>
          <w:tcPr>
            <w:tcW w:w="10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2,345.4</w:t>
            </w:r>
          </w:p>
        </w:tc>
        <w:tc>
          <w:tcPr>
            <w:tcW w:w="0" w:type="dxa"/>
            <w:vAlign w:val="bottom"/>
          </w:tcPr>
          <w:p>
            <w:pPr>
              <w:spacing w:after="0"/>
              <w:rPr>
                <w:sz w:val="1"/>
                <w:szCs w:val="1"/>
                <w:color w:val="auto"/>
              </w:rPr>
            </w:pPr>
          </w:p>
        </w:tc>
      </w:tr>
      <w:tr>
        <w:trPr>
          <w:trHeight w:val="197"/>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Restricted cash included in other current assets and other assets, net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0" w:type="dxa"/>
            <w:vAlign w:val="bottom"/>
          </w:tcPr>
          <w:p>
            <w:pPr>
              <w:spacing w:after="0"/>
              <w:rPr>
                <w:sz w:val="1"/>
                <w:szCs w:val="1"/>
                <w:color w:val="auto"/>
              </w:rPr>
            </w:pPr>
          </w:p>
        </w:tc>
      </w:tr>
      <w:tr>
        <w:trPr>
          <w:trHeight w:val="197"/>
        </w:trPr>
        <w:tc>
          <w:tcPr>
            <w:tcW w:w="85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Cash and cash equivalents and restricted cash included in current and long-term assets of discontinued operations</w:t>
            </w:r>
          </w:p>
        </w:tc>
        <w:tc>
          <w:tcPr>
            <w:tcW w:w="3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0" w:type="dxa"/>
            <w:vAlign w:val="bottom"/>
          </w:tcPr>
          <w:p>
            <w:pPr>
              <w:spacing w:after="0"/>
              <w:rPr>
                <w:sz w:val="1"/>
                <w:szCs w:val="1"/>
                <w:color w:val="auto"/>
              </w:rPr>
            </w:pPr>
          </w:p>
        </w:tc>
      </w:tr>
      <w:tr>
        <w:trPr>
          <w:trHeight w:val="213"/>
        </w:trPr>
        <w:tc>
          <w:tcPr>
            <w:tcW w:w="85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cash and cash equivalents and restricted cash</w:t>
            </w:r>
          </w:p>
        </w:tc>
        <w:tc>
          <w:tcPr>
            <w:tcW w:w="30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2,364.3</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condensed consolidated financial statements.</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1" w:name="page12"/>
    <w:bookmarkEnd w:id="11"/>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87" w:hanging="287"/>
        <w:spacing w:after="0"/>
        <w:tabs>
          <w:tab w:leader="none" w:pos="287" w:val="left"/>
        </w:tabs>
        <w:numPr>
          <w:ilvl w:val="0"/>
          <w:numId w:val="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Basis of Presentation</w:t>
      </w:r>
    </w:p>
    <w:p>
      <w:pPr>
        <w:spacing w:after="0" w:line="221" w:lineRule="exact"/>
        <w:rPr>
          <w:sz w:val="20"/>
          <w:szCs w:val="20"/>
          <w:color w:val="auto"/>
        </w:rPr>
      </w:pPr>
    </w:p>
    <w:p>
      <w:pPr>
        <w:jc w:val="both"/>
        <w:ind w:left="7" w:right="20" w:firstLine="278"/>
        <w:spacing w:after="0" w:line="272" w:lineRule="auto"/>
        <w:rPr>
          <w:sz w:val="20"/>
          <w:szCs w:val="20"/>
          <w:color w:val="auto"/>
        </w:rPr>
      </w:pPr>
      <w:r>
        <w:rPr>
          <w:rFonts w:ascii="Times New Roman" w:cs="Times New Roman" w:eastAsia="Times New Roman" w:hAnsi="Times New Roman"/>
          <w:sz w:val="15"/>
          <w:szCs w:val="15"/>
          <w:color w:val="auto"/>
        </w:rPr>
        <w:t>Liberty Global Ltd. (</w:t>
      </w:r>
      <w:r>
        <w:rPr>
          <w:rFonts w:ascii="Times New Roman" w:cs="Times New Roman" w:eastAsia="Times New Roman" w:hAnsi="Times New Roman"/>
          <w:sz w:val="15"/>
          <w:szCs w:val="15"/>
          <w:b w:val="1"/>
          <w:bCs w:val="1"/>
          <w:color w:val="auto"/>
        </w:rPr>
        <w:t>Liberty Global</w:t>
      </w:r>
      <w:r>
        <w:rPr>
          <w:rFonts w:ascii="Times New Roman" w:cs="Times New Roman" w:eastAsia="Times New Roman" w:hAnsi="Times New Roman"/>
          <w:sz w:val="15"/>
          <w:szCs w:val="15"/>
          <w:color w:val="auto"/>
        </w:rPr>
        <w:t>) is a Bermuda exempted company limited by shares. In these notes, the terms “we,” “our,” “our company” and “us” may refer, as the context requires, to Liberty Global or collectively to Liberty Global and its subsidiaries. We are an international provider of broadband internet, video, fixed-line telephony and mobile communications services to residential customers and businesses in Europe and are an active investor across the infrastructure, content and technology industries. We also provide innovative technology solutions and finance services.</w:t>
      </w:r>
    </w:p>
    <w:p>
      <w:pPr>
        <w:spacing w:after="0" w:line="167" w:lineRule="exact"/>
        <w:rPr>
          <w:sz w:val="20"/>
          <w:szCs w:val="20"/>
          <w:color w:val="auto"/>
        </w:rPr>
      </w:pPr>
    </w:p>
    <w:p>
      <w:pPr>
        <w:jc w:val="both"/>
        <w:ind w:left="7" w:firstLine="278"/>
        <w:spacing w:after="0" w:line="270" w:lineRule="auto"/>
        <w:rPr>
          <w:sz w:val="20"/>
          <w:szCs w:val="20"/>
          <w:color w:val="auto"/>
        </w:rPr>
      </w:pPr>
      <w:r>
        <w:rPr>
          <w:rFonts w:ascii="Times New Roman" w:cs="Times New Roman" w:eastAsia="Times New Roman" w:hAnsi="Times New Roman"/>
          <w:sz w:val="15"/>
          <w:szCs w:val="15"/>
          <w:color w:val="auto"/>
        </w:rPr>
        <w:t>Our continuing operations comprise businesses that provide residential and business-to-business (</w:t>
      </w:r>
      <w:r>
        <w:rPr>
          <w:rFonts w:ascii="Times New Roman" w:cs="Times New Roman" w:eastAsia="Times New Roman" w:hAnsi="Times New Roman"/>
          <w:sz w:val="15"/>
          <w:szCs w:val="15"/>
          <w:b w:val="1"/>
          <w:bCs w:val="1"/>
          <w:color w:val="auto"/>
        </w:rPr>
        <w:t>B2B</w:t>
      </w:r>
      <w:r>
        <w:rPr>
          <w:rFonts w:ascii="Times New Roman" w:cs="Times New Roman" w:eastAsia="Times New Roman" w:hAnsi="Times New Roman"/>
          <w:sz w:val="15"/>
          <w:szCs w:val="15"/>
          <w:color w:val="auto"/>
        </w:rPr>
        <w:t>) communications services in (i) Belgium and Luxembourg through certain wholly-owned subsidiaries that we collectively refer to as “</w:t>
      </w:r>
      <w:r>
        <w:rPr>
          <w:rFonts w:ascii="Times New Roman" w:cs="Times New Roman" w:eastAsia="Times New Roman" w:hAnsi="Times New Roman"/>
          <w:sz w:val="15"/>
          <w:szCs w:val="15"/>
          <w:b w:val="1"/>
          <w:bCs w:val="1"/>
          <w:color w:val="auto"/>
        </w:rPr>
        <w:t>Telenet</w:t>
      </w:r>
      <w:r>
        <w:rPr>
          <w:rFonts w:ascii="Times New Roman" w:cs="Times New Roman" w:eastAsia="Times New Roman" w:hAnsi="Times New Roman"/>
          <w:sz w:val="15"/>
          <w:szCs w:val="15"/>
          <w:color w:val="auto"/>
        </w:rPr>
        <w:t>” and (ii) Ireland through another wholly-owned subsidiary (</w:t>
      </w:r>
      <w:r>
        <w:rPr>
          <w:rFonts w:ascii="Times New Roman" w:cs="Times New Roman" w:eastAsia="Times New Roman" w:hAnsi="Times New Roman"/>
          <w:sz w:val="15"/>
          <w:szCs w:val="15"/>
          <w:b w:val="1"/>
          <w:bCs w:val="1"/>
          <w:color w:val="auto"/>
        </w:rPr>
        <w:t>VM Ireland</w:t>
      </w:r>
      <w:r>
        <w:rPr>
          <w:rFonts w:ascii="Times New Roman" w:cs="Times New Roman" w:eastAsia="Times New Roman" w:hAnsi="Times New Roman"/>
          <w:sz w:val="15"/>
          <w:szCs w:val="15"/>
          <w:color w:val="auto"/>
        </w:rPr>
        <w:t xml:space="preserve">). In addition, we own 50% noncontrolling interests in (a) a 50:50 joint venture (the </w:t>
      </w:r>
      <w:r>
        <w:rPr>
          <w:rFonts w:ascii="Times New Roman" w:cs="Times New Roman" w:eastAsia="Times New Roman" w:hAnsi="Times New Roman"/>
          <w:sz w:val="15"/>
          <w:szCs w:val="15"/>
          <w:b w:val="1"/>
          <w:bCs w:val="1"/>
          <w:color w:val="auto"/>
        </w:rPr>
        <w:t>VMO2 JV</w:t>
      </w:r>
      <w:r>
        <w:rPr>
          <w:rFonts w:ascii="Times New Roman" w:cs="Times New Roman" w:eastAsia="Times New Roman" w:hAnsi="Times New Roman"/>
          <w:sz w:val="15"/>
          <w:szCs w:val="15"/>
          <w:color w:val="auto"/>
        </w:rPr>
        <w:t>) with Telefónica SA (</w:t>
      </w:r>
      <w:r>
        <w:rPr>
          <w:rFonts w:ascii="Times New Roman" w:cs="Times New Roman" w:eastAsia="Times New Roman" w:hAnsi="Times New Roman"/>
          <w:sz w:val="15"/>
          <w:szCs w:val="15"/>
          <w:b w:val="1"/>
          <w:bCs w:val="1"/>
          <w:color w:val="auto"/>
        </w:rPr>
        <w:t>Telefónica</w:t>
      </w:r>
      <w:r>
        <w:rPr>
          <w:rFonts w:ascii="Times New Roman" w:cs="Times New Roman" w:eastAsia="Times New Roman" w:hAnsi="Times New Roman"/>
          <w:sz w:val="15"/>
          <w:szCs w:val="15"/>
          <w:color w:val="auto"/>
        </w:rPr>
        <w:t>), which provides residential and B2B communications services in the United Kingdom (</w:t>
      </w:r>
      <w:r>
        <w:rPr>
          <w:rFonts w:ascii="Times New Roman" w:cs="Times New Roman" w:eastAsia="Times New Roman" w:hAnsi="Times New Roman"/>
          <w:sz w:val="15"/>
          <w:szCs w:val="15"/>
          <w:b w:val="1"/>
          <w:bCs w:val="1"/>
          <w:color w:val="auto"/>
        </w:rPr>
        <w:t>U.K.</w:t>
      </w:r>
      <w:r>
        <w:rPr>
          <w:rFonts w:ascii="Times New Roman" w:cs="Times New Roman" w:eastAsia="Times New Roman" w:hAnsi="Times New Roman"/>
          <w:sz w:val="15"/>
          <w:szCs w:val="15"/>
          <w:color w:val="auto"/>
        </w:rPr>
        <w:t xml:space="preserve">), and (b) a 50:50 joint venture (the </w:t>
      </w:r>
      <w:r>
        <w:rPr>
          <w:rFonts w:ascii="Times New Roman" w:cs="Times New Roman" w:eastAsia="Times New Roman" w:hAnsi="Times New Roman"/>
          <w:sz w:val="15"/>
          <w:szCs w:val="15"/>
          <w:b w:val="1"/>
          <w:bCs w:val="1"/>
          <w:color w:val="auto"/>
        </w:rPr>
        <w:t>VodafoneZiggo JV</w:t>
      </w:r>
      <w:r>
        <w:rPr>
          <w:rFonts w:ascii="Times New Roman" w:cs="Times New Roman" w:eastAsia="Times New Roman" w:hAnsi="Times New Roman"/>
          <w:sz w:val="15"/>
          <w:szCs w:val="15"/>
          <w:color w:val="auto"/>
        </w:rPr>
        <w:t>) with Vodafone Group plc (</w:t>
      </w:r>
      <w:r>
        <w:rPr>
          <w:rFonts w:ascii="Times New Roman" w:cs="Times New Roman" w:eastAsia="Times New Roman" w:hAnsi="Times New Roman"/>
          <w:sz w:val="15"/>
          <w:szCs w:val="15"/>
          <w:b w:val="1"/>
          <w:bCs w:val="1"/>
          <w:color w:val="auto"/>
        </w:rPr>
        <w:t>Vodafone</w:t>
      </w:r>
      <w:r>
        <w:rPr>
          <w:rFonts w:ascii="Times New Roman" w:cs="Times New Roman" w:eastAsia="Times New Roman" w:hAnsi="Times New Roman"/>
          <w:sz w:val="15"/>
          <w:szCs w:val="15"/>
          <w:color w:val="auto"/>
        </w:rPr>
        <w:t>), which provides residential and B2B communications services in the Netherlands.</w:t>
      </w:r>
    </w:p>
    <w:p>
      <w:pPr>
        <w:spacing w:after="0" w:line="362" w:lineRule="exact"/>
        <w:rPr>
          <w:sz w:val="20"/>
          <w:szCs w:val="20"/>
          <w:color w:val="auto"/>
        </w:rPr>
      </w:pPr>
    </w:p>
    <w:p>
      <w:pPr>
        <w:jc w:val="both"/>
        <w:ind w:left="7" w:firstLine="278"/>
        <w:spacing w:after="0" w:line="276" w:lineRule="auto"/>
        <w:rPr>
          <w:sz w:val="20"/>
          <w:szCs w:val="20"/>
          <w:color w:val="auto"/>
        </w:rPr>
      </w:pPr>
      <w:r>
        <w:rPr>
          <w:rFonts w:ascii="Times New Roman" w:cs="Times New Roman" w:eastAsia="Times New Roman" w:hAnsi="Times New Roman"/>
          <w:sz w:val="15"/>
          <w:szCs w:val="15"/>
          <w:color w:val="auto"/>
        </w:rPr>
        <w:t>Prior to the completion of the Spin-off on November 8, 2024 (as defined and described in note 4), we also provided residential and B2B communications services in Switzerland through operations referred to as “</w:t>
      </w:r>
      <w:r>
        <w:rPr>
          <w:rFonts w:ascii="Times New Roman" w:cs="Times New Roman" w:eastAsia="Times New Roman" w:hAnsi="Times New Roman"/>
          <w:sz w:val="15"/>
          <w:szCs w:val="15"/>
          <w:b w:val="1"/>
          <w:bCs w:val="1"/>
          <w:color w:val="auto"/>
        </w:rPr>
        <w:t>Sunrise</w:t>
      </w:r>
      <w:r>
        <w:rPr>
          <w:rFonts w:ascii="Times New Roman" w:cs="Times New Roman" w:eastAsia="Times New Roman" w:hAnsi="Times New Roman"/>
          <w:sz w:val="15"/>
          <w:szCs w:val="15"/>
          <w:color w:val="auto"/>
        </w:rPr>
        <w:t>.” Sunrise, together with certain other Liberty Global subsidiaries connected to our Swiss business, are collectively referred to as the “</w:t>
      </w:r>
      <w:r>
        <w:rPr>
          <w:rFonts w:ascii="Times New Roman" w:cs="Times New Roman" w:eastAsia="Times New Roman" w:hAnsi="Times New Roman"/>
          <w:sz w:val="15"/>
          <w:szCs w:val="15"/>
          <w:b w:val="1"/>
          <w:bCs w:val="1"/>
          <w:color w:val="auto"/>
        </w:rPr>
        <w:t>Sunrise Entities</w:t>
      </w:r>
      <w:r>
        <w:rPr>
          <w:rFonts w:ascii="Times New Roman" w:cs="Times New Roman" w:eastAsia="Times New Roman" w:hAnsi="Times New Roman"/>
          <w:sz w:val="15"/>
          <w:szCs w:val="15"/>
          <w:color w:val="auto"/>
        </w:rPr>
        <w:t>” and are reflected as discontinued operations for all applicable periods.</w:t>
      </w:r>
    </w:p>
    <w:p>
      <w:pPr>
        <w:spacing w:after="0" w:line="169" w:lineRule="exact"/>
        <w:rPr>
          <w:sz w:val="20"/>
          <w:szCs w:val="20"/>
          <w:color w:val="auto"/>
        </w:rPr>
      </w:pPr>
    </w:p>
    <w:p>
      <w:pPr>
        <w:jc w:val="both"/>
        <w:ind w:left="7" w:right="20" w:firstLine="278"/>
        <w:spacing w:after="0" w:line="295" w:lineRule="auto"/>
        <w:rPr>
          <w:sz w:val="20"/>
          <w:szCs w:val="20"/>
          <w:color w:val="auto"/>
        </w:rPr>
      </w:pPr>
      <w:r>
        <w:rPr>
          <w:rFonts w:ascii="Times New Roman" w:cs="Times New Roman" w:eastAsia="Times New Roman" w:hAnsi="Times New Roman"/>
          <w:sz w:val="15"/>
          <w:szCs w:val="15"/>
          <w:color w:val="auto"/>
        </w:rPr>
        <w:t>On October 2, 2024, we completed the Formula E Acquisition (as defined and described in note 4), pursuant to which we acquired a controlling interest in Formula E Holdings Ltd. (</w:t>
      </w:r>
      <w:r>
        <w:rPr>
          <w:rFonts w:ascii="Times New Roman" w:cs="Times New Roman" w:eastAsia="Times New Roman" w:hAnsi="Times New Roman"/>
          <w:sz w:val="15"/>
          <w:szCs w:val="15"/>
          <w:b w:val="1"/>
          <w:bCs w:val="1"/>
          <w:color w:val="auto"/>
        </w:rPr>
        <w:t>Formula E</w:t>
      </w:r>
      <w:r>
        <w:rPr>
          <w:rFonts w:ascii="Times New Roman" w:cs="Times New Roman" w:eastAsia="Times New Roman" w:hAnsi="Times New Roman"/>
          <w:sz w:val="15"/>
          <w:szCs w:val="15"/>
          <w:color w:val="auto"/>
        </w:rPr>
        <w:t>) and began consolidating 100% of Formula E’s results from that date.</w:t>
      </w:r>
    </w:p>
    <w:p>
      <w:pPr>
        <w:spacing w:after="0" w:line="151" w:lineRule="exact"/>
        <w:rPr>
          <w:sz w:val="20"/>
          <w:szCs w:val="20"/>
          <w:color w:val="auto"/>
        </w:rPr>
      </w:pPr>
    </w:p>
    <w:p>
      <w:pPr>
        <w:jc w:val="both"/>
        <w:ind w:left="7" w:firstLine="278"/>
        <w:spacing w:after="0" w:line="266" w:lineRule="auto"/>
        <w:rPr>
          <w:sz w:val="20"/>
          <w:szCs w:val="20"/>
          <w:color w:val="auto"/>
        </w:rPr>
      </w:pPr>
      <w:r>
        <w:rPr>
          <w:rFonts w:ascii="Times New Roman" w:cs="Times New Roman" w:eastAsia="Times New Roman" w:hAnsi="Times New Roman"/>
          <w:sz w:val="15"/>
          <w:szCs w:val="15"/>
          <w:color w:val="auto"/>
        </w:rPr>
        <w:t>Our unaudited condensed consolidated financial statements have been prepared in accordance with accounting principles generally accepted in the United States (</w:t>
      </w:r>
      <w:r>
        <w:rPr>
          <w:rFonts w:ascii="Times New Roman" w:cs="Times New Roman" w:eastAsia="Times New Roman" w:hAnsi="Times New Roman"/>
          <w:sz w:val="15"/>
          <w:szCs w:val="15"/>
          <w:b w:val="1"/>
          <w:bCs w:val="1"/>
          <w:color w:val="auto"/>
        </w:rPr>
        <w:t>GAAP</w:t>
      </w:r>
      <w:r>
        <w:rPr>
          <w:rFonts w:ascii="Times New Roman" w:cs="Times New Roman" w:eastAsia="Times New Roman" w:hAnsi="Times New Roman"/>
          <w:sz w:val="15"/>
          <w:szCs w:val="15"/>
          <w:color w:val="auto"/>
        </w:rPr>
        <w:t xml:space="preserve">) and with the instructions to Form 10-Q and Article 10 of Regulation S-X for interim financial information. Accordingly, these financial statements do not include all of the information required by GAAP or Securities and Exchange Commission rules and regulations for complete financial statements. In the opinion of management, these financial statements reflect all adjustments (consisting of normal recurring adjustments) necessary for a fair presentation of the results of operations for the interim periods presented. The results of operations for any interim period are not necessarily indicative of results for the full year. These unaudited condensed consolidated financial statements should be read in conjunction with our 2024 consolidated financial statements and notes thereto included in our 2024 Annual Report on Form 10-K, as amended (our </w:t>
      </w:r>
      <w:r>
        <w:rPr>
          <w:rFonts w:ascii="Times New Roman" w:cs="Times New Roman" w:eastAsia="Times New Roman" w:hAnsi="Times New Roman"/>
          <w:sz w:val="15"/>
          <w:szCs w:val="15"/>
          <w:b w:val="1"/>
          <w:bCs w:val="1"/>
          <w:color w:val="auto"/>
        </w:rPr>
        <w:t>2024 10-K</w:t>
      </w:r>
      <w:r>
        <w:rPr>
          <w:rFonts w:ascii="Times New Roman" w:cs="Times New Roman" w:eastAsia="Times New Roman" w:hAnsi="Times New Roman"/>
          <w:sz w:val="15"/>
          <w:szCs w:val="15"/>
          <w:color w:val="auto"/>
        </w:rPr>
        <w:t>).</w:t>
      </w:r>
    </w:p>
    <w:p>
      <w:pPr>
        <w:spacing w:after="0" w:line="177" w:lineRule="exact"/>
        <w:rPr>
          <w:sz w:val="20"/>
          <w:szCs w:val="20"/>
          <w:color w:val="auto"/>
        </w:rPr>
      </w:pPr>
    </w:p>
    <w:p>
      <w:pPr>
        <w:jc w:val="both"/>
        <w:ind w:left="7" w:firstLine="278"/>
        <w:spacing w:after="0" w:line="265" w:lineRule="auto"/>
        <w:rPr>
          <w:sz w:val="20"/>
          <w:szCs w:val="20"/>
          <w:color w:val="auto"/>
        </w:rPr>
      </w:pPr>
      <w:r>
        <w:rPr>
          <w:rFonts w:ascii="Times New Roman" w:cs="Times New Roman" w:eastAsia="Times New Roman" w:hAnsi="Times New Roman"/>
          <w:sz w:val="15"/>
          <w:szCs w:val="15"/>
          <w:color w:val="auto"/>
        </w:rPr>
        <w:t>The preparation of financial statements in conformity with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allowances for uncollectible accounts, certain components of revenue, programming and copyright costs, deferred income taxes and related valuation allowances, loss contingencies, fair value measurements, impairment assessments, capitalization of internal costs associated with construction and installation activities, lease terms, useful lives of long-lived assets, share-based compensation and actuarial liabilities associated with certain benefit plans. Actual results could differ from those estimates.</w:t>
      </w:r>
    </w:p>
    <w:p>
      <w:pPr>
        <w:spacing w:after="0" w:line="173"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color w:val="auto"/>
        </w:rPr>
        <w:t>Unless otherwise indicated, ownership percentages and convenience translations into United States (</w:t>
      </w:r>
      <w:r>
        <w:rPr>
          <w:rFonts w:ascii="Times New Roman" w:cs="Times New Roman" w:eastAsia="Times New Roman" w:hAnsi="Times New Roman"/>
          <w:sz w:val="15"/>
          <w:szCs w:val="15"/>
          <w:b w:val="1"/>
          <w:bCs w:val="1"/>
          <w:color w:val="auto"/>
        </w:rPr>
        <w:t>U.S.</w:t>
      </w:r>
      <w:r>
        <w:rPr>
          <w:rFonts w:ascii="Times New Roman" w:cs="Times New Roman" w:eastAsia="Times New Roman" w:hAnsi="Times New Roman"/>
          <w:sz w:val="15"/>
          <w:szCs w:val="15"/>
          <w:color w:val="auto"/>
        </w:rPr>
        <w:t>) dollars are calculated as of September 30, 2025.</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12" w:name="page13"/>
    <w:bookmarkEnd w:id="12"/>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4" w:lineRule="exact"/>
        <w:rPr>
          <w:sz w:val="20"/>
          <w:szCs w:val="20"/>
          <w:color w:val="auto"/>
        </w:rPr>
      </w:pPr>
    </w:p>
    <w:p>
      <w:pPr>
        <w:ind w:left="287" w:hanging="287"/>
        <w:spacing w:after="0"/>
        <w:tabs>
          <w:tab w:leader="none" w:pos="287" w:val="left"/>
        </w:tabs>
        <w:numPr>
          <w:ilvl w:val="0"/>
          <w:numId w:val="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Accounting Changes and Recent Accounting Pronouncements</w:t>
      </w:r>
    </w:p>
    <w:p>
      <w:pPr>
        <w:spacing w:after="0" w:line="221"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Accounting Changes</w:t>
      </w:r>
    </w:p>
    <w:p>
      <w:pPr>
        <w:spacing w:after="0" w:line="221"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i w:val="1"/>
          <w:iCs w:val="1"/>
          <w:color w:val="auto"/>
        </w:rPr>
        <w:t>ASU 2023-09</w:t>
      </w:r>
    </w:p>
    <w:p>
      <w:pPr>
        <w:spacing w:after="0" w:line="221" w:lineRule="exact"/>
        <w:rPr>
          <w:sz w:val="20"/>
          <w:szCs w:val="20"/>
          <w:color w:val="auto"/>
        </w:rPr>
      </w:pPr>
    </w:p>
    <w:p>
      <w:pPr>
        <w:jc w:val="both"/>
        <w:ind w:left="7" w:firstLine="278"/>
        <w:spacing w:after="0" w:line="268" w:lineRule="auto"/>
        <w:rPr>
          <w:sz w:val="20"/>
          <w:szCs w:val="20"/>
          <w:color w:val="auto"/>
        </w:rPr>
      </w:pPr>
      <w:r>
        <w:rPr>
          <w:rFonts w:ascii="Times New Roman" w:cs="Times New Roman" w:eastAsia="Times New Roman" w:hAnsi="Times New Roman"/>
          <w:sz w:val="15"/>
          <w:szCs w:val="15"/>
          <w:color w:val="auto"/>
        </w:rPr>
        <w:t xml:space="preserve">In December 2023, the Financial Accounting Standards Board (the </w:t>
      </w:r>
      <w:r>
        <w:rPr>
          <w:rFonts w:ascii="Times New Roman" w:cs="Times New Roman" w:eastAsia="Times New Roman" w:hAnsi="Times New Roman"/>
          <w:sz w:val="15"/>
          <w:szCs w:val="15"/>
          <w:b w:val="1"/>
          <w:bCs w:val="1"/>
          <w:color w:val="auto"/>
        </w:rPr>
        <w:t>FASB</w:t>
      </w:r>
      <w:r>
        <w:rPr>
          <w:rFonts w:ascii="Times New Roman" w:cs="Times New Roman" w:eastAsia="Times New Roman" w:hAnsi="Times New Roman"/>
          <w:sz w:val="15"/>
          <w:szCs w:val="15"/>
          <w:color w:val="auto"/>
        </w:rPr>
        <w:t>) issued Accounting Standards Update (</w:t>
      </w:r>
      <w:r>
        <w:rPr>
          <w:rFonts w:ascii="Times New Roman" w:cs="Times New Roman" w:eastAsia="Times New Roman" w:hAnsi="Times New Roman"/>
          <w:sz w:val="15"/>
          <w:szCs w:val="15"/>
          <w:b w:val="1"/>
          <w:bCs w:val="1"/>
          <w:color w:val="auto"/>
        </w:rPr>
        <w:t>ASU</w:t>
      </w:r>
      <w:r>
        <w:rPr>
          <w:rFonts w:ascii="Times New Roman" w:cs="Times New Roman" w:eastAsia="Times New Roman" w:hAnsi="Times New Roman"/>
          <w:sz w:val="15"/>
          <w:szCs w:val="15"/>
          <w:color w:val="auto"/>
        </w:rPr>
        <w:t xml:space="preserve">) No. 2023-09, </w:t>
      </w:r>
      <w:r>
        <w:rPr>
          <w:rFonts w:ascii="Times New Roman" w:cs="Times New Roman" w:eastAsia="Times New Roman" w:hAnsi="Times New Roman"/>
          <w:sz w:val="15"/>
          <w:szCs w:val="15"/>
          <w:i w:val="1"/>
          <w:iCs w:val="1"/>
          <w:color w:val="auto"/>
        </w:rPr>
        <w:t>Improvements to Income Tax Disclosures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ASU 2023-09</w:t>
      </w:r>
      <w:r>
        <w:rPr>
          <w:rFonts w:ascii="Times New Roman" w:cs="Times New Roman" w:eastAsia="Times New Roman" w:hAnsi="Times New Roman"/>
          <w:sz w:val="15"/>
          <w:szCs w:val="15"/>
          <w:color w:val="auto"/>
        </w:rPr>
        <w:t>), which is intended to enhance the transparency of income tax matters within financial statements, providing stakeholders with a clearer understanding of tax positions and their associated risks and uncertainties. ASU 2023-09 requires public business entities to disclose, on an annual basis, specific categories in the rate reconciliation and provide additional information for reconciling items that meet a specific quantitative threshold. We adopted ASU 2023-09 on January 1, 2025 on a retrospective basis, and will provide revised disclosures for all periods presented in our 2025 Annual Report on Form 10-K. For additional information concerning our income taxes, see note 11.</w:t>
      </w:r>
    </w:p>
    <w:p>
      <w:pPr>
        <w:spacing w:after="0" w:line="171"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i w:val="1"/>
          <w:iCs w:val="1"/>
          <w:color w:val="auto"/>
        </w:rPr>
        <w:t>ASU 2023-07</w:t>
      </w:r>
    </w:p>
    <w:p>
      <w:pPr>
        <w:spacing w:after="0" w:line="221" w:lineRule="exact"/>
        <w:rPr>
          <w:sz w:val="20"/>
          <w:szCs w:val="20"/>
          <w:color w:val="auto"/>
        </w:rPr>
      </w:pPr>
    </w:p>
    <w:p>
      <w:pPr>
        <w:jc w:val="both"/>
        <w:ind w:left="7" w:firstLine="278"/>
        <w:spacing w:after="0" w:line="266" w:lineRule="auto"/>
        <w:rPr>
          <w:sz w:val="20"/>
          <w:szCs w:val="20"/>
          <w:color w:val="auto"/>
        </w:rPr>
      </w:pPr>
      <w:r>
        <w:rPr>
          <w:rFonts w:ascii="Times New Roman" w:cs="Times New Roman" w:eastAsia="Times New Roman" w:hAnsi="Times New Roman"/>
          <w:sz w:val="15"/>
          <w:szCs w:val="15"/>
          <w:color w:val="auto"/>
        </w:rPr>
        <w:t xml:space="preserve">In November 2023, the FASB issued ASU No. 2023-07, </w:t>
      </w:r>
      <w:r>
        <w:rPr>
          <w:rFonts w:ascii="Times New Roman" w:cs="Times New Roman" w:eastAsia="Times New Roman" w:hAnsi="Times New Roman"/>
          <w:sz w:val="15"/>
          <w:szCs w:val="15"/>
          <w:i w:val="1"/>
          <w:iCs w:val="1"/>
          <w:color w:val="auto"/>
        </w:rPr>
        <w:t>Improvements to Reportable Segment Disclosures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ASU 2023-07</w:t>
      </w:r>
      <w:r>
        <w:rPr>
          <w:rFonts w:ascii="Times New Roman" w:cs="Times New Roman" w:eastAsia="Times New Roman" w:hAnsi="Times New Roman"/>
          <w:sz w:val="15"/>
          <w:szCs w:val="15"/>
          <w:color w:val="auto"/>
        </w:rPr>
        <w:t>), which aims to improve reportable segment disclosure requirements, primarily through enhanced disclosures regarding significant segment expenses. ASU 2023-07 requires public companies to disclose, on an annual and interim basis, significant segment expenses that are regularly provided to the chief operating decision maker and included within each reported measure of segment profit or loss. ASU 2023-07 also requires a public entity to disclose, on an annual and interim basis for each reportable segment, an amount for other segment items and a description of its composition. ASU 2023-07 is effective for fiscal years beginning after December 15, 2023 and is required to be applied on a retrospective basis. We adopted ASU 2023-07 on January 1, 2024, and the information presented in note 16 reflects the enhanced disclosures.</w:t>
      </w:r>
    </w:p>
    <w:p>
      <w:pPr>
        <w:spacing w:after="0" w:line="173"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i w:val="1"/>
          <w:iCs w:val="1"/>
          <w:color w:val="auto"/>
        </w:rPr>
        <w:t>ASU 2023-05</w:t>
      </w:r>
    </w:p>
    <w:p>
      <w:pPr>
        <w:spacing w:after="0" w:line="221" w:lineRule="exact"/>
        <w:rPr>
          <w:sz w:val="20"/>
          <w:szCs w:val="20"/>
          <w:color w:val="auto"/>
        </w:rPr>
      </w:pPr>
    </w:p>
    <w:p>
      <w:pPr>
        <w:jc w:val="both"/>
        <w:ind w:left="7" w:firstLine="278"/>
        <w:spacing w:after="0" w:line="279" w:lineRule="auto"/>
        <w:rPr>
          <w:sz w:val="20"/>
          <w:szCs w:val="20"/>
          <w:color w:val="auto"/>
        </w:rPr>
      </w:pPr>
      <w:r>
        <w:rPr>
          <w:rFonts w:ascii="Times New Roman" w:cs="Times New Roman" w:eastAsia="Times New Roman" w:hAnsi="Times New Roman"/>
          <w:sz w:val="15"/>
          <w:szCs w:val="15"/>
          <w:color w:val="auto"/>
        </w:rPr>
        <w:t>In August 2023, the FASB issued ASU No. 2023-05</w:t>
      </w:r>
      <w:r>
        <w:rPr>
          <w:rFonts w:ascii="Times New Roman" w:cs="Times New Roman" w:eastAsia="Times New Roman" w:hAnsi="Times New Roman"/>
          <w:sz w:val="15"/>
          <w:szCs w:val="15"/>
          <w:i w:val="1"/>
          <w:iCs w:val="1"/>
          <w:color w:val="auto"/>
        </w:rPr>
        <w:t>, Business Combinations — Joint Venture Formations: Recognition and Initial Measurement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ASU 2023-05</w:t>
      </w:r>
      <w:r>
        <w:rPr>
          <w:rFonts w:ascii="Times New Roman" w:cs="Times New Roman" w:eastAsia="Times New Roman" w:hAnsi="Times New Roman"/>
          <w:sz w:val="15"/>
          <w:szCs w:val="15"/>
          <w:color w:val="auto"/>
        </w:rPr>
        <w:t>), which outlines updates to the formation of entities that meet the definition of a joint venture as defined by the FASB. ASU 2023-05 requires a joint venture to measure its assets and liabilities at fair value upon formation. We adopted ASU 2023-05 on January 1, 2025.</w:t>
      </w:r>
    </w:p>
    <w:p>
      <w:pPr>
        <w:spacing w:after="0" w:line="162"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Recent Accounting Pronouncements</w:t>
      </w:r>
    </w:p>
    <w:p>
      <w:pPr>
        <w:spacing w:after="0" w:line="221"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i w:val="1"/>
          <w:iCs w:val="1"/>
          <w:color w:val="auto"/>
        </w:rPr>
        <w:t>ASU 2025-06</w:t>
      </w:r>
    </w:p>
    <w:p>
      <w:pPr>
        <w:spacing w:after="0" w:line="221" w:lineRule="exact"/>
        <w:rPr>
          <w:sz w:val="20"/>
          <w:szCs w:val="20"/>
          <w:color w:val="auto"/>
        </w:rPr>
      </w:pPr>
    </w:p>
    <w:p>
      <w:pPr>
        <w:jc w:val="both"/>
        <w:ind w:left="7" w:firstLine="278"/>
        <w:spacing w:after="0" w:line="266" w:lineRule="auto"/>
        <w:rPr>
          <w:sz w:val="20"/>
          <w:szCs w:val="20"/>
          <w:color w:val="auto"/>
        </w:rPr>
      </w:pPr>
      <w:r>
        <w:rPr>
          <w:rFonts w:ascii="Times New Roman" w:cs="Times New Roman" w:eastAsia="Times New Roman" w:hAnsi="Times New Roman"/>
          <w:sz w:val="15"/>
          <w:szCs w:val="15"/>
          <w:color w:val="auto"/>
        </w:rPr>
        <w:t xml:space="preserve">In September 2025, the FASB issued ASU No. 2025-06, </w:t>
      </w:r>
      <w:r>
        <w:rPr>
          <w:rFonts w:ascii="Times New Roman" w:cs="Times New Roman" w:eastAsia="Times New Roman" w:hAnsi="Times New Roman"/>
          <w:sz w:val="15"/>
          <w:szCs w:val="15"/>
          <w:i w:val="1"/>
          <w:iCs w:val="1"/>
          <w:color w:val="auto"/>
        </w:rPr>
        <w:t>Intangibles—Goodwill and Other—Internal-Use Software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ASU 2025-06</w:t>
      </w:r>
      <w:r>
        <w:rPr>
          <w:rFonts w:ascii="Times New Roman" w:cs="Times New Roman" w:eastAsia="Times New Roman" w:hAnsi="Times New Roman"/>
          <w:sz w:val="15"/>
          <w:szCs w:val="15"/>
          <w:color w:val="auto"/>
        </w:rPr>
        <w:t>), which revises the guidance for capitalizing costs related to internal-use software. The amendments replace the prior stage-based model with a principles-based approach, removing all references to project stages and instead focusing on the two remaining criteria for capitalization, being (i) management has authorized and committed to the funding for the software project and (ii) it is probable a project will be completed and used as intended. Until both of these criteria are met, all software development costs should be expensed as incurred. ASU 2025-06 is effective for annual and interim periods beginning after December 15, 2027, with early adoption permitted. Entities may apply the amendments prospectively, retrospectively or using a modified retrospective approach. We are currently evaluating the impact of ASU 2025-06 on our consolidated financial statements, but we do not expect the impact to be significant.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13" w:name="page14"/>
    <w:bookmarkEnd w:id="13"/>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4"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i w:val="1"/>
          <w:iCs w:val="1"/>
          <w:color w:val="auto"/>
        </w:rPr>
        <w:t>ASU 2025-05</w:t>
      </w:r>
    </w:p>
    <w:p>
      <w:pPr>
        <w:spacing w:after="0" w:line="221" w:lineRule="exact"/>
        <w:rPr>
          <w:sz w:val="20"/>
          <w:szCs w:val="20"/>
          <w:color w:val="auto"/>
        </w:rPr>
      </w:pPr>
    </w:p>
    <w:p>
      <w:pPr>
        <w:jc w:val="both"/>
        <w:ind w:left="7" w:firstLine="278"/>
        <w:spacing w:after="0" w:line="267" w:lineRule="auto"/>
        <w:rPr>
          <w:sz w:val="20"/>
          <w:szCs w:val="20"/>
          <w:color w:val="auto"/>
        </w:rPr>
      </w:pPr>
      <w:r>
        <w:rPr>
          <w:rFonts w:ascii="Times New Roman" w:cs="Times New Roman" w:eastAsia="Times New Roman" w:hAnsi="Times New Roman"/>
          <w:sz w:val="15"/>
          <w:szCs w:val="15"/>
          <w:color w:val="auto"/>
        </w:rPr>
        <w:t xml:space="preserve">In July 2025, the FASB issued ASU No. 2025-05, </w:t>
      </w:r>
      <w:r>
        <w:rPr>
          <w:rFonts w:ascii="Times New Roman" w:cs="Times New Roman" w:eastAsia="Times New Roman" w:hAnsi="Times New Roman"/>
          <w:sz w:val="15"/>
          <w:szCs w:val="15"/>
          <w:i w:val="1"/>
          <w:iCs w:val="1"/>
          <w:color w:val="auto"/>
        </w:rPr>
        <w:t>Measurement of Credit Losses for Accounts Receivable and Contract Assets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ASU 2025-05</w:t>
      </w:r>
      <w:r>
        <w:rPr>
          <w:rFonts w:ascii="Times New Roman" w:cs="Times New Roman" w:eastAsia="Times New Roman" w:hAnsi="Times New Roman"/>
          <w:sz w:val="15"/>
          <w:szCs w:val="15"/>
          <w:color w:val="auto"/>
        </w:rPr>
        <w:t>), which provides a practical expedient for all entities to assume current conditions as of the balance sheet date will remain through the reasonable and supportable forecast period for eligible assets. Entities will continue to be required to adjust the historical data used in the estimation of credit losses to reflect current conditions. If elected, the practical expedient should be applied consistently to all eligible accounts receivable and contract assets. Additionally, entities that have elected the practical expedient must disclose their decision to do so. ASU 2025-05 is effective for annual and interim periods beginning after December 15, 2025 and should be applied prospectively. We are currently evaluating the impact of ASU 2025-05 on our consolidated financial statements.</w:t>
      </w:r>
    </w:p>
    <w:p>
      <w:pPr>
        <w:spacing w:after="0" w:line="360"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i w:val="1"/>
          <w:iCs w:val="1"/>
          <w:color w:val="auto"/>
        </w:rPr>
        <w:t>ASU 2025-03</w:t>
      </w:r>
    </w:p>
    <w:p>
      <w:pPr>
        <w:spacing w:after="0" w:line="221" w:lineRule="exact"/>
        <w:rPr>
          <w:sz w:val="20"/>
          <w:szCs w:val="20"/>
          <w:color w:val="auto"/>
        </w:rPr>
      </w:pPr>
    </w:p>
    <w:p>
      <w:pPr>
        <w:jc w:val="both"/>
        <w:ind w:left="7" w:firstLine="278"/>
        <w:spacing w:after="0" w:line="268" w:lineRule="auto"/>
        <w:rPr>
          <w:sz w:val="20"/>
          <w:szCs w:val="20"/>
          <w:color w:val="auto"/>
        </w:rPr>
      </w:pPr>
      <w:r>
        <w:rPr>
          <w:rFonts w:ascii="Times New Roman" w:cs="Times New Roman" w:eastAsia="Times New Roman" w:hAnsi="Times New Roman"/>
          <w:sz w:val="15"/>
          <w:szCs w:val="15"/>
          <w:color w:val="auto"/>
        </w:rPr>
        <w:t xml:space="preserve">In May 2025, the FASB issued ASU No. 2025-03, </w:t>
      </w:r>
      <w:r>
        <w:rPr>
          <w:rFonts w:ascii="Times New Roman" w:cs="Times New Roman" w:eastAsia="Times New Roman" w:hAnsi="Times New Roman"/>
          <w:sz w:val="15"/>
          <w:szCs w:val="15"/>
          <w:i w:val="1"/>
          <w:iCs w:val="1"/>
          <w:color w:val="auto"/>
        </w:rPr>
        <w:t>Business Combinations and Consolidation: Determining the Accounting Acquirer in the Acquistion of a Variable Interest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Entity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ASU 2025-03</w:t>
      </w:r>
      <w:r>
        <w:rPr>
          <w:rFonts w:ascii="Times New Roman" w:cs="Times New Roman" w:eastAsia="Times New Roman" w:hAnsi="Times New Roman"/>
          <w:sz w:val="15"/>
          <w:szCs w:val="15"/>
          <w:color w:val="auto"/>
        </w:rPr>
        <w:t>), which clarifies the requirements for identifying the accounting acquirer when a variable interest entity (</w:t>
      </w:r>
      <w:r>
        <w:rPr>
          <w:rFonts w:ascii="Times New Roman" w:cs="Times New Roman" w:eastAsia="Times New Roman" w:hAnsi="Times New Roman"/>
          <w:sz w:val="15"/>
          <w:szCs w:val="15"/>
          <w:b w:val="1"/>
          <w:bCs w:val="1"/>
          <w:color w:val="auto"/>
        </w:rPr>
        <w:t>VIE</w:t>
      </w:r>
      <w:r>
        <w:rPr>
          <w:rFonts w:ascii="Times New Roman" w:cs="Times New Roman" w:eastAsia="Times New Roman" w:hAnsi="Times New Roman"/>
          <w:sz w:val="15"/>
          <w:szCs w:val="15"/>
          <w:color w:val="auto"/>
        </w:rPr>
        <w:t>) that qualifies as a business is acquired primarily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through an exchange of equity interests. This amendment does not change the existing guidance for acquisitions of VIEs that are not considered businesses. ASU 2025-03 is effective for annual and interim periods beginning after December 15, 2026, with early adoption permitted. ASU 2025-03 should be applied prospectively to all business combinations with acquisition dates occurring on or after the date of initial application. We do not expect ASU 2025-03 to have a significant impact on our consolidated financial statements.</w:t>
      </w:r>
    </w:p>
    <w:p>
      <w:pPr>
        <w:spacing w:after="0" w:line="171"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i w:val="1"/>
          <w:iCs w:val="1"/>
          <w:color w:val="auto"/>
        </w:rPr>
        <w:t>ASU 2024-03</w:t>
      </w:r>
    </w:p>
    <w:p>
      <w:pPr>
        <w:spacing w:after="0" w:line="221" w:lineRule="exact"/>
        <w:rPr>
          <w:sz w:val="20"/>
          <w:szCs w:val="20"/>
          <w:color w:val="auto"/>
        </w:rPr>
      </w:pPr>
    </w:p>
    <w:p>
      <w:pPr>
        <w:jc w:val="both"/>
        <w:ind w:left="7" w:firstLine="278"/>
        <w:spacing w:after="0" w:line="270" w:lineRule="auto"/>
        <w:rPr>
          <w:sz w:val="20"/>
          <w:szCs w:val="20"/>
          <w:color w:val="auto"/>
        </w:rPr>
      </w:pPr>
      <w:r>
        <w:rPr>
          <w:rFonts w:ascii="Times New Roman" w:cs="Times New Roman" w:eastAsia="Times New Roman" w:hAnsi="Times New Roman"/>
          <w:sz w:val="15"/>
          <w:szCs w:val="15"/>
          <w:color w:val="auto"/>
        </w:rPr>
        <w:t xml:space="preserve">In November 2024, the FASB issued ASU No. 2024-03, </w:t>
      </w:r>
      <w:r>
        <w:rPr>
          <w:rFonts w:ascii="Times New Roman" w:cs="Times New Roman" w:eastAsia="Times New Roman" w:hAnsi="Times New Roman"/>
          <w:sz w:val="15"/>
          <w:szCs w:val="15"/>
          <w:i w:val="1"/>
          <w:iCs w:val="1"/>
          <w:color w:val="auto"/>
        </w:rPr>
        <w:t>Disaggregation of Income Statement Expenses (DISE)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ASU 2024-03</w:t>
      </w:r>
      <w:r>
        <w:rPr>
          <w:rFonts w:ascii="Times New Roman" w:cs="Times New Roman" w:eastAsia="Times New Roman" w:hAnsi="Times New Roman"/>
          <w:sz w:val="15"/>
          <w:szCs w:val="15"/>
          <w:color w:val="auto"/>
        </w:rPr>
        <w:t>), which requires disclosure of certain categories of expenses such as the purchase of inventory, employee compensation, depreciation and intangible asset amortization that are components of existing expense captions presented on the face of the income statement. ASU 2024-03 is effective for annual periods beginning after December 15, 2026 and interim periods beginning after December 15, 2027, with early adoption permitted. ASU 2024-03 should be applied prospectively, however, retrospective application is permitted. We are currently evaluating the impact of ASU 2024-03 on our disclosures.</w:t>
      </w:r>
    </w:p>
    <w:p>
      <w:pPr>
        <w:spacing w:after="0" w:line="358" w:lineRule="exact"/>
        <w:rPr>
          <w:sz w:val="20"/>
          <w:szCs w:val="20"/>
          <w:color w:val="auto"/>
        </w:rPr>
      </w:pPr>
    </w:p>
    <w:p>
      <w:pPr>
        <w:ind w:left="327" w:hanging="327"/>
        <w:spacing w:after="0"/>
        <w:tabs>
          <w:tab w:leader="none" w:pos="327" w:val="left"/>
        </w:tabs>
        <w:numPr>
          <w:ilvl w:val="0"/>
          <w:numId w:val="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Revenue Recognition and Related Costs</w:t>
      </w:r>
    </w:p>
    <w:p>
      <w:pPr>
        <w:spacing w:after="0" w:line="221"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Contract Balances</w:t>
      </w:r>
    </w:p>
    <w:p>
      <w:pPr>
        <w:spacing w:after="0" w:line="225" w:lineRule="exact"/>
        <w:rPr>
          <w:sz w:val="20"/>
          <w:szCs w:val="20"/>
          <w:color w:val="auto"/>
        </w:rPr>
      </w:pPr>
    </w:p>
    <w:p>
      <w:pPr>
        <w:jc w:val="both"/>
        <w:ind w:left="7" w:right="20" w:firstLine="278"/>
        <w:spacing w:after="0" w:line="264" w:lineRule="auto"/>
        <w:rPr>
          <w:sz w:val="20"/>
          <w:szCs w:val="20"/>
          <w:color w:val="auto"/>
        </w:rPr>
      </w:pPr>
      <w:r>
        <w:rPr>
          <w:rFonts w:ascii="Times New Roman" w:cs="Times New Roman" w:eastAsia="Times New Roman" w:hAnsi="Times New Roman"/>
          <w:sz w:val="15"/>
          <w:szCs w:val="15"/>
          <w:color w:val="auto"/>
        </w:rPr>
        <w:t>The timing of our recognition of revenue may differ from the timing of invoicing our customers. We record a trade receivable when we have transferred goods or services to a customer but have not yet received payment. Our trade receivables are reported net of an allowance for doubtful accounts. Such allowance aggregated $34.5 million and $20.5 million at September 30, 2025 and December 31, 2024, respectively.</w:t>
      </w:r>
    </w:p>
    <w:p>
      <w:pPr>
        <w:spacing w:after="0" w:line="1" w:lineRule="exact"/>
        <w:rPr>
          <w:sz w:val="20"/>
          <w:szCs w:val="20"/>
          <w:color w:val="auto"/>
        </w:rPr>
      </w:pPr>
    </w:p>
    <w:p>
      <w:pPr>
        <w:jc w:val="both"/>
        <w:ind w:left="7" w:firstLine="278"/>
        <w:spacing w:after="0" w:line="257" w:lineRule="auto"/>
        <w:rPr>
          <w:sz w:val="20"/>
          <w:szCs w:val="20"/>
          <w:color w:val="auto"/>
        </w:rPr>
      </w:pPr>
      <w:r>
        <w:rPr>
          <w:rFonts w:ascii="Times New Roman" w:cs="Times New Roman" w:eastAsia="Times New Roman" w:hAnsi="Times New Roman"/>
          <w:sz w:val="15"/>
          <w:szCs w:val="15"/>
          <w:color w:val="auto"/>
        </w:rPr>
        <w:t>If we transfer goods or services to a customer but do not have an unconditional right to payment, we record a contract asset. Contract assets typically arise from the uniform recognition of introductory promotional discounts over the contract period and accrued revenue for handset sales. Our contract assets were $11.1 million and $9.4 million as of September 30, 2025 and December 31, 2024, respectively. The current and long-term portions of our contract asset balances are included within other current assets and other assets, net, respectively, on our condensed consolidated balance sheets.</w:t>
      </w:r>
    </w:p>
    <w:p>
      <w:pPr>
        <w:spacing w:after="0" w:line="2" w:lineRule="exact"/>
        <w:rPr>
          <w:sz w:val="20"/>
          <w:szCs w:val="20"/>
          <w:color w:val="auto"/>
        </w:rPr>
      </w:pPr>
    </w:p>
    <w:p>
      <w:pPr>
        <w:jc w:val="both"/>
        <w:ind w:left="7" w:right="20" w:firstLine="278"/>
        <w:spacing w:after="0" w:line="262" w:lineRule="auto"/>
        <w:rPr>
          <w:sz w:val="20"/>
          <w:szCs w:val="20"/>
          <w:color w:val="auto"/>
        </w:rPr>
      </w:pPr>
      <w:r>
        <w:rPr>
          <w:rFonts w:ascii="Times New Roman" w:cs="Times New Roman" w:eastAsia="Times New Roman" w:hAnsi="Times New Roman"/>
          <w:sz w:val="15"/>
          <w:szCs w:val="15"/>
          <w:color w:val="auto"/>
        </w:rPr>
        <w:t>We record deferred revenue when we receive payment prior to transferring goods or services to a customer. We primarily defer revenue for (i) installation and other upfront services and (ii) other services that are invoiced prior to when services are provided. Our deferred revenue balances were $290.6 million and $289.5 million as of September 30, 2025 and December 31, 2024, respectively. The increase in deferred revenue for the nine months ended September 30, 2025 is primarily due to the net effect of (a) the recognition of $286.9 million of revenue that was included in our deferred revenue balance at December 31, 2024 and (b) the impact of additions during the period. The long-term portions of our deferred revenue balances are included within other long-term liabilities on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14" w:name="page15"/>
    <w:bookmarkEnd w:id="14"/>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4"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Unsatisfied Performance Obligations</w:t>
      </w:r>
    </w:p>
    <w:p>
      <w:pPr>
        <w:spacing w:after="0" w:line="225" w:lineRule="exact"/>
        <w:rPr>
          <w:sz w:val="20"/>
          <w:szCs w:val="20"/>
          <w:color w:val="auto"/>
        </w:rPr>
      </w:pPr>
    </w:p>
    <w:p>
      <w:pPr>
        <w:jc w:val="both"/>
        <w:ind w:left="7" w:firstLine="278"/>
        <w:spacing w:after="0" w:line="270" w:lineRule="auto"/>
        <w:rPr>
          <w:sz w:val="20"/>
          <w:szCs w:val="20"/>
          <w:color w:val="auto"/>
        </w:rPr>
      </w:pPr>
      <w:r>
        <w:rPr>
          <w:rFonts w:ascii="Times New Roman" w:cs="Times New Roman" w:eastAsia="Times New Roman" w:hAnsi="Times New Roman"/>
          <w:sz w:val="15"/>
          <w:szCs w:val="15"/>
          <w:color w:val="auto"/>
        </w:rPr>
        <w:t>A significant portion of our revenue is derived from subscription service contracts with an initial duration of less than 12 months. As such, the amount of revenue related to unsatisfied performance obligations is not necessarily indicative of future revenue to be recognized from our existing customers. Revenue from customers who are subject to contracts is generally recognized over the term of such contracts, which is typically 12 months for our residential service contracts, one to three years for our mobile service contracts and one to five years for our B2B service contracts. The average remaining contractual term for B2B non-subscription services is approximately three years.</w:t>
      </w:r>
    </w:p>
    <w:p>
      <w:pPr>
        <w:spacing w:after="0" w:line="169" w:lineRule="exact"/>
        <w:rPr>
          <w:sz w:val="20"/>
          <w:szCs w:val="20"/>
          <w:color w:val="auto"/>
        </w:rPr>
      </w:pPr>
    </w:p>
    <w:p>
      <w:pPr>
        <w:ind w:left="327" w:hanging="327"/>
        <w:spacing w:after="0"/>
        <w:tabs>
          <w:tab w:leader="none" w:pos="327" w:val="left"/>
        </w:tabs>
        <w:numPr>
          <w:ilvl w:val="0"/>
          <w:numId w:val="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Acquisitions and Dispositions</w:t>
      </w:r>
    </w:p>
    <w:p>
      <w:pPr>
        <w:spacing w:after="0" w:line="221"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Formula E Acquisition</w:t>
      </w:r>
    </w:p>
    <w:p>
      <w:pPr>
        <w:spacing w:after="0" w:line="221" w:lineRule="exact"/>
        <w:rPr>
          <w:sz w:val="20"/>
          <w:szCs w:val="20"/>
          <w:color w:val="auto"/>
        </w:rPr>
      </w:pPr>
    </w:p>
    <w:p>
      <w:pPr>
        <w:jc w:val="both"/>
        <w:ind w:left="7" w:firstLine="278"/>
        <w:spacing w:after="0" w:line="270" w:lineRule="auto"/>
        <w:rPr>
          <w:sz w:val="20"/>
          <w:szCs w:val="20"/>
          <w:color w:val="auto"/>
        </w:rPr>
      </w:pPr>
      <w:r>
        <w:rPr>
          <w:rFonts w:ascii="Times New Roman" w:cs="Times New Roman" w:eastAsia="Times New Roman" w:hAnsi="Times New Roman"/>
          <w:sz w:val="15"/>
          <w:szCs w:val="15"/>
          <w:color w:val="auto"/>
        </w:rPr>
        <w:t xml:space="preserve">On October 2, 2024 (the </w:t>
      </w:r>
      <w:r>
        <w:rPr>
          <w:rFonts w:ascii="Times New Roman" w:cs="Times New Roman" w:eastAsia="Times New Roman" w:hAnsi="Times New Roman"/>
          <w:sz w:val="15"/>
          <w:szCs w:val="15"/>
          <w:b w:val="1"/>
          <w:bCs w:val="1"/>
          <w:color w:val="auto"/>
        </w:rPr>
        <w:t>Formula E Acquisition Date</w:t>
      </w:r>
      <w:r>
        <w:rPr>
          <w:rFonts w:ascii="Times New Roman" w:cs="Times New Roman" w:eastAsia="Times New Roman" w:hAnsi="Times New Roman"/>
          <w:sz w:val="15"/>
          <w:szCs w:val="15"/>
          <w:color w:val="auto"/>
        </w:rPr>
        <w:t>), we gained control of Formula E through the acquisition of the Formula E shares held by Warner Bros. Discovery, Inc. (</w:t>
      </w:r>
      <w:r>
        <w:rPr>
          <w:rFonts w:ascii="Times New Roman" w:cs="Times New Roman" w:eastAsia="Times New Roman" w:hAnsi="Times New Roman"/>
          <w:sz w:val="15"/>
          <w:szCs w:val="15"/>
          <w:b w:val="1"/>
          <w:bCs w:val="1"/>
          <w:color w:val="auto"/>
        </w:rPr>
        <w:t>Warner Bros. Discovery</w:t>
      </w:r>
      <w:r>
        <w:rPr>
          <w:rFonts w:ascii="Times New Roman" w:cs="Times New Roman" w:eastAsia="Times New Roman" w:hAnsi="Times New Roman"/>
          <w:sz w:val="15"/>
          <w:szCs w:val="15"/>
          <w:color w:val="auto"/>
        </w:rPr>
        <w:t xml:space="preserve">) and certain other minority shareholders, which increased our ownership interest in Formula E from 38.2% to 65.6% (the </w:t>
      </w:r>
      <w:r>
        <w:rPr>
          <w:rFonts w:ascii="Times New Roman" w:cs="Times New Roman" w:eastAsia="Times New Roman" w:hAnsi="Times New Roman"/>
          <w:sz w:val="15"/>
          <w:szCs w:val="15"/>
          <w:b w:val="1"/>
          <w:bCs w:val="1"/>
          <w:color w:val="auto"/>
        </w:rPr>
        <w:t>Formula E Acquisition</w:t>
      </w:r>
      <w:r>
        <w:rPr>
          <w:rFonts w:ascii="Times New Roman" w:cs="Times New Roman" w:eastAsia="Times New Roman" w:hAnsi="Times New Roman"/>
          <w:sz w:val="15"/>
          <w:szCs w:val="15"/>
          <w:color w:val="auto"/>
        </w:rPr>
        <w:t>). The purchase price for these additional shares totaled €150.0 million ($165.7 million at the transaction date). We also acquired Warner Bros. Discovery’s €50.0 million ($55.6 million at the transaction date) shareholder loan to Formula E upon closing of the transaction. Liberty Global began consolidating 100% of Formula E’s results from the Formula E Acquisition Date.</w:t>
      </w:r>
    </w:p>
    <w:p>
      <w:pPr>
        <w:spacing w:after="0" w:line="362" w:lineRule="exact"/>
        <w:rPr>
          <w:sz w:val="20"/>
          <w:szCs w:val="20"/>
          <w:color w:val="auto"/>
        </w:rPr>
      </w:pPr>
    </w:p>
    <w:p>
      <w:pPr>
        <w:jc w:val="both"/>
        <w:ind w:left="7" w:right="20" w:firstLine="278"/>
        <w:spacing w:after="0" w:line="276" w:lineRule="auto"/>
        <w:rPr>
          <w:sz w:val="20"/>
          <w:szCs w:val="20"/>
          <w:color w:val="auto"/>
        </w:rPr>
      </w:pPr>
      <w:r>
        <w:rPr>
          <w:rFonts w:ascii="Times New Roman" w:cs="Times New Roman" w:eastAsia="Times New Roman" w:hAnsi="Times New Roman"/>
          <w:sz w:val="15"/>
          <w:szCs w:val="15"/>
          <w:color w:val="auto"/>
        </w:rPr>
        <w:t>We have accounted for the Formula E Acquisition as a business combination using the acquisition method of accounting, whereby the total purchase price was allocated to the acquired identifiable net assets of Formula E based on assessments of their respective fair values, and the excess of the purchase price over the fair values of these identifiable net assets was allocated to goodwill.</w:t>
      </w:r>
    </w:p>
    <w:p>
      <w:pPr>
        <w:spacing w:after="0" w:line="169" w:lineRule="exact"/>
        <w:rPr>
          <w:sz w:val="20"/>
          <w:szCs w:val="20"/>
          <w:color w:val="auto"/>
        </w:rPr>
      </w:pPr>
    </w:p>
    <w:tbl>
      <w:tblPr>
        <w:tblLayout w:type="fixed"/>
        <w:tblInd w:w="7" w:type="dxa"/>
        <w:tblCellMar>
          <w:top w:w="0" w:type="dxa"/>
          <w:left w:w="0" w:type="dxa"/>
          <w:bottom w:w="0" w:type="dxa"/>
          <w:right w:w="0" w:type="dxa"/>
        </w:tblCellMar>
      </w:tblPr>
      <w:tr>
        <w:trPr>
          <w:trHeight w:val="199"/>
        </w:trPr>
        <w:tc>
          <w:tcPr>
            <w:tcW w:w="97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The following table summarizes the fair value of consideration transferred as part of the Formula E Acquisition (in millions):</w:t>
            </w: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9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9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Purchase consideration (a)</w:t>
            </w:r>
          </w:p>
        </w:tc>
        <w:tc>
          <w:tcPr>
            <w:tcW w:w="620" w:type="dxa"/>
            <w:vAlign w:val="bottom"/>
            <w:tcBorders>
              <w:bottom w:val="single" w:sz="8" w:color="auto"/>
            </w:tcBorders>
            <w:shd w:val="clear" w:color="auto" w:fill="CCEEFF"/>
          </w:tcPr>
          <w:p>
            <w:pPr>
              <w:jc w:val="right"/>
              <w:ind w:right="44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221.3</w:t>
            </w:r>
          </w:p>
        </w:tc>
        <w:tc>
          <w:tcPr>
            <w:tcW w:w="0" w:type="dxa"/>
            <w:vAlign w:val="bottom"/>
          </w:tcPr>
          <w:p>
            <w:pPr>
              <w:spacing w:after="0"/>
              <w:rPr>
                <w:sz w:val="1"/>
                <w:szCs w:val="1"/>
                <w:color w:val="auto"/>
              </w:rPr>
            </w:pP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72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Fair value of pre-existing investment in Formula E (b)</w:t>
            </w:r>
          </w:p>
        </w:tc>
        <w:tc>
          <w:tcPr>
            <w:tcW w:w="620" w:type="dxa"/>
            <w:vAlign w:val="bottom"/>
            <w:tcBorders>
              <w:bottom w:val="single" w:sz="8" w:color="auto"/>
            </w:tcBorders>
          </w:tcPr>
          <w:p>
            <w:pPr>
              <w:jc w:val="right"/>
              <w:ind w:right="443"/>
              <w:spacing w:after="0" w:line="163"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316.6</w:t>
            </w:r>
          </w:p>
        </w:tc>
        <w:tc>
          <w:tcPr>
            <w:tcW w:w="0" w:type="dxa"/>
            <w:vAlign w:val="bottom"/>
          </w:tcPr>
          <w:p>
            <w:pPr>
              <w:spacing w:after="0"/>
              <w:rPr>
                <w:sz w:val="1"/>
                <w:szCs w:val="1"/>
                <w:color w:val="auto"/>
              </w:rPr>
            </w:pPr>
          </w:p>
        </w:tc>
      </w:tr>
      <w:tr>
        <w:trPr>
          <w:trHeight w:val="20"/>
        </w:trPr>
        <w:tc>
          <w:tcPr>
            <w:tcW w:w="97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Fair value of the noncontrolling interest in Formula E (c)</w:t>
            </w:r>
          </w:p>
        </w:tc>
        <w:tc>
          <w:tcPr>
            <w:tcW w:w="620" w:type="dxa"/>
            <w:vAlign w:val="bottom"/>
            <w:tcBorders>
              <w:bottom w:val="single" w:sz="8" w:color="auto"/>
            </w:tcBorders>
            <w:shd w:val="clear" w:color="auto" w:fill="CCEEFF"/>
          </w:tcPr>
          <w:p>
            <w:pPr>
              <w:jc w:val="right"/>
              <w:ind w:right="44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209.0</w:t>
            </w:r>
          </w:p>
        </w:tc>
        <w:tc>
          <w:tcPr>
            <w:tcW w:w="0" w:type="dxa"/>
            <w:vAlign w:val="bottom"/>
          </w:tcPr>
          <w:p>
            <w:pPr>
              <w:spacing w:after="0"/>
              <w:rPr>
                <w:sz w:val="1"/>
                <w:szCs w:val="1"/>
                <w:color w:val="auto"/>
              </w:rPr>
            </w:pPr>
          </w:p>
        </w:tc>
      </w:tr>
      <w:tr>
        <w:trPr>
          <w:trHeight w:val="20"/>
        </w:trPr>
        <w:tc>
          <w:tcPr>
            <w:tcW w:w="9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_______________</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72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07" w:right="20" w:hanging="407"/>
        <w:spacing w:after="0" w:line="295" w:lineRule="auto"/>
        <w:tabs>
          <w:tab w:leader="none" w:pos="405"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total purchase consideration in connection with the Formula E Acquisition, which includes the shareholder loan acquired from Warner Bros. Discovery, as described above.</w:t>
      </w:r>
    </w:p>
    <w:p>
      <w:pPr>
        <w:spacing w:after="0" w:line="154" w:lineRule="exact"/>
        <w:rPr>
          <w:rFonts w:ascii="Times New Roman" w:cs="Times New Roman" w:eastAsia="Times New Roman" w:hAnsi="Times New Roman"/>
          <w:sz w:val="15"/>
          <w:szCs w:val="15"/>
          <w:color w:val="auto"/>
        </w:rPr>
      </w:pPr>
    </w:p>
    <w:p>
      <w:pPr>
        <w:ind w:left="407" w:right="20" w:hanging="407"/>
        <w:spacing w:after="0" w:line="295" w:lineRule="auto"/>
        <w:tabs>
          <w:tab w:leader="none" w:pos="402"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fair value of our pre-existing investment in Formula E immediately prior to the Formula E Acquisition, including our €80.5 million ($88.9 million at the Formula E Acquisition Date) shareholder loan to Formula E.</w:t>
      </w:r>
    </w:p>
    <w:p>
      <w:pPr>
        <w:spacing w:after="0" w:line="154" w:lineRule="exact"/>
        <w:rPr>
          <w:rFonts w:ascii="Times New Roman" w:cs="Times New Roman" w:eastAsia="Times New Roman" w:hAnsi="Times New Roman"/>
          <w:sz w:val="15"/>
          <w:szCs w:val="15"/>
          <w:color w:val="auto"/>
        </w:rPr>
      </w:pPr>
    </w:p>
    <w:p>
      <w:pPr>
        <w:ind w:left="407" w:hanging="407"/>
        <w:spacing w:after="0"/>
        <w:tabs>
          <w:tab w:leader="none" w:pos="407"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fair value of the noncontrolling interest in Formula E as of the Formula E Acquisition Date.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15" w:name="page16"/>
    <w:bookmarkEnd w:id="15"/>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ind w:left="7" w:firstLine="278"/>
        <w:spacing w:after="0" w:line="295" w:lineRule="auto"/>
        <w:rPr>
          <w:sz w:val="20"/>
          <w:szCs w:val="20"/>
          <w:color w:val="auto"/>
        </w:rPr>
      </w:pPr>
      <w:r>
        <w:rPr>
          <w:rFonts w:ascii="Times New Roman" w:cs="Times New Roman" w:eastAsia="Times New Roman" w:hAnsi="Times New Roman"/>
          <w:sz w:val="15"/>
          <w:szCs w:val="15"/>
          <w:color w:val="auto"/>
        </w:rPr>
        <w:t>A summary of the identifiable assets acquired and liabilities assumed at the Formula E Acquisition Date is presented in the following table and reflects our final purchase price allocation (in millions):</w:t>
      </w:r>
    </w:p>
    <w:p>
      <w:pPr>
        <w:spacing w:after="0" w:line="65" w:lineRule="exact"/>
        <w:rPr>
          <w:sz w:val="20"/>
          <w:szCs w:val="20"/>
          <w:color w:val="auto"/>
        </w:rPr>
      </w:pPr>
    </w:p>
    <w:tbl>
      <w:tblPr>
        <w:tblLayout w:type="fixed"/>
        <w:tblInd w:w="7" w:type="dxa"/>
        <w:tblCellMar>
          <w:top w:w="0" w:type="dxa"/>
          <w:left w:w="0" w:type="dxa"/>
          <w:bottom w:w="0" w:type="dxa"/>
          <w:right w:w="0" w:type="dxa"/>
        </w:tblCellMar>
      </w:tblPr>
      <w:tr>
        <w:trPr>
          <w:trHeight w:val="197"/>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assets (a)</w:t>
            </w:r>
          </w:p>
        </w:tc>
        <w:tc>
          <w:tcPr>
            <w:tcW w:w="580" w:type="dxa"/>
            <w:vAlign w:val="bottom"/>
            <w:shd w:val="clear" w:color="auto" w:fill="CCEEFF"/>
          </w:tcPr>
          <w:p>
            <w:pPr>
              <w:jc w:val="right"/>
              <w:ind w:right="40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98.8</w:t>
            </w:r>
          </w:p>
        </w:tc>
        <w:tc>
          <w:tcPr>
            <w:tcW w:w="0" w:type="dxa"/>
            <w:vAlign w:val="bottom"/>
          </w:tcPr>
          <w:p>
            <w:pPr>
              <w:spacing w:after="0"/>
              <w:rPr>
                <w:sz w:val="1"/>
                <w:szCs w:val="1"/>
                <w:color w:val="auto"/>
              </w:rPr>
            </w:pPr>
          </w:p>
        </w:tc>
      </w:tr>
      <w:tr>
        <w:trPr>
          <w:trHeight w:val="197"/>
        </w:trPr>
        <w:tc>
          <w:tcPr>
            <w:tcW w:w="972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5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32.1</w:t>
            </w:r>
          </w:p>
        </w:tc>
        <w:tc>
          <w:tcPr>
            <w:tcW w:w="0" w:type="dxa"/>
            <w:vAlign w:val="bottom"/>
          </w:tcPr>
          <w:p>
            <w:pPr>
              <w:spacing w:after="0"/>
              <w:rPr>
                <w:sz w:val="1"/>
                <w:szCs w:val="1"/>
                <w:color w:val="auto"/>
              </w:rPr>
            </w:pPr>
          </w:p>
        </w:tc>
      </w:tr>
      <w:tr>
        <w:trPr>
          <w:trHeight w:val="197"/>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Intangible assets subject to amortization, net (b)</w:t>
            </w: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663.9</w:t>
            </w:r>
          </w:p>
        </w:tc>
        <w:tc>
          <w:tcPr>
            <w:tcW w:w="0" w:type="dxa"/>
            <w:vAlign w:val="bottom"/>
          </w:tcPr>
          <w:p>
            <w:pPr>
              <w:spacing w:after="0"/>
              <w:rPr>
                <w:sz w:val="1"/>
                <w:szCs w:val="1"/>
                <w:color w:val="auto"/>
              </w:rPr>
            </w:pPr>
          </w:p>
        </w:tc>
      </w:tr>
      <w:tr>
        <w:trPr>
          <w:trHeight w:val="197"/>
        </w:trPr>
        <w:tc>
          <w:tcPr>
            <w:tcW w:w="9720" w:type="dxa"/>
            <w:vAlign w:val="bottom"/>
          </w:tcPr>
          <w:p>
            <w:pPr>
              <w:spacing w:after="0"/>
              <w:rPr>
                <w:sz w:val="20"/>
                <w:szCs w:val="20"/>
                <w:color w:val="auto"/>
              </w:rPr>
            </w:pPr>
            <w:r>
              <w:rPr>
                <w:rFonts w:ascii="Times New Roman" w:cs="Times New Roman" w:eastAsia="Times New Roman" w:hAnsi="Times New Roman"/>
                <w:sz w:val="15"/>
                <w:szCs w:val="15"/>
                <w:color w:val="auto"/>
              </w:rPr>
              <w:t>Other assets, net</w:t>
            </w:r>
          </w:p>
        </w:tc>
        <w:tc>
          <w:tcPr>
            <w:tcW w:w="5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0" w:type="dxa"/>
            <w:vAlign w:val="bottom"/>
          </w:tcPr>
          <w:p>
            <w:pPr>
              <w:spacing w:after="0"/>
              <w:rPr>
                <w:sz w:val="1"/>
                <w:szCs w:val="1"/>
                <w:color w:val="auto"/>
              </w:rPr>
            </w:pPr>
          </w:p>
        </w:tc>
      </w:tr>
      <w:tr>
        <w:trPr>
          <w:trHeight w:val="197"/>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accrued and current liabilities</w:t>
            </w: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(167.5)</w:t>
            </w:r>
          </w:p>
        </w:tc>
        <w:tc>
          <w:tcPr>
            <w:tcW w:w="0" w:type="dxa"/>
            <w:vAlign w:val="bottom"/>
          </w:tcPr>
          <w:p>
            <w:pPr>
              <w:spacing w:after="0"/>
              <w:rPr>
                <w:sz w:val="1"/>
                <w:szCs w:val="1"/>
                <w:color w:val="auto"/>
              </w:rPr>
            </w:pPr>
          </w:p>
        </w:tc>
      </w:tr>
      <w:tr>
        <w:trPr>
          <w:trHeight w:val="197"/>
        </w:trPr>
        <w:tc>
          <w:tcPr>
            <w:tcW w:w="9720" w:type="dxa"/>
            <w:vAlign w:val="bottom"/>
          </w:tcPr>
          <w:p>
            <w:pPr>
              <w:spacing w:after="0"/>
              <w:rPr>
                <w:sz w:val="20"/>
                <w:szCs w:val="20"/>
                <w:color w:val="auto"/>
              </w:rPr>
            </w:pPr>
            <w:r>
              <w:rPr>
                <w:rFonts w:ascii="Times New Roman" w:cs="Times New Roman" w:eastAsia="Times New Roman" w:hAnsi="Times New Roman"/>
                <w:sz w:val="15"/>
                <w:szCs w:val="15"/>
                <w:color w:val="auto"/>
              </w:rPr>
              <w:t>Deferred tax liabilities</w:t>
            </w:r>
          </w:p>
        </w:tc>
        <w:tc>
          <w:tcPr>
            <w:tcW w:w="5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(110.9)</w:t>
            </w:r>
          </w:p>
        </w:tc>
        <w:tc>
          <w:tcPr>
            <w:tcW w:w="0" w:type="dxa"/>
            <w:vAlign w:val="bottom"/>
          </w:tcPr>
          <w:p>
            <w:pPr>
              <w:spacing w:after="0"/>
              <w:rPr>
                <w:sz w:val="1"/>
                <w:szCs w:val="1"/>
                <w:color w:val="auto"/>
              </w:rPr>
            </w:pPr>
          </w:p>
        </w:tc>
      </w:tr>
      <w:tr>
        <w:trPr>
          <w:trHeight w:val="197"/>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5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0" w:type="dxa"/>
            <w:vAlign w:val="bottom"/>
          </w:tcPr>
          <w:p>
            <w:pPr>
              <w:spacing w:after="0"/>
              <w:rPr>
                <w:sz w:val="1"/>
                <w:szCs w:val="1"/>
                <w:color w:val="auto"/>
              </w:rPr>
            </w:pPr>
          </w:p>
        </w:tc>
      </w:tr>
      <w:tr>
        <w:trPr>
          <w:trHeight w:val="188"/>
        </w:trPr>
        <w:tc>
          <w:tcPr>
            <w:tcW w:w="97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Total identifiable net assets</w:t>
            </w:r>
          </w:p>
        </w:tc>
        <w:tc>
          <w:tcPr>
            <w:tcW w:w="5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517.7</w:t>
            </w:r>
          </w:p>
        </w:tc>
        <w:tc>
          <w:tcPr>
            <w:tcW w:w="0" w:type="dxa"/>
            <w:vAlign w:val="bottom"/>
          </w:tcPr>
          <w:p>
            <w:pPr>
              <w:spacing w:after="0"/>
              <w:rPr>
                <w:sz w:val="1"/>
                <w:szCs w:val="1"/>
                <w:color w:val="auto"/>
              </w:rPr>
            </w:pPr>
          </w:p>
        </w:tc>
      </w:tr>
      <w:tr>
        <w:trPr>
          <w:trHeight w:val="20"/>
        </w:trPr>
        <w:tc>
          <w:tcPr>
            <w:tcW w:w="97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9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9720" w:type="dxa"/>
            <w:vAlign w:val="bottom"/>
          </w:tcPr>
          <w:p>
            <w:pPr>
              <w:spacing w:after="0"/>
              <w:rPr>
                <w:sz w:val="20"/>
                <w:szCs w:val="20"/>
                <w:color w:val="auto"/>
              </w:rPr>
            </w:pPr>
            <w:r>
              <w:rPr>
                <w:rFonts w:ascii="Times New Roman" w:cs="Times New Roman" w:eastAsia="Times New Roman" w:hAnsi="Times New Roman"/>
                <w:sz w:val="15"/>
                <w:szCs w:val="15"/>
                <w:color w:val="auto"/>
              </w:rPr>
              <w:t>Goodwill (c)</w:t>
            </w:r>
          </w:p>
        </w:tc>
        <w:tc>
          <w:tcPr>
            <w:tcW w:w="5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229.2</w:t>
            </w:r>
          </w:p>
        </w:tc>
        <w:tc>
          <w:tcPr>
            <w:tcW w:w="0" w:type="dxa"/>
            <w:vAlign w:val="bottom"/>
          </w:tcPr>
          <w:p>
            <w:pPr>
              <w:spacing w:after="0"/>
              <w:rPr>
                <w:sz w:val="1"/>
                <w:szCs w:val="1"/>
                <w:color w:val="auto"/>
              </w:rPr>
            </w:pPr>
          </w:p>
        </w:tc>
      </w:tr>
      <w:tr>
        <w:trPr>
          <w:trHeight w:val="20"/>
        </w:trPr>
        <w:tc>
          <w:tcPr>
            <w:tcW w:w="97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_______________</w:t>
            </w: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972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07" w:hanging="407"/>
        <w:spacing w:after="0"/>
        <w:tabs>
          <w:tab w:leader="none" w:pos="407"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connection with the Formula E Acquisition, we acquired $22.2 million of cash and cash equivalents, including restricted cash.</w:t>
      </w:r>
    </w:p>
    <w:p>
      <w:pPr>
        <w:spacing w:after="0" w:line="217" w:lineRule="exact"/>
        <w:rPr>
          <w:rFonts w:ascii="Times New Roman" w:cs="Times New Roman" w:eastAsia="Times New Roman" w:hAnsi="Times New Roman"/>
          <w:sz w:val="15"/>
          <w:szCs w:val="15"/>
          <w:color w:val="auto"/>
        </w:rPr>
      </w:pPr>
    </w:p>
    <w:p>
      <w:pPr>
        <w:ind w:left="407" w:right="20" w:hanging="407"/>
        <w:spacing w:after="0" w:line="300" w:lineRule="auto"/>
        <w:tabs>
          <w:tab w:leader="none" w:pos="402"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 primarily includes an intangible asset related to a licensing agreement with the Federation Internationale l’Automobile (</w:t>
      </w:r>
      <w:r>
        <w:rPr>
          <w:rFonts w:ascii="Times New Roman" w:cs="Times New Roman" w:eastAsia="Times New Roman" w:hAnsi="Times New Roman"/>
          <w:sz w:val="15"/>
          <w:szCs w:val="15"/>
          <w:b w:val="1"/>
          <w:bCs w:val="1"/>
          <w:color w:val="auto"/>
        </w:rPr>
        <w:t>FIA</w:t>
      </w:r>
      <w:r>
        <w:rPr>
          <w:rFonts w:ascii="Times New Roman" w:cs="Times New Roman" w:eastAsia="Times New Roman" w:hAnsi="Times New Roman"/>
          <w:sz w:val="15"/>
          <w:szCs w:val="15"/>
          <w:color w:val="auto"/>
        </w:rPr>
        <w:t>) that provides Formula E with the exclusive rights to operate an electric motor racing championship. The weighted average remaining useful life of Formula E’s intangible assets is approximately 22 years.</w:t>
      </w:r>
    </w:p>
    <w:p>
      <w:pPr>
        <w:spacing w:after="0" w:line="151" w:lineRule="exact"/>
        <w:rPr>
          <w:rFonts w:ascii="Times New Roman" w:cs="Times New Roman" w:eastAsia="Times New Roman" w:hAnsi="Times New Roman"/>
          <w:sz w:val="15"/>
          <w:szCs w:val="15"/>
          <w:color w:val="auto"/>
        </w:rPr>
      </w:pPr>
    </w:p>
    <w:p>
      <w:pPr>
        <w:jc w:val="both"/>
        <w:ind w:left="407" w:right="20" w:hanging="407"/>
        <w:spacing w:after="0" w:line="288" w:lineRule="auto"/>
        <w:tabs>
          <w:tab w:leader="none" w:pos="405"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goodwill recognized in connection with the Formula E Acquisition primarily represents the future economic benefits expected to arise from other intangible assets acquired that do not qualify for separate recognition, including assembled workforce, value associated with future sponsors, continued innovation and non-contractual relationships.</w:t>
      </w:r>
    </w:p>
    <w:p>
      <w:pPr>
        <w:spacing w:after="0" w:line="346"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Pro Forma Information</w:t>
      </w:r>
    </w:p>
    <w:p>
      <w:pPr>
        <w:spacing w:after="0" w:line="225" w:lineRule="exact"/>
        <w:rPr>
          <w:sz w:val="20"/>
          <w:szCs w:val="20"/>
          <w:color w:val="auto"/>
        </w:rPr>
      </w:pPr>
    </w:p>
    <w:p>
      <w:pPr>
        <w:jc w:val="both"/>
        <w:ind w:left="7" w:firstLine="278"/>
        <w:spacing w:after="0" w:line="276" w:lineRule="auto"/>
        <w:rPr>
          <w:sz w:val="20"/>
          <w:szCs w:val="20"/>
          <w:color w:val="auto"/>
        </w:rPr>
      </w:pPr>
      <w:r>
        <w:rPr>
          <w:rFonts w:ascii="Times New Roman" w:cs="Times New Roman" w:eastAsia="Times New Roman" w:hAnsi="Times New Roman"/>
          <w:sz w:val="15"/>
          <w:szCs w:val="15"/>
          <w:color w:val="auto"/>
        </w:rPr>
        <w:t>The following unaudited pro forma consolidated operating results for the three and nine months ended September 30, 2024 give effect to the Formula E Acquisition as if it had been completed as of January 1, 2023. These pro forma amounts are not necessarily indicative of the operating results that would have occurred if the Formula E Acquisition had occurred on such date, and are based on certain assumptions that we believe are reasonable.</w:t>
      </w:r>
    </w:p>
    <w:p>
      <w:pPr>
        <w:spacing w:after="0" w:line="57"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Three months ended</w:t>
            </w:r>
          </w:p>
        </w:tc>
        <w:tc>
          <w:tcPr>
            <w:tcW w:w="320" w:type="dxa"/>
            <w:vAlign w:val="bottom"/>
          </w:tcPr>
          <w:p>
            <w:pPr>
              <w:spacing w:after="0"/>
              <w:rPr>
                <w:sz w:val="13"/>
                <w:szCs w:val="13"/>
                <w:color w:val="auto"/>
              </w:rPr>
            </w:pPr>
          </w:p>
        </w:tc>
        <w:tc>
          <w:tcPr>
            <w:tcW w:w="1520" w:type="dxa"/>
            <w:vAlign w:val="bottom"/>
          </w:tcPr>
          <w:p>
            <w:pPr>
              <w:jc w:val="right"/>
              <w:ind w:right="26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4"/>
        </w:trPr>
        <w:tc>
          <w:tcPr>
            <w:tcW w:w="7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September 30, 2024</w:t>
            </w: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4"/>
                <w:szCs w:val="14"/>
                <w:b w:val="1"/>
                <w:bCs w:val="1"/>
                <w:color w:val="auto"/>
                <w:w w:val="99"/>
              </w:rPr>
              <w:t>September 30, 2024</w:t>
            </w:r>
          </w:p>
        </w:tc>
        <w:tc>
          <w:tcPr>
            <w:tcW w:w="0" w:type="dxa"/>
            <w:vAlign w:val="bottom"/>
          </w:tcPr>
          <w:p>
            <w:pPr>
              <w:spacing w:after="0"/>
              <w:rPr>
                <w:sz w:val="1"/>
                <w:szCs w:val="1"/>
                <w:color w:val="auto"/>
              </w:rPr>
            </w:pPr>
          </w:p>
        </w:tc>
      </w:tr>
      <w:tr>
        <w:trPr>
          <w:trHeight w:val="176"/>
        </w:trPr>
        <w:tc>
          <w:tcPr>
            <w:tcW w:w="7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7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 (in millions)</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1,100.4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3,465.5</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5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Net loss from continuing operations attributable to Liberty Global shareholders (in millions)</w:t>
            </w:r>
          </w:p>
        </w:tc>
        <w:tc>
          <w:tcPr>
            <w:tcW w:w="200" w:type="dxa"/>
            <w:vAlign w:val="bottom"/>
            <w:tcBorders>
              <w:bottom w:val="single" w:sz="8" w:color="auto"/>
            </w:tcBorders>
          </w:tcPr>
          <w:p>
            <w:pPr>
              <w:jc w:val="right"/>
              <w:ind w:right="43"/>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162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(1,461.5)</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43"/>
              <w:spacing w:after="0" w:line="163" w:lineRule="exact"/>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(524.3)</w:t>
            </w: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500" w:type="dxa"/>
            <w:vAlign w:val="bottom"/>
          </w:tcPr>
          <w:p>
            <w:pPr>
              <w:spacing w:after="0"/>
              <w:rPr>
                <w:sz w:val="20"/>
                <w:szCs w:val="20"/>
                <w:color w:val="auto"/>
              </w:rPr>
            </w:pPr>
            <w:r>
              <w:rPr>
                <w:rFonts w:ascii="Times New Roman" w:cs="Times New Roman" w:eastAsia="Times New Roman" w:hAnsi="Times New Roman"/>
                <w:sz w:val="15"/>
                <w:szCs w:val="15"/>
                <w:color w:val="auto"/>
              </w:rPr>
              <w:t>Basic and diluted loss from continuing operations attributable to Liberty Global shareholders per share</w:t>
            </w:r>
          </w:p>
        </w:tc>
        <w:tc>
          <w:tcPr>
            <w:tcW w:w="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(1.41)</w:t>
            </w:r>
          </w:p>
        </w:tc>
        <w:tc>
          <w:tcPr>
            <w:tcW w:w="0" w:type="dxa"/>
            <w:vAlign w:val="bottom"/>
          </w:tcPr>
          <w:p>
            <w:pPr>
              <w:spacing w:after="0"/>
              <w:rPr>
                <w:sz w:val="1"/>
                <w:szCs w:val="1"/>
                <w:color w:val="auto"/>
              </w:rPr>
            </w:pPr>
          </w:p>
        </w:tc>
      </w:tr>
      <w:tr>
        <w:trPr>
          <w:trHeight w:val="20"/>
        </w:trPr>
        <w:tc>
          <w:tcPr>
            <w:tcW w:w="7500" w:type="dxa"/>
            <w:vAlign w:val="bottom"/>
            <w:vMerge w:val="restart"/>
          </w:tcPr>
          <w:p>
            <w:pPr>
              <w:jc w:val="right"/>
              <w:ind w:right="1723"/>
              <w:spacing w:after="0"/>
              <w:rPr>
                <w:sz w:val="20"/>
                <w:szCs w:val="20"/>
                <w:color w:val="auto"/>
              </w:rPr>
            </w:pPr>
            <w:r>
              <w:rPr>
                <w:rFonts w:ascii="Times New Roman" w:cs="Times New Roman" w:eastAsia="Times New Roman" w:hAnsi="Times New Roman"/>
                <w:sz w:val="15"/>
                <w:szCs w:val="15"/>
                <w:color w:val="auto"/>
              </w:rPr>
              <w:t>14</w:t>
            </w: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7"/>
        </w:trPr>
        <w:tc>
          <w:tcPr>
            <w:tcW w:w="75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75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7131685</wp:posOffset>
            </wp:positionH>
            <wp:positionV relativeFrom="paragraph">
              <wp:posOffset>-26670</wp:posOffset>
            </wp:positionV>
            <wp:extent cx="33020"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3020"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i w:val="1"/>
          <w:iCs w:val="1"/>
          <w:color w:val="auto"/>
        </w:rPr>
        <w:t>Spin-off</w:t>
      </w:r>
    </w:p>
    <w:p>
      <w:pPr>
        <w:spacing w:after="0" w:line="225" w:lineRule="exact"/>
        <w:rPr>
          <w:sz w:val="20"/>
          <w:szCs w:val="20"/>
          <w:color w:val="auto"/>
        </w:rPr>
      </w:pPr>
    </w:p>
    <w:p>
      <w:pPr>
        <w:jc w:val="both"/>
        <w:ind w:firstLine="278"/>
        <w:spacing w:after="0" w:line="295" w:lineRule="auto"/>
        <w:rPr>
          <w:sz w:val="20"/>
          <w:szCs w:val="20"/>
          <w:color w:val="auto"/>
        </w:rPr>
      </w:pPr>
      <w:r>
        <w:rPr>
          <w:rFonts w:ascii="Times New Roman" w:cs="Times New Roman" w:eastAsia="Times New Roman" w:hAnsi="Times New Roman"/>
          <w:sz w:val="15"/>
          <w:szCs w:val="15"/>
          <w:color w:val="auto"/>
        </w:rPr>
        <w:t xml:space="preserve">On November 8, 2024, we completed the Spin-off, following a series of transactions that resulted in the transfer of the Sunrise Entities to an independent, separate publicly-traded Swiss company, Sunrise Communications AG (the </w:t>
      </w:r>
      <w:r>
        <w:rPr>
          <w:rFonts w:ascii="Times New Roman" w:cs="Times New Roman" w:eastAsia="Times New Roman" w:hAnsi="Times New Roman"/>
          <w:sz w:val="15"/>
          <w:szCs w:val="15"/>
          <w:b w:val="1"/>
          <w:bCs w:val="1"/>
          <w:color w:val="auto"/>
        </w:rPr>
        <w:t>Spin-off</w:t>
      </w:r>
      <w:r>
        <w:rPr>
          <w:rFonts w:ascii="Times New Roman" w:cs="Times New Roman" w:eastAsia="Times New Roman" w:hAnsi="Times New Roman"/>
          <w:sz w:val="15"/>
          <w:szCs w:val="15"/>
          <w:color w:val="auto"/>
        </w:rPr>
        <w:t>). No gain or loss was recognized in connection with the Spin-off.</w:t>
      </w:r>
    </w:p>
    <w:p>
      <w:pPr>
        <w:spacing w:after="0" w:line="151" w:lineRule="exact"/>
        <w:rPr>
          <w:sz w:val="20"/>
          <w:szCs w:val="20"/>
          <w:color w:val="auto"/>
        </w:rPr>
      </w:pPr>
    </w:p>
    <w:p>
      <w:pPr>
        <w:jc w:val="both"/>
        <w:ind w:firstLine="278"/>
        <w:spacing w:after="0" w:line="279" w:lineRule="auto"/>
        <w:rPr>
          <w:sz w:val="20"/>
          <w:szCs w:val="20"/>
          <w:color w:val="auto"/>
        </w:rPr>
      </w:pPr>
      <w:r>
        <w:rPr>
          <w:rFonts w:ascii="Times New Roman" w:cs="Times New Roman" w:eastAsia="Times New Roman" w:hAnsi="Times New Roman"/>
          <w:sz w:val="15"/>
          <w:szCs w:val="15"/>
          <w:color w:val="auto"/>
        </w:rPr>
        <w:t>The Spin-off was accomplished through the distribution of Sunrise common shares, in the form of Sunrise American depository shares (</w:t>
      </w:r>
      <w:r>
        <w:rPr>
          <w:rFonts w:ascii="Times New Roman" w:cs="Times New Roman" w:eastAsia="Times New Roman" w:hAnsi="Times New Roman"/>
          <w:sz w:val="15"/>
          <w:szCs w:val="15"/>
          <w:b w:val="1"/>
          <w:bCs w:val="1"/>
          <w:color w:val="auto"/>
        </w:rPr>
        <w:t>ADSs</w:t>
      </w:r>
      <w:r>
        <w:rPr>
          <w:rFonts w:ascii="Times New Roman" w:cs="Times New Roman" w:eastAsia="Times New Roman" w:hAnsi="Times New Roman"/>
          <w:sz w:val="15"/>
          <w:szCs w:val="15"/>
          <w:color w:val="auto"/>
        </w:rPr>
        <w:t>), to Liberty Global shareholders. Liberty Global shareholders received one Sunrise Class A ADS for every five Liberty Global Class A or Class C common shares and two Sunrise Class B ADSs for each Liberty Global Class B common share.</w:t>
      </w:r>
    </w:p>
    <w:p>
      <w:pPr>
        <w:spacing w:after="0" w:line="162" w:lineRule="exact"/>
        <w:rPr>
          <w:sz w:val="20"/>
          <w:szCs w:val="20"/>
          <w:color w:val="auto"/>
        </w:rPr>
      </w:pPr>
    </w:p>
    <w:p>
      <w:pPr>
        <w:jc w:val="both"/>
        <w:ind w:right="20" w:firstLine="278"/>
        <w:spacing w:after="0" w:line="279" w:lineRule="auto"/>
        <w:rPr>
          <w:sz w:val="20"/>
          <w:szCs w:val="20"/>
          <w:color w:val="auto"/>
        </w:rPr>
      </w:pPr>
      <w:r>
        <w:rPr>
          <w:rFonts w:ascii="Times New Roman" w:cs="Times New Roman" w:eastAsia="Times New Roman" w:hAnsi="Times New Roman"/>
          <w:sz w:val="15"/>
          <w:szCs w:val="15"/>
          <w:color w:val="auto"/>
        </w:rPr>
        <w:t xml:space="preserve">In connection with the Spin-off, we agreed to provide certain services to Sunrise on a transitional or ongoing basis (collectively, the </w:t>
      </w:r>
      <w:r>
        <w:rPr>
          <w:rFonts w:ascii="Times New Roman" w:cs="Times New Roman" w:eastAsia="Times New Roman" w:hAnsi="Times New Roman"/>
          <w:sz w:val="15"/>
          <w:szCs w:val="15"/>
          <w:b w:val="1"/>
          <w:bCs w:val="1"/>
          <w:color w:val="auto"/>
        </w:rPr>
        <w:t>Sunrise Services</w:t>
      </w:r>
      <w:r>
        <w:rPr>
          <w:rFonts w:ascii="Times New Roman" w:cs="Times New Roman" w:eastAsia="Times New Roman" w:hAnsi="Times New Roman"/>
          <w:sz w:val="15"/>
          <w:szCs w:val="15"/>
          <w:color w:val="auto"/>
        </w:rPr>
        <w:t>). The agreements underlying the Sunrise Services expire between 2027 and 2029. During the nine months ended September 30, 2025, we recorded revenue of $154.1 million associated with the Sunrise Services, including $98.3 million related to fixed fees and $55.8 million related to the sale of customer premises equipment (</w:t>
      </w:r>
      <w:r>
        <w:rPr>
          <w:rFonts w:ascii="Times New Roman" w:cs="Times New Roman" w:eastAsia="Times New Roman" w:hAnsi="Times New Roman"/>
          <w:sz w:val="15"/>
          <w:szCs w:val="15"/>
          <w:b w:val="1"/>
          <w:bCs w:val="1"/>
          <w:color w:val="auto"/>
        </w:rPr>
        <w:t>CPE</w:t>
      </w:r>
      <w:r>
        <w:rPr>
          <w:rFonts w:ascii="Times New Roman" w:cs="Times New Roman" w:eastAsia="Times New Roman" w:hAnsi="Times New Roman"/>
          <w:sz w:val="15"/>
          <w:szCs w:val="15"/>
          <w:color w:val="auto"/>
        </w:rPr>
        <w:t>) and other variable charges.</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i w:val="1"/>
          <w:iCs w:val="1"/>
          <w:color w:val="auto"/>
        </w:rPr>
        <w:t>Presentation of Discontinued Operations</w:t>
      </w:r>
    </w:p>
    <w:p>
      <w:pPr>
        <w:spacing w:after="0" w:line="225" w:lineRule="exact"/>
        <w:rPr>
          <w:sz w:val="20"/>
          <w:szCs w:val="20"/>
          <w:color w:val="auto"/>
        </w:rPr>
      </w:pPr>
    </w:p>
    <w:p>
      <w:pPr>
        <w:jc w:val="both"/>
        <w:ind w:firstLine="278"/>
        <w:spacing w:after="0" w:line="276" w:lineRule="auto"/>
        <w:rPr>
          <w:sz w:val="20"/>
          <w:szCs w:val="20"/>
          <w:color w:val="auto"/>
        </w:rPr>
      </w:pPr>
      <w:r>
        <w:rPr>
          <w:rFonts w:ascii="Times New Roman" w:cs="Times New Roman" w:eastAsia="Times New Roman" w:hAnsi="Times New Roman"/>
          <w:sz w:val="15"/>
          <w:szCs w:val="15"/>
          <w:color w:val="auto"/>
        </w:rPr>
        <w:t>The operations of the Sunrise Entities are presented as discontinued operations in our condensed consolidated financial statements for the three and nine months ended September 30, 2024. The operating results of the Sunrise Entities for these periods are summarized in the following table. These amounts exclude intercompany revenue and expenses that are eliminated within our condensed consolidated statement of operations.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Three months ended</w:t>
            </w:r>
          </w:p>
        </w:tc>
        <w:tc>
          <w:tcPr>
            <w:tcW w:w="300" w:type="dxa"/>
            <w:vAlign w:val="bottom"/>
          </w:tcPr>
          <w:p>
            <w:pPr>
              <w:spacing w:after="0"/>
              <w:rPr>
                <w:sz w:val="13"/>
                <w:szCs w:val="13"/>
                <w:color w:val="auto"/>
              </w:rPr>
            </w:pPr>
          </w:p>
        </w:tc>
        <w:tc>
          <w:tcPr>
            <w:tcW w:w="1540" w:type="dxa"/>
            <w:vAlign w:val="bottom"/>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4"/>
        </w:trPr>
        <w:tc>
          <w:tcPr>
            <w:tcW w:w="47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September 30, 2024</w:t>
            </w: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176"/>
        </w:trPr>
        <w:tc>
          <w:tcPr>
            <w:tcW w:w="47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7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w:t>
            </w:r>
          </w:p>
        </w:tc>
        <w:tc>
          <w:tcPr>
            <w:tcW w:w="2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865.7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2,535.3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Operating income</w:t>
            </w:r>
          </w:p>
        </w:tc>
        <w:tc>
          <w:tcPr>
            <w:tcW w:w="28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3"/>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16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67.9</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23"/>
              <w:spacing w:after="0" w:line="163" w:lineRule="exact"/>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154.9</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Earnings (loss) before income taxes</w:t>
            </w:r>
          </w:p>
        </w:tc>
        <w:tc>
          <w:tcPr>
            <w:tcW w:w="28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(114.9)</w:t>
            </w:r>
          </w:p>
        </w:tc>
        <w:tc>
          <w:tcPr>
            <w:tcW w:w="0" w:type="dxa"/>
            <w:vAlign w:val="bottom"/>
          </w:tcPr>
          <w:p>
            <w:pPr>
              <w:spacing w:after="0"/>
              <w:rPr>
                <w:sz w:val="1"/>
                <w:szCs w:val="1"/>
                <w:color w:val="auto"/>
              </w:rPr>
            </w:pPr>
          </w:p>
        </w:tc>
      </w:tr>
      <w:tr>
        <w:trPr>
          <w:trHeight w:val="197"/>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28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(28.7)</w:t>
            </w:r>
          </w:p>
        </w:tc>
        <w:tc>
          <w:tcPr>
            <w:tcW w:w="0" w:type="dxa"/>
            <w:vAlign w:val="bottom"/>
          </w:tcPr>
          <w:p>
            <w:pPr>
              <w:spacing w:after="0"/>
              <w:rPr>
                <w:sz w:val="1"/>
                <w:szCs w:val="1"/>
                <w:color w:val="auto"/>
              </w:rPr>
            </w:pPr>
          </w:p>
        </w:tc>
      </w:tr>
      <w:tr>
        <w:trPr>
          <w:trHeight w:val="213"/>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earnings (loss) attributable to Liberty Global shareholders</w:t>
            </w:r>
          </w:p>
        </w:tc>
        <w:tc>
          <w:tcPr>
            <w:tcW w:w="2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bottom w:val="single" w:sz="8" w:color="CCEEFF"/>
            </w:tcBorders>
            <w:vMerge w:val="restart"/>
          </w:tcPr>
          <w:p>
            <w:pPr>
              <w:jc w:val="right"/>
              <w:ind w:right="1723"/>
              <w:spacing w:after="0"/>
              <w:rPr>
                <w:sz w:val="20"/>
                <w:szCs w:val="20"/>
                <w:color w:val="auto"/>
              </w:rPr>
            </w:pPr>
            <w:r>
              <w:rPr>
                <w:rFonts w:ascii="Times New Roman" w:cs="Times New Roman" w:eastAsia="Times New Roman" w:hAnsi="Times New Roman"/>
                <w:sz w:val="15"/>
                <w:szCs w:val="15"/>
                <w:color w:val="auto"/>
              </w:rPr>
              <w:t>15</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8"/>
        </w:trPr>
        <w:tc>
          <w:tcPr>
            <w:tcW w:w="470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700" w:type="dxa"/>
            <w:vAlign w:val="bottom"/>
            <w:tcBorders>
              <w:bottom w:val="single" w:sz="8" w:color="9A9A9A"/>
            </w:tcBorders>
          </w:tcPr>
          <w:p>
            <w:pPr>
              <w:spacing w:after="0"/>
              <w:rPr>
                <w:sz w:val="8"/>
                <w:szCs w:val="8"/>
                <w:color w:val="auto"/>
              </w:rPr>
            </w:pPr>
          </w:p>
        </w:tc>
        <w:tc>
          <w:tcPr>
            <w:tcW w:w="28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17" w:name="page18"/>
    <w:bookmarkEnd w:id="17"/>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4" w:lineRule="exact"/>
        <w:rPr>
          <w:sz w:val="20"/>
          <w:szCs w:val="20"/>
          <w:color w:val="auto"/>
        </w:rPr>
      </w:pPr>
    </w:p>
    <w:p>
      <w:pPr>
        <w:ind w:left="7"/>
        <w:spacing w:after="0"/>
        <w:tabs>
          <w:tab w:leader="none" w:pos="307" w:val="left"/>
        </w:tabs>
        <w:rPr>
          <w:sz w:val="20"/>
          <w:szCs w:val="20"/>
          <w:color w:val="auto"/>
        </w:rPr>
      </w:pPr>
      <w:r>
        <w:rPr>
          <w:rFonts w:ascii="Times New Roman" w:cs="Times New Roman" w:eastAsia="Times New Roman" w:hAnsi="Times New Roman"/>
          <w:sz w:val="15"/>
          <w:szCs w:val="15"/>
          <w:b w:val="1"/>
          <w:bCs w:val="1"/>
          <w:color w:val="auto"/>
        </w:rPr>
        <w:t>(5)</w:t>
      </w:r>
      <w:r>
        <w:rPr>
          <w:sz w:val="20"/>
          <w:szCs w:val="20"/>
          <w:color w:val="auto"/>
        </w:rPr>
        <w:tab/>
      </w:r>
      <w:r>
        <w:rPr>
          <w:rFonts w:ascii="Times New Roman" w:cs="Times New Roman" w:eastAsia="Times New Roman" w:hAnsi="Times New Roman"/>
          <w:sz w:val="15"/>
          <w:szCs w:val="15"/>
          <w:b w:val="1"/>
          <w:bCs w:val="1"/>
          <w:u w:val="single" w:color="auto"/>
          <w:color w:val="auto"/>
        </w:rPr>
        <w:t>Investments</w:t>
      </w:r>
    </w:p>
    <w:p>
      <w:pPr>
        <w:spacing w:after="0" w:line="225"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color w:val="auto"/>
        </w:rPr>
        <w:t>The details of our investments are set forth below:</w:t>
      </w:r>
    </w:p>
    <w:p>
      <w:pPr>
        <w:spacing w:after="0" w:line="109"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Accounting Method</w:t>
            </w:r>
          </w:p>
        </w:tc>
        <w:tc>
          <w:tcPr>
            <w:tcW w:w="16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20" w:type="dxa"/>
            <w:vAlign w:val="bottom"/>
            <w:gridSpan w:val="2"/>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c>
          <w:tcPr>
            <w:tcW w:w="132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Ownership (a)</w:t>
            </w:r>
          </w:p>
        </w:tc>
        <w:tc>
          <w:tcPr>
            <w:tcW w:w="0" w:type="dxa"/>
            <w:vAlign w:val="bottom"/>
          </w:tcPr>
          <w:p>
            <w:pPr>
              <w:spacing w:after="0"/>
              <w:rPr>
                <w:sz w:val="1"/>
                <w:szCs w:val="1"/>
                <w:color w:val="auto"/>
              </w:rPr>
            </w:pPr>
          </w:p>
        </w:tc>
      </w:tr>
      <w:tr>
        <w:trPr>
          <w:trHeight w:val="184"/>
        </w:trPr>
        <w:tc>
          <w:tcPr>
            <w:tcW w:w="71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3"/>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8"/>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 (b):</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Long-term:</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VMO2 JV</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6,709.7</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6,501.4</w:t>
            </w:r>
          </w:p>
        </w:tc>
        <w:tc>
          <w:tcPr>
            <w:tcW w:w="1400" w:type="dxa"/>
            <w:vAlign w:val="bottom"/>
            <w:gridSpan w:val="2"/>
            <w:shd w:val="clear" w:color="auto" w:fill="CCEEFF"/>
          </w:tcPr>
          <w:p>
            <w:pPr>
              <w:jc w:val="center"/>
              <w:ind w:left="3"/>
              <w:spacing w:after="0"/>
              <w:rPr>
                <w:sz w:val="20"/>
                <w:szCs w:val="20"/>
                <w:color w:val="auto"/>
              </w:rPr>
            </w:pPr>
            <w:r>
              <w:rPr>
                <w:rFonts w:ascii="Times New Roman" w:cs="Times New Roman" w:eastAsia="Times New Roman" w:hAnsi="Times New Roman"/>
                <w:sz w:val="15"/>
                <w:szCs w:val="15"/>
                <w:color w:val="auto"/>
              </w:rPr>
              <w:t>50.0</w:t>
            </w:r>
          </w:p>
        </w:tc>
        <w:tc>
          <w:tcPr>
            <w:tcW w:w="0" w:type="dxa"/>
            <w:vAlign w:val="bottom"/>
          </w:tcPr>
          <w:p>
            <w:pPr>
              <w:spacing w:after="0"/>
              <w:rPr>
                <w:sz w:val="1"/>
                <w:szCs w:val="1"/>
                <w:color w:val="auto"/>
              </w:rPr>
            </w:pPr>
          </w:p>
        </w:tc>
      </w:tr>
      <w:tr>
        <w:trPr>
          <w:trHeight w:val="197"/>
        </w:trPr>
        <w:tc>
          <w:tcPr>
            <w:tcW w:w="71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VodafoneZiggo JV (c)</w:t>
            </w:r>
          </w:p>
        </w:tc>
        <w:tc>
          <w:tcPr>
            <w:tcW w:w="16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1,859.9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1,738.4</w:t>
            </w:r>
          </w:p>
        </w:tc>
        <w:tc>
          <w:tcPr>
            <w:tcW w:w="1400" w:type="dxa"/>
            <w:vAlign w:val="bottom"/>
            <w:gridSpan w:val="2"/>
          </w:tcPr>
          <w:p>
            <w:pPr>
              <w:jc w:val="center"/>
              <w:ind w:left="3"/>
              <w:spacing w:after="0"/>
              <w:rPr>
                <w:sz w:val="20"/>
                <w:szCs w:val="20"/>
                <w:color w:val="auto"/>
              </w:rPr>
            </w:pPr>
            <w:r>
              <w:rPr>
                <w:rFonts w:ascii="Times New Roman" w:cs="Times New Roman" w:eastAsia="Times New Roman" w:hAnsi="Times New Roman"/>
                <w:sz w:val="15"/>
                <w:szCs w:val="15"/>
                <w:color w:val="auto"/>
              </w:rPr>
              <w:t>50.0</w:t>
            </w:r>
          </w:p>
        </w:tc>
        <w:tc>
          <w:tcPr>
            <w:tcW w:w="0" w:type="dxa"/>
            <w:vAlign w:val="bottom"/>
          </w:tcPr>
          <w:p>
            <w:pPr>
              <w:spacing w:after="0"/>
              <w:rPr>
                <w:sz w:val="1"/>
                <w:szCs w:val="1"/>
                <w:color w:val="auto"/>
              </w:rPr>
            </w:pPr>
          </w:p>
        </w:tc>
      </w:tr>
      <w:tr>
        <w:trPr>
          <w:trHeight w:val="232"/>
        </w:trPr>
        <w:tc>
          <w:tcPr>
            <w:tcW w:w="7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AE Group Sàrl (</w:t>
            </w:r>
            <w:r>
              <w:rPr>
                <w:rFonts w:ascii="Times New Roman" w:cs="Times New Roman" w:eastAsia="Times New Roman" w:hAnsi="Times New Roman"/>
                <w:sz w:val="15"/>
                <w:szCs w:val="15"/>
                <w:b w:val="1"/>
                <w:bCs w:val="1"/>
                <w:color w:val="auto"/>
              </w:rPr>
              <w:t>AtlasEdge JV</w:t>
            </w:r>
            <w:r>
              <w:rPr>
                <w:rFonts w:ascii="Times New Roman" w:cs="Times New Roman" w:eastAsia="Times New Roman" w:hAnsi="Times New Roman"/>
                <w:sz w:val="15"/>
                <w:szCs w:val="15"/>
                <w:color w:val="auto"/>
              </w:rPr>
              <w:t>) (d)</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388.7</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339.5</w:t>
            </w:r>
          </w:p>
        </w:tc>
        <w:tc>
          <w:tcPr>
            <w:tcW w:w="1400" w:type="dxa"/>
            <w:vAlign w:val="bottom"/>
            <w:gridSpan w:val="2"/>
            <w:shd w:val="clear" w:color="auto" w:fill="CCEEFF"/>
          </w:tcPr>
          <w:p>
            <w:pPr>
              <w:jc w:val="center"/>
              <w:ind w:left="3"/>
              <w:spacing w:after="0"/>
              <w:rPr>
                <w:sz w:val="20"/>
                <w:szCs w:val="20"/>
                <w:color w:val="auto"/>
              </w:rPr>
            </w:pPr>
            <w:r>
              <w:rPr>
                <w:rFonts w:ascii="Times New Roman" w:cs="Times New Roman" w:eastAsia="Times New Roman" w:hAnsi="Times New Roman"/>
                <w:sz w:val="15"/>
                <w:szCs w:val="15"/>
                <w:color w:val="auto"/>
              </w:rPr>
              <w:t>48.8</w:t>
            </w:r>
          </w:p>
        </w:tc>
        <w:tc>
          <w:tcPr>
            <w:tcW w:w="0" w:type="dxa"/>
            <w:vAlign w:val="bottom"/>
          </w:tcPr>
          <w:p>
            <w:pPr>
              <w:spacing w:after="0"/>
              <w:rPr>
                <w:sz w:val="1"/>
                <w:szCs w:val="1"/>
                <w:color w:val="auto"/>
              </w:rPr>
            </w:pPr>
          </w:p>
        </w:tc>
      </w:tr>
      <w:tr>
        <w:trPr>
          <w:trHeight w:val="197"/>
        </w:trPr>
        <w:tc>
          <w:tcPr>
            <w:tcW w:w="71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Nexfibre Networks Limited (</w:t>
            </w:r>
            <w:r>
              <w:rPr>
                <w:rFonts w:ascii="Times New Roman" w:cs="Times New Roman" w:eastAsia="Times New Roman" w:hAnsi="Times New Roman"/>
                <w:sz w:val="15"/>
                <w:szCs w:val="15"/>
                <w:b w:val="1"/>
                <w:bCs w:val="1"/>
                <w:color w:val="auto"/>
              </w:rPr>
              <w:t>nexfibre JV</w:t>
            </w:r>
            <w:r>
              <w:rPr>
                <w:rFonts w:ascii="Times New Roman" w:cs="Times New Roman" w:eastAsia="Times New Roman" w:hAnsi="Times New Roman"/>
                <w:sz w:val="15"/>
                <w:szCs w:val="15"/>
                <w:color w:val="auto"/>
              </w:rPr>
              <w:t>) (e)</w:t>
            </w:r>
          </w:p>
        </w:tc>
        <w:tc>
          <w:tcPr>
            <w:tcW w:w="16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88.0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93.4</w:t>
            </w:r>
          </w:p>
        </w:tc>
        <w:tc>
          <w:tcPr>
            <w:tcW w:w="1400" w:type="dxa"/>
            <w:vAlign w:val="bottom"/>
            <w:gridSpan w:val="2"/>
          </w:tcPr>
          <w:p>
            <w:pPr>
              <w:jc w:val="center"/>
              <w:ind w:left="3"/>
              <w:spacing w:after="0"/>
              <w:rPr>
                <w:sz w:val="20"/>
                <w:szCs w:val="20"/>
                <w:color w:val="auto"/>
              </w:rPr>
            </w:pPr>
            <w:r>
              <w:rPr>
                <w:rFonts w:ascii="Times New Roman" w:cs="Times New Roman" w:eastAsia="Times New Roman" w:hAnsi="Times New Roman"/>
                <w:sz w:val="15"/>
                <w:szCs w:val="15"/>
                <w:color w:val="auto"/>
              </w:rPr>
              <w:t>24.9</w:t>
            </w:r>
          </w:p>
        </w:tc>
        <w:tc>
          <w:tcPr>
            <w:tcW w:w="0" w:type="dxa"/>
            <w:vAlign w:val="bottom"/>
          </w:tcPr>
          <w:p>
            <w:pPr>
              <w:spacing w:after="0"/>
              <w:rPr>
                <w:sz w:val="1"/>
                <w:szCs w:val="1"/>
                <w:color w:val="auto"/>
              </w:rPr>
            </w:pPr>
          </w:p>
        </w:tc>
      </w:tr>
      <w:tr>
        <w:trPr>
          <w:trHeight w:val="197"/>
        </w:trPr>
        <w:tc>
          <w:tcPr>
            <w:tcW w:w="7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88.9</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107.6</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5"/>
                <w:szCs w:val="15"/>
                <w:color w:val="auto"/>
              </w:rPr>
              <w:t>Total — equity</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9,135.2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8,780.3</w:t>
            </w:r>
          </w:p>
        </w:tc>
        <w:tc>
          <w:tcPr>
            <w:tcW w:w="8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Fair value:</w:t>
            </w: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1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Short-term:</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Separately-managed accounts (</w:t>
            </w:r>
            <w:r>
              <w:rPr>
                <w:rFonts w:ascii="Times New Roman" w:cs="Times New Roman" w:eastAsia="Times New Roman" w:hAnsi="Times New Roman"/>
                <w:sz w:val="15"/>
                <w:szCs w:val="15"/>
                <w:b w:val="1"/>
                <w:bCs w:val="1"/>
                <w:color w:val="auto"/>
              </w:rPr>
              <w:t>SMAs</w:t>
            </w:r>
            <w:r>
              <w:rPr>
                <w:rFonts w:ascii="Times New Roman" w:cs="Times New Roman" w:eastAsia="Times New Roman" w:hAnsi="Times New Roman"/>
                <w:sz w:val="15"/>
                <w:szCs w:val="15"/>
                <w:color w:val="auto"/>
              </w:rPr>
              <w:t>) (f)</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335.6</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Long-term:</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EdgeConneX, Inc. (</w:t>
            </w:r>
            <w:r>
              <w:rPr>
                <w:rFonts w:ascii="Times New Roman" w:cs="Times New Roman" w:eastAsia="Times New Roman" w:hAnsi="Times New Roman"/>
                <w:sz w:val="15"/>
                <w:szCs w:val="15"/>
                <w:b w:val="1"/>
                <w:bCs w:val="1"/>
                <w:color w:val="auto"/>
              </w:rPr>
              <w:t>EdgeConneX</w:t>
            </w:r>
            <w:r>
              <w:rPr>
                <w:rFonts w:ascii="Times New Roman" w:cs="Times New Roman" w:eastAsia="Times New Roman" w:hAnsi="Times New Roman"/>
                <w:sz w:val="15"/>
                <w:szCs w:val="15"/>
                <w:color w:val="auto"/>
              </w:rPr>
              <w:t>) (g)</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516.4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414.5</w:t>
            </w:r>
          </w:p>
        </w:tc>
        <w:tc>
          <w:tcPr>
            <w:tcW w:w="1400" w:type="dxa"/>
            <w:vAlign w:val="bottom"/>
            <w:gridSpan w:val="2"/>
            <w:shd w:val="clear" w:color="auto" w:fill="CCEEFF"/>
          </w:tcPr>
          <w:p>
            <w:pPr>
              <w:jc w:val="right"/>
              <w:ind w:right="571"/>
              <w:spacing w:after="0"/>
              <w:rPr>
                <w:sz w:val="20"/>
                <w:szCs w:val="20"/>
                <w:color w:val="auto"/>
              </w:rPr>
            </w:pPr>
            <w:r>
              <w:rPr>
                <w:rFonts w:ascii="Times New Roman" w:cs="Times New Roman" w:eastAsia="Times New Roman" w:hAnsi="Times New Roman"/>
                <w:sz w:val="15"/>
                <w:szCs w:val="15"/>
                <w:color w:val="auto"/>
              </w:rPr>
              <w:t>4.2</w:t>
            </w:r>
          </w:p>
        </w:tc>
        <w:tc>
          <w:tcPr>
            <w:tcW w:w="0" w:type="dxa"/>
            <w:vAlign w:val="bottom"/>
          </w:tcPr>
          <w:p>
            <w:pPr>
              <w:spacing w:after="0"/>
              <w:rPr>
                <w:sz w:val="1"/>
                <w:szCs w:val="1"/>
                <w:color w:val="auto"/>
              </w:rPr>
            </w:pPr>
          </w:p>
        </w:tc>
      </w:tr>
      <w:tr>
        <w:trPr>
          <w:trHeight w:val="197"/>
        </w:trPr>
        <w:tc>
          <w:tcPr>
            <w:tcW w:w="71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ITV plc (</w:t>
            </w:r>
            <w:r>
              <w:rPr>
                <w:rFonts w:ascii="Times New Roman" w:cs="Times New Roman" w:eastAsia="Times New Roman" w:hAnsi="Times New Roman"/>
                <w:sz w:val="15"/>
                <w:szCs w:val="15"/>
                <w:b w:val="1"/>
                <w:bCs w:val="1"/>
                <w:color w:val="auto"/>
              </w:rPr>
              <w:t>ITV</w:t>
            </w:r>
            <w:r>
              <w:rPr>
                <w:rFonts w:ascii="Times New Roman" w:cs="Times New Roman" w:eastAsia="Times New Roman" w:hAnsi="Times New Roman"/>
                <w:sz w:val="15"/>
                <w:szCs w:val="15"/>
                <w:color w:val="auto"/>
              </w:rPr>
              <w:t>) (h)</w:t>
            </w:r>
          </w:p>
        </w:tc>
        <w:tc>
          <w:tcPr>
            <w:tcW w:w="16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410.3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351.4</w:t>
            </w:r>
          </w:p>
        </w:tc>
        <w:tc>
          <w:tcPr>
            <w:tcW w:w="1400" w:type="dxa"/>
            <w:vAlign w:val="bottom"/>
            <w:gridSpan w:val="2"/>
          </w:tcPr>
          <w:p>
            <w:pPr>
              <w:jc w:val="center"/>
              <w:ind w:left="3"/>
              <w:spacing w:after="0"/>
              <w:rPr>
                <w:sz w:val="20"/>
                <w:szCs w:val="20"/>
                <w:color w:val="auto"/>
              </w:rPr>
            </w:pPr>
            <w:r>
              <w:rPr>
                <w:rFonts w:ascii="Times New Roman" w:cs="Times New Roman" w:eastAsia="Times New Roman" w:hAnsi="Times New Roman"/>
                <w:sz w:val="15"/>
                <w:szCs w:val="15"/>
                <w:color w:val="auto"/>
              </w:rPr>
              <w:t>10.1</w:t>
            </w:r>
          </w:p>
        </w:tc>
        <w:tc>
          <w:tcPr>
            <w:tcW w:w="0" w:type="dxa"/>
            <w:vAlign w:val="bottom"/>
          </w:tcPr>
          <w:p>
            <w:pPr>
              <w:spacing w:after="0"/>
              <w:rPr>
                <w:sz w:val="1"/>
                <w:szCs w:val="1"/>
                <w:color w:val="auto"/>
              </w:rPr>
            </w:pPr>
          </w:p>
        </w:tc>
      </w:tr>
      <w:tr>
        <w:trPr>
          <w:trHeight w:val="197"/>
        </w:trPr>
        <w:tc>
          <w:tcPr>
            <w:tcW w:w="7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Televisa Univision, Inc. (</w:t>
            </w:r>
            <w:r>
              <w:rPr>
                <w:rFonts w:ascii="Times New Roman" w:cs="Times New Roman" w:eastAsia="Times New Roman" w:hAnsi="Times New Roman"/>
                <w:sz w:val="15"/>
                <w:szCs w:val="15"/>
                <w:b w:val="1"/>
                <w:bCs w:val="1"/>
                <w:color w:val="auto"/>
              </w:rPr>
              <w:t>Televisa Univision</w:t>
            </w: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310.3</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314.8</w:t>
            </w:r>
          </w:p>
        </w:tc>
        <w:tc>
          <w:tcPr>
            <w:tcW w:w="1400" w:type="dxa"/>
            <w:vAlign w:val="bottom"/>
            <w:gridSpan w:val="2"/>
            <w:shd w:val="clear" w:color="auto" w:fill="CCEEFF"/>
          </w:tcPr>
          <w:p>
            <w:pPr>
              <w:jc w:val="center"/>
              <w:ind w:left="3"/>
              <w:spacing w:after="0"/>
              <w:rPr>
                <w:sz w:val="20"/>
                <w:szCs w:val="20"/>
                <w:color w:val="auto"/>
              </w:rPr>
            </w:pPr>
            <w:r>
              <w:rPr>
                <w:rFonts w:ascii="Times New Roman" w:cs="Times New Roman" w:eastAsia="Times New Roman" w:hAnsi="Times New Roman"/>
                <w:sz w:val="15"/>
                <w:szCs w:val="15"/>
                <w:color w:val="auto"/>
              </w:rPr>
              <w:t>6.4</w:t>
            </w:r>
          </w:p>
        </w:tc>
        <w:tc>
          <w:tcPr>
            <w:tcW w:w="0" w:type="dxa"/>
            <w:vAlign w:val="bottom"/>
          </w:tcPr>
          <w:p>
            <w:pPr>
              <w:spacing w:after="0"/>
              <w:rPr>
                <w:sz w:val="1"/>
                <w:szCs w:val="1"/>
                <w:color w:val="auto"/>
              </w:rPr>
            </w:pPr>
          </w:p>
        </w:tc>
      </w:tr>
      <w:tr>
        <w:trPr>
          <w:trHeight w:val="197"/>
        </w:trPr>
        <w:tc>
          <w:tcPr>
            <w:tcW w:w="71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SMAs (f)</w:t>
            </w:r>
          </w:p>
        </w:tc>
        <w:tc>
          <w:tcPr>
            <w:tcW w:w="16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85.9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97.5</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CANAL+ Polska S.A (</w:t>
            </w:r>
            <w:r>
              <w:rPr>
                <w:rFonts w:ascii="Times New Roman" w:cs="Times New Roman" w:eastAsia="Times New Roman" w:hAnsi="Times New Roman"/>
                <w:sz w:val="15"/>
                <w:szCs w:val="15"/>
                <w:b w:val="1"/>
                <w:bCs w:val="1"/>
                <w:color w:val="auto"/>
              </w:rPr>
              <w:t>CANAL+ Polska</w:t>
            </w: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83.2</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72.5</w:t>
            </w:r>
          </w:p>
        </w:tc>
        <w:tc>
          <w:tcPr>
            <w:tcW w:w="1400" w:type="dxa"/>
            <w:vAlign w:val="bottom"/>
            <w:gridSpan w:val="2"/>
            <w:shd w:val="clear" w:color="auto" w:fill="CCEEFF"/>
          </w:tcPr>
          <w:p>
            <w:pPr>
              <w:jc w:val="center"/>
              <w:ind w:left="3"/>
              <w:spacing w:after="0"/>
              <w:rPr>
                <w:sz w:val="20"/>
                <w:szCs w:val="20"/>
                <w:color w:val="auto"/>
              </w:rPr>
            </w:pPr>
            <w:r>
              <w:rPr>
                <w:rFonts w:ascii="Times New Roman" w:cs="Times New Roman" w:eastAsia="Times New Roman" w:hAnsi="Times New Roman"/>
                <w:sz w:val="15"/>
                <w:szCs w:val="15"/>
                <w:color w:val="auto"/>
              </w:rPr>
              <w:t>17.0</w:t>
            </w:r>
          </w:p>
        </w:tc>
        <w:tc>
          <w:tcPr>
            <w:tcW w:w="0" w:type="dxa"/>
            <w:vAlign w:val="bottom"/>
          </w:tcPr>
          <w:p>
            <w:pPr>
              <w:spacing w:after="0"/>
              <w:rPr>
                <w:sz w:val="1"/>
                <w:szCs w:val="1"/>
                <w:color w:val="auto"/>
              </w:rPr>
            </w:pPr>
          </w:p>
        </w:tc>
      </w:tr>
      <w:tr>
        <w:trPr>
          <w:trHeight w:val="197"/>
        </w:trPr>
        <w:tc>
          <w:tcPr>
            <w:tcW w:w="71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Plume Design, Inc. (</w:t>
            </w:r>
            <w:r>
              <w:rPr>
                <w:rFonts w:ascii="Times New Roman" w:cs="Times New Roman" w:eastAsia="Times New Roman" w:hAnsi="Times New Roman"/>
                <w:sz w:val="15"/>
                <w:szCs w:val="15"/>
                <w:b w:val="1"/>
                <w:bCs w:val="1"/>
                <w:color w:val="auto"/>
              </w:rPr>
              <w:t>Plume</w:t>
            </w:r>
            <w:r>
              <w:rPr>
                <w:rFonts w:ascii="Times New Roman" w:cs="Times New Roman" w:eastAsia="Times New Roman" w:hAnsi="Times New Roman"/>
                <w:sz w:val="15"/>
                <w:szCs w:val="15"/>
                <w:color w:val="auto"/>
              </w:rPr>
              <w:t>) (i)</w:t>
            </w:r>
          </w:p>
        </w:tc>
        <w:tc>
          <w:tcPr>
            <w:tcW w:w="16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59.6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73.0</w:t>
            </w:r>
          </w:p>
        </w:tc>
        <w:tc>
          <w:tcPr>
            <w:tcW w:w="1400" w:type="dxa"/>
            <w:vAlign w:val="bottom"/>
            <w:gridSpan w:val="2"/>
          </w:tcPr>
          <w:p>
            <w:pPr>
              <w:jc w:val="center"/>
              <w:ind w:left="3"/>
              <w:spacing w:after="0"/>
              <w:rPr>
                <w:sz w:val="20"/>
                <w:szCs w:val="20"/>
                <w:color w:val="auto"/>
              </w:rPr>
            </w:pPr>
            <w:r>
              <w:rPr>
                <w:rFonts w:ascii="Times New Roman" w:cs="Times New Roman" w:eastAsia="Times New Roman" w:hAnsi="Times New Roman"/>
                <w:sz w:val="15"/>
                <w:szCs w:val="15"/>
                <w:color w:val="auto"/>
              </w:rPr>
              <w:t>10.5</w:t>
            </w:r>
          </w:p>
        </w:tc>
        <w:tc>
          <w:tcPr>
            <w:tcW w:w="0" w:type="dxa"/>
            <w:vAlign w:val="bottom"/>
          </w:tcPr>
          <w:p>
            <w:pPr>
              <w:spacing w:after="0"/>
              <w:rPr>
                <w:sz w:val="1"/>
                <w:szCs w:val="1"/>
                <w:color w:val="auto"/>
              </w:rPr>
            </w:pPr>
          </w:p>
        </w:tc>
      </w:tr>
      <w:tr>
        <w:trPr>
          <w:trHeight w:val="197"/>
        </w:trPr>
        <w:tc>
          <w:tcPr>
            <w:tcW w:w="7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Lionsgate (j)</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48.5</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w:t>
            </w:r>
          </w:p>
        </w:tc>
        <w:tc>
          <w:tcPr>
            <w:tcW w:w="1400" w:type="dxa"/>
            <w:vAlign w:val="bottom"/>
            <w:gridSpan w:val="2"/>
            <w:shd w:val="clear" w:color="auto" w:fill="CCEEFF"/>
          </w:tcPr>
          <w:p>
            <w:pPr>
              <w:jc w:val="center"/>
              <w:ind w:left="3"/>
              <w:spacing w:after="0"/>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197"/>
        </w:trPr>
        <w:tc>
          <w:tcPr>
            <w:tcW w:w="71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Aviatrix Systems, Inc. (</w:t>
            </w:r>
            <w:r>
              <w:rPr>
                <w:rFonts w:ascii="Times New Roman" w:cs="Times New Roman" w:eastAsia="Times New Roman" w:hAnsi="Times New Roman"/>
                <w:sz w:val="15"/>
                <w:szCs w:val="15"/>
                <w:b w:val="1"/>
                <w:bCs w:val="1"/>
                <w:color w:val="auto"/>
              </w:rPr>
              <w:t>Aviatrix</w:t>
            </w: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25.5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31.0</w:t>
            </w:r>
          </w:p>
        </w:tc>
        <w:tc>
          <w:tcPr>
            <w:tcW w:w="1400" w:type="dxa"/>
            <w:vAlign w:val="bottom"/>
            <w:gridSpan w:val="2"/>
          </w:tcPr>
          <w:p>
            <w:pPr>
              <w:jc w:val="center"/>
              <w:ind w:left="3"/>
              <w:spacing w:after="0"/>
              <w:rPr>
                <w:sz w:val="20"/>
                <w:szCs w:val="20"/>
                <w:color w:val="auto"/>
              </w:rPr>
            </w:pPr>
            <w:r>
              <w:rPr>
                <w:rFonts w:ascii="Times New Roman" w:cs="Times New Roman" w:eastAsia="Times New Roman" w:hAnsi="Times New Roman"/>
                <w:sz w:val="15"/>
                <w:szCs w:val="15"/>
                <w:color w:val="auto"/>
              </w:rPr>
              <w:t>4.3</w:t>
            </w:r>
          </w:p>
        </w:tc>
        <w:tc>
          <w:tcPr>
            <w:tcW w:w="0" w:type="dxa"/>
            <w:vAlign w:val="bottom"/>
          </w:tcPr>
          <w:p>
            <w:pPr>
              <w:spacing w:after="0"/>
              <w:rPr>
                <w:sz w:val="1"/>
                <w:szCs w:val="1"/>
                <w:color w:val="auto"/>
              </w:rPr>
            </w:pPr>
          </w:p>
        </w:tc>
      </w:tr>
      <w:tr>
        <w:trPr>
          <w:trHeight w:val="197"/>
        </w:trPr>
        <w:tc>
          <w:tcPr>
            <w:tcW w:w="7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Vodafone - subject to re-use rights (k)</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1,141.5</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5"/>
                <w:szCs w:val="15"/>
                <w:color w:val="auto"/>
              </w:rPr>
              <w:t>Other (j)</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370.5</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358.1</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 — fair value</w:t>
            </w:r>
          </w:p>
        </w:tc>
        <w:tc>
          <w:tcPr>
            <w:tcW w:w="1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1,910.2</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3,243.3</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0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Total investments (l)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11,045.4</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12,023.6</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Short-term investments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335.6</w:t>
            </w:r>
          </w:p>
        </w:tc>
        <w:tc>
          <w:tcPr>
            <w:tcW w:w="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Long-term investments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100" w:type="dxa"/>
            <w:vAlign w:val="bottom"/>
            <w:vMerge w:val="continue"/>
          </w:tcPr>
          <w:p>
            <w:pPr>
              <w:spacing w:after="0"/>
              <w:rPr>
                <w:sz w:val="14"/>
                <w:szCs w:val="14"/>
                <w:color w:val="auto"/>
              </w:rPr>
            </w:pPr>
          </w:p>
        </w:tc>
        <w:tc>
          <w:tcPr>
            <w:tcW w:w="16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ind w:right="4"/>
              <w:spacing w:after="0" w:line="163" w:lineRule="exact"/>
              <w:rPr>
                <w:sz w:val="20"/>
                <w:szCs w:val="20"/>
                <w:color w:val="auto"/>
              </w:rPr>
            </w:pPr>
            <w:r>
              <w:rPr>
                <w:rFonts w:ascii="Times New Roman" w:cs="Times New Roman" w:eastAsia="Times New Roman" w:hAnsi="Times New Roman"/>
                <w:sz w:val="15"/>
                <w:szCs w:val="15"/>
                <w:color w:val="auto"/>
              </w:rPr>
              <w:t>11,045.4</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24"/>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11,688.0</w:t>
            </w: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_______________</w:t>
      </w:r>
    </w:p>
    <w:p>
      <w:pPr>
        <w:spacing w:after="0" w:line="221" w:lineRule="exact"/>
        <w:rPr>
          <w:sz w:val="20"/>
          <w:szCs w:val="20"/>
          <w:color w:val="auto"/>
        </w:rPr>
      </w:pPr>
    </w:p>
    <w:p>
      <w:pPr>
        <w:ind w:left="407" w:hanging="407"/>
        <w:spacing w:after="0" w:line="295" w:lineRule="auto"/>
        <w:tabs>
          <w:tab w:leader="none" w:pos="405"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our economic ownership based on total shares owned as a percentage of total shares outstanding as of the most recent balance sheet date or the most recent publicly-available information.</w:t>
      </w:r>
    </w:p>
    <w:p>
      <w:pPr>
        <w:spacing w:after="0" w:line="154" w:lineRule="exact"/>
        <w:rPr>
          <w:rFonts w:ascii="Times New Roman" w:cs="Times New Roman" w:eastAsia="Times New Roman" w:hAnsi="Times New Roman"/>
          <w:sz w:val="15"/>
          <w:szCs w:val="15"/>
          <w:color w:val="auto"/>
        </w:rPr>
      </w:pPr>
    </w:p>
    <w:p>
      <w:pPr>
        <w:jc w:val="both"/>
        <w:ind w:left="407" w:hanging="407"/>
        <w:spacing w:after="0" w:line="267" w:lineRule="auto"/>
        <w:tabs>
          <w:tab w:leader="none" w:pos="402"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equity method investments are originally recorded at cost and are adjusted to recognize our share of net earnings or losses of the affiliates as they occur rather than as dividend distributions are received, with our recognition of losses generally limited to the extent of our investment in, and loans and commitments to, the investee. Accordingly, the carrying values of our equity method investments may not equal their respective fair values. At September 30, 2025 and December 31, 2024, the aggregate carrying amounts of our equity method investments exceeded our proportionate share of the respective investee’s net assets by $1,028.1 million and $901.2 million, respectively, related to amounts associated with the VodafoneZiggo JV Receivables, as defined below.</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18" w:name="page19"/>
    <w:bookmarkEnd w:id="18"/>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jc w:val="both"/>
        <w:ind w:left="407" w:hanging="407"/>
        <w:spacing w:after="0" w:line="265" w:lineRule="auto"/>
        <w:tabs>
          <w:tab w:leader="none" w:pos="405"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Amounts include certain notes receivable due from a subsidiary of the VodafoneZiggo JV to a subsidiary of Liberty Global, comprising (i) a €700.0 million note receivable ($823.0 million and $724.4 million equivalent at September 30, 2025 and December 31, 2024, respectively) (the </w:t>
      </w:r>
      <w:r>
        <w:rPr>
          <w:rFonts w:ascii="Times New Roman" w:cs="Times New Roman" w:eastAsia="Times New Roman" w:hAnsi="Times New Roman"/>
          <w:sz w:val="15"/>
          <w:szCs w:val="15"/>
          <w:b w:val="1"/>
          <w:bCs w:val="1"/>
          <w:color w:val="auto"/>
        </w:rPr>
        <w:t>VodafoneZiggo JV Receivable I</w:t>
      </w:r>
      <w:r>
        <w:rPr>
          <w:rFonts w:ascii="Times New Roman" w:cs="Times New Roman" w:eastAsia="Times New Roman" w:hAnsi="Times New Roman"/>
          <w:sz w:val="15"/>
          <w:szCs w:val="15"/>
          <w:color w:val="auto"/>
        </w:rPr>
        <w:t xml:space="preserve">) and (ii) a €207.9 million note receivable ($244.4 million and $215.1 million equivalent at September 30, 2025 and December 31, 2024, respectively) (the </w:t>
      </w:r>
      <w:r>
        <w:rPr>
          <w:rFonts w:ascii="Times New Roman" w:cs="Times New Roman" w:eastAsia="Times New Roman" w:hAnsi="Times New Roman"/>
          <w:sz w:val="15"/>
          <w:szCs w:val="15"/>
          <w:b w:val="1"/>
          <w:bCs w:val="1"/>
          <w:color w:val="auto"/>
        </w:rPr>
        <w:t>VodafoneZiggo JV Receivable II</w:t>
      </w:r>
      <w:r>
        <w:rPr>
          <w:rFonts w:ascii="Times New Roman" w:cs="Times New Roman" w:eastAsia="Times New Roman" w:hAnsi="Times New Roman"/>
          <w:sz w:val="15"/>
          <w:szCs w:val="15"/>
          <w:color w:val="auto"/>
        </w:rPr>
        <w:t xml:space="preserve"> and, together with the VodafoneZiggo JV Receivable I, the </w:t>
      </w:r>
      <w:r>
        <w:rPr>
          <w:rFonts w:ascii="Times New Roman" w:cs="Times New Roman" w:eastAsia="Times New Roman" w:hAnsi="Times New Roman"/>
          <w:sz w:val="15"/>
          <w:szCs w:val="15"/>
          <w:b w:val="1"/>
          <w:bCs w:val="1"/>
          <w:color w:val="auto"/>
        </w:rPr>
        <w:t>VodafoneZiggo JV Receivables</w:t>
      </w:r>
      <w:r>
        <w:rPr>
          <w:rFonts w:ascii="Times New Roman" w:cs="Times New Roman" w:eastAsia="Times New Roman" w:hAnsi="Times New Roman"/>
          <w:sz w:val="15"/>
          <w:szCs w:val="15"/>
          <w:color w:val="auto"/>
        </w:rPr>
        <w:t>). The VodafoneZiggo JV Receivables bear interest at a rate of 5.55% and have a final maturity date of December 31, 2030. During the nine months ended September 30, 2025, interest accrued on the VodafoneZiggo JV Receivables was €36.4 million ($42.8 million), all of which has been cash settled.</w:t>
      </w:r>
    </w:p>
    <w:p>
      <w:pPr>
        <w:spacing w:after="0" w:line="176" w:lineRule="exact"/>
        <w:rPr>
          <w:rFonts w:ascii="Times New Roman" w:cs="Times New Roman" w:eastAsia="Times New Roman" w:hAnsi="Times New Roman"/>
          <w:sz w:val="15"/>
          <w:szCs w:val="15"/>
          <w:color w:val="auto"/>
        </w:rPr>
      </w:pPr>
    </w:p>
    <w:p>
      <w:pPr>
        <w:ind w:left="407" w:hanging="407"/>
        <w:spacing w:after="0"/>
        <w:tabs>
          <w:tab w:leader="none" w:pos="407"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Liberty Global owns a 50% noncontrolling voting interest in the AtlasEdge JV.</w:t>
      </w:r>
    </w:p>
    <w:p>
      <w:pPr>
        <w:spacing w:after="0" w:line="221" w:lineRule="exact"/>
        <w:rPr>
          <w:rFonts w:ascii="Times New Roman" w:cs="Times New Roman" w:eastAsia="Times New Roman" w:hAnsi="Times New Roman"/>
          <w:sz w:val="15"/>
          <w:szCs w:val="15"/>
          <w:color w:val="auto"/>
        </w:rPr>
      </w:pPr>
    </w:p>
    <w:p>
      <w:pPr>
        <w:ind w:left="407" w:hanging="407"/>
        <w:spacing w:after="0"/>
        <w:tabs>
          <w:tab w:leader="none" w:pos="407"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Liberty Global owns a 25% noncontrolling voting interest in the nexfibre JV.</w:t>
      </w:r>
    </w:p>
    <w:p>
      <w:pPr>
        <w:spacing w:after="0" w:line="221" w:lineRule="exact"/>
        <w:rPr>
          <w:rFonts w:ascii="Times New Roman" w:cs="Times New Roman" w:eastAsia="Times New Roman" w:hAnsi="Times New Roman"/>
          <w:sz w:val="15"/>
          <w:szCs w:val="15"/>
          <w:color w:val="auto"/>
        </w:rPr>
      </w:pPr>
    </w:p>
    <w:p>
      <w:pPr>
        <w:jc w:val="both"/>
        <w:ind w:left="407" w:hanging="407"/>
        <w:spacing w:after="0" w:line="265" w:lineRule="auto"/>
        <w:tabs>
          <w:tab w:leader="none" w:pos="399"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investments held under SMAs, which are maintained by investment managers acting as agents on our behalf. We classify, measure and report these investments, the composition of which may change from time to time, based on the underlying nature and characteristics of each security held under the SMAs. With the exception of our SMA in a leveraged structured note, all of our investments held under SMAs were sold as of the first quarter of 2025. Our SMA held in a leveraged structured note is accounted for at fair value and the associated gains or losses are included in realized and unrealized gains or losses due to changes in fair values of certain investments, net, in our condensed consolidated statements of operations. At December 31, 2024, interest accrued on our debt securities, which is included in other current assets on our condensed consolidated balance sheet, was $7.2 million.</w:t>
      </w:r>
    </w:p>
    <w:p>
      <w:pPr>
        <w:spacing w:after="0" w:line="172" w:lineRule="exact"/>
        <w:rPr>
          <w:rFonts w:ascii="Times New Roman" w:cs="Times New Roman" w:eastAsia="Times New Roman" w:hAnsi="Times New Roman"/>
          <w:sz w:val="15"/>
          <w:szCs w:val="15"/>
          <w:color w:val="auto"/>
        </w:rPr>
      </w:pPr>
    </w:p>
    <w:p>
      <w:pPr>
        <w:jc w:val="both"/>
        <w:ind w:left="407" w:hanging="407"/>
        <w:spacing w:after="0" w:line="279" w:lineRule="auto"/>
        <w:tabs>
          <w:tab w:leader="none" w:pos="402"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investment in EdgeConneX is held through two distinct limited partnerships (</w:t>
      </w:r>
      <w:r>
        <w:rPr>
          <w:rFonts w:ascii="Times New Roman" w:cs="Times New Roman" w:eastAsia="Times New Roman" w:hAnsi="Times New Roman"/>
          <w:sz w:val="15"/>
          <w:szCs w:val="15"/>
          <w:b w:val="1"/>
          <w:bCs w:val="1"/>
          <w:color w:val="auto"/>
        </w:rPr>
        <w:t>LPs</w:t>
      </w:r>
      <w:r>
        <w:rPr>
          <w:rFonts w:ascii="Times New Roman" w:cs="Times New Roman" w:eastAsia="Times New Roman" w:hAnsi="Times New Roman"/>
          <w:sz w:val="15"/>
          <w:szCs w:val="15"/>
          <w:color w:val="auto"/>
        </w:rPr>
        <w:t>), Herndon Topco and McNair Topco. The ownership percentages in EdgeConneX are 4.3% and 3.4% for Herndon TopCo and McNair TopCo, respectively. The combined investment in EdgeConneX through these LPs results in a weighted ownership percentage of 4.2%. This calculation considers the individual ownership percentages and the respective investment amounts in each LP.</w:t>
      </w:r>
    </w:p>
    <w:p>
      <w:pPr>
        <w:spacing w:after="0" w:line="166" w:lineRule="exact"/>
        <w:rPr>
          <w:rFonts w:ascii="Times New Roman" w:cs="Times New Roman" w:eastAsia="Times New Roman" w:hAnsi="Times New Roman"/>
          <w:sz w:val="15"/>
          <w:szCs w:val="15"/>
          <w:color w:val="auto"/>
        </w:rPr>
      </w:pPr>
    </w:p>
    <w:p>
      <w:pPr>
        <w:ind w:left="407" w:hanging="407"/>
        <w:spacing w:after="0" w:line="295" w:lineRule="auto"/>
        <w:tabs>
          <w:tab w:leader="none" w:pos="402"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Subsequent to September 30, 2025, we disposed of approximately one-half of our interest in ITV, reducing our economic ownership interest in ITV to 5.0%. We received aggregate cash proceeds of approximately £135.4 million ($180.8 million) from the sale.</w:t>
      </w:r>
    </w:p>
    <w:p>
      <w:pPr>
        <w:spacing w:after="0" w:line="154" w:lineRule="exact"/>
        <w:rPr>
          <w:rFonts w:ascii="Times New Roman" w:cs="Times New Roman" w:eastAsia="Times New Roman" w:hAnsi="Times New Roman"/>
          <w:sz w:val="15"/>
          <w:szCs w:val="15"/>
          <w:color w:val="auto"/>
        </w:rPr>
      </w:pPr>
    </w:p>
    <w:p>
      <w:pPr>
        <w:ind w:left="407" w:hanging="407"/>
        <w:spacing w:after="0"/>
        <w:tabs>
          <w:tab w:leader="none" w:pos="407"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investment in Plume includes warrants with a fair value of $18.9 million and $24.5 million at September 30, 2025 and December 31, 2024, respectively.</w:t>
      </w:r>
    </w:p>
    <w:p>
      <w:pPr>
        <w:spacing w:after="0" w:line="217" w:lineRule="exact"/>
        <w:rPr>
          <w:rFonts w:ascii="Times New Roman" w:cs="Times New Roman" w:eastAsia="Times New Roman" w:hAnsi="Times New Roman"/>
          <w:sz w:val="15"/>
          <w:szCs w:val="15"/>
          <w:color w:val="auto"/>
        </w:rPr>
      </w:pPr>
    </w:p>
    <w:p>
      <w:pPr>
        <w:jc w:val="both"/>
        <w:ind w:left="407" w:hanging="407"/>
        <w:spacing w:after="0" w:line="272" w:lineRule="auto"/>
        <w:tabs>
          <w:tab w:leader="none" w:pos="402"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On May 7, 2025, Lions Gate Entertainment Corp. (NYSE: LGF.A and LGF.B) completed the full separation (the </w:t>
      </w:r>
      <w:r>
        <w:rPr>
          <w:rFonts w:ascii="Times New Roman" w:cs="Times New Roman" w:eastAsia="Times New Roman" w:hAnsi="Times New Roman"/>
          <w:sz w:val="15"/>
          <w:szCs w:val="15"/>
          <w:b w:val="1"/>
          <w:bCs w:val="1"/>
          <w:color w:val="auto"/>
        </w:rPr>
        <w:t>Lionsgate Separation</w:t>
      </w:r>
      <w:r>
        <w:rPr>
          <w:rFonts w:ascii="Times New Roman" w:cs="Times New Roman" w:eastAsia="Times New Roman" w:hAnsi="Times New Roman"/>
          <w:sz w:val="15"/>
          <w:szCs w:val="15"/>
          <w:color w:val="auto"/>
        </w:rPr>
        <w:t>) of its studio and network business into two independent, publicly traded companies, Lionsgate Studios Corp. (</w:t>
      </w:r>
      <w:r>
        <w:rPr>
          <w:rFonts w:ascii="Times New Roman" w:cs="Times New Roman" w:eastAsia="Times New Roman" w:hAnsi="Times New Roman"/>
          <w:sz w:val="15"/>
          <w:szCs w:val="15"/>
          <w:b w:val="1"/>
          <w:bCs w:val="1"/>
          <w:color w:val="auto"/>
        </w:rPr>
        <w:t>Lionsgate</w:t>
      </w:r>
      <w:r>
        <w:rPr>
          <w:rFonts w:ascii="Times New Roman" w:cs="Times New Roman" w:eastAsia="Times New Roman" w:hAnsi="Times New Roman"/>
          <w:sz w:val="15"/>
          <w:szCs w:val="15"/>
          <w:color w:val="auto"/>
        </w:rPr>
        <w:t>) and Starz Entertainment Corp. (</w:t>
      </w:r>
      <w:r>
        <w:rPr>
          <w:rFonts w:ascii="Times New Roman" w:cs="Times New Roman" w:eastAsia="Times New Roman" w:hAnsi="Times New Roman"/>
          <w:sz w:val="15"/>
          <w:szCs w:val="15"/>
          <w:b w:val="1"/>
          <w:bCs w:val="1"/>
          <w:color w:val="auto"/>
        </w:rPr>
        <w:t>Starz</w:t>
      </w:r>
      <w:r>
        <w:rPr>
          <w:rFonts w:ascii="Times New Roman" w:cs="Times New Roman" w:eastAsia="Times New Roman" w:hAnsi="Times New Roman"/>
          <w:sz w:val="15"/>
          <w:szCs w:val="15"/>
          <w:color w:val="auto"/>
        </w:rPr>
        <w:t>). All previous Lions Gate Entertainment Corp. shares have been exchanged for shares in the new companies, Lionsgate (NASDAQ: LION) and Starz (NASDAQ: STRZ). For periods following the separation, our investment in Starz is reflected in ‘Other’ fair value investments in the above table.</w:t>
      </w:r>
    </w:p>
    <w:p>
      <w:pPr>
        <w:spacing w:after="0" w:line="167" w:lineRule="exact"/>
        <w:rPr>
          <w:rFonts w:ascii="Times New Roman" w:cs="Times New Roman" w:eastAsia="Times New Roman" w:hAnsi="Times New Roman"/>
          <w:sz w:val="15"/>
          <w:szCs w:val="15"/>
          <w:color w:val="auto"/>
        </w:rPr>
      </w:pPr>
    </w:p>
    <w:p>
      <w:pPr>
        <w:jc w:val="both"/>
        <w:ind w:left="407" w:hanging="407"/>
        <w:spacing w:after="0" w:line="263" w:lineRule="auto"/>
        <w:tabs>
          <w:tab w:leader="none" w:pos="402"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connection with our investment in Vodafone, we entered into a share collar (the </w:t>
      </w:r>
      <w:r>
        <w:rPr>
          <w:rFonts w:ascii="Times New Roman" w:cs="Times New Roman" w:eastAsia="Times New Roman" w:hAnsi="Times New Roman"/>
          <w:sz w:val="15"/>
          <w:szCs w:val="15"/>
          <w:b w:val="1"/>
          <w:bCs w:val="1"/>
          <w:color w:val="auto"/>
        </w:rPr>
        <w:t>Vodafone Collar</w:t>
      </w:r>
      <w:r>
        <w:rPr>
          <w:rFonts w:ascii="Times New Roman" w:cs="Times New Roman" w:eastAsia="Times New Roman" w:hAnsi="Times New Roman"/>
          <w:sz w:val="15"/>
          <w:szCs w:val="15"/>
          <w:color w:val="auto"/>
        </w:rPr>
        <w:t xml:space="preserve">) with respect to the Vodafone shares held by our company. The aggregate purchase price paid to acquire our investment in Vodafone was partially financed through borrowings under a secured borrowing agreement (the </w:t>
      </w:r>
      <w:r>
        <w:rPr>
          <w:rFonts w:ascii="Times New Roman" w:cs="Times New Roman" w:eastAsia="Times New Roman" w:hAnsi="Times New Roman"/>
          <w:sz w:val="15"/>
          <w:szCs w:val="15"/>
          <w:b w:val="1"/>
          <w:bCs w:val="1"/>
          <w:color w:val="auto"/>
        </w:rPr>
        <w:t>Vodafone Collar Loan</w:t>
      </w:r>
      <w:r>
        <w:rPr>
          <w:rFonts w:ascii="Times New Roman" w:cs="Times New Roman" w:eastAsia="Times New Roman" w:hAnsi="Times New Roman"/>
          <w:sz w:val="15"/>
          <w:szCs w:val="15"/>
          <w:color w:val="auto"/>
        </w:rPr>
        <w:t>) collateralized by the Vodafone shares. Under the terms of the Vodafone Collar, the counterparty had the right to re-use pledged Vodafone shares prior to the full settlement described below. During the second quarter of 2025, we executed a series of transactions that resulted in (i) the disposition of 90 million of our Vodafone shares and the associated unwind and settlement of the corresponding amounts of the Vodafone Collar and the Vodafone Collar Loan, respectively, and (ii) the restructure of the remainder of the Vodafone Collar, which effectively reduced the net fair value of our economic interest in our investment in Vodafone to nil ($89.3 million at December 31, 2024). This series of transactions resulted in net cash received of €70.9 million ($81.7 million at the applicable rate). In July 2025, we entered into an amendment agreement, which resulted in a non-cash transaction whereby our remaining Vodafone shares were delivered in full settlement of the Vodafone Collar and Vodafone Collar Loan. For additional information regarding the Vodafone Collar and the Vodafone Collar Loan, see notes 6 and 9, respectively.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19" w:name="page20"/>
    <w:bookmarkEnd w:id="19"/>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ind w:left="407" w:hanging="407"/>
        <w:spacing w:after="0"/>
        <w:tabs>
          <w:tab w:leader="none" w:pos="407"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purchase and sale of investments are presented on a gross basis in our condensed consolidated statements of cash flows, including amounts associated with SMAs.</w:t>
      </w:r>
    </w:p>
    <w:p>
      <w:pPr>
        <w:spacing w:after="0" w:line="205"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Equity Method Investments</w:t>
      </w:r>
    </w:p>
    <w:p>
      <w:pPr>
        <w:spacing w:after="0" w:line="225"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color w:val="auto"/>
        </w:rPr>
        <w:t>The following table sets forth the details of our share of results of affiliates, net:</w:t>
      </w:r>
    </w:p>
    <w:p>
      <w:pPr>
        <w:spacing w:after="0" w:line="109"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2620" w:type="dxa"/>
            <w:vAlign w:val="bottom"/>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2160" w:type="dxa"/>
            <w:vAlign w:val="bottom"/>
            <w:gridSpan w:val="4"/>
          </w:tcPr>
          <w:p>
            <w:pPr>
              <w:jc w:val="center"/>
              <w:ind w:right="28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4"/>
        </w:trPr>
        <w:tc>
          <w:tcPr>
            <w:tcW w:w="6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365"/>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800" w:type="dxa"/>
            <w:vAlign w:val="bottom"/>
            <w:tcBorders>
              <w:bottom w:val="single" w:sz="8" w:color="auto"/>
            </w:tcBorders>
          </w:tcPr>
          <w:p>
            <w:pPr>
              <w:spacing w:after="0"/>
              <w:rPr>
                <w:sz w:val="16"/>
                <w:szCs w:val="16"/>
                <w:color w:val="auto"/>
              </w:rPr>
            </w:pPr>
          </w:p>
        </w:tc>
      </w:tr>
      <w:tr>
        <w:trPr>
          <w:trHeight w:val="177"/>
        </w:trPr>
        <w:tc>
          <w:tcPr>
            <w:tcW w:w="612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6"/>
        </w:trPr>
        <w:tc>
          <w:tcPr>
            <w:tcW w:w="6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gridSpan w:val="3"/>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40"/>
        </w:trPr>
        <w:tc>
          <w:tcPr>
            <w:tcW w:w="6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97"/>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VMO2 JV (a)</w:t>
            </w:r>
          </w:p>
        </w:tc>
        <w:tc>
          <w:tcPr>
            <w:tcW w:w="780" w:type="dxa"/>
            <w:vAlign w:val="bottom"/>
            <w:shd w:val="clear" w:color="auto" w:fill="CCEEFF"/>
          </w:tcPr>
          <w:p>
            <w:pPr>
              <w:jc w:val="right"/>
              <w:ind w:right="607"/>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(258.9)</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w:t>
            </w:r>
          </w:p>
        </w:tc>
      </w:tr>
      <w:tr>
        <w:trPr>
          <w:trHeight w:val="197"/>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VodafoneZiggo JV (b)</w:t>
            </w:r>
          </w:p>
        </w:tc>
        <w:tc>
          <w:tcPr>
            <w:tcW w:w="780" w:type="dxa"/>
            <w:vAlign w:val="bottom"/>
          </w:tcPr>
          <w:p>
            <w:pPr>
              <w:spacing w:after="0"/>
              <w:rPr>
                <w:sz w:val="17"/>
                <w:szCs w:val="17"/>
                <w:color w:val="auto"/>
              </w:rPr>
            </w:pPr>
          </w:p>
        </w:tc>
        <w:tc>
          <w:tcPr>
            <w:tcW w:w="4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w:t>
            </w:r>
          </w:p>
        </w:tc>
      </w:tr>
      <w:tr>
        <w:trPr>
          <w:trHeight w:val="197"/>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AtlasEdge JV</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(57.7)</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w:t>
            </w:r>
          </w:p>
        </w:tc>
      </w:tr>
      <w:tr>
        <w:trPr>
          <w:trHeight w:val="197"/>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nexfibre JV</w:t>
            </w:r>
          </w:p>
        </w:tc>
        <w:tc>
          <w:tcPr>
            <w:tcW w:w="7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197"/>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Formula E (c)</w:t>
            </w:r>
          </w:p>
        </w:tc>
        <w:tc>
          <w:tcPr>
            <w:tcW w:w="7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w:t>
            </w:r>
          </w:p>
        </w:tc>
      </w:tr>
      <w:tr>
        <w:trPr>
          <w:trHeight w:val="197"/>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All3Media Ltd. (</w:t>
            </w:r>
            <w:r>
              <w:rPr>
                <w:rFonts w:ascii="Times New Roman" w:cs="Times New Roman" w:eastAsia="Times New Roman" w:hAnsi="Times New Roman"/>
                <w:sz w:val="15"/>
                <w:szCs w:val="15"/>
                <w:b w:val="1"/>
                <w:bCs w:val="1"/>
                <w:color w:val="auto"/>
              </w:rPr>
              <w:t>All3Media</w:t>
            </w:r>
            <w:r>
              <w:rPr>
                <w:rFonts w:ascii="Times New Roman" w:cs="Times New Roman" w:eastAsia="Times New Roman" w:hAnsi="Times New Roman"/>
                <w:sz w:val="15"/>
                <w:szCs w:val="15"/>
                <w:color w:val="auto"/>
              </w:rPr>
              <w:t>) (d)</w:t>
            </w:r>
          </w:p>
        </w:tc>
        <w:tc>
          <w:tcPr>
            <w:tcW w:w="78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w:t>
            </w:r>
          </w:p>
        </w:tc>
      </w:tr>
      <w:tr>
        <w:trPr>
          <w:trHeight w:val="197"/>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net</w:t>
            </w:r>
          </w:p>
        </w:tc>
        <w:tc>
          <w:tcPr>
            <w:tcW w:w="7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w:t>
            </w:r>
          </w:p>
        </w:tc>
      </w:tr>
      <w:tr>
        <w:trPr>
          <w:trHeight w:val="188"/>
        </w:trPr>
        <w:tc>
          <w:tcPr>
            <w:tcW w:w="61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780" w:type="dxa"/>
            <w:vAlign w:val="bottom"/>
            <w:tcBorders>
              <w:bottom w:val="single" w:sz="8" w:color="auto"/>
            </w:tcBorders>
          </w:tcPr>
          <w:p>
            <w:pPr>
              <w:jc w:val="right"/>
              <w:ind w:right="607"/>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(43.3)</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(132.8)</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(455.9)</w:t>
            </w:r>
          </w:p>
        </w:tc>
        <w:tc>
          <w:tcPr>
            <w:tcW w:w="120" w:type="dxa"/>
            <w:vAlign w:val="bottom"/>
          </w:tcPr>
          <w:p>
            <w:pPr>
              <w:spacing w:after="0"/>
              <w:rPr>
                <w:sz w:val="16"/>
                <w:szCs w:val="16"/>
                <w:color w:val="auto"/>
              </w:rPr>
            </w:pPr>
          </w:p>
        </w:tc>
        <w:tc>
          <w:tcPr>
            <w:tcW w:w="4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(164.4)</w:t>
            </w:r>
          </w:p>
        </w:tc>
      </w:tr>
      <w:tr>
        <w:trPr>
          <w:trHeight w:val="20"/>
        </w:trPr>
        <w:tc>
          <w:tcPr>
            <w:tcW w:w="6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_______________</w:t>
      </w:r>
    </w:p>
    <w:p>
      <w:pPr>
        <w:spacing w:after="0" w:line="221" w:lineRule="exact"/>
        <w:rPr>
          <w:sz w:val="20"/>
          <w:szCs w:val="20"/>
          <w:color w:val="auto"/>
        </w:rPr>
      </w:pPr>
    </w:p>
    <w:p>
      <w:pPr>
        <w:jc w:val="both"/>
        <w:ind w:left="407" w:hanging="407"/>
        <w:spacing w:after="0" w:line="276" w:lineRule="auto"/>
        <w:tabs>
          <w:tab w:leader="none" w:pos="405"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our 50% share of the results of operations of the VMO2 JV and (ii) for the nine months ended September 30, 2024, 100% of the share-based compensation expense associated with Liberty Global awards granted to VMO2 JV employees who were formerly employees of Liberty Global prior to the VMO2 JV formation, as these awards remain our responsibility.</w:t>
      </w:r>
    </w:p>
    <w:p>
      <w:pPr>
        <w:spacing w:after="0" w:line="168" w:lineRule="exact"/>
        <w:rPr>
          <w:rFonts w:ascii="Times New Roman" w:cs="Times New Roman" w:eastAsia="Times New Roman" w:hAnsi="Times New Roman"/>
          <w:sz w:val="15"/>
          <w:szCs w:val="15"/>
          <w:color w:val="auto"/>
        </w:rPr>
      </w:pPr>
    </w:p>
    <w:p>
      <w:pPr>
        <w:ind w:left="407" w:hanging="407"/>
        <w:spacing w:after="0"/>
        <w:tabs>
          <w:tab w:leader="none" w:pos="407"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our 50% share of the results of operations of the VodafoneZiggo JV and (ii) 100% of the interest income earned on the VodafoneZiggo JV Receivables.</w:t>
      </w:r>
    </w:p>
    <w:p>
      <w:pPr>
        <w:spacing w:after="0" w:line="221" w:lineRule="exact"/>
        <w:rPr>
          <w:rFonts w:ascii="Times New Roman" w:cs="Times New Roman" w:eastAsia="Times New Roman" w:hAnsi="Times New Roman"/>
          <w:sz w:val="15"/>
          <w:szCs w:val="15"/>
          <w:color w:val="auto"/>
        </w:rPr>
      </w:pPr>
    </w:p>
    <w:p>
      <w:pPr>
        <w:ind w:left="407" w:hanging="407"/>
        <w:spacing w:after="0"/>
        <w:tabs>
          <w:tab w:leader="none" w:pos="407"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our share of results of Formula E prior to the Formula E Acquisition Date.</w:t>
      </w:r>
    </w:p>
    <w:p>
      <w:pPr>
        <w:spacing w:after="0" w:line="221" w:lineRule="exact"/>
        <w:rPr>
          <w:rFonts w:ascii="Times New Roman" w:cs="Times New Roman" w:eastAsia="Times New Roman" w:hAnsi="Times New Roman"/>
          <w:sz w:val="15"/>
          <w:szCs w:val="15"/>
          <w:color w:val="auto"/>
        </w:rPr>
      </w:pPr>
    </w:p>
    <w:p>
      <w:pPr>
        <w:ind w:left="407" w:hanging="407"/>
        <w:spacing w:after="0"/>
        <w:tabs>
          <w:tab w:leader="none" w:pos="407"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completed the sale of our investment in All3Media during the second quarter of 2024.</w:t>
      </w:r>
    </w:p>
    <w:p>
      <w:pPr>
        <w:spacing w:after="0" w:line="217"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i w:val="1"/>
          <w:iCs w:val="1"/>
          <w:color w:val="auto"/>
        </w:rPr>
        <w:t>VMO2 JV</w:t>
      </w:r>
    </w:p>
    <w:p>
      <w:pPr>
        <w:spacing w:after="0" w:line="221" w:lineRule="exact"/>
        <w:rPr>
          <w:sz w:val="20"/>
          <w:szCs w:val="20"/>
          <w:color w:val="auto"/>
        </w:rPr>
      </w:pPr>
    </w:p>
    <w:p>
      <w:pPr>
        <w:jc w:val="both"/>
        <w:ind w:left="7" w:firstLine="278"/>
        <w:spacing w:after="0" w:line="266" w:lineRule="auto"/>
        <w:rPr>
          <w:sz w:val="20"/>
          <w:szCs w:val="20"/>
          <w:color w:val="auto"/>
        </w:rPr>
      </w:pPr>
      <w:r>
        <w:rPr>
          <w:rFonts w:ascii="Times New Roman" w:cs="Times New Roman" w:eastAsia="Times New Roman" w:hAnsi="Times New Roman"/>
          <w:sz w:val="15"/>
          <w:szCs w:val="15"/>
          <w:color w:val="auto"/>
        </w:rPr>
        <w:t xml:space="preserve">Pursuant to an agreement (the </w:t>
      </w:r>
      <w:r>
        <w:rPr>
          <w:rFonts w:ascii="Times New Roman" w:cs="Times New Roman" w:eastAsia="Times New Roman" w:hAnsi="Times New Roman"/>
          <w:sz w:val="15"/>
          <w:szCs w:val="15"/>
          <w:b w:val="1"/>
          <w:bCs w:val="1"/>
          <w:color w:val="auto"/>
        </w:rPr>
        <w:t>U.K. JV Framework Agreement</w:t>
      </w:r>
      <w:r>
        <w:rPr>
          <w:rFonts w:ascii="Times New Roman" w:cs="Times New Roman" w:eastAsia="Times New Roman" w:hAnsi="Times New Roman"/>
          <w:sz w:val="15"/>
          <w:szCs w:val="15"/>
          <w:color w:val="auto"/>
        </w:rPr>
        <w:t xml:space="preserve">), Liberty Global provides certain services to the VMO2 JV on a transitional or ongoing basis (collectively, the </w:t>
      </w:r>
      <w:r>
        <w:rPr>
          <w:rFonts w:ascii="Times New Roman" w:cs="Times New Roman" w:eastAsia="Times New Roman" w:hAnsi="Times New Roman"/>
          <w:sz w:val="15"/>
          <w:szCs w:val="15"/>
          <w:b w:val="1"/>
          <w:bCs w:val="1"/>
          <w:color w:val="auto"/>
        </w:rPr>
        <w:t>U.K. JV Services</w:t>
      </w:r>
      <w:r>
        <w:rPr>
          <w:rFonts w:ascii="Times New Roman" w:cs="Times New Roman" w:eastAsia="Times New Roman" w:hAnsi="Times New Roman"/>
          <w:sz w:val="15"/>
          <w:szCs w:val="15"/>
          <w:color w:val="auto"/>
        </w:rPr>
        <w:t>). The agreements underlying the U.K. JV Services expire between 2027 and 2029. The U.K. JV Services provided by Liberty Global consist primarily of (i)</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technology and other services and (ii) capital-related expenditures for assets that will be used by, or will otherwise benefit, the VMO2 JV. Liberty Global charges both fixed and variable fees to the VMO2 JV for the U.K. JV Services provided pursuant to the U.K. JV Framework Agreement. At September 30, 2025 and December 31, 2024, $72.2 million and $37.5 million, respectively, was due from the VMO2 JV related to the aforementioned transactions. The amounts due from the VMO2 JV, which are periodically cash settled, are included in other current assets on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following table sets forth a summary of revenue recorded from the VMO2 JV:</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Three months ended</w:t>
            </w:r>
          </w:p>
        </w:tc>
        <w:tc>
          <w:tcPr>
            <w:tcW w:w="360" w:type="dxa"/>
            <w:vAlign w:val="bottom"/>
          </w:tcPr>
          <w:p>
            <w:pPr>
              <w:spacing w:after="0"/>
              <w:rPr>
                <w:sz w:val="13"/>
                <w:szCs w:val="13"/>
                <w:color w:val="auto"/>
              </w:rPr>
            </w:pPr>
          </w:p>
        </w:tc>
        <w:tc>
          <w:tcPr>
            <w:tcW w:w="2160" w:type="dxa"/>
            <w:vAlign w:val="bottom"/>
            <w:gridSpan w:val="4"/>
          </w:tcPr>
          <w:p>
            <w:pPr>
              <w:jc w:val="center"/>
              <w:ind w:right="28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27"/>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367"/>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gridSpan w:val="3"/>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12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Fixed fee</w:t>
            </w: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57.9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168.7</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147.5</w:t>
            </w:r>
          </w:p>
        </w:tc>
        <w:tc>
          <w:tcPr>
            <w:tcW w:w="0" w:type="dxa"/>
            <w:vAlign w:val="bottom"/>
          </w:tcPr>
          <w:p>
            <w:pPr>
              <w:spacing w:after="0"/>
              <w:rPr>
                <w:sz w:val="1"/>
                <w:szCs w:val="1"/>
                <w:color w:val="auto"/>
              </w:rPr>
            </w:pPr>
          </w:p>
        </w:tc>
      </w:tr>
      <w:tr>
        <w:trPr>
          <w:trHeight w:val="197"/>
        </w:trPr>
        <w:tc>
          <w:tcPr>
            <w:tcW w:w="6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Variable charges (a)</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37.8</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111.0</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146.8</w:t>
            </w:r>
          </w:p>
        </w:tc>
        <w:tc>
          <w:tcPr>
            <w:tcW w:w="0" w:type="dxa"/>
            <w:vAlign w:val="bottom"/>
          </w:tcPr>
          <w:p>
            <w:pPr>
              <w:spacing w:after="0"/>
              <w:rPr>
                <w:sz w:val="1"/>
                <w:szCs w:val="1"/>
                <w:color w:val="auto"/>
              </w:rPr>
            </w:pPr>
          </w:p>
        </w:tc>
      </w:tr>
      <w:tr>
        <w:trPr>
          <w:trHeight w:val="213"/>
        </w:trPr>
        <w:tc>
          <w:tcPr>
            <w:tcW w:w="61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Total revenue</w:t>
            </w: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95.7</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279.7</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294.3</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5"/>
                <w:szCs w:val="15"/>
                <w:color w:val="auto"/>
              </w:rPr>
              <w:t>_______________</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220" w:type="dxa"/>
            <w:vAlign w:val="bottom"/>
          </w:tcPr>
          <w:p>
            <w:pPr>
              <w:spacing w:after="0"/>
              <w:rPr>
                <w:sz w:val="20"/>
                <w:szCs w:val="20"/>
                <w:color w:val="auto"/>
              </w:rPr>
            </w:pPr>
            <w:r>
              <w:rPr>
                <w:rFonts w:ascii="Times New Roman" w:cs="Times New Roman" w:eastAsia="Times New Roman" w:hAnsi="Times New Roman"/>
                <w:sz w:val="15"/>
                <w:szCs w:val="15"/>
                <w:color w:val="auto"/>
              </w:rPr>
              <w:t>(a)</w:t>
            </w:r>
          </w:p>
        </w:tc>
        <w:tc>
          <w:tcPr>
            <w:tcW w:w="5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Amounts primarily include the sale of CPE at a mark-up.</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20" w:type="dxa"/>
            <w:vAlign w:val="bottom"/>
          </w:tcPr>
          <w:p>
            <w:pPr>
              <w:spacing w:after="0"/>
              <w:rPr>
                <w:sz w:val="24"/>
                <w:szCs w:val="24"/>
                <w:color w:val="auto"/>
              </w:rPr>
            </w:pPr>
          </w:p>
        </w:tc>
        <w:tc>
          <w:tcPr>
            <w:tcW w:w="59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The summarized results of operations of the VMO2 JV are set forth below:</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5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Three months ended</w:t>
            </w:r>
          </w:p>
        </w:tc>
        <w:tc>
          <w:tcPr>
            <w:tcW w:w="360" w:type="dxa"/>
            <w:vAlign w:val="bottom"/>
          </w:tcPr>
          <w:p>
            <w:pPr>
              <w:spacing w:after="0"/>
              <w:rPr>
                <w:sz w:val="21"/>
                <w:szCs w:val="21"/>
                <w:color w:val="auto"/>
              </w:rPr>
            </w:pPr>
          </w:p>
        </w:tc>
        <w:tc>
          <w:tcPr>
            <w:tcW w:w="2160" w:type="dxa"/>
            <w:vAlign w:val="bottom"/>
            <w:gridSpan w:val="4"/>
          </w:tcPr>
          <w:p>
            <w:pPr>
              <w:jc w:val="center"/>
              <w:ind w:right="28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27"/>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367"/>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gridSpan w:val="3"/>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12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6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w:t>
            </w: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3,436.0</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3,512.7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9,935.8</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10,170.9</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5"/>
                <w:szCs w:val="15"/>
                <w:color w:val="auto"/>
              </w:rPr>
              <w:t>Earnings (loss) before income taxes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20" w:type="dxa"/>
            <w:vAlign w:val="bottom"/>
            <w:gridSpan w:val="2"/>
            <w:vMerge w:val="continue"/>
          </w:tcPr>
          <w:p>
            <w:pPr>
              <w:spacing w:after="0"/>
              <w:rPr>
                <w:sz w:val="14"/>
                <w:szCs w:val="14"/>
                <w:color w:val="auto"/>
              </w:rPr>
            </w:pPr>
          </w:p>
        </w:tc>
        <w:tc>
          <w:tcPr>
            <w:tcW w:w="280" w:type="dxa"/>
            <w:vAlign w:val="bottom"/>
            <w:tcBorders>
              <w:bottom w:val="single" w:sz="8" w:color="auto"/>
            </w:tcBorders>
          </w:tcPr>
          <w:p>
            <w:pPr>
              <w:jc w:val="right"/>
              <w:ind w:right="103"/>
              <w:spacing w:after="0" w:line="163"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(3.8)</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3"/>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(68.7)</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183"/>
              <w:spacing w:after="0" w:line="163"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(619.9)</w:t>
            </w:r>
          </w:p>
        </w:tc>
        <w:tc>
          <w:tcPr>
            <w:tcW w:w="120" w:type="dxa"/>
            <w:vAlign w:val="bottom"/>
          </w:tcPr>
          <w:p>
            <w:pPr>
              <w:spacing w:after="0"/>
              <w:rPr>
                <w:sz w:val="14"/>
                <w:szCs w:val="14"/>
                <w:color w:val="auto"/>
              </w:rPr>
            </w:pPr>
          </w:p>
        </w:tc>
        <w:tc>
          <w:tcPr>
            <w:tcW w:w="400" w:type="dxa"/>
            <w:vAlign w:val="bottom"/>
            <w:tcBorders>
              <w:bottom w:val="single" w:sz="8" w:color="auto"/>
            </w:tcBorders>
          </w:tcPr>
          <w:p>
            <w:pPr>
              <w:jc w:val="right"/>
              <w:ind w:right="243"/>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(55.3)</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(494.7)</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i w:val="1"/>
          <w:iCs w:val="1"/>
          <w:color w:val="auto"/>
        </w:rPr>
        <w:t>VodafoneZiggo JV</w:t>
      </w:r>
    </w:p>
    <w:p>
      <w:pPr>
        <w:spacing w:after="0" w:line="221" w:lineRule="exact"/>
        <w:rPr>
          <w:sz w:val="20"/>
          <w:szCs w:val="20"/>
          <w:color w:val="auto"/>
        </w:rPr>
      </w:pPr>
    </w:p>
    <w:p>
      <w:pPr>
        <w:jc w:val="both"/>
        <w:ind w:firstLine="278"/>
        <w:spacing w:after="0" w:line="264" w:lineRule="auto"/>
        <w:rPr>
          <w:sz w:val="20"/>
          <w:szCs w:val="20"/>
          <w:color w:val="auto"/>
        </w:rPr>
      </w:pPr>
      <w:r>
        <w:rPr>
          <w:rFonts w:ascii="Times New Roman" w:cs="Times New Roman" w:eastAsia="Times New Roman" w:hAnsi="Times New Roman"/>
          <w:sz w:val="15"/>
          <w:szCs w:val="15"/>
          <w:color w:val="auto"/>
        </w:rPr>
        <w:t xml:space="preserve">Pursuant to an agreement (the </w:t>
      </w:r>
      <w:r>
        <w:rPr>
          <w:rFonts w:ascii="Times New Roman" w:cs="Times New Roman" w:eastAsia="Times New Roman" w:hAnsi="Times New Roman"/>
          <w:sz w:val="15"/>
          <w:szCs w:val="15"/>
          <w:b w:val="1"/>
          <w:bCs w:val="1"/>
          <w:color w:val="auto"/>
        </w:rPr>
        <w:t>NL JV Framework Agreement</w:t>
      </w:r>
      <w:r>
        <w:rPr>
          <w:rFonts w:ascii="Times New Roman" w:cs="Times New Roman" w:eastAsia="Times New Roman" w:hAnsi="Times New Roman"/>
          <w:sz w:val="15"/>
          <w:szCs w:val="15"/>
          <w:color w:val="auto"/>
        </w:rPr>
        <w:t xml:space="preserve">), Liberty Global provides certain services to the VodafoneZiggo JV (collectively, the </w:t>
      </w:r>
      <w:r>
        <w:rPr>
          <w:rFonts w:ascii="Times New Roman" w:cs="Times New Roman" w:eastAsia="Times New Roman" w:hAnsi="Times New Roman"/>
          <w:sz w:val="15"/>
          <w:szCs w:val="15"/>
          <w:b w:val="1"/>
          <w:bCs w:val="1"/>
          <w:color w:val="auto"/>
        </w:rPr>
        <w:t>NL JV Services</w:t>
      </w:r>
      <w:r>
        <w:rPr>
          <w:rFonts w:ascii="Times New Roman" w:cs="Times New Roman" w:eastAsia="Times New Roman" w:hAnsi="Times New Roman"/>
          <w:sz w:val="15"/>
          <w:szCs w:val="15"/>
          <w:color w:val="auto"/>
        </w:rPr>
        <w:t>). The NL JV Services provided by Liberty Global consist primarily of (i) technology and other services and (ii) capital-related expenditures for assets that will be used by, or will otherwise benefit, the VodafoneZiggo JV. Liberty Global charges both fixed and usage-based fees to the VodafoneZiggo JV for the NL JV Services provided pursuant to the NL JV Framework Agreement. We recorded revenue from the VodafoneZiggo JV of $56.1 million and $42.5 million during the three months ended September 30, 2025 and 2024, respectively, and $150.4 million and $164.2 million during the nine months ended September 30, 2025 and 2024, respectively, primarily related to (a) the NL JV Services and (b) the sale of CPE to the VodafoneZiggo JV at a mark-up. At September 30, 2025 and December 31, 2024, $49.8 million and $18.5 million, respectively, was due from the VodafoneZiggo JV related to the aforementioned transactions. The amounts due from the VodafoneZiggo JV, which are periodically cash settled, are included in other current assets on our condensed consolidated balance sheets.</w:t>
      </w:r>
    </w:p>
    <w:p>
      <w:pPr>
        <w:spacing w:after="0" w:line="366" w:lineRule="exact"/>
        <w:rPr>
          <w:sz w:val="20"/>
          <w:szCs w:val="20"/>
          <w:color w:val="auto"/>
        </w:rPr>
      </w:pPr>
    </w:p>
    <w:p>
      <w:pPr>
        <w:jc w:val="both"/>
        <w:ind w:firstLine="278"/>
        <w:spacing w:after="0" w:line="267" w:lineRule="auto"/>
        <w:rPr>
          <w:sz w:val="20"/>
          <w:szCs w:val="20"/>
          <w:color w:val="auto"/>
        </w:rPr>
      </w:pPr>
      <w:r>
        <w:rPr>
          <w:rFonts w:ascii="Times New Roman" w:cs="Times New Roman" w:eastAsia="Times New Roman" w:hAnsi="Times New Roman"/>
          <w:sz w:val="15"/>
          <w:szCs w:val="15"/>
          <w:color w:val="auto"/>
        </w:rPr>
        <w:t>The VodafoneZiggo JV is experiencing significant competition in both its fixed-line and mobile operations. If the adverse impacts of economic, competitive, regulatory or other factors were to cause significant deterioration of the results of operations or cash flows of the VodafoneZiggo JV, we could conclude in future periods that our investment in the VodafoneZiggo JV is impaired or management of the VodafoneZiggo JV could conclude that an impairment of the VodafoneZiggo JV goodwill and, to a lesser extent, long-lived assets, is required. Any such impairment of the VodafoneZiggo JV’s goodwill or our investment in the VodafoneZiggo JV would be reflected as a component of share of results of affiliates, net, in our condensed consolidated statement of operations. Our share of any such impairment charges could be significant.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21" w:name="page22"/>
    <w:bookmarkEnd w:id="21"/>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color w:val="auto"/>
        </w:rPr>
        <w:t>The summarized results of operations of the VodafoneZiggo JV are set forth below:</w:t>
      </w:r>
    </w:p>
    <w:p>
      <w:pPr>
        <w:spacing w:after="0" w:line="109"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216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4"/>
        </w:trPr>
        <w:tc>
          <w:tcPr>
            <w:tcW w:w="6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6"/>
        </w:trPr>
        <w:tc>
          <w:tcPr>
            <w:tcW w:w="6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gridSpan w:val="3"/>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6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w:t>
            </w: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1,156.8</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1,131.1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3,332.1</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3,336.7</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Loss before income taxes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20" w:type="dxa"/>
            <w:vAlign w:val="bottom"/>
            <w:vMerge w:val="continue"/>
          </w:tcPr>
          <w:p>
            <w:pPr>
              <w:spacing w:after="0"/>
              <w:rPr>
                <w:sz w:val="14"/>
                <w:szCs w:val="14"/>
                <w:color w:val="auto"/>
              </w:rPr>
            </w:pPr>
          </w:p>
        </w:tc>
        <w:tc>
          <w:tcPr>
            <w:tcW w:w="280" w:type="dxa"/>
            <w:vAlign w:val="bottom"/>
            <w:tcBorders>
              <w:bottom w:val="single" w:sz="8" w:color="auto"/>
            </w:tcBorders>
          </w:tcPr>
          <w:p>
            <w:pPr>
              <w:jc w:val="right"/>
              <w:ind w:right="103"/>
              <w:spacing w:after="0" w:line="163"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(81.5)</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3"/>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(166.0)</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183"/>
              <w:spacing w:after="0" w:line="163"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(328.1)</w:t>
            </w:r>
          </w:p>
        </w:tc>
        <w:tc>
          <w:tcPr>
            <w:tcW w:w="120" w:type="dxa"/>
            <w:vAlign w:val="bottom"/>
          </w:tcPr>
          <w:p>
            <w:pPr>
              <w:spacing w:after="0"/>
              <w:rPr>
                <w:sz w:val="14"/>
                <w:szCs w:val="14"/>
                <w:color w:val="auto"/>
              </w:rPr>
            </w:pPr>
          </w:p>
        </w:tc>
        <w:tc>
          <w:tcPr>
            <w:tcW w:w="400" w:type="dxa"/>
            <w:vAlign w:val="bottom"/>
            <w:tcBorders>
              <w:bottom w:val="single" w:sz="8" w:color="auto"/>
            </w:tcBorders>
          </w:tcPr>
          <w:p>
            <w:pPr>
              <w:jc w:val="right"/>
              <w:ind w:right="243"/>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(201.5)</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(37.0)</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(132.6)</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(227.4)</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(161.6)</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Fair Value Investments</w:t>
      </w:r>
    </w:p>
    <w:p>
      <w:pPr>
        <w:spacing w:after="0" w:line="225"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color w:val="auto"/>
        </w:rPr>
        <w:t>The following table sets forth the details of our realized and unrealized gains (losses) due to changes in fair values of certain investments, net:</w:t>
      </w:r>
    </w:p>
    <w:p>
      <w:pPr>
        <w:spacing w:after="0" w:line="109"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2080" w:type="dxa"/>
            <w:vAlign w:val="bottom"/>
            <w:gridSpan w:val="4"/>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60" w:type="dxa"/>
            <w:vAlign w:val="bottom"/>
            <w:gridSpan w:val="4"/>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4"/>
        </w:trPr>
        <w:tc>
          <w:tcPr>
            <w:tcW w:w="6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177"/>
        </w:trPr>
        <w:tc>
          <w:tcPr>
            <w:tcW w:w="612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6"/>
        </w:trPr>
        <w:tc>
          <w:tcPr>
            <w:tcW w:w="6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gridSpan w:val="3"/>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29"/>
        </w:trPr>
        <w:tc>
          <w:tcPr>
            <w:tcW w:w="6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97"/>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Vodafone</w:t>
            </w:r>
          </w:p>
        </w:tc>
        <w:tc>
          <w:tcPr>
            <w:tcW w:w="780" w:type="dxa"/>
            <w:vAlign w:val="bottom"/>
            <w:shd w:val="clear" w:color="auto" w:fill="CCEEFF"/>
          </w:tcPr>
          <w:p>
            <w:pPr>
              <w:jc w:val="right"/>
              <w:ind w:right="607"/>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86.1</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05"/>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207.7</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163.8</w:t>
            </w:r>
          </w:p>
        </w:tc>
      </w:tr>
      <w:tr>
        <w:trPr>
          <w:trHeight w:val="197"/>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ITV</w:t>
            </w:r>
          </w:p>
        </w:tc>
        <w:tc>
          <w:tcPr>
            <w:tcW w:w="7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58.9</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104.7</w:t>
            </w:r>
          </w:p>
        </w:tc>
      </w:tr>
      <w:tr>
        <w:trPr>
          <w:trHeight w:val="197"/>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Televisa Univision</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(76.4)</w:t>
            </w:r>
          </w:p>
        </w:tc>
      </w:tr>
      <w:tr>
        <w:trPr>
          <w:trHeight w:val="197"/>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Plume</w:t>
            </w:r>
          </w:p>
        </w:tc>
        <w:tc>
          <w:tcPr>
            <w:tcW w:w="7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(70.3)</w:t>
            </w:r>
          </w:p>
        </w:tc>
      </w:tr>
      <w:tr>
        <w:trPr>
          <w:trHeight w:val="197"/>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SMAs</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3.7</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w:t>
            </w:r>
          </w:p>
        </w:tc>
      </w:tr>
      <w:tr>
        <w:trPr>
          <w:trHeight w:val="197"/>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Aviatrix</w:t>
            </w:r>
          </w:p>
        </w:tc>
        <w:tc>
          <w:tcPr>
            <w:tcW w:w="7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w:t>
            </w:r>
          </w:p>
        </w:tc>
      </w:tr>
      <w:tr>
        <w:trPr>
          <w:trHeight w:val="197"/>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EdgeConneX</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0.3</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78.3</w:t>
            </w:r>
          </w:p>
        </w:tc>
      </w:tr>
      <w:tr>
        <w:trPr>
          <w:trHeight w:val="197"/>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Lionsgate (a)</w:t>
            </w:r>
          </w:p>
        </w:tc>
        <w:tc>
          <w:tcPr>
            <w:tcW w:w="780" w:type="dxa"/>
            <w:vAlign w:val="bottom"/>
          </w:tcPr>
          <w:p>
            <w:pPr>
              <w:spacing w:after="0"/>
              <w:rPr>
                <w:sz w:val="17"/>
                <w:szCs w:val="17"/>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7.7</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w:t>
            </w:r>
          </w:p>
        </w:tc>
      </w:tr>
      <w:tr>
        <w:trPr>
          <w:trHeight w:val="197"/>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Pax8 (b)</w:t>
            </w:r>
          </w:p>
        </w:tc>
        <w:tc>
          <w:tcPr>
            <w:tcW w:w="7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w:t>
            </w:r>
          </w:p>
        </w:tc>
      </w:tr>
      <w:tr>
        <w:trPr>
          <w:trHeight w:val="197"/>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Lacework (c)</w:t>
            </w:r>
          </w:p>
        </w:tc>
        <w:tc>
          <w:tcPr>
            <w:tcW w:w="78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(75.8)</w:t>
            </w:r>
          </w:p>
        </w:tc>
      </w:tr>
      <w:tr>
        <w:trPr>
          <w:trHeight w:val="197"/>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net</w:t>
            </w:r>
          </w:p>
        </w:tc>
        <w:tc>
          <w:tcPr>
            <w:tcW w:w="7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(38.5)</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w:t>
            </w:r>
          </w:p>
        </w:tc>
      </w:tr>
      <w:tr>
        <w:trPr>
          <w:trHeight w:val="188"/>
        </w:trPr>
        <w:tc>
          <w:tcPr>
            <w:tcW w:w="61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780" w:type="dxa"/>
            <w:vAlign w:val="bottom"/>
            <w:tcBorders>
              <w:bottom w:val="single" w:sz="8" w:color="auto"/>
            </w:tcBorders>
          </w:tcPr>
          <w:p>
            <w:pPr>
              <w:jc w:val="right"/>
              <w:ind w:right="607"/>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64.4</w:t>
            </w:r>
          </w:p>
        </w:tc>
        <w:tc>
          <w:tcPr>
            <w:tcW w:w="100" w:type="dxa"/>
            <w:vAlign w:val="bottom"/>
          </w:tcPr>
          <w:p>
            <w:pPr>
              <w:spacing w:after="0"/>
              <w:rPr>
                <w:sz w:val="16"/>
                <w:szCs w:val="16"/>
                <w:color w:val="auto"/>
              </w:rPr>
            </w:pPr>
          </w:p>
        </w:tc>
        <w:tc>
          <w:tcPr>
            <w:tcW w:w="760" w:type="dxa"/>
            <w:vAlign w:val="bottom"/>
            <w:tcBorders>
              <w:bottom w:val="single" w:sz="8" w:color="auto"/>
            </w:tcBorders>
          </w:tcPr>
          <w:p>
            <w:pPr>
              <w:jc w:val="right"/>
              <w:ind w:right="605"/>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(45.6)</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175.5</w:t>
            </w:r>
          </w:p>
        </w:tc>
        <w:tc>
          <w:tcPr>
            <w:tcW w:w="120" w:type="dxa"/>
            <w:vAlign w:val="bottom"/>
          </w:tcPr>
          <w:p>
            <w:pPr>
              <w:spacing w:after="0"/>
              <w:rPr>
                <w:sz w:val="16"/>
                <w:szCs w:val="16"/>
                <w:color w:val="auto"/>
              </w:rPr>
            </w:pPr>
          </w:p>
        </w:tc>
        <w:tc>
          <w:tcPr>
            <w:tcW w:w="4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37.7</w:t>
            </w:r>
          </w:p>
        </w:tc>
      </w:tr>
      <w:tr>
        <w:trPr>
          <w:trHeight w:val="20"/>
        </w:trPr>
        <w:tc>
          <w:tcPr>
            <w:tcW w:w="6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______________</w:t>
      </w:r>
    </w:p>
    <w:p>
      <w:pPr>
        <w:spacing w:after="0" w:line="221" w:lineRule="exact"/>
        <w:rPr>
          <w:sz w:val="20"/>
          <w:szCs w:val="20"/>
          <w:color w:val="auto"/>
        </w:rPr>
      </w:pPr>
    </w:p>
    <w:p>
      <w:pPr>
        <w:ind w:left="407" w:right="20" w:hanging="407"/>
        <w:spacing w:after="0" w:line="295" w:lineRule="auto"/>
        <w:tabs>
          <w:tab w:leader="none" w:pos="405"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represent the change in fair value of our investment in Lionsgate, both before and after the Lionsgate Separation. Following the Lionsgate Separation, changes in fair value related to our investment in Starz are included in ‘Other, net’ in the above table.</w:t>
      </w:r>
    </w:p>
    <w:p>
      <w:pPr>
        <w:spacing w:after="0" w:line="154" w:lineRule="exact"/>
        <w:rPr>
          <w:rFonts w:ascii="Times New Roman" w:cs="Times New Roman" w:eastAsia="Times New Roman" w:hAnsi="Times New Roman"/>
          <w:sz w:val="15"/>
          <w:szCs w:val="15"/>
          <w:color w:val="auto"/>
        </w:rPr>
      </w:pPr>
    </w:p>
    <w:p>
      <w:pPr>
        <w:ind w:left="407" w:hanging="407"/>
        <w:spacing w:after="0"/>
        <w:tabs>
          <w:tab w:leader="none" w:pos="407"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completed the sale of our investment in Pax8 during the fourth quarter of 2024.</w:t>
      </w:r>
    </w:p>
    <w:p>
      <w:pPr>
        <w:spacing w:after="0" w:line="221" w:lineRule="exact"/>
        <w:rPr>
          <w:rFonts w:ascii="Times New Roman" w:cs="Times New Roman" w:eastAsia="Times New Roman" w:hAnsi="Times New Roman"/>
          <w:sz w:val="15"/>
          <w:szCs w:val="15"/>
          <w:color w:val="auto"/>
        </w:rPr>
      </w:pPr>
    </w:p>
    <w:p>
      <w:pPr>
        <w:ind w:left="407" w:hanging="407"/>
        <w:spacing w:after="0"/>
        <w:tabs>
          <w:tab w:leader="none" w:pos="407"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completed the sale of our investment in Lacework during the third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22" w:name="page23"/>
    <w:bookmarkEnd w:id="22"/>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4"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i w:val="1"/>
          <w:iCs w:val="1"/>
          <w:color w:val="auto"/>
        </w:rPr>
        <w:t>Debt Securities</w:t>
      </w:r>
    </w:p>
    <w:p>
      <w:pPr>
        <w:spacing w:after="0" w:line="31"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color w:val="auto"/>
        </w:rPr>
        <w:t>The following table sets forth a summary of our debt securities recorded within SMAs at September 30, 2025 and December 31, 2024:</w:t>
      </w:r>
    </w:p>
    <w:p>
      <w:pPr>
        <w:spacing w:after="0" w:line="114"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3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80" w:type="dxa"/>
            <w:vAlign w:val="bottom"/>
          </w:tcPr>
          <w:p>
            <w:pPr>
              <w:spacing w:after="0"/>
              <w:rPr>
                <w:sz w:val="12"/>
                <w:szCs w:val="12"/>
                <w:color w:val="auto"/>
              </w:rPr>
            </w:pP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 basis</w:t>
            </w: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220" w:type="dxa"/>
            <w:vAlign w:val="bottom"/>
          </w:tcPr>
          <w:p>
            <w:pPr>
              <w:spacing w:after="0"/>
              <w:rPr>
                <w:sz w:val="12"/>
                <w:szCs w:val="12"/>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 basis</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restart"/>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4"/>
        </w:trPr>
        <w:tc>
          <w:tcPr>
            <w:tcW w:w="3180" w:type="dxa"/>
            <w:vAlign w:val="bottom"/>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(losses)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unrealized gains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Commercial paper</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71.9</w:t>
            </w:r>
          </w:p>
        </w:tc>
        <w:tc>
          <w:tcPr>
            <w:tcW w:w="0" w:type="dxa"/>
            <w:vAlign w:val="bottom"/>
          </w:tcPr>
          <w:p>
            <w:pPr>
              <w:spacing w:after="0"/>
              <w:rPr>
                <w:sz w:val="1"/>
                <w:szCs w:val="1"/>
                <w:color w:val="auto"/>
              </w:rPr>
            </w:pPr>
          </w:p>
        </w:tc>
      </w:tr>
      <w:tr>
        <w:trPr>
          <w:trHeight w:val="197"/>
        </w:trPr>
        <w:tc>
          <w:tcPr>
            <w:tcW w:w="3180" w:type="dxa"/>
            <w:vAlign w:val="bottom"/>
          </w:tcPr>
          <w:p>
            <w:pPr>
              <w:spacing w:after="0"/>
              <w:rPr>
                <w:sz w:val="20"/>
                <w:szCs w:val="20"/>
                <w:color w:val="auto"/>
              </w:rPr>
            </w:pPr>
            <w:r>
              <w:rPr>
                <w:rFonts w:ascii="Times New Roman" w:cs="Times New Roman" w:eastAsia="Times New Roman" w:hAnsi="Times New Roman"/>
                <w:sz w:val="15"/>
                <w:szCs w:val="15"/>
                <w:color w:val="auto"/>
              </w:rPr>
              <w:t>Government bonds</w:t>
            </w:r>
          </w:p>
        </w:tc>
        <w:tc>
          <w:tcPr>
            <w:tcW w:w="320" w:type="dxa"/>
            <w:vAlign w:val="bottom"/>
          </w:tcPr>
          <w:p>
            <w:pPr>
              <w:spacing w:after="0"/>
              <w:rPr>
                <w:sz w:val="17"/>
                <w:szCs w:val="17"/>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129.8</w:t>
            </w:r>
          </w:p>
        </w:tc>
        <w:tc>
          <w:tcPr>
            <w:tcW w:w="0" w:type="dxa"/>
            <w:vAlign w:val="bottom"/>
          </w:tcPr>
          <w:p>
            <w:pPr>
              <w:spacing w:after="0"/>
              <w:rPr>
                <w:sz w:val="1"/>
                <w:szCs w:val="1"/>
                <w:color w:val="auto"/>
              </w:rPr>
            </w:pPr>
          </w:p>
        </w:tc>
      </w:tr>
      <w:tr>
        <w:trPr>
          <w:trHeight w:val="197"/>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Certificates of deposit</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70.5</w:t>
            </w:r>
          </w:p>
        </w:tc>
        <w:tc>
          <w:tcPr>
            <w:tcW w:w="0" w:type="dxa"/>
            <w:vAlign w:val="bottom"/>
          </w:tcPr>
          <w:p>
            <w:pPr>
              <w:spacing w:after="0"/>
              <w:rPr>
                <w:sz w:val="1"/>
                <w:szCs w:val="1"/>
                <w:color w:val="auto"/>
              </w:rPr>
            </w:pPr>
          </w:p>
        </w:tc>
      </w:tr>
      <w:tr>
        <w:trPr>
          <w:trHeight w:val="197"/>
        </w:trPr>
        <w:tc>
          <w:tcPr>
            <w:tcW w:w="3180" w:type="dxa"/>
            <w:vAlign w:val="bottom"/>
          </w:tcPr>
          <w:p>
            <w:pPr>
              <w:spacing w:after="0"/>
              <w:rPr>
                <w:sz w:val="20"/>
                <w:szCs w:val="20"/>
                <w:color w:val="auto"/>
              </w:rPr>
            </w:pPr>
            <w:r>
              <w:rPr>
                <w:rFonts w:ascii="Times New Roman" w:cs="Times New Roman" w:eastAsia="Times New Roman" w:hAnsi="Times New Roman"/>
                <w:sz w:val="15"/>
                <w:szCs w:val="15"/>
                <w:color w:val="auto"/>
              </w:rPr>
              <w:t>Corporate debt securities</w:t>
            </w:r>
          </w:p>
        </w:tc>
        <w:tc>
          <w:tcPr>
            <w:tcW w:w="320" w:type="dxa"/>
            <w:vAlign w:val="bottom"/>
          </w:tcPr>
          <w:p>
            <w:pPr>
              <w:spacing w:after="0"/>
              <w:rPr>
                <w:sz w:val="17"/>
                <w:szCs w:val="17"/>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66.6</w:t>
            </w:r>
          </w:p>
        </w:tc>
        <w:tc>
          <w:tcPr>
            <w:tcW w:w="0" w:type="dxa"/>
            <w:vAlign w:val="bottom"/>
          </w:tcPr>
          <w:p>
            <w:pPr>
              <w:spacing w:after="0"/>
              <w:rPr>
                <w:sz w:val="1"/>
                <w:szCs w:val="1"/>
                <w:color w:val="auto"/>
              </w:rPr>
            </w:pPr>
          </w:p>
        </w:tc>
      </w:tr>
      <w:tr>
        <w:trPr>
          <w:trHeight w:val="197"/>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Structured note (a)</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(a)</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5"/>
              </w:rPr>
              <w:t>(a)</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88.0</w:t>
            </w:r>
          </w:p>
        </w:tc>
        <w:tc>
          <w:tcPr>
            <w:tcW w:w="0" w:type="dxa"/>
            <w:vAlign w:val="bottom"/>
          </w:tcPr>
          <w:p>
            <w:pPr>
              <w:spacing w:after="0"/>
              <w:rPr>
                <w:sz w:val="1"/>
                <w:szCs w:val="1"/>
                <w:color w:val="auto"/>
              </w:rPr>
            </w:pPr>
          </w:p>
        </w:tc>
      </w:tr>
      <w:tr>
        <w:trPr>
          <w:trHeight w:val="197"/>
        </w:trPr>
        <w:tc>
          <w:tcPr>
            <w:tcW w:w="3180" w:type="dxa"/>
            <w:vAlign w:val="bottom"/>
          </w:tcPr>
          <w:p>
            <w:pPr>
              <w:spacing w:after="0"/>
              <w:rPr>
                <w:sz w:val="20"/>
                <w:szCs w:val="20"/>
                <w:color w:val="auto"/>
              </w:rPr>
            </w:pPr>
            <w:r>
              <w:rPr>
                <w:rFonts w:ascii="Times New Roman" w:cs="Times New Roman" w:eastAsia="Times New Roman" w:hAnsi="Times New Roman"/>
                <w:sz w:val="15"/>
                <w:szCs w:val="15"/>
                <w:color w:val="auto"/>
              </w:rPr>
              <w:t>Other debt securities</w:t>
            </w:r>
          </w:p>
        </w:tc>
        <w:tc>
          <w:tcPr>
            <w:tcW w:w="320" w:type="dxa"/>
            <w:vAlign w:val="bottom"/>
          </w:tcPr>
          <w:p>
            <w:pPr>
              <w:spacing w:after="0"/>
              <w:rPr>
                <w:sz w:val="17"/>
                <w:szCs w:val="17"/>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0" w:type="dxa"/>
            <w:vAlign w:val="bottom"/>
          </w:tcPr>
          <w:p>
            <w:pPr>
              <w:spacing w:after="0"/>
              <w:rPr>
                <w:sz w:val="1"/>
                <w:szCs w:val="1"/>
                <w:color w:val="auto"/>
              </w:rPr>
            </w:pPr>
          </w:p>
        </w:tc>
      </w:tr>
      <w:tr>
        <w:trPr>
          <w:trHeight w:val="213"/>
        </w:trPr>
        <w:tc>
          <w:tcPr>
            <w:tcW w:w="31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debt securities</w:t>
            </w: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433.1</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______________</w:t>
      </w:r>
    </w:p>
    <w:p>
      <w:pPr>
        <w:spacing w:after="0" w:line="221" w:lineRule="exact"/>
        <w:rPr>
          <w:sz w:val="20"/>
          <w:szCs w:val="20"/>
          <w:color w:val="auto"/>
        </w:rPr>
      </w:pPr>
    </w:p>
    <w:p>
      <w:pPr>
        <w:jc w:val="both"/>
        <w:ind w:left="407" w:hanging="407"/>
        <w:spacing w:after="0" w:line="263" w:lineRule="auto"/>
        <w:tabs>
          <w:tab w:leader="none" w:pos="405"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represent an investment in a leveraged structured note issued by a third-party investment bank, which is accounted for at fair value and has a scheduled maturity date of October 1, 2026. The return on the leveraged structured note is based on changes in the fair value of a proportionate amount of debt issued by various Liberty Global consolidated subsidiaries and affiliates (including the VMO2 JV and the VodafoneZiggo JV). The proportionate amount of debt associated with the return on the leveraged structured note may change from time to time as a result of open market purchases, privately negotiated transactions, tender offers, exchange offers, redemptions or prepayments, in each case, completed by Liberty Global consolidated subsidiaries and affiliates. While the structured note itself contains leverage, our at-risk investment is the estimated fair value as reported. The proportionate amount of debt issued by Liberty Global consolidated subsidiaries and affiliates associated with the return on the leveraged structured note is summarized in the following table:</w:t>
      </w:r>
    </w:p>
    <w:p>
      <w:pPr>
        <w:spacing w:after="0" w:line="70" w:lineRule="exact"/>
        <w:rPr>
          <w:sz w:val="20"/>
          <w:szCs w:val="20"/>
          <w:color w:val="auto"/>
        </w:rPr>
      </w:pPr>
    </w:p>
    <w:tbl>
      <w:tblPr>
        <w:tblLayout w:type="fixed"/>
        <w:tblInd w:w="547"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17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0" w:type="dxa"/>
            <w:vAlign w:val="bottom"/>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4"/>
        </w:trPr>
        <w:tc>
          <w:tcPr>
            <w:tcW w:w="7340" w:type="dxa"/>
            <w:vAlign w:val="bottom"/>
          </w:tcPr>
          <w:p>
            <w:pPr>
              <w:spacing w:after="0"/>
              <w:rPr>
                <w:sz w:val="16"/>
                <w:szCs w:val="16"/>
                <w:color w:val="auto"/>
              </w:rPr>
            </w:pPr>
          </w:p>
        </w:tc>
        <w:tc>
          <w:tcPr>
            <w:tcW w:w="1620" w:type="dxa"/>
            <w:vAlign w:val="bottom"/>
            <w:tcBorders>
              <w:bottom w:val="single" w:sz="8" w:color="auto"/>
            </w:tcBorders>
          </w:tcPr>
          <w:p>
            <w:pPr>
              <w:jc w:val="right"/>
              <w:ind w:right="58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right"/>
              <w:ind w:right="58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6"/>
        </w:trPr>
        <w:tc>
          <w:tcPr>
            <w:tcW w:w="73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9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Subsidiary:</w:t>
            </w: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197"/>
        </w:trPr>
        <w:tc>
          <w:tcPr>
            <w:tcW w:w="73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Telenet</w:t>
            </w: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35.60 %</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32.10 %</w:t>
            </w:r>
          </w:p>
        </w:tc>
      </w:tr>
      <w:tr>
        <w:trPr>
          <w:trHeight w:val="232"/>
        </w:trPr>
        <w:tc>
          <w:tcPr>
            <w:tcW w:w="73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197"/>
        </w:trPr>
        <w:tc>
          <w:tcPr>
            <w:tcW w:w="7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Affiliate:</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7"/>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VodafoneZiggo JV</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34.60 %</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33.90 %</w:t>
            </w:r>
          </w:p>
        </w:tc>
      </w:tr>
      <w:tr>
        <w:trPr>
          <w:trHeight w:val="197"/>
        </w:trPr>
        <w:tc>
          <w:tcPr>
            <w:tcW w:w="73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VMO2 JV</w:t>
            </w: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29.80 %</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32"/>
        </w:trPr>
        <w:tc>
          <w:tcPr>
            <w:tcW w:w="73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197"/>
        </w:trPr>
        <w:tc>
          <w:tcPr>
            <w:tcW w:w="73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Other (1)</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34.00 %</w:t>
            </w:r>
          </w:p>
        </w:tc>
      </w:tr>
      <w:tr>
        <w:trPr>
          <w:trHeight w:val="213"/>
        </w:trPr>
        <w:tc>
          <w:tcPr>
            <w:tcW w:w="73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Total</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100.00 %</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ind w:left="407"/>
        <w:spacing w:after="0"/>
        <w:rPr>
          <w:sz w:val="20"/>
          <w:szCs w:val="20"/>
          <w:color w:val="auto"/>
        </w:rPr>
      </w:pPr>
      <w:r>
        <w:rPr>
          <w:rFonts w:ascii="Times New Roman" w:cs="Times New Roman" w:eastAsia="Times New Roman" w:hAnsi="Times New Roman"/>
          <w:sz w:val="15"/>
          <w:szCs w:val="15"/>
          <w:color w:val="auto"/>
        </w:rPr>
        <w:t>_______________</w:t>
      </w:r>
    </w:p>
    <w:p>
      <w:pPr>
        <w:spacing w:after="0" w:line="221" w:lineRule="exact"/>
        <w:rPr>
          <w:sz w:val="20"/>
          <w:szCs w:val="20"/>
          <w:color w:val="auto"/>
        </w:rPr>
      </w:pPr>
    </w:p>
    <w:p>
      <w:pPr>
        <w:ind w:left="827" w:hanging="411"/>
        <w:spacing w:after="0"/>
        <w:tabs>
          <w:tab w:leader="none" w:pos="827"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represents cash proceeds from redemptions that remain invested in the leveraged structured note.</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30" w:lineRule="exact"/>
        <w:rPr>
          <w:rFonts w:ascii="Times New Roman" w:cs="Times New Roman" w:eastAsia="Times New Roman" w:hAnsi="Times New Roman"/>
          <w:sz w:val="15"/>
          <w:szCs w:val="15"/>
          <w:color w:val="auto"/>
        </w:rPr>
      </w:pPr>
    </w:p>
    <w:p>
      <w:pPr>
        <w:ind w:left="5547"/>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23" w:name="page24"/>
    <w:bookmarkEnd w:id="23"/>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jc w:val="both"/>
        <w:ind w:left="7" w:right="20" w:firstLine="417"/>
        <w:spacing w:after="0" w:line="273" w:lineRule="auto"/>
        <w:rPr>
          <w:sz w:val="20"/>
          <w:szCs w:val="20"/>
          <w:color w:val="auto"/>
        </w:rPr>
      </w:pPr>
      <w:r>
        <w:rPr>
          <w:rFonts w:ascii="Times New Roman" w:cs="Times New Roman" w:eastAsia="Times New Roman" w:hAnsi="Times New Roman"/>
          <w:sz w:val="15"/>
          <w:szCs w:val="15"/>
          <w:color w:val="auto"/>
        </w:rPr>
        <w:t>We received proceeds from the sale and maturities of debt securities of nil and $0.9 billion during the three months ended September 30, 2025 and 2024, respectively, and $0.7 billion and $3.2 billion during the nine months ended September 30, 2025 and 2024, respectively. The sale of debt securities resulted in realized net gains (losses) of nil and ($4.5 million) during the three months ended September 30, 2025 and 2024, respectively, and $0.5 million and ($14.6 million) during the nine months ended September 30, 2025 and 2024, respectively.</w:t>
      </w:r>
    </w:p>
    <w:p>
      <w:pPr>
        <w:spacing w:after="0" w:line="361" w:lineRule="exact"/>
        <w:rPr>
          <w:sz w:val="20"/>
          <w:szCs w:val="20"/>
          <w:color w:val="auto"/>
        </w:rPr>
      </w:pPr>
    </w:p>
    <w:p>
      <w:pPr>
        <w:jc w:val="both"/>
        <w:ind w:left="7" w:firstLine="278"/>
        <w:spacing w:after="0" w:line="288" w:lineRule="auto"/>
        <w:rPr>
          <w:sz w:val="20"/>
          <w:szCs w:val="20"/>
          <w:color w:val="auto"/>
        </w:rPr>
      </w:pPr>
      <w:r>
        <w:rPr>
          <w:rFonts w:ascii="Times New Roman" w:cs="Times New Roman" w:eastAsia="Times New Roman" w:hAnsi="Times New Roman"/>
          <w:sz w:val="15"/>
          <w:szCs w:val="15"/>
          <w:color w:val="auto"/>
        </w:rPr>
        <w:t>Our investment portfolio is subject to various macroeconomic pressures and has experienced significant volatility, which affects both our non-public and publicly-traded investments. Changes in the fair values of these investments, including changes with respect to interest rates within our local jurisdictions, are likely to continue and could be significant.</w:t>
      </w:r>
    </w:p>
    <w:p>
      <w:pPr>
        <w:spacing w:after="0" w:line="346" w:lineRule="exact"/>
        <w:rPr>
          <w:sz w:val="20"/>
          <w:szCs w:val="20"/>
          <w:color w:val="auto"/>
        </w:rPr>
      </w:pPr>
    </w:p>
    <w:p>
      <w:pPr>
        <w:ind w:left="327" w:hanging="327"/>
        <w:spacing w:after="0"/>
        <w:tabs>
          <w:tab w:leader="none" w:pos="327" w:val="left"/>
        </w:tabs>
        <w:numPr>
          <w:ilvl w:val="0"/>
          <w:numId w:val="1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Derivative Instruments</w:t>
      </w:r>
    </w:p>
    <w:p>
      <w:pPr>
        <w:spacing w:after="0" w:line="225" w:lineRule="exact"/>
        <w:rPr>
          <w:sz w:val="20"/>
          <w:szCs w:val="20"/>
          <w:color w:val="auto"/>
        </w:rPr>
      </w:pPr>
    </w:p>
    <w:p>
      <w:pPr>
        <w:jc w:val="both"/>
        <w:ind w:left="7" w:firstLine="278"/>
        <w:spacing w:after="0" w:line="255" w:lineRule="auto"/>
        <w:rPr>
          <w:sz w:val="20"/>
          <w:szCs w:val="20"/>
          <w:color w:val="auto"/>
        </w:rPr>
      </w:pPr>
      <w:r>
        <w:rPr>
          <w:rFonts w:ascii="Times New Roman" w:cs="Times New Roman" w:eastAsia="Times New Roman" w:hAnsi="Times New Roman"/>
          <w:sz w:val="15"/>
          <w:szCs w:val="15"/>
          <w:color w:val="auto"/>
        </w:rPr>
        <w:t>In general, we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publicly-traded securities that we own. In this regard, through our subsidiaries, we have entered into various derivative instruments to manage interest rate exposure and foreign currency exposure primarily with respect to the U.S. dollar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the euro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and the British pound sterling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Generally, we only apply hedge accounting to our derivative instruments in limited circumstances. Accordingly, changes in the fair values of most of our derivative instruments are recorded in realized and unrealized gains or losses on derivative instruments, net, in our condensed consolidated statements of operations.</w:t>
      </w:r>
    </w:p>
    <w:p>
      <w:pPr>
        <w:spacing w:after="0" w:line="174"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color w:val="auto"/>
        </w:rPr>
        <w:t>The following table provides details of the fair values of our derivative instrument assets and liabilities:</w:t>
      </w:r>
    </w:p>
    <w:p>
      <w:pPr>
        <w:spacing w:after="0" w:line="129"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September 30, 2025</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78"/>
        </w:trPr>
        <w:tc>
          <w:tcPr>
            <w:tcW w:w="4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Long-term</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Long-term</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6"/>
        </w:trPr>
        <w:tc>
          <w:tcPr>
            <w:tcW w:w="4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40"/>
        </w:trPr>
        <w:tc>
          <w:tcPr>
            <w:tcW w:w="4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97"/>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Assets (a):</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97"/>
        </w:trPr>
        <w:tc>
          <w:tcPr>
            <w:tcW w:w="41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Cross-currency and interest rate derivative contracts (b)</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96.0</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239.5</w:t>
            </w:r>
          </w:p>
        </w:tc>
        <w:tc>
          <w:tcPr>
            <w:tcW w:w="10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253.8</w:t>
            </w:r>
          </w:p>
        </w:tc>
        <w:tc>
          <w:tcPr>
            <w:tcW w:w="28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369.4</w:t>
            </w:r>
          </w:p>
        </w:tc>
        <w:tc>
          <w:tcPr>
            <w:tcW w:w="10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623.2</w:t>
            </w:r>
          </w:p>
        </w:tc>
      </w:tr>
      <w:tr>
        <w:trPr>
          <w:trHeight w:val="197"/>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Equity-related derivative instruments (c)</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213.4</w:t>
            </w:r>
          </w:p>
        </w:tc>
      </w:tr>
      <w:tr>
        <w:trPr>
          <w:trHeight w:val="197"/>
        </w:trPr>
        <w:tc>
          <w:tcPr>
            <w:tcW w:w="41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Foreign currency forward and option contracts</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197"/>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w:t>
            </w: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r>
      <w:tr>
        <w:trPr>
          <w:trHeight w:val="165"/>
        </w:trPr>
        <w:tc>
          <w:tcPr>
            <w:tcW w:w="4140" w:type="dxa"/>
            <w:vAlign w:val="bottom"/>
          </w:tcPr>
          <w:p>
            <w:pPr>
              <w:jc w:val="center"/>
              <w:ind w:right="3183"/>
              <w:spacing w:after="0" w:line="165" w:lineRule="exact"/>
              <w:rPr>
                <w:sz w:val="20"/>
                <w:szCs w:val="20"/>
                <w:color w:val="auto"/>
              </w:rPr>
            </w:pPr>
            <w:r>
              <w:rPr>
                <w:rFonts w:ascii="Times New Roman" w:cs="Times New Roman" w:eastAsia="Times New Roman" w:hAnsi="Times New Roman"/>
                <w:sz w:val="15"/>
                <w:szCs w:val="15"/>
                <w:color w:val="auto"/>
              </w:rPr>
              <w:t>Total</w:t>
            </w:r>
          </w:p>
        </w:tc>
        <w:tc>
          <w:tcPr>
            <w:tcW w:w="200" w:type="dxa"/>
            <w:vAlign w:val="bottom"/>
            <w:tcBorders>
              <w:bottom w:val="single" w:sz="8" w:color="auto"/>
            </w:tcBorders>
          </w:tcPr>
          <w:p>
            <w:pPr>
              <w:jc w:val="right"/>
              <w:ind w:right="23"/>
              <w:spacing w:after="0" w:line="165"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151.5</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96.2</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3"/>
              <w:spacing w:after="0" w:line="165"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247.7</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23"/>
              <w:spacing w:after="0" w:line="165"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287.0</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3"/>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556.9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3"/>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843.9</w:t>
            </w: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0"/>
        </w:trPr>
        <w:tc>
          <w:tcPr>
            <w:tcW w:w="4140" w:type="dxa"/>
            <w:vAlign w:val="bottom"/>
            <w:shd w:val="clear" w:color="auto" w:fill="CCEEFF"/>
          </w:tcPr>
          <w:p>
            <w:pPr>
              <w:jc w:val="center"/>
              <w:ind w:right="3183"/>
              <w:spacing w:after="0" w:line="160" w:lineRule="exact"/>
              <w:rPr>
                <w:sz w:val="20"/>
                <w:szCs w:val="20"/>
                <w:color w:val="auto"/>
              </w:rPr>
            </w:pPr>
            <w:r>
              <w:rPr>
                <w:rFonts w:ascii="Times New Roman" w:cs="Times New Roman" w:eastAsia="Times New Roman" w:hAnsi="Times New Roman"/>
                <w:sz w:val="15"/>
                <w:szCs w:val="15"/>
                <w:color w:val="auto"/>
              </w:rPr>
              <w:t>Liabilities (a):</w:t>
            </w: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97"/>
        </w:trPr>
        <w:tc>
          <w:tcPr>
            <w:tcW w:w="41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Cross-currency and interest rate derivative contracts (b)</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153.5</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232.8</w:t>
            </w:r>
          </w:p>
        </w:tc>
        <w:tc>
          <w:tcPr>
            <w:tcW w:w="10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144.6</w:t>
            </w:r>
          </w:p>
        </w:tc>
        <w:tc>
          <w:tcPr>
            <w:tcW w:w="28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38.5</w:t>
            </w:r>
          </w:p>
        </w:tc>
        <w:tc>
          <w:tcPr>
            <w:tcW w:w="10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183.1</w:t>
            </w:r>
          </w:p>
        </w:tc>
      </w:tr>
      <w:tr>
        <w:trPr>
          <w:trHeight w:val="197"/>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Foreign currency forward and option contracts</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197"/>
        </w:trPr>
        <w:tc>
          <w:tcPr>
            <w:tcW w:w="41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Other</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3"/>
        </w:trPr>
        <w:tc>
          <w:tcPr>
            <w:tcW w:w="4140" w:type="dxa"/>
            <w:vAlign w:val="bottom"/>
            <w:tcBorders>
              <w:top w:val="single" w:sz="8" w:color="CCEEFF"/>
              <w:bottom w:val="single" w:sz="8" w:color="CCEEFF"/>
            </w:tcBorders>
            <w:shd w:val="clear" w:color="auto" w:fill="CCEEFF"/>
          </w:tcPr>
          <w:p>
            <w:pPr>
              <w:jc w:val="center"/>
              <w:ind w:right="3183"/>
              <w:spacing w:after="0"/>
              <w:rPr>
                <w:sz w:val="20"/>
                <w:szCs w:val="20"/>
                <w:color w:val="auto"/>
              </w:rPr>
            </w:pPr>
            <w:r>
              <w:rPr>
                <w:rFonts w:ascii="Times New Roman" w:cs="Times New Roman" w:eastAsia="Times New Roman" w:hAnsi="Times New Roman"/>
                <w:sz w:val="15"/>
                <w:szCs w:val="15"/>
                <w:color w:val="auto"/>
              </w:rPr>
              <w:t>Total</w:t>
            </w: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186.4</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_______________</w:t>
      </w:r>
    </w:p>
    <w:p>
      <w:pPr>
        <w:spacing w:after="0" w:line="221" w:lineRule="exact"/>
        <w:rPr>
          <w:sz w:val="20"/>
          <w:szCs w:val="20"/>
          <w:color w:val="auto"/>
        </w:rPr>
      </w:pPr>
    </w:p>
    <w:p>
      <w:pPr>
        <w:ind w:left="407" w:right="20" w:hanging="407"/>
        <w:spacing w:after="0" w:line="295" w:lineRule="auto"/>
        <w:tabs>
          <w:tab w:leader="none" w:pos="405"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long-term derivative assets and current and long-term derivative liabilities are included in other assets, net, other accrued and current liabilities and other long-term liabilities, respectively, on our condensed consolidated balance sheets.</w:t>
      </w:r>
    </w:p>
    <w:p>
      <w:pPr>
        <w:spacing w:after="0" w:line="154" w:lineRule="exact"/>
        <w:rPr>
          <w:rFonts w:ascii="Times New Roman" w:cs="Times New Roman" w:eastAsia="Times New Roman" w:hAnsi="Times New Roman"/>
          <w:sz w:val="15"/>
          <w:szCs w:val="15"/>
          <w:color w:val="auto"/>
        </w:rPr>
      </w:pPr>
    </w:p>
    <w:p>
      <w:pPr>
        <w:jc w:val="both"/>
        <w:ind w:left="407" w:hanging="407"/>
        <w:spacing w:after="0" w:line="267" w:lineRule="auto"/>
        <w:tabs>
          <w:tab w:leader="none" w:pos="402"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9). The changes in the credit risk valuation adjustments associated with our cross-currency and interest rate derivative contracts resulted in net gains (losses) of ($6.1 million) and $3.5 million during the three months ended September 30, 2025 and 2024, respectively, and $3.3 million and ($2.0 million) during the nine months ended September 30, 2025 and 2024, respectively. These amounts are included</w:t>
      </w:r>
    </w:p>
    <w:p>
      <w:pPr>
        <w:spacing w:after="0" w:line="200" w:lineRule="exact"/>
        <w:rPr>
          <w:sz w:val="20"/>
          <w:szCs w:val="20"/>
          <w:color w:val="auto"/>
        </w:rPr>
      </w:pPr>
    </w:p>
    <w:p>
      <w:pPr>
        <w:spacing w:after="0" w:line="27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24" w:name="page25"/>
    <w:bookmarkEnd w:id="24"/>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ind w:left="407" w:right="20"/>
        <w:spacing w:after="0" w:line="295" w:lineRule="auto"/>
        <w:rPr>
          <w:sz w:val="20"/>
          <w:szCs w:val="20"/>
          <w:color w:val="auto"/>
        </w:rPr>
      </w:pPr>
      <w:r>
        <w:rPr>
          <w:rFonts w:ascii="Times New Roman" w:cs="Times New Roman" w:eastAsia="Times New Roman" w:hAnsi="Times New Roman"/>
          <w:sz w:val="15"/>
          <w:szCs w:val="15"/>
          <w:color w:val="auto"/>
        </w:rPr>
        <w:t>in realized and unrealized losses on derivative instruments, net, in our condensed consolidated statements of operations. For further information regarding our fair value measurements, see note 7.</w:t>
      </w:r>
    </w:p>
    <w:p>
      <w:pPr>
        <w:spacing w:after="0" w:line="155" w:lineRule="exact"/>
        <w:rPr>
          <w:sz w:val="20"/>
          <w:szCs w:val="20"/>
          <w:color w:val="auto"/>
        </w:rPr>
      </w:pPr>
    </w:p>
    <w:p>
      <w:pPr>
        <w:ind w:left="407" w:hanging="407"/>
        <w:spacing w:after="0"/>
        <w:tabs>
          <w:tab w:leader="none" w:pos="407"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equity-related derivative instruments at December 31, 2024 include the Vodafone Collar. As further described in note 5, the Vodafone Collar was fully settled in 2025.</w:t>
      </w:r>
    </w:p>
    <w:p>
      <w:pPr>
        <w:spacing w:after="0" w:line="221"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color w:val="auto"/>
        </w:rPr>
        <w:t>The details of our realized and unrealized losses on derivative instruments, net, are as follows:</w:t>
      </w:r>
    </w:p>
    <w:p>
      <w:pPr>
        <w:spacing w:after="0" w:line="109"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2580" w:type="dxa"/>
            <w:vAlign w:val="bottom"/>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2140" w:type="dxa"/>
            <w:vAlign w:val="bottom"/>
            <w:gridSpan w:val="4"/>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4"/>
        </w:trPr>
        <w:tc>
          <w:tcPr>
            <w:tcW w:w="61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177"/>
        </w:trPr>
        <w:tc>
          <w:tcPr>
            <w:tcW w:w="6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6"/>
        </w:trPr>
        <w:tc>
          <w:tcPr>
            <w:tcW w:w="6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gridSpan w:val="3"/>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40"/>
        </w:trPr>
        <w:tc>
          <w:tcPr>
            <w:tcW w:w="6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97"/>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Cross-currency and interest rate derivative contracts</w:t>
            </w:r>
          </w:p>
        </w:tc>
        <w:tc>
          <w:tcPr>
            <w:tcW w:w="760" w:type="dxa"/>
            <w:vAlign w:val="bottom"/>
            <w:shd w:val="clear" w:color="auto" w:fill="CCEEFF"/>
          </w:tcPr>
          <w:p>
            <w:pPr>
              <w:jc w:val="right"/>
              <w:ind w:right="607"/>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(239.7)</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(397.3)</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w:t>
            </w:r>
          </w:p>
        </w:tc>
      </w:tr>
      <w:tr>
        <w:trPr>
          <w:trHeight w:val="197"/>
        </w:trPr>
        <w:tc>
          <w:tcPr>
            <w:tcW w:w="6160" w:type="dxa"/>
            <w:vAlign w:val="bottom"/>
          </w:tcPr>
          <w:p>
            <w:pPr>
              <w:spacing w:after="0"/>
              <w:rPr>
                <w:sz w:val="20"/>
                <w:szCs w:val="20"/>
                <w:color w:val="auto"/>
              </w:rPr>
            </w:pPr>
            <w:r>
              <w:rPr>
                <w:rFonts w:ascii="Times New Roman" w:cs="Times New Roman" w:eastAsia="Times New Roman" w:hAnsi="Times New Roman"/>
                <w:sz w:val="15"/>
                <w:szCs w:val="15"/>
                <w:color w:val="auto"/>
              </w:rPr>
              <w:t>Equity-related derivative instruments</w:t>
            </w:r>
          </w:p>
        </w:tc>
        <w:tc>
          <w:tcPr>
            <w:tcW w:w="7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(110.7)</w:t>
            </w:r>
          </w:p>
        </w:tc>
      </w:tr>
      <w:tr>
        <w:trPr>
          <w:trHeight w:val="197"/>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Foreign currency forward and option contracts</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w:t>
            </w:r>
          </w:p>
        </w:tc>
      </w:tr>
      <w:tr>
        <w:trPr>
          <w:trHeight w:val="197"/>
        </w:trPr>
        <w:tc>
          <w:tcPr>
            <w:tcW w:w="6160" w:type="dxa"/>
            <w:vAlign w:val="bottom"/>
          </w:tcPr>
          <w:p>
            <w:pPr>
              <w:spacing w:after="0"/>
              <w:rPr>
                <w:sz w:val="20"/>
                <w:szCs w:val="20"/>
                <w:color w:val="auto"/>
              </w:rPr>
            </w:pPr>
            <w:r>
              <w:rPr>
                <w:rFonts w:ascii="Times New Roman" w:cs="Times New Roman" w:eastAsia="Times New Roman" w:hAnsi="Times New Roman"/>
                <w:sz w:val="15"/>
                <w:szCs w:val="15"/>
                <w:color w:val="auto"/>
              </w:rPr>
              <w:t>Other</w:t>
            </w:r>
          </w:p>
        </w:tc>
        <w:tc>
          <w:tcPr>
            <w:tcW w:w="76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213"/>
        </w:trPr>
        <w:tc>
          <w:tcPr>
            <w:tcW w:w="61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w:t>
            </w:r>
          </w:p>
        </w:tc>
        <w:tc>
          <w:tcPr>
            <w:tcW w:w="760" w:type="dxa"/>
            <w:vAlign w:val="bottom"/>
            <w:tcBorders>
              <w:top w:val="single" w:sz="8" w:color="auto"/>
              <w:bottom w:val="single" w:sz="8" w:color="auto"/>
            </w:tcBorders>
            <w:shd w:val="clear" w:color="auto" w:fill="CCEEFF"/>
          </w:tcPr>
          <w:p>
            <w:pPr>
              <w:jc w:val="right"/>
              <w:ind w:right="607"/>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(617.1)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(39.3)</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jc w:val="both"/>
        <w:ind w:left="7" w:firstLine="278"/>
        <w:spacing w:after="0" w:line="276" w:lineRule="auto"/>
        <w:rPr>
          <w:sz w:val="20"/>
          <w:szCs w:val="20"/>
          <w:color w:val="auto"/>
        </w:rPr>
      </w:pPr>
      <w:r>
        <w:rPr>
          <w:rFonts w:ascii="Times New Roman" w:cs="Times New Roman" w:eastAsia="Times New Roman" w:hAnsi="Times New Roman"/>
          <w:sz w:val="15"/>
          <w:szCs w:val="15"/>
          <w:color w:val="auto"/>
        </w:rPr>
        <w:t>The net cash received or paid related to our derivative instruments is classified as an operating, investing or financing activity in our condensed consolidated statements of cash flows based on the objective of the derivative instrument and the classification of the applicable underlying cash flows. The following table sets forth the classification of the net cash inflows of our derivative instruments:</w:t>
      </w:r>
    </w:p>
    <w:p>
      <w:pPr>
        <w:spacing w:after="0" w:line="72" w:lineRule="exact"/>
        <w:rPr>
          <w:sz w:val="20"/>
          <w:szCs w:val="20"/>
          <w:color w:val="auto"/>
        </w:rPr>
      </w:pPr>
    </w:p>
    <w:p>
      <w:pPr>
        <w:jc w:val="center"/>
        <w:ind w:left="86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6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81"/>
        </w:trPr>
        <w:tc>
          <w:tcPr>
            <w:tcW w:w="868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5"/>
        </w:trPr>
        <w:tc>
          <w:tcPr>
            <w:tcW w:w="8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gridSpan w:val="3"/>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5"/>
                <w:szCs w:val="15"/>
                <w:color w:val="auto"/>
              </w:rPr>
            </w:pPr>
          </w:p>
        </w:tc>
      </w:tr>
      <w:tr>
        <w:trPr>
          <w:trHeight w:val="140"/>
        </w:trPr>
        <w:tc>
          <w:tcPr>
            <w:tcW w:w="8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9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activities</w:t>
            </w:r>
          </w:p>
        </w:tc>
        <w:tc>
          <w:tcPr>
            <w:tcW w:w="800" w:type="dxa"/>
            <w:vAlign w:val="bottom"/>
            <w:shd w:val="clear" w:color="auto" w:fill="CCEEFF"/>
          </w:tcPr>
          <w:p>
            <w:pPr>
              <w:jc w:val="right"/>
              <w:ind w:right="625"/>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137.9</w:t>
            </w:r>
          </w:p>
        </w:tc>
      </w:tr>
      <w:tr>
        <w:trPr>
          <w:trHeight w:val="197"/>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Investing activities</w:t>
            </w:r>
          </w:p>
        </w:tc>
        <w:tc>
          <w:tcPr>
            <w:tcW w:w="8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Financing activities</w:t>
            </w:r>
          </w:p>
        </w:tc>
        <w:tc>
          <w:tcPr>
            <w:tcW w:w="8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188"/>
        </w:trPr>
        <w:tc>
          <w:tcPr>
            <w:tcW w:w="86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Total</w:t>
            </w:r>
          </w:p>
        </w:tc>
        <w:tc>
          <w:tcPr>
            <w:tcW w:w="800" w:type="dxa"/>
            <w:vAlign w:val="bottom"/>
            <w:tcBorders>
              <w:bottom w:val="single" w:sz="8" w:color="auto"/>
            </w:tcBorders>
          </w:tcPr>
          <w:p>
            <w:pPr>
              <w:jc w:val="right"/>
              <w:ind w:right="625"/>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150.3</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136.5</w:t>
            </w:r>
          </w:p>
        </w:tc>
      </w:tr>
      <w:tr>
        <w:trPr>
          <w:trHeight w:val="20"/>
        </w:trPr>
        <w:tc>
          <w:tcPr>
            <w:tcW w:w="8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Counterparty Credit Risk</w:t>
      </w:r>
    </w:p>
    <w:p>
      <w:pPr>
        <w:spacing w:after="0" w:line="225" w:lineRule="exact"/>
        <w:rPr>
          <w:sz w:val="20"/>
          <w:szCs w:val="20"/>
          <w:color w:val="auto"/>
        </w:rPr>
      </w:pPr>
    </w:p>
    <w:p>
      <w:pPr>
        <w:jc w:val="both"/>
        <w:ind w:left="7" w:firstLine="278"/>
        <w:spacing w:after="0" w:line="267" w:lineRule="auto"/>
        <w:rPr>
          <w:sz w:val="20"/>
          <w:szCs w:val="20"/>
          <w:color w:val="auto"/>
        </w:rPr>
      </w:pPr>
      <w:r>
        <w:rPr>
          <w:rFonts w:ascii="Times New Roman" w:cs="Times New Roman" w:eastAsia="Times New Roman" w:hAnsi="Times New Roman"/>
          <w:sz w:val="15"/>
          <w:szCs w:val="15"/>
          <w:color w:val="auto"/>
        </w:rPr>
        <w:t>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however notwithstanding, given the size of our derivative portfolio, the default of certain counterparties could have a significant impact on our consolidated statements of operations. Collateral is generally not posted by either party under our derivative instruments. At September 30, 2025, our exposure to counterparty credit risk included derivative assets with an aggregate fair value of $81.5 million.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25" w:name="page26"/>
    <w:bookmarkEnd w:id="25"/>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Details of our Derivative Instruments</w:t>
      </w:r>
    </w:p>
    <w:p>
      <w:pPr>
        <w:spacing w:after="0" w:line="221"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Cross-currency Swap Contracts</w:t>
      </w:r>
    </w:p>
    <w:p>
      <w:pPr>
        <w:spacing w:after="0" w:line="225" w:lineRule="exact"/>
        <w:rPr>
          <w:sz w:val="20"/>
          <w:szCs w:val="20"/>
          <w:color w:val="auto"/>
        </w:rPr>
      </w:pPr>
    </w:p>
    <w:p>
      <w:pPr>
        <w:jc w:val="both"/>
        <w:ind w:left="7" w:firstLine="278"/>
        <w:spacing w:after="0" w:line="270" w:lineRule="auto"/>
        <w:rPr>
          <w:sz w:val="20"/>
          <w:szCs w:val="20"/>
          <w:color w:val="auto"/>
        </w:rPr>
      </w:pPr>
      <w:r>
        <w:rPr>
          <w:rFonts w:ascii="Times New Roman" w:cs="Times New Roman" w:eastAsia="Times New Roman" w:hAnsi="Times New Roman"/>
          <w:sz w:val="15"/>
          <w:szCs w:val="15"/>
          <w:color w:val="auto"/>
        </w:rPr>
        <w:t>We generally match the denomination of our subsidiaries’ borrowings with the functional currency of the supporting operations or, when it is more cost effective, we provide for an economic hedge against foreign currency exchange rate movements by using derivative instruments to synthetically convert unmatched debt into the applicable underlying currency. At September 30, 2025,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September 30, 2025:</w:t>
      </w:r>
    </w:p>
    <w:p>
      <w:pPr>
        <w:spacing w:after="0" w:line="61"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tcPr>
          <w:p>
            <w:pPr>
              <w:jc w:val="center"/>
              <w:ind w:right="669"/>
              <w:spacing w:after="0"/>
              <w:rPr>
                <w:sz w:val="20"/>
                <w:szCs w:val="20"/>
                <w:color w:val="auto"/>
              </w:rPr>
            </w:pPr>
            <w:r>
              <w:rPr>
                <w:rFonts w:ascii="Times New Roman" w:cs="Times New Roman" w:eastAsia="Times New Roman" w:hAnsi="Times New Roman"/>
                <w:sz w:val="14"/>
                <w:szCs w:val="14"/>
                <w:b w:val="1"/>
                <w:bCs w:val="1"/>
                <w:color w:val="auto"/>
                <w:w w:val="99"/>
              </w:rPr>
              <w:t>Notional amount</w:t>
            </w:r>
          </w:p>
        </w:tc>
        <w:tc>
          <w:tcPr>
            <w:tcW w:w="21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Notional amount</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Weighted average remaining</w:t>
            </w:r>
          </w:p>
        </w:tc>
      </w:tr>
      <w:tr>
        <w:trPr>
          <w:trHeight w:val="184"/>
        </w:trPr>
        <w:tc>
          <w:tcPr>
            <w:tcW w:w="4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tcPr>
          <w:p>
            <w:pPr>
              <w:jc w:val="center"/>
              <w:ind w:right="669"/>
              <w:spacing w:after="0"/>
              <w:rPr>
                <w:sz w:val="20"/>
                <w:szCs w:val="20"/>
                <w:color w:val="auto"/>
              </w:rPr>
            </w:pPr>
            <w:r>
              <w:rPr>
                <w:rFonts w:ascii="Times New Roman" w:cs="Times New Roman" w:eastAsia="Times New Roman" w:hAnsi="Times New Roman"/>
                <w:sz w:val="14"/>
                <w:szCs w:val="14"/>
                <w:b w:val="1"/>
                <w:bCs w:val="1"/>
                <w:color w:val="auto"/>
                <w:w w:val="99"/>
              </w:rPr>
              <w:t>due from counterparty</w:t>
            </w:r>
          </w:p>
        </w:tc>
        <w:tc>
          <w:tcPr>
            <w:tcW w:w="21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9"/>
              </w:rPr>
              <w:t>due to counterparty</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r>
      <w:tr>
        <w:trPr>
          <w:trHeight w:val="176"/>
        </w:trPr>
        <w:tc>
          <w:tcPr>
            <w:tcW w:w="46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380" w:type="dxa"/>
            <w:vAlign w:val="bottom"/>
            <w:tcBorders>
              <w:top w:val="single" w:sz="8" w:color="auto"/>
            </w:tcBorders>
          </w:tcPr>
          <w:p>
            <w:pPr>
              <w:ind w:left="15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9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175"/>
        </w:trPr>
        <w:tc>
          <w:tcPr>
            <w:tcW w:w="4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97"/>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Telenet</w:t>
            </w: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238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5"/>
                <w:szCs w:val="15"/>
                <w:color w:val="auto"/>
              </w:rPr>
              <w:t>3,890.0   €</w:t>
            </w:r>
          </w:p>
        </w:tc>
        <w:tc>
          <w:tcPr>
            <w:tcW w:w="21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5"/>
                <w:szCs w:val="15"/>
                <w:color w:val="auto"/>
              </w:rPr>
              <w:t>3,444.4 (a)</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2.2</w:t>
            </w:r>
          </w:p>
        </w:tc>
      </w:tr>
      <w:tr>
        <w:trPr>
          <w:trHeight w:val="254"/>
        </w:trPr>
        <w:tc>
          <w:tcPr>
            <w:tcW w:w="4640" w:type="dxa"/>
            <w:vAlign w:val="bottom"/>
          </w:tcPr>
          <w:p>
            <w:pPr>
              <w:spacing w:after="0"/>
              <w:rPr>
                <w:sz w:val="20"/>
                <w:szCs w:val="20"/>
                <w:color w:val="auto"/>
              </w:rPr>
            </w:pPr>
            <w:r>
              <w:rPr>
                <w:rFonts w:ascii="Times New Roman" w:cs="Times New Roman" w:eastAsia="Times New Roman" w:hAnsi="Times New Roman"/>
                <w:sz w:val="15"/>
                <w:szCs w:val="15"/>
                <w:color w:val="auto"/>
              </w:rPr>
              <w:t>_______________</w:t>
            </w:r>
          </w:p>
        </w:tc>
        <w:tc>
          <w:tcPr>
            <w:tcW w:w="2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tcPr>
          <w:p>
            <w:pPr>
              <w:spacing w:after="0"/>
              <w:rPr>
                <w:sz w:val="22"/>
                <w:szCs w:val="22"/>
                <w:color w:val="auto"/>
              </w:rPr>
            </w:pPr>
          </w:p>
        </w:tc>
      </w:tr>
    </w:tbl>
    <w:p>
      <w:pPr>
        <w:spacing w:after="0" w:line="194" w:lineRule="exact"/>
        <w:rPr>
          <w:sz w:val="20"/>
          <w:szCs w:val="20"/>
          <w:color w:val="auto"/>
        </w:rPr>
      </w:pPr>
    </w:p>
    <w:p>
      <w:pPr>
        <w:ind w:left="407" w:right="20" w:hanging="407"/>
        <w:spacing w:after="0" w:line="295" w:lineRule="auto"/>
        <w:tabs>
          <w:tab w:leader="none" w:pos="405"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certain derivative instruments that are “forward-starting,” such that the initial exchange occurs at a date subsequent to September 30, 2025. These instruments are typically entered into in order to extend existing hedges without the need to amend existing contracts.</w:t>
      </w:r>
    </w:p>
    <w:p>
      <w:pPr>
        <w:spacing w:after="0" w:line="151"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Interest Rate Swap Contracts</w:t>
      </w:r>
    </w:p>
    <w:p>
      <w:pPr>
        <w:spacing w:after="0" w:line="225" w:lineRule="exact"/>
        <w:rPr>
          <w:sz w:val="20"/>
          <w:szCs w:val="20"/>
          <w:color w:val="auto"/>
        </w:rPr>
      </w:pPr>
    </w:p>
    <w:p>
      <w:pPr>
        <w:ind w:left="7" w:firstLine="278"/>
        <w:spacing w:after="0" w:line="295" w:lineRule="auto"/>
        <w:rPr>
          <w:sz w:val="20"/>
          <w:szCs w:val="20"/>
          <w:color w:val="auto"/>
        </w:rPr>
      </w:pPr>
      <w:r>
        <w:rPr>
          <w:rFonts w:ascii="Times New Roman" w:cs="Times New Roman" w:eastAsia="Times New Roman" w:hAnsi="Times New Roman"/>
          <w:sz w:val="15"/>
          <w:szCs w:val="15"/>
          <w:color w:val="auto"/>
        </w:rPr>
        <w:t>The following table sets forth the total U.S. dollar equivalents of the notional amounts and the related weighted average remaining contractual lives of our interest rate swap contracts at September 30, 2025:</w:t>
      </w:r>
    </w:p>
    <w:p>
      <w:pPr>
        <w:spacing w:after="0" w:line="62"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0" w:type="dxa"/>
            <w:vAlign w:val="bottom"/>
            <w:gridSpan w:val="4"/>
          </w:tcPr>
          <w:p>
            <w:pPr>
              <w:ind w:left="1120"/>
              <w:spacing w:after="0"/>
              <w:rPr>
                <w:sz w:val="20"/>
                <w:szCs w:val="20"/>
                <w:color w:val="auto"/>
              </w:rPr>
            </w:pPr>
            <w:r>
              <w:rPr>
                <w:rFonts w:ascii="Times New Roman" w:cs="Times New Roman" w:eastAsia="Times New Roman" w:hAnsi="Times New Roman"/>
                <w:sz w:val="14"/>
                <w:szCs w:val="14"/>
                <w:b w:val="1"/>
                <w:bCs w:val="1"/>
                <w:color w:val="auto"/>
              </w:rPr>
              <w:t>Pays fixed rate</w:t>
            </w:r>
          </w:p>
        </w:tc>
        <w:tc>
          <w:tcPr>
            <w:tcW w:w="380" w:type="dxa"/>
            <w:vAlign w:val="bottom"/>
          </w:tcPr>
          <w:p>
            <w:pPr>
              <w:spacing w:after="0"/>
              <w:rPr>
                <w:sz w:val="16"/>
                <w:szCs w:val="16"/>
                <w:color w:val="auto"/>
              </w:rPr>
            </w:pPr>
          </w:p>
        </w:tc>
        <w:tc>
          <w:tcPr>
            <w:tcW w:w="352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Receives fixed rate</w:t>
            </w:r>
          </w:p>
        </w:tc>
      </w:tr>
      <w:tr>
        <w:trPr>
          <w:trHeight w:val="133"/>
        </w:trPr>
        <w:tc>
          <w:tcPr>
            <w:tcW w:w="33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gridSpan w:val="2"/>
          </w:tcPr>
          <w:p>
            <w:pPr>
              <w:jc w:val="center"/>
              <w:ind w:right="460"/>
              <w:spacing w:after="0" w:line="133" w:lineRule="exact"/>
              <w:rPr>
                <w:sz w:val="20"/>
                <w:szCs w:val="20"/>
                <w:color w:val="auto"/>
              </w:rPr>
            </w:pPr>
            <w:r>
              <w:rPr>
                <w:rFonts w:ascii="Times New Roman" w:cs="Times New Roman" w:eastAsia="Times New Roman" w:hAnsi="Times New Roman"/>
                <w:sz w:val="14"/>
                <w:szCs w:val="14"/>
                <w:b w:val="1"/>
                <w:bCs w:val="1"/>
                <w:color w:val="auto"/>
                <w:w w:val="97"/>
              </w:rPr>
              <w:t>Notional</w:t>
            </w:r>
          </w:p>
        </w:tc>
        <w:tc>
          <w:tcPr>
            <w:tcW w:w="186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Weighted average remaining</w:t>
            </w: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gridSpan w:val="2"/>
          </w:tcPr>
          <w:p>
            <w:pPr>
              <w:jc w:val="center"/>
              <w:ind w:right="480"/>
              <w:spacing w:after="0" w:line="133" w:lineRule="exact"/>
              <w:rPr>
                <w:sz w:val="20"/>
                <w:szCs w:val="20"/>
                <w:color w:val="auto"/>
              </w:rPr>
            </w:pPr>
            <w:r>
              <w:rPr>
                <w:rFonts w:ascii="Times New Roman" w:cs="Times New Roman" w:eastAsia="Times New Roman" w:hAnsi="Times New Roman"/>
                <w:sz w:val="14"/>
                <w:szCs w:val="14"/>
                <w:b w:val="1"/>
                <w:bCs w:val="1"/>
                <w:color w:val="auto"/>
                <w:w w:val="97"/>
              </w:rPr>
              <w:t>Notional</w:t>
            </w:r>
          </w:p>
        </w:tc>
        <w:tc>
          <w:tcPr>
            <w:tcW w:w="186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Weighted average remaining</w:t>
            </w:r>
          </w:p>
        </w:tc>
      </w:tr>
      <w:tr>
        <w:trPr>
          <w:trHeight w:val="184"/>
        </w:trPr>
        <w:tc>
          <w:tcPr>
            <w:tcW w:w="3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life</w:t>
            </w:r>
          </w:p>
        </w:tc>
        <w:tc>
          <w:tcPr>
            <w:tcW w:w="380" w:type="dxa"/>
            <w:vAlign w:val="bottom"/>
          </w:tcPr>
          <w:p>
            <w:pPr>
              <w:spacing w:after="0"/>
              <w:rPr>
                <w:sz w:val="16"/>
                <w:szCs w:val="16"/>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life</w:t>
            </w:r>
          </w:p>
        </w:tc>
      </w:tr>
      <w:tr>
        <w:trPr>
          <w:trHeight w:val="176"/>
        </w:trPr>
        <w:tc>
          <w:tcPr>
            <w:tcW w:w="33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w w:val="98"/>
              </w:rPr>
              <w:t>in millions</w:t>
            </w:r>
          </w:p>
        </w:tc>
        <w:tc>
          <w:tcPr>
            <w:tcW w:w="100" w:type="dxa"/>
            <w:vAlign w:val="bottom"/>
          </w:tcPr>
          <w:p>
            <w:pPr>
              <w:spacing w:after="0"/>
              <w:rPr>
                <w:sz w:val="15"/>
                <w:szCs w:val="15"/>
                <w:color w:val="auto"/>
              </w:rPr>
            </w:pPr>
          </w:p>
        </w:tc>
        <w:tc>
          <w:tcPr>
            <w:tcW w:w="1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years</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w w:val="98"/>
              </w:rPr>
              <w:t>in millions</w:t>
            </w:r>
          </w:p>
        </w:tc>
        <w:tc>
          <w:tcPr>
            <w:tcW w:w="120" w:type="dxa"/>
            <w:vAlign w:val="bottom"/>
          </w:tcPr>
          <w:p>
            <w:pPr>
              <w:spacing w:after="0"/>
              <w:rPr>
                <w:sz w:val="15"/>
                <w:szCs w:val="15"/>
                <w:color w:val="auto"/>
              </w:rPr>
            </w:pPr>
          </w:p>
        </w:tc>
        <w:tc>
          <w:tcPr>
            <w:tcW w:w="1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years</w:t>
            </w:r>
          </w:p>
        </w:tc>
      </w:tr>
      <w:tr>
        <w:trPr>
          <w:trHeight w:val="140"/>
        </w:trPr>
        <w:tc>
          <w:tcPr>
            <w:tcW w:w="3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197"/>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Telenet</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4,244.1 (a)</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5"/>
                <w:szCs w:val="15"/>
                <w:color w:val="auto"/>
              </w:rPr>
              <w:t>—</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66"/>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_______________</w:t>
            </w:r>
          </w:p>
        </w:tc>
        <w:tc>
          <w:tcPr>
            <w:tcW w:w="3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60" w:type="dxa"/>
            <w:vAlign w:val="bottom"/>
          </w:tcPr>
          <w:p>
            <w:pPr>
              <w:spacing w:after="0"/>
              <w:rPr>
                <w:sz w:val="23"/>
                <w:szCs w:val="23"/>
                <w:color w:val="auto"/>
              </w:rPr>
            </w:pPr>
          </w:p>
        </w:tc>
      </w:tr>
    </w:tbl>
    <w:p>
      <w:pPr>
        <w:spacing w:after="0" w:line="194" w:lineRule="exact"/>
        <w:rPr>
          <w:sz w:val="20"/>
          <w:szCs w:val="20"/>
          <w:color w:val="auto"/>
        </w:rPr>
      </w:pPr>
    </w:p>
    <w:p>
      <w:pPr>
        <w:ind w:left="407" w:hanging="407"/>
        <w:spacing w:after="0"/>
        <w:tabs>
          <w:tab w:leader="none" w:pos="407"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forward-starting derivative instruments.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26" w:name="page27"/>
    <w:bookmarkEnd w:id="26"/>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4"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Interest Rate Swap Options</w:t>
      </w:r>
    </w:p>
    <w:p>
      <w:pPr>
        <w:spacing w:after="0" w:line="221" w:lineRule="exact"/>
        <w:rPr>
          <w:sz w:val="20"/>
          <w:szCs w:val="20"/>
          <w:color w:val="auto"/>
        </w:rPr>
      </w:pPr>
    </w:p>
    <w:p>
      <w:pPr>
        <w:jc w:val="both"/>
        <w:ind w:left="7" w:firstLine="278"/>
        <w:spacing w:after="0" w:line="272" w:lineRule="auto"/>
        <w:rPr>
          <w:sz w:val="20"/>
          <w:szCs w:val="20"/>
          <w:color w:val="auto"/>
        </w:rPr>
      </w:pPr>
      <w:r>
        <w:rPr>
          <w:rFonts w:ascii="Times New Roman" w:cs="Times New Roman" w:eastAsia="Times New Roman" w:hAnsi="Times New Roman"/>
          <w:sz w:val="15"/>
          <w:szCs w:val="15"/>
          <w:color w:val="auto"/>
        </w:rPr>
        <w:t>We have entered into various interest rate swap options (</w:t>
      </w:r>
      <w:r>
        <w:rPr>
          <w:rFonts w:ascii="Times New Roman" w:cs="Times New Roman" w:eastAsia="Times New Roman" w:hAnsi="Times New Roman"/>
          <w:sz w:val="15"/>
          <w:szCs w:val="15"/>
          <w:b w:val="1"/>
          <w:bCs w:val="1"/>
          <w:color w:val="auto"/>
        </w:rPr>
        <w:t>swaptions</w:t>
      </w:r>
      <w:r>
        <w:rPr>
          <w:rFonts w:ascii="Times New Roman" w:cs="Times New Roman" w:eastAsia="Times New Roman" w:hAnsi="Times New Roman"/>
          <w:sz w:val="15"/>
          <w:szCs w:val="15"/>
          <w:color w:val="auto"/>
        </w:rPr>
        <w:t>), which give either us or the bank the right, but not the obligation, to enter into certain interest rate swap contracts at set dates in the future, with each such contract having a life of no more than five years. At the transaction date, where we have bought the swaption, the strike rate of the contract was above the corresponding market rate. Where the bank has bought the swaption, the strike rate was below the corresponding market rate. The following table sets forth certain information regarding our swaptions at September 30, 2025:</w:t>
      </w:r>
    </w:p>
    <w:p>
      <w:pPr>
        <w:spacing w:after="0" w:line="60"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Underlying swap</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Weighted average</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Weighted average</w:t>
            </w:r>
          </w:p>
        </w:tc>
        <w:tc>
          <w:tcPr>
            <w:tcW w:w="0" w:type="dxa"/>
            <w:vAlign w:val="bottom"/>
          </w:tcPr>
          <w:p>
            <w:pPr>
              <w:spacing w:after="0"/>
              <w:rPr>
                <w:sz w:val="1"/>
                <w:szCs w:val="1"/>
                <w:color w:val="auto"/>
              </w:rPr>
            </w:pPr>
          </w:p>
        </w:tc>
      </w:tr>
      <w:tr>
        <w:trPr>
          <w:trHeight w:val="139"/>
        </w:trPr>
        <w:tc>
          <w:tcPr>
            <w:tcW w:w="5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540" w:type="dxa"/>
            <w:vAlign w:val="bottom"/>
            <w:gridSpan w:val="2"/>
            <w:vMerge w:val="continue"/>
          </w:tcPr>
          <w:p>
            <w:pPr>
              <w:spacing w:after="0"/>
              <w:rPr>
                <w:sz w:val="12"/>
                <w:szCs w:val="12"/>
                <w:color w:val="auto"/>
              </w:rPr>
            </w:pPr>
          </w:p>
        </w:tc>
        <w:tc>
          <w:tcPr>
            <w:tcW w:w="154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4"/>
                <w:szCs w:val="14"/>
                <w:b w:val="1"/>
                <w:bCs w:val="1"/>
                <w:color w:val="auto"/>
                <w:w w:val="98"/>
              </w:rPr>
              <w:t>option expiration</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currency</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period (a)</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strike rate (b)</w:t>
            </w:r>
          </w:p>
        </w:tc>
        <w:tc>
          <w:tcPr>
            <w:tcW w:w="0" w:type="dxa"/>
            <w:vAlign w:val="bottom"/>
          </w:tcPr>
          <w:p>
            <w:pPr>
              <w:spacing w:after="0"/>
              <w:rPr>
                <w:sz w:val="1"/>
                <w:szCs w:val="1"/>
                <w:color w:val="auto"/>
              </w:rPr>
            </w:pPr>
          </w:p>
        </w:tc>
      </w:tr>
      <w:tr>
        <w:trPr>
          <w:trHeight w:val="176"/>
        </w:trPr>
        <w:tc>
          <w:tcPr>
            <w:tcW w:w="5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32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Telenet:</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Buy position</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1,645.9</w:t>
            </w:r>
          </w:p>
        </w:tc>
        <w:tc>
          <w:tcPr>
            <w:tcW w:w="10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197"/>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Sell position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1,645.9</w:t>
            </w: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254"/>
        </w:trPr>
        <w:tc>
          <w:tcPr>
            <w:tcW w:w="5200" w:type="dxa"/>
            <w:vAlign w:val="bottom"/>
          </w:tcPr>
          <w:p>
            <w:pPr>
              <w:spacing w:after="0"/>
              <w:rPr>
                <w:sz w:val="20"/>
                <w:szCs w:val="20"/>
                <w:color w:val="auto"/>
              </w:rPr>
            </w:pPr>
            <w:r>
              <w:rPr>
                <w:rFonts w:ascii="Times New Roman" w:cs="Times New Roman" w:eastAsia="Times New Roman" w:hAnsi="Times New Roman"/>
                <w:sz w:val="15"/>
                <w:szCs w:val="15"/>
                <w:color w:val="auto"/>
              </w:rPr>
              <w:t>_______________</w:t>
            </w: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07" w:hanging="407"/>
        <w:spacing w:after="0"/>
        <w:tabs>
          <w:tab w:leader="none" w:pos="407"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weighted average period until the date on which we have the option to enter into the interest rate swap contracts.</w:t>
      </w:r>
    </w:p>
    <w:p>
      <w:pPr>
        <w:spacing w:after="0" w:line="221" w:lineRule="exact"/>
        <w:rPr>
          <w:rFonts w:ascii="Times New Roman" w:cs="Times New Roman" w:eastAsia="Times New Roman" w:hAnsi="Times New Roman"/>
          <w:sz w:val="15"/>
          <w:szCs w:val="15"/>
          <w:color w:val="auto"/>
        </w:rPr>
      </w:pPr>
    </w:p>
    <w:p>
      <w:pPr>
        <w:ind w:left="407" w:hanging="407"/>
        <w:spacing w:after="0"/>
        <w:tabs>
          <w:tab w:leader="none" w:pos="407"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weighted average interest rate that we would pay if either we or our counterparties exercised our respective options to enter into the interest rate swap contracts.</w:t>
      </w:r>
    </w:p>
    <w:p>
      <w:pPr>
        <w:spacing w:after="0" w:line="217"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Basis Swaps</w:t>
      </w:r>
    </w:p>
    <w:p>
      <w:pPr>
        <w:spacing w:after="0" w:line="225" w:lineRule="exact"/>
        <w:rPr>
          <w:sz w:val="20"/>
          <w:szCs w:val="20"/>
          <w:color w:val="auto"/>
        </w:rPr>
      </w:pPr>
    </w:p>
    <w:p>
      <w:pPr>
        <w:jc w:val="both"/>
        <w:ind w:left="7" w:firstLine="278"/>
        <w:spacing w:after="0" w:line="270" w:lineRule="auto"/>
        <w:rPr>
          <w:sz w:val="20"/>
          <w:szCs w:val="20"/>
          <w:color w:val="auto"/>
        </w:rPr>
      </w:pPr>
      <w:r>
        <w:rPr>
          <w:rFonts w:ascii="Times New Roman" w:cs="Times New Roman" w:eastAsia="Times New Roman" w:hAnsi="Times New Roman"/>
          <w:sz w:val="15"/>
          <w:szCs w:val="15"/>
          <w:color w:val="auto"/>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lives of our basis swap contracts at September 30, 2025:</w:t>
      </w:r>
    </w:p>
    <w:p>
      <w:pPr>
        <w:spacing w:after="0" w:line="61"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Notional amount due from</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 remaining</w:t>
            </w:r>
          </w:p>
        </w:tc>
      </w:tr>
      <w:tr>
        <w:trPr>
          <w:trHeight w:val="184"/>
        </w:trPr>
        <w:tc>
          <w:tcPr>
            <w:tcW w:w="6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counterparty</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r>
      <w:tr>
        <w:trPr>
          <w:trHeight w:val="176"/>
        </w:trPr>
        <w:tc>
          <w:tcPr>
            <w:tcW w:w="66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100" w:type="dxa"/>
            <w:vAlign w:val="bottom"/>
            <w:tcBorders>
              <w:top w:val="single" w:sz="8" w:color="auto"/>
            </w:tcBorders>
          </w:tcPr>
          <w:p>
            <w:pPr>
              <w:jc w:val="center"/>
              <w:ind w:right="167"/>
              <w:spacing w:after="0"/>
              <w:rPr>
                <w:sz w:val="20"/>
                <w:szCs w:val="20"/>
                <w:color w:val="auto"/>
              </w:rPr>
            </w:pPr>
            <w:r>
              <w:rPr>
                <w:rFonts w:ascii="Times New Roman" w:cs="Times New Roman" w:eastAsia="Times New Roman" w:hAnsi="Times New Roman"/>
                <w:sz w:val="14"/>
                <w:szCs w:val="14"/>
                <w:b w:val="1"/>
                <w:bCs w:val="1"/>
                <w:color w:val="auto"/>
                <w:w w:val="98"/>
              </w:rPr>
              <w:t>in millions</w:t>
            </w:r>
          </w:p>
        </w:tc>
        <w:tc>
          <w:tcPr>
            <w:tcW w:w="140" w:type="dxa"/>
            <w:vAlign w:val="bottom"/>
          </w:tcPr>
          <w:p>
            <w:pPr>
              <w:spacing w:after="0"/>
              <w:rPr>
                <w:sz w:val="15"/>
                <w:szCs w:val="15"/>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140"/>
        </w:trPr>
        <w:tc>
          <w:tcPr>
            <w:tcW w:w="6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spacing w:after="0"/>
              <w:rPr>
                <w:sz w:val="12"/>
                <w:szCs w:val="12"/>
                <w:color w:val="auto"/>
              </w:rPr>
            </w:pPr>
          </w:p>
        </w:tc>
      </w:tr>
      <w:tr>
        <w:trPr>
          <w:trHeight w:val="197"/>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Telenet</w:t>
            </w: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100" w:type="dxa"/>
            <w:vAlign w:val="bottom"/>
            <w:shd w:val="clear" w:color="auto" w:fill="CCEEFF"/>
          </w:tcPr>
          <w:p>
            <w:pPr>
              <w:jc w:val="right"/>
              <w:ind w:right="367"/>
              <w:spacing w:after="0"/>
              <w:rPr>
                <w:sz w:val="20"/>
                <w:szCs w:val="20"/>
                <w:color w:val="auto"/>
              </w:rPr>
            </w:pPr>
            <w:r>
              <w:rPr>
                <w:rFonts w:ascii="Times New Roman" w:cs="Times New Roman" w:eastAsia="Times New Roman" w:hAnsi="Times New Roman"/>
                <w:sz w:val="15"/>
                <w:szCs w:val="15"/>
                <w:color w:val="auto"/>
              </w:rPr>
              <w:t>3,600.0</w:t>
            </w:r>
          </w:p>
        </w:tc>
        <w:tc>
          <w:tcPr>
            <w:tcW w:w="140" w:type="dxa"/>
            <w:vAlign w:val="bottom"/>
            <w:shd w:val="clear" w:color="auto" w:fill="CCEEFF"/>
          </w:tcPr>
          <w:p>
            <w:pPr>
              <w:spacing w:after="0"/>
              <w:rPr>
                <w:sz w:val="17"/>
                <w:szCs w:val="17"/>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0.3</w:t>
            </w:r>
          </w:p>
        </w:tc>
      </w:tr>
      <w:tr>
        <w:trPr>
          <w:trHeight w:val="185"/>
        </w:trPr>
        <w:tc>
          <w:tcPr>
            <w:tcW w:w="6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97"/>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VM Ireland</w:t>
            </w: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100" w:type="dxa"/>
            <w:vAlign w:val="bottom"/>
            <w:shd w:val="clear" w:color="auto" w:fill="CCEEFF"/>
          </w:tcPr>
          <w:p>
            <w:pPr>
              <w:jc w:val="right"/>
              <w:ind w:right="367"/>
              <w:spacing w:after="0"/>
              <w:rPr>
                <w:sz w:val="20"/>
                <w:szCs w:val="20"/>
                <w:color w:val="auto"/>
              </w:rPr>
            </w:pPr>
            <w:r>
              <w:rPr>
                <w:rFonts w:ascii="Times New Roman" w:cs="Times New Roman" w:eastAsia="Times New Roman" w:hAnsi="Times New Roman"/>
                <w:sz w:val="15"/>
                <w:szCs w:val="15"/>
                <w:color w:val="auto"/>
              </w:rPr>
              <w:t>1,058.1</w:t>
            </w:r>
          </w:p>
        </w:tc>
        <w:tc>
          <w:tcPr>
            <w:tcW w:w="140" w:type="dxa"/>
            <w:vAlign w:val="bottom"/>
            <w:shd w:val="clear" w:color="auto" w:fill="CCEEFF"/>
          </w:tcPr>
          <w:p>
            <w:pPr>
              <w:spacing w:after="0"/>
              <w:rPr>
                <w:sz w:val="17"/>
                <w:szCs w:val="17"/>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0.3</w:t>
            </w:r>
          </w:p>
        </w:tc>
      </w:tr>
    </w:tbl>
    <w:p>
      <w:pPr>
        <w:spacing w:after="0" w:line="271"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Interest Rate Caps, Floors and Collars</w:t>
      </w:r>
    </w:p>
    <w:p>
      <w:pPr>
        <w:spacing w:after="0" w:line="225" w:lineRule="exact"/>
        <w:rPr>
          <w:sz w:val="20"/>
          <w:szCs w:val="20"/>
          <w:color w:val="auto"/>
        </w:rPr>
      </w:pPr>
    </w:p>
    <w:p>
      <w:pPr>
        <w:jc w:val="both"/>
        <w:ind w:left="7" w:firstLine="278"/>
        <w:spacing w:after="0" w:line="270" w:lineRule="auto"/>
        <w:rPr>
          <w:sz w:val="20"/>
          <w:szCs w:val="20"/>
          <w:color w:val="auto"/>
        </w:rPr>
      </w:pPr>
      <w:r>
        <w:rPr>
          <w:rFonts w:ascii="Times New Roman" w:cs="Times New Roman" w:eastAsia="Times New Roman" w:hAnsi="Times New Roman"/>
          <w:sz w:val="15"/>
          <w:szCs w:val="15"/>
          <w:color w:val="auto"/>
        </w:rPr>
        <w:t>From time to time, we enter into interest rate cap, floor and collar agreements. Purchased interest rate caps and collars lock in a maximum interest rate if variable rates rise, but also allow our company to benefit, to a limited extent in the case of collars, from declines in market rates. Purchased interest rate floors protect us from interest rates falling below a certain level, generally to match a floating rate floor on a debt instrument. At September 30, 2025, we had no interest rate collar agreements, and the total U.S. dollar equivalents of the notional amounts of our purchased interest rate caps and floors were $1.1 billion and $1.3 billion, respectively.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27" w:name="page28"/>
    <w:bookmarkEnd w:id="27"/>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4"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Impact of Derivative Instruments on Borrowing Costs</w:t>
      </w:r>
    </w:p>
    <w:p>
      <w:pPr>
        <w:spacing w:after="0" w:line="225"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color w:val="auto"/>
        </w:rPr>
        <w:t>The impact of the derivative instruments that mitigate our foreign currency and interest rate risk, as described above, on our borrowing costs is as follows:</w:t>
      </w:r>
    </w:p>
    <w:p>
      <w:pPr>
        <w:spacing w:after="0" w:line="109"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9080" w:type="dxa"/>
            <w:vAlign w:val="bottom"/>
          </w:tcPr>
          <w:p>
            <w:pPr>
              <w:spacing w:after="0"/>
              <w:rPr>
                <w:sz w:val="13"/>
                <w:szCs w:val="13"/>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Decrease to</w:t>
            </w:r>
          </w:p>
        </w:tc>
      </w:tr>
      <w:tr>
        <w:trPr>
          <w:trHeight w:val="139"/>
        </w:trPr>
        <w:tc>
          <w:tcPr>
            <w:tcW w:w="9080" w:type="dxa"/>
            <w:vAlign w:val="bottom"/>
          </w:tcPr>
          <w:p>
            <w:pPr>
              <w:spacing w:after="0"/>
              <w:rPr>
                <w:sz w:val="12"/>
                <w:szCs w:val="12"/>
                <w:color w:val="auto"/>
              </w:rPr>
            </w:pPr>
          </w:p>
        </w:tc>
        <w:tc>
          <w:tcPr>
            <w:tcW w:w="21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9"/>
              </w:rPr>
              <w:t>borrowing costs at September 30,</w:t>
            </w:r>
          </w:p>
        </w:tc>
      </w:tr>
      <w:tr>
        <w:trPr>
          <w:trHeight w:val="184"/>
        </w:trPr>
        <w:tc>
          <w:tcPr>
            <w:tcW w:w="9080" w:type="dxa"/>
            <w:vAlign w:val="bottom"/>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2025 (a)</w:t>
            </w:r>
          </w:p>
        </w:tc>
      </w:tr>
      <w:tr>
        <w:trPr>
          <w:trHeight w:val="166"/>
        </w:trPr>
        <w:tc>
          <w:tcPr>
            <w:tcW w:w="90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97"/>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Telenet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w:t>
            </w:r>
          </w:p>
        </w:tc>
      </w:tr>
      <w:tr>
        <w:trPr>
          <w:trHeight w:val="197"/>
        </w:trPr>
        <w:tc>
          <w:tcPr>
            <w:tcW w:w="9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VM Ireland</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(1.59)%</w:t>
            </w:r>
          </w:p>
        </w:tc>
      </w:tr>
      <w:tr>
        <w:trPr>
          <w:trHeight w:val="188"/>
        </w:trPr>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decrease to borrowing costs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w:t>
            </w:r>
          </w:p>
        </w:tc>
      </w:tr>
    </w:tbl>
    <w:p>
      <w:pPr>
        <w:spacing w:after="0" w:line="5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_______________</w:t>
      </w:r>
    </w:p>
    <w:p>
      <w:pPr>
        <w:spacing w:after="0" w:line="221" w:lineRule="exact"/>
        <w:rPr>
          <w:sz w:val="20"/>
          <w:szCs w:val="20"/>
          <w:color w:val="auto"/>
        </w:rPr>
      </w:pPr>
    </w:p>
    <w:p>
      <w:pPr>
        <w:ind w:left="407" w:hanging="407"/>
        <w:spacing w:after="0"/>
        <w:tabs>
          <w:tab w:leader="none" w:pos="407"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effect of derivative instruments in effect at September 30, 2025 and does not include forward-starting derivative instruments or swaptions.</w:t>
      </w:r>
    </w:p>
    <w:p>
      <w:pPr>
        <w:spacing w:after="0" w:line="217"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Foreign Currency Forwards and Options</w:t>
      </w:r>
    </w:p>
    <w:p>
      <w:pPr>
        <w:spacing w:after="0" w:line="225"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color w:val="auto"/>
        </w:rPr>
        <w:t>Certain of our subsidiaries enter into foreign currency forward and option contracts with respect to non-functional currency exposure. As of September 30, 2025, the total U.S.</w:t>
      </w:r>
    </w:p>
    <w:p>
      <w:pPr>
        <w:spacing w:after="0" w:line="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dollar equivalent of the notional amounts of our foreign currency forward and option contracts was $213.4 million.</w:t>
      </w:r>
    </w:p>
    <w:p>
      <w:pPr>
        <w:spacing w:after="0" w:line="203" w:lineRule="exact"/>
        <w:rPr>
          <w:sz w:val="20"/>
          <w:szCs w:val="20"/>
          <w:color w:val="auto"/>
        </w:rPr>
      </w:pPr>
    </w:p>
    <w:p>
      <w:pPr>
        <w:ind w:left="327" w:hanging="327"/>
        <w:spacing w:after="0"/>
        <w:tabs>
          <w:tab w:leader="none" w:pos="327" w:val="left"/>
        </w:tabs>
        <w:numPr>
          <w:ilvl w:val="0"/>
          <w:numId w:val="2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Fair Value Measurements</w:t>
      </w:r>
    </w:p>
    <w:p>
      <w:pPr>
        <w:spacing w:after="0" w:line="225" w:lineRule="exact"/>
        <w:rPr>
          <w:sz w:val="20"/>
          <w:szCs w:val="20"/>
          <w:color w:val="auto"/>
        </w:rPr>
      </w:pPr>
    </w:p>
    <w:p>
      <w:pPr>
        <w:jc w:val="both"/>
        <w:ind w:left="7" w:firstLine="278"/>
        <w:spacing w:after="0" w:line="295" w:lineRule="auto"/>
        <w:rPr>
          <w:sz w:val="20"/>
          <w:szCs w:val="20"/>
          <w:color w:val="auto"/>
        </w:rPr>
      </w:pPr>
      <w:r>
        <w:rPr>
          <w:rFonts w:ascii="Times New Roman" w:cs="Times New Roman" w:eastAsia="Times New Roman" w:hAnsi="Times New Roman"/>
          <w:sz w:val="15"/>
          <w:szCs w:val="15"/>
          <w:color w:val="auto"/>
        </w:rPr>
        <w:t>We use the fair value method to account for (i) certain of our investments and (ii) our derivative instruments. The reported fair values of these investments and derivative instruments as of September 30, 2025 are unlikely to represent the value that will be paid or received upon the ultimate settlement or disposition of these assets and liabilities.</w:t>
      </w:r>
    </w:p>
    <w:p>
      <w:pPr>
        <w:spacing w:after="0" w:line="155" w:lineRule="exact"/>
        <w:rPr>
          <w:sz w:val="20"/>
          <w:szCs w:val="20"/>
          <w:color w:val="auto"/>
        </w:rPr>
      </w:pPr>
    </w:p>
    <w:p>
      <w:pPr>
        <w:jc w:val="both"/>
        <w:ind w:left="7" w:firstLine="278"/>
        <w:spacing w:after="0" w:line="267" w:lineRule="auto"/>
        <w:rPr>
          <w:sz w:val="20"/>
          <w:szCs w:val="20"/>
          <w:color w:val="auto"/>
        </w:rPr>
      </w:pPr>
      <w:r>
        <w:rPr>
          <w:rFonts w:ascii="Times New Roman" w:cs="Times New Roman" w:eastAsia="Times New Roman" w:hAnsi="Times New Roman"/>
          <w:sz w:val="15"/>
          <w:szCs w:val="15"/>
          <w:color w:val="auto"/>
        </w:rPr>
        <w:t>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 During the second quarter of 2025, the Vodafone Collar transferred from Level 3 to Level 2 and, as further described in note 5, was fully settled during the third quarter of 2025.</w:t>
      </w:r>
    </w:p>
    <w:p>
      <w:pPr>
        <w:spacing w:after="0" w:line="175" w:lineRule="exact"/>
        <w:rPr>
          <w:sz w:val="20"/>
          <w:szCs w:val="20"/>
          <w:color w:val="auto"/>
        </w:rPr>
      </w:pPr>
    </w:p>
    <w:p>
      <w:pPr>
        <w:jc w:val="both"/>
        <w:ind w:left="7" w:firstLine="278"/>
        <w:spacing w:after="0" w:line="276" w:lineRule="auto"/>
        <w:rPr>
          <w:sz w:val="20"/>
          <w:szCs w:val="20"/>
          <w:color w:val="auto"/>
        </w:rPr>
      </w:pPr>
      <w:r>
        <w:rPr>
          <w:rFonts w:ascii="Times New Roman" w:cs="Times New Roman" w:eastAsia="Times New Roman" w:hAnsi="Times New Roman"/>
          <w:sz w:val="15"/>
          <w:szCs w:val="15"/>
          <w:color w:val="auto"/>
        </w:rPr>
        <w:t>We use a Monte Carlo based approach to incorporate a credit risk valuation adjustment in our fair value measurements to estimate the impact of both our own nonperformance risk and the nonperformance risk of our counterparties. Our credit risk valuation adjustments with respect to our cross-currency and interest rate swap contracts are quantified and further explained in note 6.</w:t>
      </w:r>
    </w:p>
    <w:p>
      <w:pPr>
        <w:spacing w:after="0" w:line="169" w:lineRule="exact"/>
        <w:rPr>
          <w:sz w:val="20"/>
          <w:szCs w:val="20"/>
          <w:color w:val="auto"/>
        </w:rPr>
      </w:pPr>
    </w:p>
    <w:p>
      <w:pPr>
        <w:jc w:val="both"/>
        <w:ind w:left="7" w:firstLine="278"/>
        <w:spacing w:after="0" w:line="262" w:lineRule="auto"/>
        <w:rPr>
          <w:sz w:val="20"/>
          <w:szCs w:val="20"/>
          <w:color w:val="auto"/>
        </w:rPr>
      </w:pPr>
      <w:r>
        <w:rPr>
          <w:rFonts w:ascii="Times New Roman" w:cs="Times New Roman" w:eastAsia="Times New Roman" w:hAnsi="Times New Roman"/>
          <w:sz w:val="15"/>
          <w:szCs w:val="15"/>
          <w:color w:val="auto"/>
        </w:rPr>
        <w:t>Fair value measurements are also used for nonrecurring valuations performed in connection with acquisition accounting and impairment assessments. These nonrecurring valuations include the valuation of reporting units, customer relationships and other intangible assets, property and equipment and the implied value of goodwill. The valuation of reporting units is based on an income-based approach (discounted cash flows) using assumptions in our long-range business plans or a market-based approach (current multiples of comparable public companies and guideline transactions) and, in some cases, a combination of an income-based approach and a market-based approach. With the exception of certain inputs for our weighted average cost of capital and discount rate calculations that are derived from pricing services, the inputs used in our discounted cash flow analyses, such as forecasts of future cash flows, including inputs with respect to revenue growth and Adjusted EBITDA margin (as defined in note 16), and terminal growth rates,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w:t>
      </w:r>
    </w:p>
    <w:p>
      <w:pPr>
        <w:spacing w:after="0" w:line="200" w:lineRule="exact"/>
        <w:rPr>
          <w:sz w:val="20"/>
          <w:szCs w:val="20"/>
          <w:color w:val="auto"/>
        </w:rPr>
      </w:pPr>
    </w:p>
    <w:p>
      <w:pPr>
        <w:spacing w:after="0" w:line="28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charges and other factors. Tangible assets are typically valued using a replacement or reproduction cost approach, considering factors such as current prices of the same or similar equipment, the age of the equipment and economic obsolescence. The implied value of goodwill is determined by allocating the fair value of a reporting unit to all of the assets and liabilities of that unit as if the reporting unit had been acquired in a business combination, with the residual amount allocated to goodwill. Most of our nonrecurring valuations use significant unobservable inputs and therefore fall under Level 3 of the fair value hierarchy. During the nine months ended September 30, 2025 and 2024, we did not perform any significant nonrecurring fair value measurements.</w:t>
      </w:r>
    </w:p>
    <w:p>
      <w:pPr>
        <w:spacing w:after="0" w:line="1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For additional information concerning our fair value measurements, see note 9 to the consolidated financial statements included in our 2024 10-K.</w:t>
      </w:r>
    </w:p>
    <w:p>
      <w:pPr>
        <w:spacing w:after="0" w:line="2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A summary of our assets and liabilities that are measured at fair value on a recurring basis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gridSpan w:val="6"/>
          </w:tcPr>
          <w:p>
            <w:pPr>
              <w:jc w:val="center"/>
              <w:ind w:left="866"/>
              <w:spacing w:after="0"/>
              <w:rPr>
                <w:sz w:val="20"/>
                <w:szCs w:val="20"/>
                <w:color w:val="auto"/>
              </w:rPr>
            </w:pPr>
            <w:r>
              <w:rPr>
                <w:rFonts w:ascii="Times New Roman" w:cs="Times New Roman" w:eastAsia="Times New Roman" w:hAnsi="Times New Roman"/>
                <w:sz w:val="14"/>
                <w:szCs w:val="14"/>
                <w:b w:val="1"/>
                <w:bCs w:val="1"/>
                <w:color w:val="auto"/>
                <w:w w:val="98"/>
              </w:rPr>
              <w:t>Fair value measurements at</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jc w:val="center"/>
              <w:ind w:left="1066"/>
              <w:spacing w:after="0"/>
              <w:rPr>
                <w:sz w:val="20"/>
                <w:szCs w:val="20"/>
                <w:color w:val="auto"/>
              </w:rPr>
            </w:pPr>
            <w:r>
              <w:rPr>
                <w:rFonts w:ascii="Times New Roman" w:cs="Times New Roman" w:eastAsia="Times New Roman" w:hAnsi="Times New Roman"/>
                <w:sz w:val="14"/>
                <w:szCs w:val="14"/>
                <w:b w:val="1"/>
                <w:bCs w:val="1"/>
                <w:color w:val="auto"/>
                <w:w w:val="99"/>
              </w:rPr>
              <w:t>September 30, 2025 using:</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24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w w:val="99"/>
              </w:rPr>
              <w:t>Quoted prices in</w:t>
            </w:r>
          </w:p>
        </w:tc>
        <w:tc>
          <w:tcPr>
            <w:tcW w:w="100" w:type="dxa"/>
            <w:vAlign w:val="bottom"/>
          </w:tcPr>
          <w:p>
            <w:pPr>
              <w:spacing w:after="0"/>
              <w:rPr>
                <w:sz w:val="11"/>
                <w:szCs w:val="11"/>
                <w:color w:val="auto"/>
              </w:rPr>
            </w:pPr>
          </w:p>
        </w:tc>
        <w:tc>
          <w:tcPr>
            <w:tcW w:w="1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Pr>
          <w:p>
            <w:pPr>
              <w:spacing w:after="0"/>
              <w:rPr>
                <w:sz w:val="11"/>
                <w:szCs w:val="11"/>
                <w:color w:val="auto"/>
              </w:rPr>
            </w:pPr>
          </w:p>
        </w:tc>
        <w:tc>
          <w:tcPr>
            <w:tcW w:w="1060" w:type="dxa"/>
            <w:vAlign w:val="bottom"/>
            <w:vMerge w:val="restart"/>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39"/>
        </w:trPr>
        <w:tc>
          <w:tcPr>
            <w:tcW w:w="124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2"/>
                <w:szCs w:val="12"/>
                <w:color w:val="auto"/>
              </w:rPr>
            </w:pPr>
          </w:p>
        </w:tc>
        <w:tc>
          <w:tcPr>
            <w:tcW w:w="136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4"/>
                <w:szCs w:val="14"/>
                <w:b w:val="1"/>
                <w:bCs w:val="1"/>
                <w:color w:val="auto"/>
                <w:w w:val="99"/>
              </w:rPr>
              <w:t>active markets for</w:t>
            </w: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100" w:type="dxa"/>
            <w:vAlign w:val="bottom"/>
          </w:tcPr>
          <w:p>
            <w:pPr>
              <w:spacing w:after="0"/>
              <w:rPr>
                <w:sz w:val="12"/>
                <w:szCs w:val="12"/>
                <w:color w:val="auto"/>
              </w:rPr>
            </w:pPr>
          </w:p>
        </w:tc>
        <w:tc>
          <w:tcPr>
            <w:tcW w:w="128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4"/>
                <w:szCs w:val="14"/>
                <w:b w:val="1"/>
                <w:bCs w:val="1"/>
                <w:color w:val="auto"/>
                <w:w w:val="98"/>
              </w:rPr>
              <w:t>observable inputs</w:t>
            </w:r>
          </w:p>
        </w:tc>
        <w:tc>
          <w:tcPr>
            <w:tcW w:w="12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84"/>
        </w:trPr>
        <w:tc>
          <w:tcPr>
            <w:tcW w:w="5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00" w:type="dxa"/>
            <w:vAlign w:val="bottom"/>
          </w:tcPr>
          <w:p>
            <w:pPr>
              <w:spacing w:after="0"/>
              <w:rPr>
                <w:sz w:val="16"/>
                <w:szCs w:val="16"/>
                <w:color w:val="auto"/>
              </w:rPr>
            </w:pPr>
          </w:p>
        </w:tc>
        <w:tc>
          <w:tcPr>
            <w:tcW w:w="106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6"/>
        </w:trPr>
        <w:tc>
          <w:tcPr>
            <w:tcW w:w="1240" w:type="dxa"/>
            <w:vAlign w:val="bottom"/>
            <w:tcBorders>
              <w:top w:val="single" w:sz="8" w:color="auto"/>
            </w:tcBorders>
          </w:tcPr>
          <w:p>
            <w:pPr>
              <w:spacing w:after="0"/>
              <w:rPr>
                <w:sz w:val="15"/>
                <w:szCs w:val="15"/>
                <w:color w:val="auto"/>
              </w:rPr>
            </w:pPr>
          </w:p>
        </w:tc>
        <w:tc>
          <w:tcPr>
            <w:tcW w:w="44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740" w:type="dxa"/>
            <w:vAlign w:val="bottom"/>
            <w:tcBorders>
              <w:top w:val="single" w:sz="8" w:color="auto"/>
            </w:tcBorders>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Assets: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Derivative instruments: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Cross-currency and interest rate derivative contracts</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Foreign currency forward and option contracts</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8"/>
        </w:trPr>
        <w:tc>
          <w:tcPr>
            <w:tcW w:w="57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5"/>
                <w:szCs w:val="15"/>
                <w:color w:val="auto"/>
              </w:rPr>
              <w:t>Total derivative instruments</w:t>
            </w:r>
          </w:p>
        </w:tc>
        <w:tc>
          <w:tcPr>
            <w:tcW w:w="1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247.7</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247.7</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7"/>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Investments:</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SMAs</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7"/>
        </w:trPr>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investments</w:t>
            </w: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1,824.3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1,358.5</w:t>
            </w:r>
          </w:p>
        </w:tc>
        <w:tc>
          <w:tcPr>
            <w:tcW w:w="0" w:type="dxa"/>
            <w:vAlign w:val="bottom"/>
          </w:tcPr>
          <w:p>
            <w:pPr>
              <w:spacing w:after="0"/>
              <w:rPr>
                <w:sz w:val="1"/>
                <w:szCs w:val="1"/>
                <w:color w:val="auto"/>
              </w:rPr>
            </w:pPr>
          </w:p>
        </w:tc>
      </w:tr>
      <w:tr>
        <w:trPr>
          <w:trHeight w:val="188"/>
        </w:trPr>
        <w:tc>
          <w:tcPr>
            <w:tcW w:w="57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5"/>
                <w:szCs w:val="15"/>
                <w:color w:val="auto"/>
              </w:rPr>
              <w:t>Total investments</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1,910.2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465.7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1,358.5</w:t>
            </w:r>
          </w:p>
        </w:tc>
        <w:tc>
          <w:tcPr>
            <w:tcW w:w="0" w:type="dxa"/>
            <w:vAlign w:val="bottom"/>
          </w:tcPr>
          <w:p>
            <w:pPr>
              <w:spacing w:after="0"/>
              <w:rPr>
                <w:sz w:val="1"/>
                <w:szCs w:val="1"/>
                <w:color w:val="auto"/>
              </w:rPr>
            </w:pPr>
          </w:p>
        </w:tc>
      </w:tr>
      <w:tr>
        <w:trPr>
          <w:trHeight w:val="213"/>
        </w:trPr>
        <w:tc>
          <w:tcPr>
            <w:tcW w:w="57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Total assets</w:t>
            </w: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2,157.9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1,358.5</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24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Liabilities: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Derivative instruments: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Cross-currency and interest rate derivative contracts</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Foreign currency forward and option contracts</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5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Other</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8"/>
        </w:trPr>
        <w:tc>
          <w:tcPr>
            <w:tcW w:w="572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Total liabilities</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245.0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245.0</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29" w:name="page30"/>
    <w:bookmarkEnd w:id="29"/>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40" w:type="dxa"/>
            <w:vAlign w:val="bottom"/>
            <w:gridSpan w:val="5"/>
          </w:tcPr>
          <w:p>
            <w:pPr>
              <w:ind w:left="1100"/>
              <w:spacing w:after="0"/>
              <w:rPr>
                <w:sz w:val="20"/>
                <w:szCs w:val="20"/>
                <w:color w:val="auto"/>
              </w:rPr>
            </w:pPr>
            <w:r>
              <w:rPr>
                <w:rFonts w:ascii="Times New Roman" w:cs="Times New Roman" w:eastAsia="Times New Roman" w:hAnsi="Times New Roman"/>
                <w:sz w:val="14"/>
                <w:szCs w:val="14"/>
                <w:b w:val="1"/>
                <w:bCs w:val="1"/>
                <w:color w:val="auto"/>
                <w:w w:val="97"/>
              </w:rPr>
              <w:t>Fair value measurements at</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1180"/>
              <w:spacing w:after="0"/>
              <w:rPr>
                <w:sz w:val="20"/>
                <w:szCs w:val="20"/>
                <w:color w:val="auto"/>
              </w:rPr>
            </w:pPr>
            <w:r>
              <w:rPr>
                <w:rFonts w:ascii="Times New Roman" w:cs="Times New Roman" w:eastAsia="Times New Roman" w:hAnsi="Times New Roman"/>
                <w:sz w:val="14"/>
                <w:szCs w:val="14"/>
                <w:b w:val="1"/>
                <w:bCs w:val="1"/>
                <w:color w:val="auto"/>
              </w:rPr>
              <w:t>December 31, 2024 using:</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24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w w:val="99"/>
              </w:rPr>
              <w:t>Quoted prices in</w:t>
            </w:r>
          </w:p>
        </w:tc>
        <w:tc>
          <w:tcPr>
            <w:tcW w:w="100" w:type="dxa"/>
            <w:vAlign w:val="bottom"/>
          </w:tcPr>
          <w:p>
            <w:pPr>
              <w:spacing w:after="0"/>
              <w:rPr>
                <w:sz w:val="11"/>
                <w:szCs w:val="11"/>
                <w:color w:val="auto"/>
              </w:rPr>
            </w:pPr>
          </w:p>
        </w:tc>
        <w:tc>
          <w:tcPr>
            <w:tcW w:w="1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Pr>
          <w:p>
            <w:pPr>
              <w:spacing w:after="0"/>
              <w:rPr>
                <w:sz w:val="11"/>
                <w:szCs w:val="11"/>
                <w:color w:val="auto"/>
              </w:rPr>
            </w:pPr>
          </w:p>
        </w:tc>
        <w:tc>
          <w:tcPr>
            <w:tcW w:w="1060" w:type="dxa"/>
            <w:vAlign w:val="bottom"/>
            <w:vMerge w:val="restart"/>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39"/>
        </w:trPr>
        <w:tc>
          <w:tcPr>
            <w:tcW w:w="12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4"/>
                <w:szCs w:val="14"/>
                <w:b w:val="1"/>
                <w:bCs w:val="1"/>
                <w:color w:val="auto"/>
                <w:w w:val="99"/>
              </w:rPr>
              <w:t>active markets for</w:t>
            </w: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2"/>
                <w:szCs w:val="12"/>
                <w:color w:val="auto"/>
              </w:rPr>
            </w:pPr>
          </w:p>
        </w:tc>
        <w:tc>
          <w:tcPr>
            <w:tcW w:w="136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100" w:type="dxa"/>
            <w:vAlign w:val="bottom"/>
          </w:tcPr>
          <w:p>
            <w:pPr>
              <w:spacing w:after="0"/>
              <w:rPr>
                <w:sz w:val="12"/>
                <w:szCs w:val="12"/>
                <w:color w:val="auto"/>
              </w:rPr>
            </w:pPr>
          </w:p>
        </w:tc>
        <w:tc>
          <w:tcPr>
            <w:tcW w:w="128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4"/>
                <w:szCs w:val="14"/>
                <w:b w:val="1"/>
                <w:bCs w:val="1"/>
                <w:color w:val="auto"/>
                <w:w w:val="98"/>
              </w:rPr>
              <w:t>observable inputs</w:t>
            </w:r>
          </w:p>
        </w:tc>
        <w:tc>
          <w:tcPr>
            <w:tcW w:w="12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84"/>
        </w:trPr>
        <w:tc>
          <w:tcPr>
            <w:tcW w:w="578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00" w:type="dxa"/>
            <w:vAlign w:val="bottom"/>
          </w:tcPr>
          <w:p>
            <w:pPr>
              <w:spacing w:after="0"/>
              <w:rPr>
                <w:sz w:val="16"/>
                <w:szCs w:val="16"/>
                <w:color w:val="auto"/>
              </w:rPr>
            </w:pPr>
          </w:p>
        </w:tc>
        <w:tc>
          <w:tcPr>
            <w:tcW w:w="106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6"/>
        </w:trPr>
        <w:tc>
          <w:tcPr>
            <w:tcW w:w="1240" w:type="dxa"/>
            <w:vAlign w:val="bottom"/>
            <w:tcBorders>
              <w:top w:val="single" w:sz="8" w:color="auto"/>
            </w:tcBorders>
          </w:tcPr>
          <w:p>
            <w:pPr>
              <w:spacing w:after="0"/>
              <w:rPr>
                <w:sz w:val="15"/>
                <w:szCs w:val="15"/>
                <w:color w:val="auto"/>
              </w:rPr>
            </w:pPr>
          </w:p>
        </w:tc>
        <w:tc>
          <w:tcPr>
            <w:tcW w:w="454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740" w:type="dxa"/>
            <w:vAlign w:val="bottom"/>
            <w:tcBorders>
              <w:top w:val="single" w:sz="8" w:color="auto"/>
            </w:tcBorders>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2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Assets:</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7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Derivative instruments:</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Cross-currency and interest rate derivative contracts</w:t>
            </w:r>
          </w:p>
        </w:tc>
        <w:tc>
          <w:tcPr>
            <w:tcW w:w="42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623.2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Equity-related derivative instruments</w:t>
            </w: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213.4</w:t>
            </w:r>
          </w:p>
        </w:tc>
        <w:tc>
          <w:tcPr>
            <w:tcW w:w="0" w:type="dxa"/>
            <w:vAlign w:val="bottom"/>
          </w:tcPr>
          <w:p>
            <w:pPr>
              <w:spacing w:after="0"/>
              <w:rPr>
                <w:sz w:val="1"/>
                <w:szCs w:val="1"/>
                <w:color w:val="auto"/>
              </w:rPr>
            </w:pPr>
          </w:p>
        </w:tc>
      </w:tr>
      <w:tr>
        <w:trPr>
          <w:trHeight w:val="197"/>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Foreign currency forward and option contracts</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Other</w:t>
            </w: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8"/>
        </w:trPr>
        <w:tc>
          <w:tcPr>
            <w:tcW w:w="5780" w:type="dxa"/>
            <w:vAlign w:val="bottom"/>
            <w:tcBorders>
              <w:top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derivative instruments</w:t>
            </w:r>
          </w:p>
        </w:tc>
        <w:tc>
          <w:tcPr>
            <w:tcW w:w="42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843.9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630.5</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213.4</w:t>
            </w:r>
          </w:p>
        </w:tc>
        <w:tc>
          <w:tcPr>
            <w:tcW w:w="0" w:type="dxa"/>
            <w:vAlign w:val="bottom"/>
          </w:tcPr>
          <w:p>
            <w:pPr>
              <w:spacing w:after="0"/>
              <w:rPr>
                <w:sz w:val="1"/>
                <w:szCs w:val="1"/>
                <w:color w:val="auto"/>
              </w:rPr>
            </w:pPr>
          </w:p>
        </w:tc>
      </w:tr>
      <w:tr>
        <w:trPr>
          <w:trHeight w:val="177"/>
        </w:trPr>
        <w:tc>
          <w:tcPr>
            <w:tcW w:w="57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Investments:</w:t>
            </w: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SMAs</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57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5"/>
                <w:szCs w:val="15"/>
                <w:color w:val="auto"/>
              </w:rPr>
              <w:t>Other investments</w:t>
            </w: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2,810.2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1,546.3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1,263.8</w:t>
            </w:r>
          </w:p>
        </w:tc>
        <w:tc>
          <w:tcPr>
            <w:tcW w:w="0" w:type="dxa"/>
            <w:vAlign w:val="bottom"/>
          </w:tcPr>
          <w:p>
            <w:pPr>
              <w:spacing w:after="0"/>
              <w:rPr>
                <w:sz w:val="1"/>
                <w:szCs w:val="1"/>
                <w:color w:val="auto"/>
              </w:rPr>
            </w:pPr>
          </w:p>
        </w:tc>
      </w:tr>
      <w:tr>
        <w:trPr>
          <w:trHeight w:val="188"/>
        </w:trPr>
        <w:tc>
          <w:tcPr>
            <w:tcW w:w="5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investments</w:t>
            </w:r>
          </w:p>
        </w:tc>
        <w:tc>
          <w:tcPr>
            <w:tcW w:w="4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3,243.3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1,673.3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306.2</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1,263.8</w:t>
            </w:r>
          </w:p>
        </w:tc>
        <w:tc>
          <w:tcPr>
            <w:tcW w:w="0" w:type="dxa"/>
            <w:vAlign w:val="bottom"/>
          </w:tcPr>
          <w:p>
            <w:pPr>
              <w:spacing w:after="0"/>
              <w:rPr>
                <w:sz w:val="1"/>
                <w:szCs w:val="1"/>
                <w:color w:val="auto"/>
              </w:rPr>
            </w:pPr>
          </w:p>
        </w:tc>
      </w:tr>
      <w:tr>
        <w:trPr>
          <w:trHeight w:val="188"/>
        </w:trPr>
        <w:tc>
          <w:tcPr>
            <w:tcW w:w="578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Total assets</w:t>
            </w:r>
          </w:p>
        </w:tc>
        <w:tc>
          <w:tcPr>
            <w:tcW w:w="4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4,087.2</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1,673.3</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936.7</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1,477.2</w:t>
            </w: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240" w:type="dxa"/>
            <w:vAlign w:val="bottom"/>
            <w:shd w:val="clear" w:color="auto" w:fill="CCEEFF"/>
          </w:tcPr>
          <w:p>
            <w:pPr>
              <w:spacing w:after="0"/>
              <w:rPr>
                <w:sz w:val="11"/>
                <w:szCs w:val="11"/>
                <w:color w:val="auto"/>
              </w:rPr>
            </w:pPr>
          </w:p>
        </w:tc>
        <w:tc>
          <w:tcPr>
            <w:tcW w:w="45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5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Liabilities:</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Derivative instruments:</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Cross-currency and interest rate derivative contracts</w:t>
            </w:r>
          </w:p>
        </w:tc>
        <w:tc>
          <w:tcPr>
            <w:tcW w:w="42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183.1</w:t>
            </w:r>
          </w:p>
        </w:tc>
        <w:tc>
          <w:tcPr>
            <w:tcW w:w="12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Foreign currency forward and option contracts</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8"/>
        </w:trPr>
        <w:tc>
          <w:tcPr>
            <w:tcW w:w="578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Total liabilities</w:t>
            </w:r>
          </w:p>
        </w:tc>
        <w:tc>
          <w:tcPr>
            <w:tcW w:w="42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186.4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186.4</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jc w:val="both"/>
        <w:ind w:left="7" w:right="20" w:firstLine="278"/>
        <w:spacing w:after="0" w:line="295" w:lineRule="auto"/>
        <w:rPr>
          <w:sz w:val="20"/>
          <w:szCs w:val="20"/>
          <w:color w:val="auto"/>
        </w:rPr>
      </w:pPr>
      <w:r>
        <w:rPr>
          <w:rFonts w:ascii="Times New Roman" w:cs="Times New Roman" w:eastAsia="Times New Roman" w:hAnsi="Times New Roman"/>
          <w:sz w:val="15"/>
          <w:szCs w:val="15"/>
          <w:color w:val="auto"/>
        </w:rPr>
        <w:t>A reconciliation of the beginning and ending balances of our assets and liabilities measured at fair value on a recurring basis using significant unobservable, or Level 3, inputs is as follows:</w:t>
      </w:r>
    </w:p>
    <w:p>
      <w:pPr>
        <w:spacing w:after="0" w:line="43"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Equity-related</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7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280" w:type="dxa"/>
            <w:vAlign w:val="bottom"/>
          </w:tcPr>
          <w:p>
            <w:pPr>
              <w:spacing w:after="0"/>
              <w:rPr>
                <w:sz w:val="12"/>
                <w:szCs w:val="12"/>
                <w:color w:val="auto"/>
              </w:rPr>
            </w:pPr>
          </w:p>
        </w:tc>
        <w:tc>
          <w:tcPr>
            <w:tcW w:w="980" w:type="dxa"/>
            <w:vAlign w:val="bottom"/>
            <w:vMerge w:val="restart"/>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7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in millions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7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of net assets at January 1, 2025</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1,477.2</w:t>
            </w:r>
          </w:p>
        </w:tc>
        <w:tc>
          <w:tcPr>
            <w:tcW w:w="0" w:type="dxa"/>
            <w:vAlign w:val="bottom"/>
          </w:tcPr>
          <w:p>
            <w:pPr>
              <w:spacing w:after="0"/>
              <w:rPr>
                <w:sz w:val="1"/>
                <w:szCs w:val="1"/>
                <w:color w:val="auto"/>
              </w:rPr>
            </w:pPr>
          </w:p>
        </w:tc>
      </w:tr>
      <w:tr>
        <w:trPr>
          <w:trHeight w:val="197"/>
        </w:trPr>
        <w:tc>
          <w:tcPr>
            <w:tcW w:w="72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Losses included in loss from continuing operations (a):</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Realized and unrealized losses on derivative instruments, net</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(49.2)</w:t>
            </w:r>
          </w:p>
        </w:tc>
        <w:tc>
          <w:tcPr>
            <w:tcW w:w="0" w:type="dxa"/>
            <w:vAlign w:val="bottom"/>
          </w:tcPr>
          <w:p>
            <w:pPr>
              <w:spacing w:after="0"/>
              <w:rPr>
                <w:sz w:val="1"/>
                <w:szCs w:val="1"/>
                <w:color w:val="auto"/>
              </w:rPr>
            </w:pPr>
          </w:p>
        </w:tc>
      </w:tr>
      <w:tr>
        <w:trPr>
          <w:trHeight w:val="197"/>
        </w:trPr>
        <w:tc>
          <w:tcPr>
            <w:tcW w:w="72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Realized and unrealized losses due to changes in fair values of certain investments, net</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(100.2)</w:t>
            </w:r>
          </w:p>
        </w:tc>
        <w:tc>
          <w:tcPr>
            <w:tcW w:w="0" w:type="dxa"/>
            <w:vAlign w:val="bottom"/>
          </w:tcPr>
          <w:p>
            <w:pPr>
              <w:spacing w:after="0"/>
              <w:rPr>
                <w:sz w:val="1"/>
                <w:szCs w:val="1"/>
                <w:color w:val="auto"/>
              </w:rPr>
            </w:pPr>
          </w:p>
        </w:tc>
      </w:tr>
      <w:tr>
        <w:trPr>
          <w:trHeight w:val="197"/>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Additions</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63.4</w:t>
            </w:r>
          </w:p>
        </w:tc>
        <w:tc>
          <w:tcPr>
            <w:tcW w:w="0" w:type="dxa"/>
            <w:vAlign w:val="bottom"/>
          </w:tcPr>
          <w:p>
            <w:pPr>
              <w:spacing w:after="0"/>
              <w:rPr>
                <w:sz w:val="1"/>
                <w:szCs w:val="1"/>
                <w:color w:val="auto"/>
              </w:rPr>
            </w:pPr>
          </w:p>
        </w:tc>
      </w:tr>
      <w:tr>
        <w:trPr>
          <w:trHeight w:val="197"/>
        </w:trPr>
        <w:tc>
          <w:tcPr>
            <w:tcW w:w="72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Transfers out of Level 3</w:t>
            </w: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(173.8)</w:t>
            </w:r>
          </w:p>
        </w:tc>
        <w:tc>
          <w:tcPr>
            <w:tcW w:w="0" w:type="dxa"/>
            <w:vAlign w:val="bottom"/>
          </w:tcPr>
          <w:p>
            <w:pPr>
              <w:spacing w:after="0"/>
              <w:rPr>
                <w:sz w:val="1"/>
                <w:szCs w:val="1"/>
                <w:color w:val="auto"/>
              </w:rPr>
            </w:pPr>
          </w:p>
        </w:tc>
      </w:tr>
      <w:tr>
        <w:trPr>
          <w:trHeight w:val="197"/>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Foreign currency translation adjustments and other, net</w:t>
            </w: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141.1</w:t>
            </w:r>
          </w:p>
        </w:tc>
        <w:tc>
          <w:tcPr>
            <w:tcW w:w="0" w:type="dxa"/>
            <w:vAlign w:val="bottom"/>
          </w:tcPr>
          <w:p>
            <w:pPr>
              <w:spacing w:after="0"/>
              <w:rPr>
                <w:sz w:val="1"/>
                <w:szCs w:val="1"/>
                <w:color w:val="auto"/>
              </w:rPr>
            </w:pPr>
          </w:p>
        </w:tc>
      </w:tr>
      <w:tr>
        <w:trPr>
          <w:trHeight w:val="188"/>
        </w:trPr>
        <w:tc>
          <w:tcPr>
            <w:tcW w:w="7260" w:type="dxa"/>
            <w:vAlign w:val="bottom"/>
          </w:tcPr>
          <w:p>
            <w:pPr>
              <w:spacing w:after="0"/>
              <w:rPr>
                <w:sz w:val="20"/>
                <w:szCs w:val="20"/>
                <w:color w:val="auto"/>
              </w:rPr>
            </w:pPr>
            <w:r>
              <w:rPr>
                <w:rFonts w:ascii="Times New Roman" w:cs="Times New Roman" w:eastAsia="Times New Roman" w:hAnsi="Times New Roman"/>
                <w:sz w:val="15"/>
                <w:szCs w:val="15"/>
                <w:color w:val="auto"/>
              </w:rPr>
              <w:t>Balance of net assets at September 30, 2025 (b)</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1,358.5</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1,358.5</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_______________</w:t>
      </w:r>
    </w:p>
    <w:p>
      <w:pPr>
        <w:spacing w:after="0" w:line="221" w:lineRule="exact"/>
        <w:rPr>
          <w:sz w:val="20"/>
          <w:szCs w:val="20"/>
          <w:color w:val="auto"/>
        </w:rPr>
      </w:pPr>
    </w:p>
    <w:p>
      <w:pPr>
        <w:ind w:left="5547" w:right="1840" w:hanging="5547"/>
        <w:spacing w:after="0" w:line="621" w:lineRule="auto"/>
        <w:tabs>
          <w:tab w:leader="none" w:pos="407"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primarily relate to assets and liabilities that we continue to carry on our condensed consolidated balance sheet as of September 30, 2025.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330835</wp:posOffset>
            </wp:positionV>
            <wp:extent cx="7177405"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30" w:name="page31"/>
    <w:bookmarkEnd w:id="30"/>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7" w:right="20" w:hanging="407"/>
        <w:spacing w:after="0" w:line="295" w:lineRule="auto"/>
        <w:tabs>
          <w:tab w:leader="none" w:pos="402"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September 30, 2025, $363.5 million of our Level 3 investments were accounted for under the measurement alternative at cost less impairment, adjusted for observable price changes.</w:t>
      </w:r>
    </w:p>
    <w:p>
      <w:pPr>
        <w:spacing w:after="0" w:line="151" w:lineRule="exact"/>
        <w:rPr>
          <w:sz w:val="20"/>
          <w:szCs w:val="20"/>
          <w:color w:val="auto"/>
        </w:rPr>
      </w:pPr>
    </w:p>
    <w:p>
      <w:pPr>
        <w:ind w:left="7"/>
        <w:spacing w:after="0"/>
        <w:tabs>
          <w:tab w:leader="none" w:pos="307" w:val="left"/>
        </w:tabs>
        <w:rPr>
          <w:sz w:val="20"/>
          <w:szCs w:val="20"/>
          <w:color w:val="auto"/>
        </w:rPr>
      </w:pPr>
      <w:r>
        <w:rPr>
          <w:rFonts w:ascii="Times New Roman" w:cs="Times New Roman" w:eastAsia="Times New Roman" w:hAnsi="Times New Roman"/>
          <w:sz w:val="15"/>
          <w:szCs w:val="15"/>
          <w:b w:val="1"/>
          <w:bCs w:val="1"/>
          <w:color w:val="auto"/>
        </w:rPr>
        <w:t>(8)</w:t>
      </w:r>
      <w:r>
        <w:rPr>
          <w:sz w:val="20"/>
          <w:szCs w:val="20"/>
          <w:color w:val="auto"/>
        </w:rPr>
        <w:tab/>
      </w:r>
      <w:r>
        <w:rPr>
          <w:rFonts w:ascii="Times New Roman" w:cs="Times New Roman" w:eastAsia="Times New Roman" w:hAnsi="Times New Roman"/>
          <w:sz w:val="15"/>
          <w:szCs w:val="15"/>
          <w:b w:val="1"/>
          <w:bCs w:val="1"/>
          <w:u w:val="single" w:color="auto"/>
          <w:color w:val="auto"/>
        </w:rPr>
        <w:t>Long-lived Assets</w:t>
      </w:r>
    </w:p>
    <w:p>
      <w:pPr>
        <w:spacing w:after="0" w:line="221"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Property and Equipment, Net</w:t>
      </w:r>
    </w:p>
    <w:p>
      <w:pPr>
        <w:spacing w:after="0" w:line="225"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color w:val="auto"/>
        </w:rPr>
        <w:t>The details of our property and equipment and the related accumulated depreciation are set forth below:</w:t>
      </w:r>
    </w:p>
    <w:p>
      <w:pPr>
        <w:spacing w:after="0" w:line="109"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1080" w:type="dxa"/>
            <w:vAlign w:val="bottom"/>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84"/>
        </w:trPr>
        <w:tc>
          <w:tcPr>
            <w:tcW w:w="8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6"/>
        </w:trPr>
        <w:tc>
          <w:tcPr>
            <w:tcW w:w="8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15"/>
                <w:szCs w:val="15"/>
                <w:color w:val="auto"/>
              </w:rPr>
            </w:pPr>
          </w:p>
        </w:tc>
      </w:tr>
      <w:tr>
        <w:trPr>
          <w:trHeight w:val="175"/>
        </w:trPr>
        <w:tc>
          <w:tcPr>
            <w:tcW w:w="8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7"/>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Distribution systems</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7,086.1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5,702.7</w:t>
            </w:r>
          </w:p>
        </w:tc>
      </w:tr>
      <w:tr>
        <w:trPr>
          <w:trHeight w:val="197"/>
        </w:trPr>
        <w:tc>
          <w:tcPr>
            <w:tcW w:w="8480" w:type="dxa"/>
            <w:vAlign w:val="bottom"/>
          </w:tcPr>
          <w:p>
            <w:pPr>
              <w:spacing w:after="0"/>
              <w:rPr>
                <w:sz w:val="20"/>
                <w:szCs w:val="20"/>
                <w:color w:val="auto"/>
              </w:rPr>
            </w:pPr>
            <w:r>
              <w:rPr>
                <w:rFonts w:ascii="Times New Roman" w:cs="Times New Roman" w:eastAsia="Times New Roman" w:hAnsi="Times New Roman"/>
                <w:sz w:val="15"/>
                <w:szCs w:val="15"/>
                <w:color w:val="auto"/>
              </w:rPr>
              <w:t>Support equipment, buildings and land</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3,005.5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2,518.0</w:t>
            </w:r>
          </w:p>
        </w:tc>
      </w:tr>
      <w:tr>
        <w:trPr>
          <w:trHeight w:val="197"/>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CPE</w:t>
            </w: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1,125.7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843.1</w:t>
            </w:r>
          </w:p>
        </w:tc>
      </w:tr>
      <w:tr>
        <w:trPr>
          <w:trHeight w:val="188"/>
        </w:trPr>
        <w:tc>
          <w:tcPr>
            <w:tcW w:w="8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property and equipment, gross</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11,217.3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9,063.8</w:t>
            </w:r>
          </w:p>
        </w:tc>
      </w:tr>
      <w:tr>
        <w:trPr>
          <w:trHeight w:val="197"/>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depreciation</w:t>
            </w: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(6,052.0)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(4,737.8)</w:t>
            </w:r>
          </w:p>
        </w:tc>
      </w:tr>
      <w:tr>
        <w:trPr>
          <w:trHeight w:val="188"/>
        </w:trPr>
        <w:tc>
          <w:tcPr>
            <w:tcW w:w="84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Total property and equipment, net</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5,165.3</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4,326.0</w:t>
            </w:r>
          </w:p>
        </w:tc>
      </w:tr>
      <w:tr>
        <w:trPr>
          <w:trHeight w:val="20"/>
        </w:trPr>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jc w:val="both"/>
        <w:ind w:left="7" w:firstLine="278"/>
        <w:spacing w:after="0" w:line="288" w:lineRule="auto"/>
        <w:rPr>
          <w:sz w:val="20"/>
          <w:szCs w:val="20"/>
          <w:color w:val="auto"/>
        </w:rPr>
      </w:pPr>
      <w:r>
        <w:rPr>
          <w:rFonts w:ascii="Times New Roman" w:cs="Times New Roman" w:eastAsia="Times New Roman" w:hAnsi="Times New Roman"/>
          <w:sz w:val="15"/>
          <w:szCs w:val="15"/>
          <w:color w:val="auto"/>
        </w:rPr>
        <w:t>During the nine months ended September 30, 2025 and 2024, we recorded non-cash increases to our property and equipment related to vendor financing arrangements of $72.7 million and $59.3 million, respectively, which exclude related value-added taxes (</w:t>
      </w:r>
      <w:r>
        <w:rPr>
          <w:rFonts w:ascii="Times New Roman" w:cs="Times New Roman" w:eastAsia="Times New Roman" w:hAnsi="Times New Roman"/>
          <w:sz w:val="15"/>
          <w:szCs w:val="15"/>
          <w:b w:val="1"/>
          <w:bCs w:val="1"/>
          <w:color w:val="auto"/>
        </w:rPr>
        <w:t>VAT</w:t>
      </w:r>
      <w:r>
        <w:rPr>
          <w:rFonts w:ascii="Times New Roman" w:cs="Times New Roman" w:eastAsia="Times New Roman" w:hAnsi="Times New Roman"/>
          <w:sz w:val="15"/>
          <w:szCs w:val="15"/>
          <w:color w:val="auto"/>
        </w:rPr>
        <w:t>) of $12.0 million and $7.7 million, respectively, that were also financed under these arrangements.</w:t>
      </w:r>
    </w:p>
    <w:p>
      <w:pPr>
        <w:spacing w:after="0" w:line="346"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Goodwill</w:t>
      </w:r>
    </w:p>
    <w:p>
      <w:pPr>
        <w:spacing w:after="0" w:line="225"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color w:val="auto"/>
        </w:rPr>
        <w:t>Changes in the carrying amount of our goodwill during the nine months ended September 30, 2025 are set forth below:</w:t>
      </w:r>
    </w:p>
    <w:p>
      <w:pPr>
        <w:spacing w:after="0" w:line="109"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5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Acquisitions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4"/>
                <w:szCs w:val="14"/>
                <w:b w:val="1"/>
                <w:bCs w:val="1"/>
                <w:color w:val="auto"/>
                <w:w w:val="96"/>
              </w:rPr>
              <w:t>currency</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4"/>
                <w:szCs w:val="14"/>
                <w:b w:val="1"/>
                <w:bCs w:val="1"/>
                <w:color w:val="auto"/>
                <w:w w:val="97"/>
              </w:rPr>
              <w:t>translation</w:t>
            </w:r>
          </w:p>
        </w:tc>
        <w:tc>
          <w:tcPr>
            <w:tcW w:w="180" w:type="dxa"/>
            <w:vAlign w:val="bottom"/>
          </w:tcPr>
          <w:p>
            <w:pPr>
              <w:spacing w:after="0"/>
              <w:rPr>
                <w:sz w:val="12"/>
                <w:szCs w:val="12"/>
                <w:color w:val="auto"/>
              </w:rPr>
            </w:pPr>
          </w:p>
        </w:tc>
        <w:tc>
          <w:tcPr>
            <w:tcW w:w="1160" w:type="dxa"/>
            <w:vAlign w:val="bottom"/>
            <w:vMerge w:val="restart"/>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39"/>
        </w:trPr>
        <w:tc>
          <w:tcPr>
            <w:tcW w:w="5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January 1, 2025</w:t>
            </w:r>
          </w:p>
        </w:tc>
        <w:tc>
          <w:tcPr>
            <w:tcW w:w="200" w:type="dxa"/>
            <w:vAlign w:val="bottom"/>
          </w:tcPr>
          <w:p>
            <w:pPr>
              <w:spacing w:after="0"/>
              <w:rPr>
                <w:sz w:val="12"/>
                <w:szCs w:val="12"/>
                <w:color w:val="auto"/>
              </w:rPr>
            </w:pPr>
          </w:p>
        </w:tc>
        <w:tc>
          <w:tcPr>
            <w:tcW w:w="1200" w:type="dxa"/>
            <w:vAlign w:val="bottom"/>
            <w:gridSpan w:val="2"/>
          </w:tcPr>
          <w:p>
            <w:pPr>
              <w:jc w:val="center"/>
              <w:ind w:right="280"/>
              <w:spacing w:after="0" w:line="139" w:lineRule="exact"/>
              <w:rPr>
                <w:sz w:val="20"/>
                <w:szCs w:val="20"/>
                <w:color w:val="auto"/>
              </w:rPr>
            </w:pPr>
            <w:r>
              <w:rPr>
                <w:rFonts w:ascii="Times New Roman" w:cs="Times New Roman" w:eastAsia="Times New Roman" w:hAnsi="Times New Roman"/>
                <w:sz w:val="14"/>
                <w:szCs w:val="14"/>
                <w:b w:val="1"/>
                <w:bCs w:val="1"/>
                <w:color w:val="auto"/>
                <w:w w:val="99"/>
              </w:rPr>
              <w:t>and related</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4"/>
                <w:szCs w:val="14"/>
                <w:b w:val="1"/>
                <w:bCs w:val="1"/>
                <w:color w:val="auto"/>
              </w:rPr>
              <w:t>adjustments and</w:t>
            </w: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adjustments</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6"/>
        </w:trPr>
        <w:tc>
          <w:tcPr>
            <w:tcW w:w="5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2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5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Telenet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2,656.4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3,018.5</w:t>
            </w:r>
          </w:p>
        </w:tc>
        <w:tc>
          <w:tcPr>
            <w:tcW w:w="0" w:type="dxa"/>
            <w:vAlign w:val="bottom"/>
          </w:tcPr>
          <w:p>
            <w:pPr>
              <w:spacing w:after="0"/>
              <w:rPr>
                <w:sz w:val="1"/>
                <w:szCs w:val="1"/>
                <w:color w:val="auto"/>
              </w:rPr>
            </w:pPr>
          </w:p>
        </w:tc>
      </w:tr>
      <w:tr>
        <w:trPr>
          <w:trHeight w:val="197"/>
        </w:trPr>
        <w:tc>
          <w:tcPr>
            <w:tcW w:w="5660" w:type="dxa"/>
            <w:vAlign w:val="bottom"/>
          </w:tcPr>
          <w:p>
            <w:pPr>
              <w:spacing w:after="0"/>
              <w:rPr>
                <w:sz w:val="20"/>
                <w:szCs w:val="20"/>
                <w:color w:val="auto"/>
              </w:rPr>
            </w:pPr>
            <w:r>
              <w:rPr>
                <w:rFonts w:ascii="Times New Roman" w:cs="Times New Roman" w:eastAsia="Times New Roman" w:hAnsi="Times New Roman"/>
                <w:sz w:val="15"/>
                <w:szCs w:val="15"/>
                <w:color w:val="auto"/>
              </w:rPr>
              <w:t>VM Ireland</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284.9</w:t>
            </w:r>
          </w:p>
        </w:tc>
        <w:tc>
          <w:tcPr>
            <w:tcW w:w="0" w:type="dxa"/>
            <w:vAlign w:val="bottom"/>
          </w:tcPr>
          <w:p>
            <w:pPr>
              <w:spacing w:after="0"/>
              <w:rPr>
                <w:sz w:val="1"/>
                <w:szCs w:val="1"/>
                <w:color w:val="auto"/>
              </w:rPr>
            </w:pPr>
          </w:p>
        </w:tc>
      </w:tr>
      <w:tr>
        <w:trPr>
          <w:trHeight w:val="197"/>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w:t>
            </w:r>
          </w:p>
        </w:tc>
        <w:tc>
          <w:tcPr>
            <w:tcW w:w="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30.4</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311.7</w:t>
            </w:r>
          </w:p>
        </w:tc>
        <w:tc>
          <w:tcPr>
            <w:tcW w:w="0" w:type="dxa"/>
            <w:vAlign w:val="bottom"/>
          </w:tcPr>
          <w:p>
            <w:pPr>
              <w:spacing w:after="0"/>
              <w:rPr>
                <w:sz w:val="1"/>
                <w:szCs w:val="1"/>
                <w:color w:val="auto"/>
              </w:rPr>
            </w:pPr>
          </w:p>
        </w:tc>
      </w:tr>
      <w:tr>
        <w:trPr>
          <w:trHeight w:val="188"/>
        </w:trPr>
        <w:tc>
          <w:tcPr>
            <w:tcW w:w="56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3,152.6</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31.0</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431.5</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3,615.1</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both"/>
        <w:ind w:left="7" w:firstLine="278"/>
        <w:spacing w:after="0" w:line="276" w:lineRule="auto"/>
        <w:rPr>
          <w:sz w:val="20"/>
          <w:szCs w:val="20"/>
          <w:color w:val="auto"/>
        </w:rPr>
      </w:pPr>
      <w:r>
        <w:rPr>
          <w:rFonts w:ascii="Times New Roman" w:cs="Times New Roman" w:eastAsia="Times New Roman" w:hAnsi="Times New Roman"/>
          <w:sz w:val="15"/>
          <w:szCs w:val="15"/>
          <w:color w:val="auto"/>
        </w:rPr>
        <w:t>If, among other factors,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31" w:name="page32"/>
    <w:bookmarkEnd w:id="31"/>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4"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Intangible Assets Subject to Amortization, Net</w:t>
      </w:r>
    </w:p>
    <w:p>
      <w:pPr>
        <w:spacing w:after="0" w:line="225"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color w:val="auto"/>
        </w:rPr>
        <w:t>The details of our intangible assets subject to amortization are set forth below:</w:t>
      </w:r>
    </w:p>
    <w:p>
      <w:pPr>
        <w:spacing w:after="0" w:line="129"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September 30, 2025</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33"/>
        </w:trPr>
        <w:tc>
          <w:tcPr>
            <w:tcW w:w="3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040" w:type="dxa"/>
            <w:vAlign w:val="bottom"/>
          </w:tcPr>
          <w:p>
            <w:pPr>
              <w:jc w:val="center"/>
              <w:ind w:right="86"/>
              <w:spacing w:after="0" w:line="133"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0" w:type="dxa"/>
            <w:vAlign w:val="bottom"/>
          </w:tcPr>
          <w:p>
            <w:pPr>
              <w:spacing w:after="0"/>
              <w:rPr>
                <w:sz w:val="11"/>
                <w:szCs w:val="11"/>
                <w:color w:val="auto"/>
              </w:rPr>
            </w:pPr>
          </w:p>
        </w:tc>
        <w:tc>
          <w:tcPr>
            <w:tcW w:w="1040" w:type="dxa"/>
            <w:vAlign w:val="bottom"/>
          </w:tcPr>
          <w:p>
            <w:pPr>
              <w:jc w:val="right"/>
              <w:ind w:right="145"/>
              <w:spacing w:after="0" w:line="133" w:lineRule="exact"/>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84"/>
        </w:trPr>
        <w:tc>
          <w:tcPr>
            <w:tcW w:w="3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amortization</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amount</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amortization</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76"/>
        </w:trPr>
        <w:tc>
          <w:tcPr>
            <w:tcW w:w="3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40"/>
        </w:trPr>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97"/>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Licenses (a)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1,584.4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(422.3)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1,162.1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1,393.9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1,061.2</w:t>
            </w:r>
          </w:p>
        </w:tc>
      </w:tr>
      <w:tr>
        <w:trPr>
          <w:trHeight w:val="197"/>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Customer relationships</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98.9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94.4</w:t>
            </w:r>
          </w:p>
        </w:tc>
      </w:tr>
      <w:tr>
        <w:trPr>
          <w:trHeight w:val="197"/>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w:t>
            </w: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(160.9)</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141.0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134.8</w:t>
            </w:r>
          </w:p>
        </w:tc>
      </w:tr>
      <w:tr>
        <w:trPr>
          <w:trHeight w:val="188"/>
        </w:trPr>
        <w:tc>
          <w:tcPr>
            <w:tcW w:w="35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2,180.2</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(778.2)</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1,402.0</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1,914.8</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(624.4)</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1,290.4</w:t>
            </w:r>
          </w:p>
        </w:tc>
      </w:tr>
      <w:tr>
        <w:trPr>
          <w:trHeight w:val="20"/>
        </w:trPr>
        <w:tc>
          <w:tcPr>
            <w:tcW w:w="3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_______________</w:t>
      </w:r>
    </w:p>
    <w:p>
      <w:pPr>
        <w:spacing w:after="0" w:line="221" w:lineRule="exact"/>
        <w:rPr>
          <w:sz w:val="20"/>
          <w:szCs w:val="20"/>
          <w:color w:val="auto"/>
        </w:rPr>
      </w:pPr>
    </w:p>
    <w:p>
      <w:pPr>
        <w:ind w:left="407" w:hanging="407"/>
        <w:spacing w:after="0" w:line="295" w:lineRule="auto"/>
        <w:tabs>
          <w:tab w:leader="none" w:pos="405"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Primarily includes amounts related to (i) certain mobile spectrum licenses and (ii) a licensing agreement with the FIA that provides Formula E with the exclusive rights to operate an electric motor racing championship.</w:t>
      </w:r>
    </w:p>
    <w:p>
      <w:pPr>
        <w:spacing w:after="0" w:line="200" w:lineRule="exact"/>
        <w:rPr>
          <w:sz w:val="20"/>
          <w:szCs w:val="20"/>
          <w:color w:val="auto"/>
        </w:rPr>
      </w:pPr>
    </w:p>
    <w:p>
      <w:pPr>
        <w:spacing w:after="0" w:line="25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32" w:name="page33"/>
    <w:bookmarkEnd w:id="32"/>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4" w:lineRule="exact"/>
        <w:rPr>
          <w:sz w:val="20"/>
          <w:szCs w:val="20"/>
          <w:color w:val="auto"/>
        </w:rPr>
      </w:pPr>
    </w:p>
    <w:p>
      <w:pPr>
        <w:ind w:left="327" w:hanging="327"/>
        <w:spacing w:after="0"/>
        <w:tabs>
          <w:tab w:leader="none" w:pos="327" w:val="left"/>
        </w:tabs>
        <w:numPr>
          <w:ilvl w:val="0"/>
          <w:numId w:val="2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Debt</w:t>
      </w:r>
    </w:p>
    <w:p>
      <w:pPr>
        <w:spacing w:after="0" w:line="225"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color w:val="auto"/>
        </w:rPr>
        <w:t>The U.S. dollar equivalents of the components of our debt are as follows:</w:t>
      </w:r>
    </w:p>
    <w:p>
      <w:pPr>
        <w:spacing w:after="0" w:line="163"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280" w:type="dxa"/>
            <w:vAlign w:val="bottom"/>
          </w:tcPr>
          <w:p>
            <w:pPr>
              <w:spacing w:after="0"/>
              <w:rPr>
                <w:sz w:val="11"/>
                <w:szCs w:val="11"/>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60" w:type="dxa"/>
            <w:vAlign w:val="bottom"/>
            <w:gridSpan w:val="3"/>
          </w:tcPr>
          <w:p>
            <w:pPr>
              <w:jc w:val="right"/>
              <w:ind w:right="725"/>
              <w:spacing w:after="0" w:line="133" w:lineRule="exact"/>
              <w:rPr>
                <w:sz w:val="20"/>
                <w:szCs w:val="20"/>
                <w:color w:val="auto"/>
              </w:rPr>
            </w:pPr>
            <w:r>
              <w:rPr>
                <w:rFonts w:ascii="Times New Roman" w:cs="Times New Roman" w:eastAsia="Times New Roman" w:hAnsi="Times New Roman"/>
                <w:sz w:val="14"/>
                <w:szCs w:val="14"/>
                <w:b w:val="1"/>
                <w:bCs w:val="1"/>
                <w:color w:val="auto"/>
              </w:rPr>
              <w:t>Unused borrowing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28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capacity (b)</w:t>
            </w: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0" w:type="dxa"/>
            <w:vAlign w:val="bottom"/>
            <w:gridSpan w:val="4"/>
            <w:vMerge w:val="restart"/>
          </w:tcPr>
          <w:p>
            <w:pPr>
              <w:jc w:val="right"/>
              <w:ind w:right="785"/>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0" w:type="dxa"/>
            <w:vAlign w:val="bottom"/>
          </w:tcPr>
          <w:p>
            <w:pPr>
              <w:spacing w:after="0"/>
              <w:rPr>
                <w:sz w:val="1"/>
                <w:szCs w:val="1"/>
                <w:color w:val="auto"/>
              </w:rPr>
            </w:pPr>
          </w:p>
        </w:tc>
      </w:tr>
      <w:tr>
        <w:trPr>
          <w:trHeight w:val="103"/>
        </w:trPr>
        <w:tc>
          <w:tcPr>
            <w:tcW w:w="4280" w:type="dxa"/>
            <w:vAlign w:val="bottom"/>
          </w:tcPr>
          <w:p>
            <w:pPr>
              <w:spacing w:after="0"/>
              <w:rPr>
                <w:sz w:val="8"/>
                <w:szCs w:val="8"/>
                <w:color w:val="auto"/>
              </w:rPr>
            </w:pPr>
          </w:p>
        </w:tc>
        <w:tc>
          <w:tcPr>
            <w:tcW w:w="130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rPr>
              <w:t>average</w:t>
            </w:r>
          </w:p>
        </w:tc>
        <w:tc>
          <w:tcPr>
            <w:tcW w:w="1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gridSpan w:val="2"/>
            <w:vMerge w:val="continue"/>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4280" w:type="dxa"/>
            <w:vAlign w:val="bottom"/>
          </w:tcPr>
          <w:p>
            <w:pPr>
              <w:spacing w:after="0"/>
              <w:rPr>
                <w:sz w:val="13"/>
                <w:szCs w:val="13"/>
                <w:color w:val="auto"/>
              </w:rPr>
            </w:pPr>
          </w:p>
        </w:tc>
        <w:tc>
          <w:tcPr>
            <w:tcW w:w="13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3"/>
                <w:szCs w:val="13"/>
                <w:color w:val="auto"/>
              </w:rPr>
            </w:pPr>
          </w:p>
        </w:tc>
        <w:tc>
          <w:tcPr>
            <w:tcW w:w="1400" w:type="dxa"/>
            <w:vAlign w:val="bottom"/>
            <w:gridSpan w:val="2"/>
            <w:vMerge w:val="restart"/>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Borrowing currency</w:t>
            </w:r>
          </w:p>
        </w:tc>
        <w:tc>
          <w:tcPr>
            <w:tcW w:w="320" w:type="dxa"/>
            <w:vAlign w:val="bottom"/>
          </w:tcPr>
          <w:p>
            <w:pPr>
              <w:spacing w:after="0"/>
              <w:rPr>
                <w:sz w:val="13"/>
                <w:szCs w:val="13"/>
                <w:color w:val="auto"/>
              </w:rPr>
            </w:pPr>
          </w:p>
        </w:tc>
        <w:tc>
          <w:tcPr>
            <w:tcW w:w="1080" w:type="dxa"/>
            <w:vAlign w:val="bottom"/>
            <w:gridSpan w:val="2"/>
          </w:tcPr>
          <w:p>
            <w:pPr>
              <w:jc w:val="center"/>
              <w:ind w:right="420"/>
              <w:spacing w:after="0" w:line="155" w:lineRule="exact"/>
              <w:rPr>
                <w:sz w:val="20"/>
                <w:szCs w:val="20"/>
                <w:color w:val="auto"/>
              </w:rPr>
            </w:pPr>
            <w:r>
              <w:rPr>
                <w:rFonts w:ascii="Times New Roman" w:cs="Times New Roman" w:eastAsia="Times New Roman" w:hAnsi="Times New Roman"/>
                <w:sz w:val="14"/>
                <w:szCs w:val="14"/>
                <w:b w:val="1"/>
                <w:bCs w:val="1"/>
                <w:color w:val="auto"/>
                <w:w w:val="95"/>
              </w:rPr>
              <w:t>U.S. $</w:t>
            </w:r>
          </w:p>
        </w:tc>
        <w:tc>
          <w:tcPr>
            <w:tcW w:w="180" w:type="dxa"/>
            <w:vAlign w:val="bottom"/>
          </w:tcPr>
          <w:p>
            <w:pPr>
              <w:spacing w:after="0"/>
              <w:rPr>
                <w:sz w:val="13"/>
                <w:szCs w:val="13"/>
                <w:color w:val="auto"/>
              </w:rPr>
            </w:pPr>
          </w:p>
        </w:tc>
        <w:tc>
          <w:tcPr>
            <w:tcW w:w="128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140" w:type="dxa"/>
            <w:vAlign w:val="bottom"/>
          </w:tcPr>
          <w:p>
            <w:pPr>
              <w:jc w:val="right"/>
              <w:ind w:right="185"/>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4"/>
        </w:trPr>
        <w:tc>
          <w:tcPr>
            <w:tcW w:w="428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rate (a)</w:t>
            </w:r>
          </w:p>
        </w:tc>
        <w:tc>
          <w:tcPr>
            <w:tcW w:w="100" w:type="dxa"/>
            <w:vAlign w:val="bottom"/>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equivalent</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6"/>
        </w:trPr>
        <w:tc>
          <w:tcPr>
            <w:tcW w:w="4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4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Telenet Credit Facility (c)</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5.36 %</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625.0</w:t>
            </w: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734.8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4,646.3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4,364.8</w:t>
            </w:r>
          </w:p>
        </w:tc>
        <w:tc>
          <w:tcPr>
            <w:tcW w:w="0" w:type="dxa"/>
            <w:vAlign w:val="bottom"/>
          </w:tcPr>
          <w:p>
            <w:pPr>
              <w:spacing w:after="0"/>
              <w:rPr>
                <w:sz w:val="1"/>
                <w:szCs w:val="1"/>
                <w:color w:val="auto"/>
              </w:rPr>
            </w:pPr>
          </w:p>
        </w:tc>
      </w:tr>
      <w:tr>
        <w:trPr>
          <w:trHeight w:val="197"/>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Telenet Senior Secured Notes</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4.72 %</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1,558.8</w:t>
            </w:r>
          </w:p>
        </w:tc>
        <w:tc>
          <w:tcPr>
            <w:tcW w:w="0" w:type="dxa"/>
            <w:vAlign w:val="bottom"/>
          </w:tcPr>
          <w:p>
            <w:pPr>
              <w:spacing w:after="0"/>
              <w:rPr>
                <w:sz w:val="1"/>
                <w:szCs w:val="1"/>
                <w:color w:val="auto"/>
              </w:rPr>
            </w:pPr>
          </w:p>
        </w:tc>
      </w:tr>
      <w:tr>
        <w:trPr>
          <w:trHeight w:val="197"/>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VM Ireland Credit Facility (d)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5.43 %</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100.0</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931.4</w:t>
            </w:r>
          </w:p>
        </w:tc>
        <w:tc>
          <w:tcPr>
            <w:tcW w:w="0" w:type="dxa"/>
            <w:vAlign w:val="bottom"/>
          </w:tcPr>
          <w:p>
            <w:pPr>
              <w:spacing w:after="0"/>
              <w:rPr>
                <w:sz w:val="1"/>
                <w:szCs w:val="1"/>
                <w:color w:val="auto"/>
              </w:rPr>
            </w:pPr>
          </w:p>
        </w:tc>
      </w:tr>
      <w:tr>
        <w:trPr>
          <w:trHeight w:val="197"/>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Vendor financing (e)</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4.20 %</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355.9</w:t>
            </w:r>
          </w:p>
        </w:tc>
        <w:tc>
          <w:tcPr>
            <w:tcW w:w="0" w:type="dxa"/>
            <w:vAlign w:val="bottom"/>
          </w:tcPr>
          <w:p>
            <w:pPr>
              <w:spacing w:after="0"/>
              <w:rPr>
                <w:sz w:val="1"/>
                <w:szCs w:val="1"/>
                <w:color w:val="auto"/>
              </w:rPr>
            </w:pPr>
          </w:p>
        </w:tc>
      </w:tr>
      <w:tr>
        <w:trPr>
          <w:trHeight w:val="197"/>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Vodafone Collar Loan (f)</w:t>
            </w:r>
          </w:p>
        </w:tc>
        <w:tc>
          <w:tcPr>
            <w:tcW w:w="130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1,301.9</w:t>
            </w:r>
          </w:p>
        </w:tc>
        <w:tc>
          <w:tcPr>
            <w:tcW w:w="0" w:type="dxa"/>
            <w:vAlign w:val="bottom"/>
          </w:tcPr>
          <w:p>
            <w:pPr>
              <w:spacing w:after="0"/>
              <w:rPr>
                <w:sz w:val="1"/>
                <w:szCs w:val="1"/>
                <w:color w:val="auto"/>
              </w:rPr>
            </w:pPr>
          </w:p>
        </w:tc>
      </w:tr>
      <w:tr>
        <w:trPr>
          <w:trHeight w:val="197"/>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Other (g)</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4.74 %</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632.2</w:t>
            </w:r>
          </w:p>
        </w:tc>
        <w:tc>
          <w:tcPr>
            <w:tcW w:w="0" w:type="dxa"/>
            <w:vAlign w:val="bottom"/>
          </w:tcPr>
          <w:p>
            <w:pPr>
              <w:spacing w:after="0"/>
              <w:rPr>
                <w:sz w:val="1"/>
                <w:szCs w:val="1"/>
                <w:color w:val="auto"/>
              </w:rPr>
            </w:pPr>
          </w:p>
        </w:tc>
      </w:tr>
      <w:tr>
        <w:trPr>
          <w:trHeight w:val="130"/>
        </w:trPr>
        <w:tc>
          <w:tcPr>
            <w:tcW w:w="4280" w:type="dxa"/>
            <w:vAlign w:val="bottom"/>
            <w:tcBorders>
              <w:top w:val="single" w:sz="8" w:color="CCEEFF"/>
            </w:tcBorders>
            <w:shd w:val="clear" w:color="auto" w:fill="CCEEFF"/>
          </w:tcPr>
          <w:p>
            <w:pPr>
              <w:ind w:left="140"/>
              <w:spacing w:after="0" w:line="131" w:lineRule="exact"/>
              <w:rPr>
                <w:sz w:val="20"/>
                <w:szCs w:val="20"/>
                <w:color w:val="auto"/>
              </w:rPr>
            </w:pPr>
            <w:r>
              <w:rPr>
                <w:rFonts w:ascii="Times New Roman" w:cs="Times New Roman" w:eastAsia="Times New Roman" w:hAnsi="Times New Roman"/>
                <w:sz w:val="15"/>
                <w:szCs w:val="15"/>
                <w:color w:val="auto"/>
              </w:rPr>
              <w:t>Total debt before deferred financing costs, discounts and</w:t>
            </w: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5.14 %</w:t>
            </w: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vMerge w:val="restart"/>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852.4</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8,481.2</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9,145.0</w:t>
            </w:r>
          </w:p>
        </w:tc>
        <w:tc>
          <w:tcPr>
            <w:tcW w:w="0" w:type="dxa"/>
            <w:vAlign w:val="bottom"/>
          </w:tcPr>
          <w:p>
            <w:pPr>
              <w:spacing w:after="0"/>
              <w:rPr>
                <w:sz w:val="1"/>
                <w:szCs w:val="1"/>
                <w:color w:val="auto"/>
              </w:rPr>
            </w:pPr>
          </w:p>
        </w:tc>
      </w:tr>
      <w:tr>
        <w:trPr>
          <w:trHeight w:val="205"/>
        </w:trPr>
        <w:tc>
          <w:tcPr>
            <w:tcW w:w="4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premiums (h)</w:t>
            </w:r>
          </w:p>
        </w:tc>
        <w:tc>
          <w:tcPr>
            <w:tcW w:w="13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color w:val="auto"/>
        </w:rPr>
        <w:t>The following table provides a reconciliation of total debt before deferred financing costs, discounts and premiums to total debt and finance lease obligations:</w:t>
      </w:r>
    </w:p>
    <w:p>
      <w:pPr>
        <w:spacing w:after="0" w:line="109"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1080" w:type="dxa"/>
            <w:vAlign w:val="bottom"/>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84"/>
        </w:trPr>
        <w:tc>
          <w:tcPr>
            <w:tcW w:w="8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6"/>
        </w:trPr>
        <w:tc>
          <w:tcPr>
            <w:tcW w:w="8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15"/>
                <w:szCs w:val="15"/>
                <w:color w:val="auto"/>
              </w:rPr>
            </w:pPr>
          </w:p>
        </w:tc>
      </w:tr>
      <w:tr>
        <w:trPr>
          <w:trHeight w:val="140"/>
        </w:trPr>
        <w:tc>
          <w:tcPr>
            <w:tcW w:w="8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97"/>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debt before deferred financing costs, discounts and premiums</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8,481.2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9,145.0</w:t>
            </w:r>
          </w:p>
        </w:tc>
      </w:tr>
      <w:tr>
        <w:trPr>
          <w:trHeight w:val="197"/>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Deferred financing costs, discounts and premiums, net</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(78.1)</w:t>
            </w:r>
          </w:p>
        </w:tc>
      </w:tr>
      <w:tr>
        <w:trPr>
          <w:trHeight w:val="188"/>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Total carrying amount of debt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8,462.2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9,066.9</w:t>
            </w:r>
          </w:p>
        </w:tc>
      </w:tr>
      <w:tr>
        <w:trPr>
          <w:trHeight w:val="197"/>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Finance lease obligations (note 10)</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34.1</w:t>
            </w:r>
          </w:p>
        </w:tc>
      </w:tr>
      <w:tr>
        <w:trPr>
          <w:trHeight w:val="188"/>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debt and finance lease obligations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8,495.5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9,101.0</w:t>
            </w:r>
          </w:p>
        </w:tc>
      </w:tr>
      <w:tr>
        <w:trPr>
          <w:trHeight w:val="197"/>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Current portion of debt and finance lease obligations</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(678.5)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(898.5)</w:t>
            </w:r>
          </w:p>
        </w:tc>
      </w:tr>
      <w:tr>
        <w:trPr>
          <w:trHeight w:val="213"/>
        </w:trPr>
        <w:tc>
          <w:tcPr>
            <w:tcW w:w="8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Long-term debt and finance lease obligations</w:t>
            </w: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7,817.0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8,202.5</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_______________</w:t>
      </w:r>
    </w:p>
    <w:p>
      <w:pPr>
        <w:spacing w:after="0" w:line="221" w:lineRule="exact"/>
        <w:rPr>
          <w:sz w:val="20"/>
          <w:szCs w:val="20"/>
          <w:color w:val="auto"/>
        </w:rPr>
      </w:pPr>
    </w:p>
    <w:p>
      <w:pPr>
        <w:jc w:val="both"/>
        <w:ind w:left="407" w:hanging="407"/>
        <w:spacing w:after="0" w:line="265" w:lineRule="auto"/>
        <w:tabs>
          <w:tab w:leader="none" w:pos="405"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weighted average interest rate in effect at September 30, 2025 for all borrowings outstanding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and certain other obligations that we assumed in connection with certain acquisitions, the weighted average interest rate on our aggregate variable- and fixed-rate indebtedness was 3.83% at September 30, 2025. The weighted average interest rate calculation includes principal amounts outstanding associated with all of our secured and unsecured borrowings. For information regarding our derivative instruments, see note 6.</w:t>
      </w:r>
    </w:p>
    <w:p>
      <w:pPr>
        <w:spacing w:after="0" w:line="176" w:lineRule="exact"/>
        <w:rPr>
          <w:rFonts w:ascii="Times New Roman" w:cs="Times New Roman" w:eastAsia="Times New Roman" w:hAnsi="Times New Roman"/>
          <w:sz w:val="15"/>
          <w:szCs w:val="15"/>
          <w:color w:val="auto"/>
        </w:rPr>
      </w:pPr>
    </w:p>
    <w:p>
      <w:pPr>
        <w:jc w:val="both"/>
        <w:ind w:left="407" w:hanging="407"/>
        <w:spacing w:after="0" w:line="270" w:lineRule="auto"/>
        <w:tabs>
          <w:tab w:leader="none" w:pos="402"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Unused borrowing capacity represents the maximum availability under the applicable facility at September 30, 2025 without regard to covenant compliance calculations or other conditions precedent to borrowing. The following table provides our borrowing availability and amounts available to loan or distribute in accordance with the terms of the respective subsidiary facilities (i) at September 30, 2025 and (ii) upon completion of the relevant September 30, 2025 compliance reporting requirements. These amounts do not consider any actual or potential changes to our borrowing</w:t>
      </w:r>
    </w:p>
    <w:p>
      <w:pPr>
        <w:spacing w:after="0" w:line="200" w:lineRule="exact"/>
        <w:rPr>
          <w:sz w:val="20"/>
          <w:szCs w:val="20"/>
          <w:color w:val="auto"/>
        </w:rPr>
      </w:pPr>
    </w:p>
    <w:p>
      <w:pPr>
        <w:spacing w:after="0" w:line="27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33" w:name="page34"/>
    <w:bookmarkEnd w:id="33"/>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ind w:left="407" w:right="20"/>
        <w:spacing w:after="0" w:line="295" w:lineRule="auto"/>
        <w:rPr>
          <w:sz w:val="20"/>
          <w:szCs w:val="20"/>
          <w:color w:val="auto"/>
        </w:rPr>
      </w:pPr>
      <w:r>
        <w:rPr>
          <w:rFonts w:ascii="Times New Roman" w:cs="Times New Roman" w:eastAsia="Times New Roman" w:hAnsi="Times New Roman"/>
          <w:sz w:val="15"/>
          <w:szCs w:val="15"/>
          <w:color w:val="auto"/>
        </w:rPr>
        <w:t>levels or any amounts loaned or distributed subsequent to September 30, 2025, or the full impact of additional amounts that may be available to borrow, loan or distribute under certain defined baskets within each respective facility.</w:t>
      </w:r>
    </w:p>
    <w:p>
      <w:pPr>
        <w:spacing w:after="0" w:line="62" w:lineRule="exact"/>
        <w:rPr>
          <w:sz w:val="20"/>
          <w:szCs w:val="20"/>
          <w:color w:val="auto"/>
        </w:rPr>
      </w:pPr>
    </w:p>
    <w:tbl>
      <w:tblPr>
        <w:tblLayout w:type="fixed"/>
        <w:tblInd w:w="407"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467"/>
              <w:spacing w:after="0"/>
              <w:rPr>
                <w:sz w:val="20"/>
                <w:szCs w:val="20"/>
                <w:color w:val="auto"/>
              </w:rPr>
            </w:pPr>
            <w:r>
              <w:rPr>
                <w:rFonts w:ascii="Times New Roman" w:cs="Times New Roman" w:eastAsia="Times New Roman" w:hAnsi="Times New Roman"/>
                <w:sz w:val="14"/>
                <w:szCs w:val="14"/>
                <w:b w:val="1"/>
                <w:bCs w:val="1"/>
                <w:color w:val="auto"/>
                <w:w w:val="97"/>
              </w:rPr>
              <w:t>Availability</w:t>
            </w:r>
          </w:p>
        </w:tc>
        <w:tc>
          <w:tcPr>
            <w:tcW w:w="7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0" w:type="dxa"/>
            <w:vAlign w:val="bottom"/>
            <w:gridSpan w:val="3"/>
            <w:vMerge w:val="restart"/>
          </w:tcPr>
          <w:p>
            <w:pPr>
              <w:jc w:val="right"/>
              <w:ind w:right="647"/>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820" w:type="dxa"/>
            <w:vAlign w:val="bottom"/>
            <w:gridSpan w:val="5"/>
          </w:tcPr>
          <w:p>
            <w:pPr>
              <w:jc w:val="right"/>
              <w:spacing w:after="0" w:line="133" w:lineRule="exact"/>
              <w:rPr>
                <w:sz w:val="20"/>
                <w:szCs w:val="20"/>
                <w:color w:val="auto"/>
              </w:rPr>
            </w:pPr>
            <w:r>
              <w:rPr>
                <w:rFonts w:ascii="Times New Roman" w:cs="Times New Roman" w:eastAsia="Times New Roman" w:hAnsi="Times New Roman"/>
                <w:sz w:val="14"/>
                <w:szCs w:val="14"/>
                <w:b w:val="1"/>
                <w:bCs w:val="1"/>
                <w:color w:val="auto"/>
                <w:w w:val="98"/>
              </w:rPr>
              <w:t>Upon completion of the relevant September 30,</w:t>
            </w:r>
          </w:p>
        </w:tc>
        <w:tc>
          <w:tcPr>
            <w:tcW w:w="0" w:type="dxa"/>
            <w:vAlign w:val="bottom"/>
          </w:tcPr>
          <w:p>
            <w:pPr>
              <w:spacing w:after="0"/>
              <w:rPr>
                <w:sz w:val="1"/>
                <w:szCs w:val="1"/>
                <w:color w:val="auto"/>
              </w:rPr>
            </w:pPr>
          </w:p>
        </w:tc>
      </w:tr>
      <w:tr>
        <w:trPr>
          <w:trHeight w:val="184"/>
        </w:trPr>
        <w:tc>
          <w:tcPr>
            <w:tcW w:w="48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2025 compliance reporting requirements</w:t>
            </w:r>
          </w:p>
        </w:tc>
        <w:tc>
          <w:tcPr>
            <w:tcW w:w="0" w:type="dxa"/>
            <w:vAlign w:val="bottom"/>
          </w:tcPr>
          <w:p>
            <w:pPr>
              <w:spacing w:after="0"/>
              <w:rPr>
                <w:sz w:val="1"/>
                <w:szCs w:val="1"/>
                <w:color w:val="auto"/>
              </w:rPr>
            </w:pPr>
          </w:p>
        </w:tc>
      </w:tr>
      <w:tr>
        <w:trPr>
          <w:trHeight w:val="131"/>
        </w:trPr>
        <w:tc>
          <w:tcPr>
            <w:tcW w:w="4840" w:type="dxa"/>
            <w:vAlign w:val="bottom"/>
          </w:tcPr>
          <w:p>
            <w:pPr>
              <w:spacing w:after="0"/>
              <w:rPr>
                <w:sz w:val="11"/>
                <w:szCs w:val="11"/>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Borrowing currency</w:t>
            </w:r>
          </w:p>
        </w:tc>
        <w:tc>
          <w:tcPr>
            <w:tcW w:w="260" w:type="dxa"/>
            <w:vAlign w:val="bottom"/>
          </w:tcPr>
          <w:p>
            <w:pPr>
              <w:spacing w:after="0"/>
              <w:rPr>
                <w:sz w:val="11"/>
                <w:szCs w:val="11"/>
                <w:color w:val="auto"/>
              </w:rPr>
            </w:pPr>
          </w:p>
        </w:tc>
        <w:tc>
          <w:tcPr>
            <w:tcW w:w="1060" w:type="dxa"/>
            <w:vAlign w:val="bottom"/>
          </w:tcPr>
          <w:p>
            <w:pPr>
              <w:jc w:val="right"/>
              <w:ind w:right="387"/>
              <w:spacing w:after="0" w:line="131" w:lineRule="exact"/>
              <w:rPr>
                <w:sz w:val="20"/>
                <w:szCs w:val="20"/>
                <w:color w:val="auto"/>
              </w:rPr>
            </w:pPr>
            <w:r>
              <w:rPr>
                <w:rFonts w:ascii="Times New Roman" w:cs="Times New Roman" w:eastAsia="Times New Roman" w:hAnsi="Times New Roman"/>
                <w:sz w:val="14"/>
                <w:szCs w:val="14"/>
                <w:b w:val="1"/>
                <w:bCs w:val="1"/>
                <w:color w:val="auto"/>
              </w:rPr>
              <w:t>U.S. $</w:t>
            </w:r>
          </w:p>
        </w:tc>
        <w:tc>
          <w:tcPr>
            <w:tcW w:w="100" w:type="dxa"/>
            <w:vAlign w:val="bottom"/>
          </w:tcPr>
          <w:p>
            <w:pPr>
              <w:spacing w:after="0"/>
              <w:rPr>
                <w:sz w:val="11"/>
                <w:szCs w:val="11"/>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Borrowing currency</w:t>
            </w:r>
          </w:p>
        </w:tc>
        <w:tc>
          <w:tcPr>
            <w:tcW w:w="280" w:type="dxa"/>
            <w:vAlign w:val="bottom"/>
          </w:tcPr>
          <w:p>
            <w:pPr>
              <w:spacing w:after="0"/>
              <w:rPr>
                <w:sz w:val="11"/>
                <w:szCs w:val="11"/>
                <w:color w:val="auto"/>
              </w:rPr>
            </w:pPr>
          </w:p>
        </w:tc>
        <w:tc>
          <w:tcPr>
            <w:tcW w:w="1100" w:type="dxa"/>
            <w:vAlign w:val="bottom"/>
          </w:tcPr>
          <w:p>
            <w:pPr>
              <w:jc w:val="right"/>
              <w:ind w:right="405"/>
              <w:spacing w:after="0" w:line="131" w:lineRule="exact"/>
              <w:rPr>
                <w:sz w:val="20"/>
                <w:szCs w:val="20"/>
                <w:color w:val="auto"/>
              </w:rPr>
            </w:pPr>
            <w:r>
              <w:rPr>
                <w:rFonts w:ascii="Times New Roman" w:cs="Times New Roman" w:eastAsia="Times New Roman" w:hAnsi="Times New Roman"/>
                <w:sz w:val="14"/>
                <w:szCs w:val="14"/>
                <w:b w:val="1"/>
                <w:bCs w:val="1"/>
                <w:color w:val="auto"/>
              </w:rPr>
              <w:t>U.S. $</w:t>
            </w:r>
          </w:p>
        </w:tc>
        <w:tc>
          <w:tcPr>
            <w:tcW w:w="0" w:type="dxa"/>
            <w:vAlign w:val="bottom"/>
          </w:tcPr>
          <w:p>
            <w:pPr>
              <w:spacing w:after="0"/>
              <w:rPr>
                <w:sz w:val="1"/>
                <w:szCs w:val="1"/>
                <w:color w:val="auto"/>
              </w:rPr>
            </w:pPr>
          </w:p>
        </w:tc>
      </w:tr>
      <w:tr>
        <w:trPr>
          <w:trHeight w:val="184"/>
        </w:trPr>
        <w:tc>
          <w:tcPr>
            <w:tcW w:w="4840" w:type="dxa"/>
            <w:vAlign w:val="bottom"/>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4"/>
                <w:szCs w:val="14"/>
                <w:b w:val="1"/>
                <w:bCs w:val="1"/>
                <w:color w:val="auto"/>
              </w:rPr>
              <w:t>equivalent</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equivalent</w:t>
            </w:r>
          </w:p>
        </w:tc>
        <w:tc>
          <w:tcPr>
            <w:tcW w:w="0" w:type="dxa"/>
            <w:vAlign w:val="bottom"/>
          </w:tcPr>
          <w:p>
            <w:pPr>
              <w:spacing w:after="0"/>
              <w:rPr>
                <w:sz w:val="1"/>
                <w:szCs w:val="1"/>
                <w:color w:val="auto"/>
              </w:rPr>
            </w:pPr>
          </w:p>
        </w:tc>
      </w:tr>
      <w:tr>
        <w:trPr>
          <w:trHeight w:val="176"/>
        </w:trPr>
        <w:tc>
          <w:tcPr>
            <w:tcW w:w="4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gridSpan w:val="3"/>
          </w:tcPr>
          <w:p>
            <w:pPr>
              <w:jc w:val="center"/>
              <w:ind w:left="487"/>
              <w:spacing w:after="0"/>
              <w:rPr>
                <w:sz w:val="20"/>
                <w:szCs w:val="20"/>
                <w:color w:val="auto"/>
              </w:rPr>
            </w:pPr>
            <w:r>
              <w:rPr>
                <w:rFonts w:ascii="Times New Roman" w:cs="Times New Roman" w:eastAsia="Times New Roman" w:hAnsi="Times New Roman"/>
                <w:sz w:val="14"/>
                <w:szCs w:val="14"/>
                <w:b w:val="1"/>
                <w:bCs w:val="1"/>
                <w:color w:val="auto"/>
                <w:w w:val="98"/>
              </w:rPr>
              <w:t>in millions</w:t>
            </w: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 to borrow:</w:t>
            </w:r>
          </w:p>
        </w:tc>
        <w:tc>
          <w:tcPr>
            <w:tcW w:w="4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8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Telenet Credit Facility</w:t>
            </w:r>
          </w:p>
        </w:tc>
        <w:tc>
          <w:tcPr>
            <w:tcW w:w="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625.0</w:t>
            </w: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734.8</w:t>
            </w:r>
          </w:p>
        </w:tc>
        <w:tc>
          <w:tcPr>
            <w:tcW w:w="100" w:type="dxa"/>
            <w:vAlign w:val="bottom"/>
          </w:tcPr>
          <w:p>
            <w:pPr>
              <w:spacing w:after="0"/>
              <w:rPr>
                <w:sz w:val="17"/>
                <w:szCs w:val="17"/>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625.0</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734.8</w:t>
            </w:r>
          </w:p>
        </w:tc>
        <w:tc>
          <w:tcPr>
            <w:tcW w:w="0" w:type="dxa"/>
            <w:vAlign w:val="bottom"/>
          </w:tcPr>
          <w:p>
            <w:pPr>
              <w:spacing w:after="0"/>
              <w:rPr>
                <w:sz w:val="1"/>
                <w:szCs w:val="1"/>
                <w:color w:val="auto"/>
              </w:rPr>
            </w:pPr>
          </w:p>
        </w:tc>
      </w:tr>
      <w:tr>
        <w:trPr>
          <w:trHeight w:val="197"/>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VM Ireland Credit Facility</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100.0</w:t>
            </w:r>
          </w:p>
        </w:tc>
        <w:tc>
          <w:tcPr>
            <w:tcW w:w="2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117.6</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100.0</w:t>
            </w:r>
          </w:p>
        </w:tc>
        <w:tc>
          <w:tcPr>
            <w:tcW w:w="2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117.6</w:t>
            </w:r>
          </w:p>
        </w:tc>
        <w:tc>
          <w:tcPr>
            <w:tcW w:w="0" w:type="dxa"/>
            <w:vAlign w:val="bottom"/>
          </w:tcPr>
          <w:p>
            <w:pPr>
              <w:spacing w:after="0"/>
              <w:rPr>
                <w:sz w:val="1"/>
                <w:szCs w:val="1"/>
                <w:color w:val="auto"/>
              </w:rPr>
            </w:pPr>
          </w:p>
        </w:tc>
      </w:tr>
      <w:tr>
        <w:trPr>
          <w:trHeight w:val="174"/>
        </w:trPr>
        <w:tc>
          <w:tcPr>
            <w:tcW w:w="4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 to loan or distribute:</w:t>
            </w:r>
          </w:p>
        </w:tc>
        <w:tc>
          <w:tcPr>
            <w:tcW w:w="4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8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Telenet Credit Facility</w:t>
            </w:r>
          </w:p>
        </w:tc>
        <w:tc>
          <w:tcPr>
            <w:tcW w:w="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625.0</w:t>
            </w: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734.8</w:t>
            </w:r>
          </w:p>
        </w:tc>
        <w:tc>
          <w:tcPr>
            <w:tcW w:w="100" w:type="dxa"/>
            <w:vAlign w:val="bottom"/>
          </w:tcPr>
          <w:p>
            <w:pPr>
              <w:spacing w:after="0"/>
              <w:rPr>
                <w:sz w:val="17"/>
                <w:szCs w:val="17"/>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625.0</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734.8</w:t>
            </w:r>
          </w:p>
        </w:tc>
        <w:tc>
          <w:tcPr>
            <w:tcW w:w="0" w:type="dxa"/>
            <w:vAlign w:val="bottom"/>
          </w:tcPr>
          <w:p>
            <w:pPr>
              <w:spacing w:after="0"/>
              <w:rPr>
                <w:sz w:val="1"/>
                <w:szCs w:val="1"/>
                <w:color w:val="auto"/>
              </w:rPr>
            </w:pPr>
          </w:p>
        </w:tc>
      </w:tr>
      <w:tr>
        <w:trPr>
          <w:trHeight w:val="197"/>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VM Ireland Credit Facility</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100.0</w:t>
            </w:r>
          </w:p>
        </w:tc>
        <w:tc>
          <w:tcPr>
            <w:tcW w:w="2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117.6</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100.0</w:t>
            </w:r>
          </w:p>
        </w:tc>
        <w:tc>
          <w:tcPr>
            <w:tcW w:w="2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117.6</w:t>
            </w:r>
          </w:p>
        </w:tc>
        <w:tc>
          <w:tcPr>
            <w:tcW w:w="0" w:type="dxa"/>
            <w:vAlign w:val="bottom"/>
          </w:tcPr>
          <w:p>
            <w:pPr>
              <w:spacing w:after="0"/>
              <w:rPr>
                <w:sz w:val="1"/>
                <w:szCs w:val="1"/>
                <w:color w:val="auto"/>
              </w:rPr>
            </w:pPr>
          </w:p>
        </w:tc>
      </w:tr>
    </w:tbl>
    <w:p>
      <w:pPr>
        <w:spacing w:after="0" w:line="263" w:lineRule="exact"/>
        <w:rPr>
          <w:sz w:val="20"/>
          <w:szCs w:val="20"/>
          <w:color w:val="auto"/>
        </w:rPr>
      </w:pPr>
    </w:p>
    <w:p>
      <w:pPr>
        <w:jc w:val="both"/>
        <w:ind w:left="407" w:hanging="407"/>
        <w:spacing w:after="0" w:line="264" w:lineRule="auto"/>
        <w:tabs>
          <w:tab w:leader="none" w:pos="405"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Unused borrowing capacity under the Telenet Credit Facility comprises (i) €580.0 million ($681.9 million) under Telenet Revolving Facility I (as defined below), (ii) €25.0 million ($29.4 million) under the Telenet Overdraft Facility and (iii) €20.0 million ($23.5 million) under the Telenet Revolving Facility, each of which were undrawn at September 30, 2025. In June 2025, the underlying credit agreement was amended to (a) combine Telenet Revolving Facility A and Telenet Revolving Facility B into a single revolving facility (</w:t>
      </w:r>
      <w:r>
        <w:rPr>
          <w:rFonts w:ascii="Times New Roman" w:cs="Times New Roman" w:eastAsia="Times New Roman" w:hAnsi="Times New Roman"/>
          <w:sz w:val="15"/>
          <w:szCs w:val="15"/>
          <w:b w:val="1"/>
          <w:bCs w:val="1"/>
          <w:color w:val="auto"/>
        </w:rPr>
        <w:t>Telenet Revolving Facility I</w:t>
      </w:r>
      <w:r>
        <w:rPr>
          <w:rFonts w:ascii="Times New Roman" w:cs="Times New Roman" w:eastAsia="Times New Roman" w:hAnsi="Times New Roman"/>
          <w:sz w:val="15"/>
          <w:szCs w:val="15"/>
          <w:color w:val="auto"/>
        </w:rPr>
        <w:t xml:space="preserve">) with a final maturity date of May 31, 2029 and (b) increase total commitments under Telenet Revolving Facility I by €30.0 million ($35.3 million). In August 2025, commitments under Telenet Revolving Facility I were decreased by €20.0 million in conjunction with the execution of the Wyre Capex Facility (as defined and described under </w:t>
      </w:r>
      <w:r>
        <w:rPr>
          <w:rFonts w:ascii="Times New Roman" w:cs="Times New Roman" w:eastAsia="Times New Roman" w:hAnsi="Times New Roman"/>
          <w:sz w:val="15"/>
          <w:szCs w:val="15"/>
          <w:i w:val="1"/>
          <w:iCs w:val="1"/>
          <w:color w:val="auto"/>
        </w:rPr>
        <w:t>Financing Transactions</w:t>
      </w:r>
      <w:r>
        <w:rPr>
          <w:rFonts w:ascii="Times New Roman" w:cs="Times New Roman" w:eastAsia="Times New Roman" w:hAnsi="Times New Roman"/>
          <w:sz w:val="15"/>
          <w:szCs w:val="15"/>
          <w:color w:val="auto"/>
        </w:rPr>
        <w:t xml:space="preserve"> below), reducing the maximum borrowing capacity of Telenet Revolving Facility I from €600.0 million ($705.4 million) to €580.0 million.</w:t>
      </w:r>
    </w:p>
    <w:p>
      <w:pPr>
        <w:spacing w:after="0" w:line="366" w:lineRule="exact"/>
        <w:rPr>
          <w:rFonts w:ascii="Times New Roman" w:cs="Times New Roman" w:eastAsia="Times New Roman" w:hAnsi="Times New Roman"/>
          <w:sz w:val="15"/>
          <w:szCs w:val="15"/>
          <w:color w:val="auto"/>
        </w:rPr>
      </w:pPr>
    </w:p>
    <w:p>
      <w:pPr>
        <w:jc w:val="both"/>
        <w:ind w:left="407" w:hanging="407"/>
        <w:spacing w:after="0" w:line="276" w:lineRule="auto"/>
        <w:tabs>
          <w:tab w:leader="none" w:pos="402"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Unused borrowing capacity under the VM Ireland Credit Facility relates to €100.0 million ($117.6 million) under the VM Ireland Revolving Facility, which was undrawn at September 30, 2025. In March 2025, commitments under the VM Ireland Revolving Facility were increased by €11.1 million ($13.0 million). The VM Ireland Revolving Facility now provides for maximum borrowing capacity of €100.0 million.</w:t>
      </w:r>
    </w:p>
    <w:p>
      <w:pPr>
        <w:spacing w:after="0" w:line="168" w:lineRule="exact"/>
        <w:rPr>
          <w:rFonts w:ascii="Times New Roman" w:cs="Times New Roman" w:eastAsia="Times New Roman" w:hAnsi="Times New Roman"/>
          <w:sz w:val="15"/>
          <w:szCs w:val="15"/>
          <w:color w:val="auto"/>
        </w:rPr>
      </w:pPr>
    </w:p>
    <w:p>
      <w:pPr>
        <w:jc w:val="both"/>
        <w:ind w:left="407" w:hanging="407"/>
        <w:spacing w:after="0" w:line="262" w:lineRule="auto"/>
        <w:tabs>
          <w:tab w:leader="none" w:pos="405"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amounts owed to various creditors pursuant to interest-bearing vendor financing arrangements that are used to finance certain of our property and equipment additions and operating expenses. These arrangements extend our repayment terms beyond a vendor’s original due dates (e.g., extension beyond a vendor’s customary payment terms, which are generally 90 days or less) and as such are classified outside of accounts payable as debt on our condensed consolidated balance sheets. These obligations are generally due within one year and include VAT that was also financed under these arrangements. For purposes of our condensed consolidated statements of cash flows, operating-related expenses financed by an intermediary are treated as constructive operating cash outflows and constructive financing cash inflows when the intermediary settles the liability with the vendor as there is no actual cash outflow until we pay the financing intermediary. During the nine months ended September 30, 2025 and 2024, the constructive cash outflow included in cash flows from operating activities and the corresponding constructive cash inflow included in cash flows from financing activities related to these operating expenses were $251.6 million and $291.9 million, respectively. Repayments of vendor financing obligations at the time we pay the financing intermediary are included in repayments and repurchases of debt and finance lease obligations in our condensed consolidated statements of cash flows.</w:t>
      </w:r>
    </w:p>
    <w:p>
      <w:pPr>
        <w:spacing w:after="0" w:line="180" w:lineRule="exact"/>
        <w:rPr>
          <w:rFonts w:ascii="Times New Roman" w:cs="Times New Roman" w:eastAsia="Times New Roman" w:hAnsi="Times New Roman"/>
          <w:sz w:val="15"/>
          <w:szCs w:val="15"/>
          <w:color w:val="auto"/>
        </w:rPr>
      </w:pPr>
    </w:p>
    <w:p>
      <w:pPr>
        <w:ind w:left="407" w:right="20" w:hanging="407"/>
        <w:spacing w:after="0" w:line="295" w:lineRule="auto"/>
        <w:tabs>
          <w:tab w:leader="none" w:pos="399"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further described in note 5, the Vodafone Collar Loan was fully settled in 2025, resulting in a loss on debt extinguishment of $12.1 million (including $11.2 million during the third quarter) related to the write-off of unamortized deferred financing costs and discounts.</w:t>
      </w:r>
    </w:p>
    <w:p>
      <w:pPr>
        <w:spacing w:after="0" w:line="154" w:lineRule="exact"/>
        <w:rPr>
          <w:rFonts w:ascii="Times New Roman" w:cs="Times New Roman" w:eastAsia="Times New Roman" w:hAnsi="Times New Roman"/>
          <w:sz w:val="15"/>
          <w:szCs w:val="15"/>
          <w:color w:val="auto"/>
        </w:rPr>
      </w:pPr>
    </w:p>
    <w:p>
      <w:pPr>
        <w:ind w:left="407" w:right="20" w:hanging="407"/>
        <w:spacing w:after="0" w:line="295" w:lineRule="auto"/>
        <w:tabs>
          <w:tab w:leader="none" w:pos="402"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September 30, 2025 and December 31, 2024, amounts include (i) $226.4 million and $195.8 million, respectively, of debt collateralized by certain trade receivables of Telenet and (ii) $437.4 million and $390.5 million, respectively, of</w:t>
      </w:r>
    </w:p>
    <w:p>
      <w:pPr>
        <w:spacing w:after="0" w:line="200" w:lineRule="exact"/>
        <w:rPr>
          <w:sz w:val="20"/>
          <w:szCs w:val="20"/>
          <w:color w:val="auto"/>
        </w:rPr>
      </w:pPr>
    </w:p>
    <w:p>
      <w:pPr>
        <w:spacing w:after="0" w:line="25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34" w:name="page35"/>
    <w:bookmarkEnd w:id="34"/>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ind w:left="407"/>
        <w:spacing w:after="0"/>
        <w:rPr>
          <w:sz w:val="20"/>
          <w:szCs w:val="20"/>
          <w:color w:val="auto"/>
        </w:rPr>
      </w:pPr>
      <w:r>
        <w:rPr>
          <w:rFonts w:ascii="Times New Roman" w:cs="Times New Roman" w:eastAsia="Times New Roman" w:hAnsi="Times New Roman"/>
          <w:sz w:val="15"/>
          <w:szCs w:val="15"/>
          <w:color w:val="auto"/>
        </w:rPr>
        <w:t>liabilities related to Telenet’s acquisition of mobile spectrum licenses. Telenet will make annual payments for the license fees over the terms of the respective licenses.</w:t>
      </w:r>
    </w:p>
    <w:p>
      <w:pPr>
        <w:spacing w:after="0" w:line="221" w:lineRule="exact"/>
        <w:rPr>
          <w:sz w:val="20"/>
          <w:szCs w:val="20"/>
          <w:color w:val="auto"/>
        </w:rPr>
      </w:pPr>
    </w:p>
    <w:p>
      <w:pPr>
        <w:jc w:val="both"/>
        <w:ind w:left="407" w:hanging="407"/>
        <w:spacing w:after="0" w:line="276" w:lineRule="auto"/>
        <w:tabs>
          <w:tab w:leader="none" w:pos="402"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September 30, 2025 and December 31, 2024, our debt had an estimated fair value of $8.5 billion and $9.0 billion, respectively. The estimated fair values of our debt instruments are generally determined using the average of applicable bid and ask prices (mostly Level 1 of the fair value hierarchy). For additional information regarding fair value hierarchies, see note 7.</w:t>
      </w:r>
    </w:p>
    <w:p>
      <w:pPr>
        <w:spacing w:after="0" w:line="165"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General Information</w:t>
      </w:r>
    </w:p>
    <w:p>
      <w:pPr>
        <w:spacing w:after="0" w:line="225" w:lineRule="exact"/>
        <w:rPr>
          <w:sz w:val="20"/>
          <w:szCs w:val="20"/>
          <w:color w:val="auto"/>
        </w:rPr>
      </w:pPr>
    </w:p>
    <w:p>
      <w:pPr>
        <w:jc w:val="both"/>
        <w:ind w:left="7" w:firstLine="278"/>
        <w:spacing w:after="0" w:line="270" w:lineRule="auto"/>
        <w:rPr>
          <w:sz w:val="20"/>
          <w:szCs w:val="20"/>
          <w:color w:val="auto"/>
        </w:rPr>
      </w:pPr>
      <w:r>
        <w:rPr>
          <w:rFonts w:ascii="Times New Roman" w:cs="Times New Roman" w:eastAsia="Times New Roman" w:hAnsi="Times New Roman"/>
          <w:sz w:val="15"/>
          <w:szCs w:val="15"/>
          <w:color w:val="auto"/>
        </w:rPr>
        <w:t>At September 30, 2025, most of our outstanding debt had been incurred by one of our two subsidiary “borrowing groups.” References to these borrowing groups, which comprise Telenet and VM Ireland, include their respective restricted parent and subsidiary entities. Below we provide summary descriptions of certain financing transactions completed during 2025. For information regarding the general terms and conditions of our debt and capitalized terms not defined herein, see note 11 to the consolidated financial statements included in our 2024 10-K.</w:t>
      </w:r>
    </w:p>
    <w:p>
      <w:pPr>
        <w:spacing w:after="0" w:line="169"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Financing Transactions</w:t>
      </w:r>
    </w:p>
    <w:p>
      <w:pPr>
        <w:spacing w:after="0" w:line="221" w:lineRule="exact"/>
        <w:rPr>
          <w:sz w:val="20"/>
          <w:szCs w:val="20"/>
          <w:color w:val="auto"/>
        </w:rPr>
      </w:pPr>
    </w:p>
    <w:p>
      <w:pPr>
        <w:jc w:val="both"/>
        <w:ind w:left="7" w:firstLine="278"/>
        <w:spacing w:after="0" w:line="268" w:lineRule="auto"/>
        <w:rPr>
          <w:sz w:val="20"/>
          <w:szCs w:val="20"/>
          <w:color w:val="auto"/>
        </w:rPr>
      </w:pPr>
      <w:r>
        <w:rPr>
          <w:rFonts w:ascii="Times New Roman" w:cs="Times New Roman" w:eastAsia="Times New Roman" w:hAnsi="Times New Roman"/>
          <w:sz w:val="15"/>
          <w:szCs w:val="15"/>
          <w:color w:val="auto"/>
        </w:rPr>
        <w:t>In February 2025, Telenet entered into a €500.0 million ($587.8 million) sustainability-linked term loan facility (</w:t>
      </w:r>
      <w:r>
        <w:rPr>
          <w:rFonts w:ascii="Times New Roman" w:cs="Times New Roman" w:eastAsia="Times New Roman" w:hAnsi="Times New Roman"/>
          <w:sz w:val="15"/>
          <w:szCs w:val="15"/>
          <w:b w:val="1"/>
          <w:bCs w:val="1"/>
          <w:color w:val="auto"/>
        </w:rPr>
        <w:t>Telenet Facility AU</w:t>
      </w:r>
      <w:r>
        <w:rPr>
          <w:rFonts w:ascii="Times New Roman" w:cs="Times New Roman" w:eastAsia="Times New Roman" w:hAnsi="Times New Roman"/>
          <w:sz w:val="15"/>
          <w:szCs w:val="15"/>
          <w:color w:val="auto"/>
        </w:rPr>
        <w:t>). Telenet Facility AU was issued at 99.75% of par, matures on March 31, 2033 and bears interest at a rate of EURIBOR + 3.0%, subject to a EURIBOR floor of 0.0%. The interest rate on Telenet Facility AU is subject to adjustment based on Telenet’s achievement or otherwise of certain Environmental, Social and Governance metrics. The net proceeds from Telenet Facility AU were used to refinance €500.0 million of the €890.0 million ($1,046.3 million) outstanding principal amount under Telenet Facility AT1. In connection with this transaction, Telenet recognized a loss on debt extinguishment of $8.0 million related to the write-off of unamortized deferred financing costs and discounts.</w:t>
      </w:r>
    </w:p>
    <w:p>
      <w:pPr>
        <w:spacing w:after="0" w:line="171" w:lineRule="exact"/>
        <w:rPr>
          <w:sz w:val="20"/>
          <w:szCs w:val="20"/>
          <w:color w:val="auto"/>
        </w:rPr>
      </w:pPr>
    </w:p>
    <w:p>
      <w:pPr>
        <w:jc w:val="both"/>
        <w:ind w:left="7" w:firstLine="278"/>
        <w:spacing w:after="0" w:line="270" w:lineRule="auto"/>
        <w:rPr>
          <w:sz w:val="20"/>
          <w:szCs w:val="20"/>
          <w:color w:val="auto"/>
        </w:rPr>
      </w:pPr>
      <w:r>
        <w:rPr>
          <w:rFonts w:ascii="Times New Roman" w:cs="Times New Roman" w:eastAsia="Times New Roman" w:hAnsi="Times New Roman"/>
          <w:sz w:val="15"/>
          <w:szCs w:val="15"/>
          <w:color w:val="auto"/>
        </w:rPr>
        <w:t>In August 2025, a subsidiary of Telenet (</w:t>
      </w:r>
      <w:r>
        <w:rPr>
          <w:rFonts w:ascii="Times New Roman" w:cs="Times New Roman" w:eastAsia="Times New Roman" w:hAnsi="Times New Roman"/>
          <w:sz w:val="15"/>
          <w:szCs w:val="15"/>
          <w:b w:val="1"/>
          <w:bCs w:val="1"/>
          <w:color w:val="auto"/>
        </w:rPr>
        <w:t>Wyre</w:t>
      </w:r>
      <w:r>
        <w:rPr>
          <w:rFonts w:ascii="Times New Roman" w:cs="Times New Roman" w:eastAsia="Times New Roman" w:hAnsi="Times New Roman"/>
          <w:sz w:val="15"/>
          <w:szCs w:val="15"/>
          <w:color w:val="auto"/>
        </w:rPr>
        <w:t xml:space="preserve">) entered into a €500.0 million standalone capital expenditure term loan facility (the </w:t>
      </w:r>
      <w:r>
        <w:rPr>
          <w:rFonts w:ascii="Times New Roman" w:cs="Times New Roman" w:eastAsia="Times New Roman" w:hAnsi="Times New Roman"/>
          <w:sz w:val="15"/>
          <w:szCs w:val="15"/>
          <w:b w:val="1"/>
          <w:bCs w:val="1"/>
          <w:color w:val="auto"/>
        </w:rPr>
        <w:t>Wyre Capex Facility</w:t>
      </w:r>
      <w:r>
        <w:rPr>
          <w:rFonts w:ascii="Times New Roman" w:cs="Times New Roman" w:eastAsia="Times New Roman" w:hAnsi="Times New Roman"/>
          <w:sz w:val="15"/>
          <w:szCs w:val="15"/>
          <w:color w:val="auto"/>
        </w:rPr>
        <w:t>). The Wyre Capex Facility bears interest at a rate of EURIBOR + 2.75%, subject to a EURIBOR floor of 0.0%, and matures five years after the initial drawdown, which has yet to occur. The maturity date may be extended by Wyre two additional times, each extending the maturity date by one year. When drawn, the proceeds from the Wyre Capex Facility will be used to fund the roll-out of Wyre’s fiber network and for general corporate purposes. Accordingly, unused borrowing capacity at September 30, 2025 excludes the availability under the Wyre Capex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35" w:name="page36"/>
    <w:bookmarkEnd w:id="35"/>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4"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Maturities of Debt</w:t>
      </w:r>
    </w:p>
    <w:p>
      <w:pPr>
        <w:spacing w:after="0" w:line="225" w:lineRule="exact"/>
        <w:rPr>
          <w:sz w:val="20"/>
          <w:szCs w:val="20"/>
          <w:color w:val="auto"/>
        </w:rPr>
      </w:pPr>
    </w:p>
    <w:p>
      <w:pPr>
        <w:ind w:left="7" w:firstLine="278"/>
        <w:spacing w:after="0" w:line="295" w:lineRule="auto"/>
        <w:rPr>
          <w:sz w:val="20"/>
          <w:szCs w:val="20"/>
          <w:color w:val="auto"/>
        </w:rPr>
      </w:pPr>
      <w:r>
        <w:rPr>
          <w:rFonts w:ascii="Times New Roman" w:cs="Times New Roman" w:eastAsia="Times New Roman" w:hAnsi="Times New Roman"/>
          <w:sz w:val="15"/>
          <w:szCs w:val="15"/>
          <w:color w:val="auto"/>
        </w:rPr>
        <w:t>Maturities of our debt as of September 30, 2025 are presented below for the named entity and its subsidiaries, unless otherwise noted, and represent U.S. dollar equivalents based on September 30, 2025 exchange rates.</w:t>
      </w:r>
    </w:p>
    <w:p>
      <w:pPr>
        <w:spacing w:after="0" w:line="62"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Telenet</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VM Ireland</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Other (a)</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7"/>
        </w:trPr>
        <w:tc>
          <w:tcPr>
            <w:tcW w:w="6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Year ending December 31:</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2025 (remainder of year)</w:t>
            </w: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359.1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2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359.6</w:t>
            </w:r>
          </w:p>
        </w:tc>
        <w:tc>
          <w:tcPr>
            <w:tcW w:w="0" w:type="dxa"/>
            <w:vAlign w:val="bottom"/>
          </w:tcPr>
          <w:p>
            <w:pPr>
              <w:spacing w:after="0"/>
              <w:rPr>
                <w:sz w:val="1"/>
                <w:szCs w:val="1"/>
                <w:color w:val="auto"/>
              </w:rPr>
            </w:pPr>
          </w:p>
        </w:tc>
      </w:tr>
      <w:tr>
        <w:trPr>
          <w:trHeight w:val="197"/>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2026</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335.9</w:t>
            </w:r>
          </w:p>
        </w:tc>
        <w:tc>
          <w:tcPr>
            <w:tcW w:w="0" w:type="dxa"/>
            <w:vAlign w:val="bottom"/>
          </w:tcPr>
          <w:p>
            <w:pPr>
              <w:spacing w:after="0"/>
              <w:rPr>
                <w:sz w:val="1"/>
                <w:szCs w:val="1"/>
                <w:color w:val="auto"/>
              </w:rPr>
            </w:pPr>
          </w:p>
        </w:tc>
      </w:tr>
      <w:tr>
        <w:trPr>
          <w:trHeight w:val="197"/>
        </w:trPr>
        <w:tc>
          <w:tcPr>
            <w:tcW w:w="65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2027</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38.5</w:t>
            </w:r>
          </w:p>
        </w:tc>
        <w:tc>
          <w:tcPr>
            <w:tcW w:w="0" w:type="dxa"/>
            <w:vAlign w:val="bottom"/>
          </w:tcPr>
          <w:p>
            <w:pPr>
              <w:spacing w:after="0"/>
              <w:rPr>
                <w:sz w:val="1"/>
                <w:szCs w:val="1"/>
                <w:color w:val="auto"/>
              </w:rPr>
            </w:pPr>
          </w:p>
        </w:tc>
      </w:tr>
      <w:tr>
        <w:trPr>
          <w:trHeight w:val="197"/>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2028</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4,446.9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4,446.9</w:t>
            </w:r>
          </w:p>
        </w:tc>
        <w:tc>
          <w:tcPr>
            <w:tcW w:w="0" w:type="dxa"/>
            <w:vAlign w:val="bottom"/>
          </w:tcPr>
          <w:p>
            <w:pPr>
              <w:spacing w:after="0"/>
              <w:rPr>
                <w:sz w:val="1"/>
                <w:szCs w:val="1"/>
                <w:color w:val="auto"/>
              </w:rPr>
            </w:pPr>
          </w:p>
        </w:tc>
      </w:tr>
      <w:tr>
        <w:trPr>
          <w:trHeight w:val="197"/>
        </w:trPr>
        <w:tc>
          <w:tcPr>
            <w:tcW w:w="65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2029</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1,329.9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1,058.1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2,388.0</w:t>
            </w:r>
          </w:p>
        </w:tc>
        <w:tc>
          <w:tcPr>
            <w:tcW w:w="0" w:type="dxa"/>
            <w:vAlign w:val="bottom"/>
          </w:tcPr>
          <w:p>
            <w:pPr>
              <w:spacing w:after="0"/>
              <w:rPr>
                <w:sz w:val="1"/>
                <w:szCs w:val="1"/>
                <w:color w:val="auto"/>
              </w:rPr>
            </w:pPr>
          </w:p>
        </w:tc>
      </w:tr>
      <w:tr>
        <w:trPr>
          <w:trHeight w:val="197"/>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2030</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w:t>
            </w:r>
          </w:p>
        </w:tc>
        <w:tc>
          <w:tcPr>
            <w:tcW w:w="0" w:type="dxa"/>
            <w:vAlign w:val="bottom"/>
          </w:tcPr>
          <w:p>
            <w:pPr>
              <w:spacing w:after="0"/>
              <w:rPr>
                <w:sz w:val="1"/>
                <w:szCs w:val="1"/>
                <w:color w:val="auto"/>
              </w:rPr>
            </w:pPr>
          </w:p>
        </w:tc>
      </w:tr>
      <w:tr>
        <w:trPr>
          <w:trHeight w:val="197"/>
        </w:trPr>
        <w:tc>
          <w:tcPr>
            <w:tcW w:w="65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Thereafter</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886.5</w:t>
            </w:r>
          </w:p>
        </w:tc>
        <w:tc>
          <w:tcPr>
            <w:tcW w:w="0" w:type="dxa"/>
            <w:vAlign w:val="bottom"/>
          </w:tcPr>
          <w:p>
            <w:pPr>
              <w:spacing w:after="0"/>
              <w:rPr>
                <w:sz w:val="1"/>
                <w:szCs w:val="1"/>
                <w:color w:val="auto"/>
              </w:rPr>
            </w:pPr>
          </w:p>
        </w:tc>
      </w:tr>
      <w:tr>
        <w:trPr>
          <w:trHeight w:val="188"/>
        </w:trPr>
        <w:tc>
          <w:tcPr>
            <w:tcW w:w="65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debt maturities (b)</w:t>
            </w: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7,387.3</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1,058.1</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35.8</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8,481.2</w:t>
            </w:r>
          </w:p>
        </w:tc>
        <w:tc>
          <w:tcPr>
            <w:tcW w:w="0" w:type="dxa"/>
            <w:vAlign w:val="bottom"/>
          </w:tcPr>
          <w:p>
            <w:pPr>
              <w:spacing w:after="0"/>
              <w:rPr>
                <w:sz w:val="1"/>
                <w:szCs w:val="1"/>
                <w:color w:val="auto"/>
              </w:rPr>
            </w:pPr>
          </w:p>
        </w:tc>
      </w:tr>
      <w:tr>
        <w:trPr>
          <w:trHeight w:val="197"/>
        </w:trPr>
        <w:tc>
          <w:tcPr>
            <w:tcW w:w="6500" w:type="dxa"/>
            <w:vAlign w:val="bottom"/>
          </w:tcPr>
          <w:p>
            <w:pPr>
              <w:spacing w:after="0"/>
              <w:rPr>
                <w:sz w:val="20"/>
                <w:szCs w:val="20"/>
                <w:color w:val="auto"/>
              </w:rPr>
            </w:pPr>
            <w:r>
              <w:rPr>
                <w:rFonts w:ascii="Times New Roman" w:cs="Times New Roman" w:eastAsia="Times New Roman" w:hAnsi="Times New Roman"/>
                <w:sz w:val="15"/>
                <w:szCs w:val="15"/>
                <w:color w:val="auto"/>
              </w:rPr>
              <w:t>Deferred financing costs, discounts and premiums, net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w:t>
            </w:r>
          </w:p>
        </w:tc>
        <w:tc>
          <w:tcPr>
            <w:tcW w:w="0" w:type="dxa"/>
            <w:vAlign w:val="bottom"/>
          </w:tcPr>
          <w:p>
            <w:pPr>
              <w:spacing w:after="0"/>
              <w:rPr>
                <w:sz w:val="1"/>
                <w:szCs w:val="1"/>
                <w:color w:val="auto"/>
              </w:rPr>
            </w:pPr>
          </w:p>
        </w:tc>
      </w:tr>
      <w:tr>
        <w:trPr>
          <w:trHeight w:val="213"/>
        </w:trPr>
        <w:tc>
          <w:tcPr>
            <w:tcW w:w="65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debt</w:t>
            </w:r>
          </w:p>
        </w:tc>
        <w:tc>
          <w:tcPr>
            <w:tcW w:w="2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7,372.2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8,462.2</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5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Current portion</w:t>
            </w:r>
          </w:p>
        </w:tc>
        <w:tc>
          <w:tcPr>
            <w:tcW w:w="220" w:type="dxa"/>
            <w:vAlign w:val="bottom"/>
            <w:tcBorders>
              <w:top w:val="single" w:sz="8" w:color="auto"/>
              <w:bottom w:val="single" w:sz="8" w:color="auto"/>
            </w:tcBorders>
          </w:tcPr>
          <w:p>
            <w:pPr>
              <w:jc w:val="right"/>
              <w:ind w:right="43"/>
              <w:spacing w:after="0" w:line="163"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649.6</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03"/>
              <w:spacing w:after="0" w:line="163"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21.9</w:t>
            </w:r>
          </w:p>
        </w:tc>
        <w:tc>
          <w:tcPr>
            <w:tcW w:w="12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3"/>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671.5</w:t>
            </w:r>
          </w:p>
        </w:tc>
        <w:tc>
          <w:tcPr>
            <w:tcW w:w="0" w:type="dxa"/>
            <w:vAlign w:val="bottom"/>
          </w:tcPr>
          <w:p>
            <w:pPr>
              <w:spacing w:after="0"/>
              <w:rPr>
                <w:sz w:val="1"/>
                <w:szCs w:val="1"/>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Long-term portion</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6,722.6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1,054.2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7,790.7</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_______________</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5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07" w:hanging="407"/>
        <w:spacing w:after="0"/>
        <w:tabs>
          <w:tab w:leader="none" w:pos="407"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$35.3 million of debt collateralized by certain trade receivables of Formula E.</w:t>
      </w:r>
    </w:p>
    <w:p>
      <w:pPr>
        <w:spacing w:after="0" w:line="221" w:lineRule="exact"/>
        <w:rPr>
          <w:rFonts w:ascii="Times New Roman" w:cs="Times New Roman" w:eastAsia="Times New Roman" w:hAnsi="Times New Roman"/>
          <w:sz w:val="15"/>
          <w:szCs w:val="15"/>
          <w:color w:val="auto"/>
        </w:rPr>
      </w:pPr>
    </w:p>
    <w:p>
      <w:pPr>
        <w:ind w:left="407" w:hanging="407"/>
        <w:spacing w:after="0"/>
        <w:tabs>
          <w:tab w:leader="none" w:pos="407"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include vendor financing obligations of $391.0 million, all of which are classified as current on our condensed consolidated balance sheet, as set forth below:</w:t>
      </w:r>
    </w:p>
    <w:p>
      <w:pPr>
        <w:spacing w:after="0" w:line="129" w:lineRule="exact"/>
        <w:rPr>
          <w:sz w:val="20"/>
          <w:szCs w:val="20"/>
          <w:color w:val="auto"/>
        </w:rPr>
      </w:pPr>
    </w:p>
    <w:tbl>
      <w:tblPr>
        <w:tblLayout w:type="fixed"/>
        <w:tblInd w:w="407" w:type="dxa"/>
        <w:tblCellMar>
          <w:top w:w="0" w:type="dxa"/>
          <w:left w:w="0" w:type="dxa"/>
          <w:bottom w:w="0" w:type="dxa"/>
          <w:right w:w="0" w:type="dxa"/>
        </w:tblCellMar>
      </w:tblPr>
      <w:tr>
        <w:trPr>
          <w:trHeight w:val="186"/>
        </w:trPr>
        <w:tc>
          <w:tcPr>
            <w:tcW w:w="6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Telenet</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7"/>
        </w:trPr>
        <w:tc>
          <w:tcPr>
            <w:tcW w:w="6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40"/>
        </w:trPr>
        <w:tc>
          <w:tcPr>
            <w:tcW w:w="6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97"/>
        </w:trPr>
        <w:tc>
          <w:tcPr>
            <w:tcW w:w="6800" w:type="dxa"/>
            <w:vAlign w:val="bottom"/>
            <w:shd w:val="clear" w:color="auto" w:fill="CCEEFF"/>
          </w:tcPr>
          <w:p>
            <w:pPr>
              <w:jc w:val="right"/>
              <w:ind w:right="5043"/>
              <w:spacing w:after="0"/>
              <w:rPr>
                <w:sz w:val="20"/>
                <w:szCs w:val="20"/>
                <w:color w:val="auto"/>
              </w:rPr>
            </w:pPr>
            <w:r>
              <w:rPr>
                <w:rFonts w:ascii="Times New Roman" w:cs="Times New Roman" w:eastAsia="Times New Roman" w:hAnsi="Times New Roman"/>
                <w:sz w:val="15"/>
                <w:szCs w:val="15"/>
                <w:color w:val="auto"/>
              </w:rPr>
              <w:t>Year ending December 31:</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7"/>
        </w:trPr>
        <w:tc>
          <w:tcPr>
            <w:tcW w:w="6800" w:type="dxa"/>
            <w:vAlign w:val="bottom"/>
          </w:tcPr>
          <w:p>
            <w:pPr>
              <w:jc w:val="right"/>
              <w:ind w:right="5043"/>
              <w:spacing w:after="0"/>
              <w:rPr>
                <w:sz w:val="20"/>
                <w:szCs w:val="20"/>
                <w:color w:val="auto"/>
              </w:rPr>
            </w:pPr>
            <w:r>
              <w:rPr>
                <w:rFonts w:ascii="Times New Roman" w:cs="Times New Roman" w:eastAsia="Times New Roman" w:hAnsi="Times New Roman"/>
                <w:sz w:val="15"/>
                <w:szCs w:val="15"/>
                <w:color w:val="auto"/>
              </w:rPr>
              <w:t>2025 (remainder of year)</w:t>
            </w: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100.6</w:t>
            </w:r>
          </w:p>
        </w:tc>
        <w:tc>
          <w:tcPr>
            <w:tcW w:w="10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101.1</w:t>
            </w:r>
          </w:p>
        </w:tc>
      </w:tr>
      <w:tr>
        <w:trPr>
          <w:trHeight w:val="197"/>
        </w:trPr>
        <w:tc>
          <w:tcPr>
            <w:tcW w:w="6800" w:type="dxa"/>
            <w:vAlign w:val="bottom"/>
            <w:shd w:val="clear" w:color="auto" w:fill="CCEEFF"/>
          </w:tcPr>
          <w:p>
            <w:pPr>
              <w:jc w:val="right"/>
              <w:ind w:right="6283"/>
              <w:spacing w:after="0"/>
              <w:rPr>
                <w:sz w:val="20"/>
                <w:szCs w:val="20"/>
                <w:color w:val="auto"/>
              </w:rPr>
            </w:pPr>
            <w:r>
              <w:rPr>
                <w:rFonts w:ascii="Times New Roman" w:cs="Times New Roman" w:eastAsia="Times New Roman" w:hAnsi="Times New Roman"/>
                <w:sz w:val="15"/>
                <w:szCs w:val="15"/>
                <w:color w:val="auto"/>
              </w:rPr>
              <w:t>2026</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289.9</w:t>
            </w:r>
          </w:p>
        </w:tc>
      </w:tr>
      <w:tr>
        <w:trPr>
          <w:trHeight w:val="188"/>
        </w:trPr>
        <w:tc>
          <w:tcPr>
            <w:tcW w:w="6800" w:type="dxa"/>
            <w:vAlign w:val="bottom"/>
          </w:tcPr>
          <w:p>
            <w:pPr>
              <w:jc w:val="right"/>
              <w:ind w:right="4423"/>
              <w:spacing w:after="0"/>
              <w:rPr>
                <w:sz w:val="20"/>
                <w:szCs w:val="20"/>
                <w:color w:val="auto"/>
              </w:rPr>
            </w:pPr>
            <w:r>
              <w:rPr>
                <w:rFonts w:ascii="Times New Roman" w:cs="Times New Roman" w:eastAsia="Times New Roman" w:hAnsi="Times New Roman"/>
                <w:sz w:val="15"/>
                <w:szCs w:val="15"/>
                <w:color w:val="auto"/>
              </w:rPr>
              <w:t>Total vendor financing maturities</w:t>
            </w: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390.5</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391.0</w:t>
            </w:r>
          </w:p>
        </w:tc>
      </w:tr>
      <w:tr>
        <w:trPr>
          <w:trHeight w:val="20"/>
        </w:trPr>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36" w:name="page37"/>
    <w:bookmarkEnd w:id="36"/>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4"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Vendor Financing Obligations</w:t>
      </w:r>
    </w:p>
    <w:p>
      <w:pPr>
        <w:spacing w:after="0" w:line="225"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color w:val="auto"/>
        </w:rPr>
        <w:t>A reconciliation of the beginning and ending balances of our vendor financing obligations for the indicated periods is set forth below:</w:t>
      </w:r>
    </w:p>
    <w:p>
      <w:pPr>
        <w:spacing w:after="0" w:line="129"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852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7"/>
        </w:trPr>
        <w:tc>
          <w:tcPr>
            <w:tcW w:w="8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gridSpan w:val="3"/>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spacing w:after="0"/>
              <w:rPr>
                <w:sz w:val="15"/>
                <w:szCs w:val="15"/>
                <w:color w:val="auto"/>
              </w:rPr>
            </w:pPr>
          </w:p>
        </w:tc>
      </w:tr>
      <w:tr>
        <w:trPr>
          <w:trHeight w:val="140"/>
        </w:trPr>
        <w:tc>
          <w:tcPr>
            <w:tcW w:w="8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97"/>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at January 1</w:t>
            </w:r>
          </w:p>
        </w:tc>
        <w:tc>
          <w:tcPr>
            <w:tcW w:w="820" w:type="dxa"/>
            <w:vAlign w:val="bottom"/>
            <w:shd w:val="clear" w:color="auto" w:fill="CCEEFF"/>
          </w:tcPr>
          <w:p>
            <w:pPr>
              <w:jc w:val="right"/>
              <w:ind w:right="665"/>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355.9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399.1</w:t>
            </w:r>
          </w:p>
        </w:tc>
      </w:tr>
      <w:tr>
        <w:trPr>
          <w:trHeight w:val="197"/>
        </w:trPr>
        <w:tc>
          <w:tcPr>
            <w:tcW w:w="8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Operating-related vendor financing additions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291.9</w:t>
            </w:r>
          </w:p>
        </w:tc>
      </w:tr>
      <w:tr>
        <w:trPr>
          <w:trHeight w:val="197"/>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Capital-related vendor financing additions</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67.0</w:t>
            </w:r>
          </w:p>
        </w:tc>
      </w:tr>
      <w:tr>
        <w:trPr>
          <w:trHeight w:val="197"/>
        </w:trPr>
        <w:tc>
          <w:tcPr>
            <w:tcW w:w="8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Principal payments on operating-related vendor financing</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(283.2)</w:t>
            </w:r>
          </w:p>
        </w:tc>
      </w:tr>
      <w:tr>
        <w:trPr>
          <w:trHeight w:val="197"/>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Principal payments on capital-related vendor financing</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(71.0)</w:t>
            </w:r>
          </w:p>
        </w:tc>
      </w:tr>
      <w:tr>
        <w:trPr>
          <w:trHeight w:val="197"/>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Foreign currency and other</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213"/>
        </w:trPr>
        <w:tc>
          <w:tcPr>
            <w:tcW w:w="8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at September 30</w:t>
            </w:r>
          </w:p>
        </w:tc>
        <w:tc>
          <w:tcPr>
            <w:tcW w:w="820" w:type="dxa"/>
            <w:vAlign w:val="bottom"/>
            <w:tcBorders>
              <w:bottom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391.0</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407.9</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ind w:left="287" w:hanging="287"/>
        <w:spacing w:after="0"/>
        <w:tabs>
          <w:tab w:leader="none" w:pos="287" w:val="left"/>
        </w:tabs>
        <w:numPr>
          <w:ilvl w:val="0"/>
          <w:numId w:val="3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Leases</w:t>
      </w:r>
    </w:p>
    <w:p>
      <w:pPr>
        <w:spacing w:after="0" w:line="221"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General</w:t>
      </w:r>
    </w:p>
    <w:p>
      <w:pPr>
        <w:spacing w:after="0" w:line="225" w:lineRule="exact"/>
        <w:rPr>
          <w:sz w:val="20"/>
          <w:szCs w:val="20"/>
          <w:color w:val="auto"/>
        </w:rPr>
      </w:pPr>
    </w:p>
    <w:p>
      <w:pPr>
        <w:ind w:left="7" w:firstLine="278"/>
        <w:spacing w:after="0" w:line="267" w:lineRule="auto"/>
        <w:rPr>
          <w:sz w:val="20"/>
          <w:szCs w:val="20"/>
          <w:color w:val="auto"/>
        </w:rPr>
      </w:pPr>
      <w:r>
        <w:rPr>
          <w:rFonts w:ascii="Times New Roman" w:cs="Times New Roman" w:eastAsia="Times New Roman" w:hAnsi="Times New Roman"/>
          <w:sz w:val="15"/>
          <w:szCs w:val="15"/>
          <w:color w:val="auto"/>
        </w:rPr>
        <w:t>We enter into operating and finance leases for network equipment, real estate, mobile site sharing and vehicles. We provide residual value guarantees on certain of our vehicle leases.</w:t>
      </w:r>
    </w:p>
    <w:p>
      <w:pPr>
        <w:spacing w:after="0" w:line="383"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Lease Balances</w:t>
      </w:r>
    </w:p>
    <w:p>
      <w:pPr>
        <w:spacing w:after="0" w:line="221"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color w:val="auto"/>
        </w:rPr>
        <w:t>A summary of our right-of-use (</w:t>
      </w:r>
      <w:r>
        <w:rPr>
          <w:rFonts w:ascii="Times New Roman" w:cs="Times New Roman" w:eastAsia="Times New Roman" w:hAnsi="Times New Roman"/>
          <w:sz w:val="15"/>
          <w:szCs w:val="15"/>
          <w:b w:val="1"/>
          <w:bCs w:val="1"/>
          <w:color w:val="auto"/>
        </w:rPr>
        <w:t>ROU</w:t>
      </w:r>
      <w:r>
        <w:rPr>
          <w:rFonts w:ascii="Times New Roman" w:cs="Times New Roman" w:eastAsia="Times New Roman" w:hAnsi="Times New Roman"/>
          <w:sz w:val="15"/>
          <w:szCs w:val="15"/>
          <w:color w:val="auto"/>
        </w:rPr>
        <w:t>) assets and lease liabilities is set forth below:</w:t>
      </w:r>
    </w:p>
    <w:p>
      <w:pPr>
        <w:spacing w:after="0" w:line="113"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1080" w:type="dxa"/>
            <w:vAlign w:val="bottom"/>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84"/>
        </w:trPr>
        <w:tc>
          <w:tcPr>
            <w:tcW w:w="8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6"/>
        </w:trPr>
        <w:tc>
          <w:tcPr>
            <w:tcW w:w="8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15"/>
                <w:szCs w:val="15"/>
                <w:color w:val="auto"/>
              </w:rPr>
            </w:pPr>
          </w:p>
        </w:tc>
      </w:tr>
      <w:tr>
        <w:trPr>
          <w:trHeight w:val="129"/>
        </w:trPr>
        <w:tc>
          <w:tcPr>
            <w:tcW w:w="8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97"/>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ROU assets:</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7"/>
        </w:trPr>
        <w:tc>
          <w:tcPr>
            <w:tcW w:w="84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Operating leases (a)</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769.3</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710.5</w:t>
            </w:r>
          </w:p>
        </w:tc>
      </w:tr>
      <w:tr>
        <w:trPr>
          <w:trHeight w:val="197"/>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Finance leases (b)</w:t>
            </w: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38.2</w:t>
            </w:r>
          </w:p>
        </w:tc>
      </w:tr>
      <w:tr>
        <w:trPr>
          <w:trHeight w:val="188"/>
        </w:trPr>
        <w:tc>
          <w:tcPr>
            <w:tcW w:w="84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Total ROU assets</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806.7</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748.7</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5"/>
        </w:trPr>
        <w:tc>
          <w:tcPr>
            <w:tcW w:w="8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7"/>
        </w:trPr>
        <w:tc>
          <w:tcPr>
            <w:tcW w:w="8480" w:type="dxa"/>
            <w:vAlign w:val="bottom"/>
          </w:tcPr>
          <w:p>
            <w:pPr>
              <w:spacing w:after="0"/>
              <w:rPr>
                <w:sz w:val="20"/>
                <w:szCs w:val="20"/>
                <w:color w:val="auto"/>
              </w:rPr>
            </w:pPr>
            <w:r>
              <w:rPr>
                <w:rFonts w:ascii="Times New Roman" w:cs="Times New Roman" w:eastAsia="Times New Roman" w:hAnsi="Times New Roman"/>
                <w:sz w:val="15"/>
                <w:szCs w:val="15"/>
                <w:color w:val="auto"/>
              </w:rPr>
              <w:t>Lease liabilities:</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7"/>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Operating leases (c)</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822.7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753.1</w:t>
            </w:r>
          </w:p>
        </w:tc>
      </w:tr>
      <w:tr>
        <w:trPr>
          <w:trHeight w:val="197"/>
        </w:trPr>
        <w:tc>
          <w:tcPr>
            <w:tcW w:w="8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Finance leases (d)</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34.1</w:t>
            </w:r>
          </w:p>
        </w:tc>
      </w:tr>
      <w:tr>
        <w:trPr>
          <w:trHeight w:val="213"/>
        </w:trPr>
        <w:tc>
          <w:tcPr>
            <w:tcW w:w="8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lease liabilities</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856.0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787.2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_______________</w:t>
      </w:r>
    </w:p>
    <w:p>
      <w:pPr>
        <w:spacing w:after="0" w:line="221" w:lineRule="exact"/>
        <w:rPr>
          <w:sz w:val="20"/>
          <w:szCs w:val="20"/>
          <w:color w:val="auto"/>
        </w:rPr>
      </w:pPr>
    </w:p>
    <w:p>
      <w:pPr>
        <w:jc w:val="both"/>
        <w:ind w:left="407" w:right="20" w:hanging="407"/>
        <w:spacing w:after="0" w:line="276" w:lineRule="auto"/>
        <w:tabs>
          <w:tab w:leader="none" w:pos="405"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operating ROU assets are included in other assets, net, on our condensed consolidated balance sheets. At September 30, 2025, the weighted average remaining lease term for operating leases was 10.8 years and the weighted average discount rate was 5.4%. During the nine months ended September 30, 2025 and 2024, we recorded non-cash additions to our operating lease ROU assets of $29.6 million and $83.6 million, respectively.</w:t>
      </w:r>
    </w:p>
    <w:p>
      <w:pPr>
        <w:spacing w:after="0" w:line="168" w:lineRule="exact"/>
        <w:rPr>
          <w:rFonts w:ascii="Times New Roman" w:cs="Times New Roman" w:eastAsia="Times New Roman" w:hAnsi="Times New Roman"/>
          <w:sz w:val="15"/>
          <w:szCs w:val="15"/>
          <w:color w:val="auto"/>
        </w:rPr>
      </w:pPr>
    </w:p>
    <w:p>
      <w:pPr>
        <w:jc w:val="both"/>
        <w:ind w:left="407" w:right="20" w:hanging="407"/>
        <w:spacing w:after="0" w:line="276" w:lineRule="auto"/>
        <w:tabs>
          <w:tab w:leader="none" w:pos="402"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finance lease ROU assets are included in property and equipment, net, on our condensed consolidated balance sheets. At September 30, 2025, the weighted average remaining lease term for finance leases was 7.6 years and the weighted average discount rate was 8.6%. During the nine months ended September 30, 2025 and 2024, we recorded non-cash additions to our finance lease ROU assets of nil and $0.6 million, respectively.</w:t>
      </w:r>
    </w:p>
    <w:p>
      <w:pPr>
        <w:spacing w:after="0" w:line="200" w:lineRule="exact"/>
        <w:rPr>
          <w:sz w:val="20"/>
          <w:szCs w:val="20"/>
          <w:color w:val="auto"/>
        </w:rPr>
      </w:pPr>
    </w:p>
    <w:p>
      <w:pPr>
        <w:spacing w:after="0" w:line="27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37" w:name="page38"/>
    <w:bookmarkEnd w:id="37"/>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7" w:hanging="407"/>
        <w:spacing w:after="0"/>
        <w:tabs>
          <w:tab w:leader="none" w:pos="407"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current portions of our operating lease liabilities are included within other accrued and current liabilities on our condensed consolidated balance sheets.</w:t>
      </w:r>
    </w:p>
    <w:p>
      <w:pPr>
        <w:spacing w:after="0" w:line="221" w:lineRule="exact"/>
        <w:rPr>
          <w:rFonts w:ascii="Times New Roman" w:cs="Times New Roman" w:eastAsia="Times New Roman" w:hAnsi="Times New Roman"/>
          <w:sz w:val="15"/>
          <w:szCs w:val="15"/>
          <w:color w:val="auto"/>
        </w:rPr>
      </w:pPr>
    </w:p>
    <w:p>
      <w:pPr>
        <w:ind w:left="407" w:right="20" w:hanging="407"/>
        <w:spacing w:after="0" w:line="295" w:lineRule="auto"/>
        <w:tabs>
          <w:tab w:leader="none" w:pos="402"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current and long-term portions of our finance lease liabilities are included within current portion of debt and finance lease obligations and long-term debt and finance lease obligations, respectively, on our condensed consolidated balance sheets.</w:t>
      </w:r>
    </w:p>
    <w:p>
      <w:pPr>
        <w:spacing w:after="0" w:line="155"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color w:val="auto"/>
        </w:rPr>
        <w:t>A summary of our aggregate lease expense is set forth below:</w:t>
      </w:r>
    </w:p>
    <w:p>
      <w:pPr>
        <w:spacing w:after="0" w:line="109"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2060" w:type="dxa"/>
            <w:vAlign w:val="bottom"/>
            <w:gridSpan w:val="4"/>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00" w:type="dxa"/>
            <w:vAlign w:val="bottom"/>
            <w:gridSpan w:val="4"/>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4"/>
        </w:trPr>
        <w:tc>
          <w:tcPr>
            <w:tcW w:w="62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77"/>
        </w:trPr>
        <w:tc>
          <w:tcPr>
            <w:tcW w:w="62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76"/>
        </w:trPr>
        <w:tc>
          <w:tcPr>
            <w:tcW w:w="6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40"/>
        </w:trPr>
        <w:tc>
          <w:tcPr>
            <w:tcW w:w="6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97"/>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Finance lease expense:</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7"/>
        </w:trPr>
        <w:tc>
          <w:tcPr>
            <w:tcW w:w="62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760" w:type="dxa"/>
            <w:vAlign w:val="bottom"/>
          </w:tcPr>
          <w:p>
            <w:pPr>
              <w:jc w:val="right"/>
              <w:ind w:right="587"/>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tcPr>
          <w:p>
            <w:pPr>
              <w:spacing w:after="0"/>
              <w:rPr>
                <w:sz w:val="17"/>
                <w:szCs w:val="17"/>
                <w:color w:val="auto"/>
              </w:rPr>
            </w:pPr>
          </w:p>
        </w:tc>
        <w:tc>
          <w:tcPr>
            <w:tcW w:w="780" w:type="dxa"/>
            <w:vAlign w:val="bottom"/>
          </w:tcPr>
          <w:p>
            <w:pPr>
              <w:jc w:val="right"/>
              <w:ind w:right="605"/>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12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0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197"/>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Interest expense</w:t>
            </w:r>
          </w:p>
        </w:tc>
        <w:tc>
          <w:tcPr>
            <w:tcW w:w="7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1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r>
      <w:tr>
        <w:trPr>
          <w:trHeight w:val="188"/>
        </w:trPr>
        <w:tc>
          <w:tcPr>
            <w:tcW w:w="62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 finance lease expense</w:t>
            </w:r>
          </w:p>
        </w:tc>
        <w:tc>
          <w:tcPr>
            <w:tcW w:w="7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197"/>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expense (a)</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79.8</w:t>
            </w:r>
          </w:p>
        </w:tc>
      </w:tr>
      <w:tr>
        <w:trPr>
          <w:trHeight w:val="197"/>
        </w:trPr>
        <w:tc>
          <w:tcPr>
            <w:tcW w:w="6260" w:type="dxa"/>
            <w:vAlign w:val="bottom"/>
          </w:tcPr>
          <w:p>
            <w:pPr>
              <w:spacing w:after="0"/>
              <w:rPr>
                <w:sz w:val="20"/>
                <w:szCs w:val="20"/>
                <w:color w:val="auto"/>
              </w:rPr>
            </w:pPr>
            <w:r>
              <w:rPr>
                <w:rFonts w:ascii="Times New Roman" w:cs="Times New Roman" w:eastAsia="Times New Roman" w:hAnsi="Times New Roman"/>
                <w:sz w:val="15"/>
                <w:szCs w:val="15"/>
                <w:color w:val="auto"/>
              </w:rPr>
              <w:t>Short-term lease expense (a)</w:t>
            </w: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r>
      <w:tr>
        <w:trPr>
          <w:trHeight w:val="197"/>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Variable lease expense (b)</w:t>
            </w:r>
          </w:p>
        </w:tc>
        <w:tc>
          <w:tcPr>
            <w:tcW w:w="7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188"/>
        </w:trPr>
        <w:tc>
          <w:tcPr>
            <w:tcW w:w="62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Total lease expense</w:t>
            </w:r>
          </w:p>
        </w:tc>
        <w:tc>
          <w:tcPr>
            <w:tcW w:w="760" w:type="dxa"/>
            <w:vAlign w:val="bottom"/>
            <w:tcBorders>
              <w:bottom w:val="single" w:sz="8" w:color="auto"/>
            </w:tcBorders>
          </w:tcPr>
          <w:p>
            <w:pPr>
              <w:jc w:val="right"/>
              <w:ind w:right="587"/>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35.3</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605"/>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29.2</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97.4</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84.3</w:t>
            </w:r>
          </w:p>
        </w:tc>
      </w:tr>
      <w:tr>
        <w:trPr>
          <w:trHeight w:val="20"/>
        </w:trPr>
        <w:tc>
          <w:tcPr>
            <w:tcW w:w="6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_______________</w:t>
      </w:r>
    </w:p>
    <w:p>
      <w:pPr>
        <w:spacing w:after="0" w:line="221" w:lineRule="exact"/>
        <w:rPr>
          <w:sz w:val="20"/>
          <w:szCs w:val="20"/>
          <w:color w:val="auto"/>
        </w:rPr>
      </w:pPr>
    </w:p>
    <w:p>
      <w:pPr>
        <w:ind w:left="407" w:hanging="407"/>
        <w:spacing w:after="0" w:line="295" w:lineRule="auto"/>
        <w:tabs>
          <w:tab w:leader="none" w:pos="405"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operating lease expense and short-term lease expense are included in programming and other direct costs of services, other operating expenses, SG&amp;A expenses and impairment, restructuring and other operating items, net, in our condensed consolidated statements of operations.</w:t>
      </w:r>
    </w:p>
    <w:p>
      <w:pPr>
        <w:spacing w:after="0" w:line="154" w:lineRule="exact"/>
        <w:rPr>
          <w:rFonts w:ascii="Times New Roman" w:cs="Times New Roman" w:eastAsia="Times New Roman" w:hAnsi="Times New Roman"/>
          <w:sz w:val="15"/>
          <w:szCs w:val="15"/>
          <w:color w:val="auto"/>
        </w:rPr>
      </w:pPr>
    </w:p>
    <w:p>
      <w:pPr>
        <w:ind w:left="407" w:right="20" w:hanging="407"/>
        <w:spacing w:after="0" w:line="295" w:lineRule="auto"/>
        <w:tabs>
          <w:tab w:leader="none" w:pos="402"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Variable lease expense represents payments made to a lessor during the lease term that vary due to changes in circumstances that occur after the lease commencement date. Variable lease payments are expensed as incurred and are included in other operating expenses in our condensed consolidated statements of operations.</w:t>
      </w:r>
    </w:p>
    <w:p>
      <w:pPr>
        <w:spacing w:after="0" w:line="155"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color w:val="auto"/>
        </w:rPr>
        <w:t>A summary of our cash outflows from operating and finance leases is set forth below:</w:t>
      </w:r>
    </w:p>
    <w:p>
      <w:pPr>
        <w:spacing w:after="0" w:line="125"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6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81"/>
        </w:trPr>
        <w:tc>
          <w:tcPr>
            <w:tcW w:w="862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5"/>
        </w:trPr>
        <w:tc>
          <w:tcPr>
            <w:tcW w:w="8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gridSpan w:val="3"/>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5"/>
                <w:szCs w:val="15"/>
                <w:color w:val="auto"/>
              </w:rPr>
            </w:pPr>
          </w:p>
        </w:tc>
      </w:tr>
      <w:tr>
        <w:trPr>
          <w:trHeight w:val="175"/>
        </w:trPr>
        <w:tc>
          <w:tcPr>
            <w:tcW w:w="8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7"/>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paid for amounts included in the measurement of lease liabilities:</w:t>
            </w: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7"/>
        </w:trPr>
        <w:tc>
          <w:tcPr>
            <w:tcW w:w="86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Operating cash outflows from operating leases</w:t>
            </w:r>
          </w:p>
        </w:tc>
        <w:tc>
          <w:tcPr>
            <w:tcW w:w="860" w:type="dxa"/>
            <w:vAlign w:val="bottom"/>
          </w:tcPr>
          <w:p>
            <w:pPr>
              <w:jc w:val="right"/>
              <w:ind w:right="685"/>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68.1</w:t>
            </w:r>
          </w:p>
        </w:tc>
        <w:tc>
          <w:tcPr>
            <w:tcW w:w="120" w:type="dxa"/>
            <w:vAlign w:val="bottom"/>
          </w:tcPr>
          <w:p>
            <w:pPr>
              <w:spacing w:after="0"/>
              <w:rPr>
                <w:sz w:val="17"/>
                <w:szCs w:val="17"/>
                <w:color w:val="auto"/>
              </w:rPr>
            </w:pPr>
          </w:p>
        </w:tc>
        <w:tc>
          <w:tcPr>
            <w:tcW w:w="36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60.3</w:t>
            </w:r>
          </w:p>
        </w:tc>
      </w:tr>
      <w:tr>
        <w:trPr>
          <w:trHeight w:val="197"/>
        </w:trPr>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Operating cash outflows from finance leases (interest component)</w:t>
            </w: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r>
      <w:tr>
        <w:trPr>
          <w:trHeight w:val="197"/>
        </w:trPr>
        <w:tc>
          <w:tcPr>
            <w:tcW w:w="8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Financing cash outflows from finance leases (principal component)</w:t>
            </w:r>
          </w:p>
        </w:tc>
        <w:tc>
          <w:tcPr>
            <w:tcW w:w="8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213"/>
        </w:trPr>
        <w:tc>
          <w:tcPr>
            <w:tcW w:w="8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cash outflows from operating and finance leases</w:t>
            </w:r>
          </w:p>
        </w:tc>
        <w:tc>
          <w:tcPr>
            <w:tcW w:w="860" w:type="dxa"/>
            <w:vAlign w:val="bottom"/>
            <w:tcBorders>
              <w:bottom w:val="single" w:sz="8" w:color="auto"/>
            </w:tcBorders>
            <w:shd w:val="clear" w:color="auto" w:fill="CCEEFF"/>
          </w:tcPr>
          <w:p>
            <w:pPr>
              <w:jc w:val="right"/>
              <w:ind w:right="685"/>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74.8</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63.4</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38" w:name="page39"/>
    <w:bookmarkEnd w:id="38"/>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ind w:left="7" w:right="20" w:firstLine="278"/>
        <w:spacing w:after="0" w:line="295" w:lineRule="auto"/>
        <w:rPr>
          <w:sz w:val="20"/>
          <w:szCs w:val="20"/>
          <w:color w:val="auto"/>
        </w:rPr>
      </w:pPr>
      <w:r>
        <w:rPr>
          <w:rFonts w:ascii="Times New Roman" w:cs="Times New Roman" w:eastAsia="Times New Roman" w:hAnsi="Times New Roman"/>
          <w:sz w:val="15"/>
          <w:szCs w:val="15"/>
          <w:color w:val="auto"/>
        </w:rPr>
        <w:t>Maturities of our operating and finance lease liabilities as of September 30, 2025 are presented below. Amounts represent U.S. dollar equivalents based on September 30, 2025 exchange rates.</w:t>
      </w:r>
    </w:p>
    <w:p>
      <w:pPr>
        <w:spacing w:after="0" w:line="43"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8520" w:type="dxa"/>
            <w:vAlign w:val="bottom"/>
          </w:tcPr>
          <w:p>
            <w:pPr>
              <w:spacing w:after="0"/>
              <w:rPr>
                <w:sz w:val="13"/>
                <w:szCs w:val="13"/>
                <w:color w:val="auto"/>
              </w:rPr>
            </w:pP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 leases (a)</w:t>
            </w:r>
          </w:p>
        </w:tc>
        <w:tc>
          <w:tcPr>
            <w:tcW w:w="320" w:type="dxa"/>
            <w:vAlign w:val="bottom"/>
          </w:tcPr>
          <w:p>
            <w:pPr>
              <w:spacing w:after="0"/>
              <w:rPr>
                <w:sz w:val="13"/>
                <w:szCs w:val="13"/>
                <w:color w:val="auto"/>
              </w:rPr>
            </w:pPr>
          </w:p>
        </w:tc>
        <w:tc>
          <w:tcPr>
            <w:tcW w:w="100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84"/>
        </w:trPr>
        <w:tc>
          <w:tcPr>
            <w:tcW w:w="8520" w:type="dxa"/>
            <w:vAlign w:val="bottom"/>
          </w:tcPr>
          <w:p>
            <w:pPr>
              <w:spacing w:after="0"/>
              <w:rPr>
                <w:sz w:val="16"/>
                <w:szCs w:val="16"/>
                <w:color w:val="auto"/>
              </w:rPr>
            </w:pPr>
          </w:p>
        </w:tc>
        <w:tc>
          <w:tcPr>
            <w:tcW w:w="1420" w:type="dxa"/>
            <w:vAlign w:val="bottom"/>
            <w:tcBorders>
              <w:bottom w:val="single" w:sz="8" w:color="auto"/>
            </w:tcBorders>
            <w:gridSpan w:val="3"/>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176"/>
        </w:trPr>
        <w:tc>
          <w:tcPr>
            <w:tcW w:w="8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Year ending December 31:</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5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2025 (remainder of year)</w:t>
            </w:r>
          </w:p>
        </w:tc>
        <w:tc>
          <w:tcPr>
            <w:tcW w:w="44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31.8</w:t>
            </w:r>
          </w:p>
        </w:tc>
        <w:tc>
          <w:tcPr>
            <w:tcW w:w="10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0" w:type="dxa"/>
            <w:vAlign w:val="bottom"/>
          </w:tcPr>
          <w:p>
            <w:pPr>
              <w:spacing w:after="0"/>
              <w:rPr>
                <w:sz w:val="1"/>
                <w:szCs w:val="1"/>
                <w:color w:val="auto"/>
              </w:rPr>
            </w:pPr>
          </w:p>
        </w:tc>
      </w:tr>
      <w:tr>
        <w:trPr>
          <w:trHeight w:val="197"/>
        </w:trPr>
        <w:tc>
          <w:tcPr>
            <w:tcW w:w="8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2026</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0" w:type="dxa"/>
            <w:vAlign w:val="bottom"/>
          </w:tcPr>
          <w:p>
            <w:pPr>
              <w:spacing w:after="0"/>
              <w:rPr>
                <w:sz w:val="1"/>
                <w:szCs w:val="1"/>
                <w:color w:val="auto"/>
              </w:rPr>
            </w:pPr>
          </w:p>
        </w:tc>
      </w:tr>
      <w:tr>
        <w:trPr>
          <w:trHeight w:val="197"/>
        </w:trPr>
        <w:tc>
          <w:tcPr>
            <w:tcW w:w="85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2027</w:t>
            </w: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0" w:type="dxa"/>
            <w:vAlign w:val="bottom"/>
          </w:tcPr>
          <w:p>
            <w:pPr>
              <w:spacing w:after="0"/>
              <w:rPr>
                <w:sz w:val="1"/>
                <w:szCs w:val="1"/>
                <w:color w:val="auto"/>
              </w:rPr>
            </w:pPr>
          </w:p>
        </w:tc>
      </w:tr>
      <w:tr>
        <w:trPr>
          <w:trHeight w:val="197"/>
        </w:trPr>
        <w:tc>
          <w:tcPr>
            <w:tcW w:w="8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2028</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0" w:type="dxa"/>
            <w:vAlign w:val="bottom"/>
          </w:tcPr>
          <w:p>
            <w:pPr>
              <w:spacing w:after="0"/>
              <w:rPr>
                <w:sz w:val="1"/>
                <w:szCs w:val="1"/>
                <w:color w:val="auto"/>
              </w:rPr>
            </w:pPr>
          </w:p>
        </w:tc>
      </w:tr>
      <w:tr>
        <w:trPr>
          <w:trHeight w:val="197"/>
        </w:trPr>
        <w:tc>
          <w:tcPr>
            <w:tcW w:w="85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2029</w:t>
            </w: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197"/>
        </w:trPr>
        <w:tc>
          <w:tcPr>
            <w:tcW w:w="8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2030</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0" w:type="dxa"/>
            <w:vAlign w:val="bottom"/>
          </w:tcPr>
          <w:p>
            <w:pPr>
              <w:spacing w:after="0"/>
              <w:rPr>
                <w:sz w:val="1"/>
                <w:szCs w:val="1"/>
                <w:color w:val="auto"/>
              </w:rPr>
            </w:pPr>
          </w:p>
        </w:tc>
      </w:tr>
      <w:tr>
        <w:trPr>
          <w:trHeight w:val="197"/>
        </w:trPr>
        <w:tc>
          <w:tcPr>
            <w:tcW w:w="8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Thereafter</w:t>
            </w: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573.1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12.8</w:t>
            </w:r>
          </w:p>
        </w:tc>
        <w:tc>
          <w:tcPr>
            <w:tcW w:w="0" w:type="dxa"/>
            <w:vAlign w:val="bottom"/>
          </w:tcPr>
          <w:p>
            <w:pPr>
              <w:spacing w:after="0"/>
              <w:rPr>
                <w:sz w:val="1"/>
                <w:szCs w:val="1"/>
                <w:color w:val="auto"/>
              </w:rPr>
            </w:pPr>
          </w:p>
        </w:tc>
      </w:tr>
      <w:tr>
        <w:trPr>
          <w:trHeight w:val="188"/>
        </w:trPr>
        <w:tc>
          <w:tcPr>
            <w:tcW w:w="8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Total payments</w:t>
            </w: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1,091.0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42.1</w:t>
            </w:r>
          </w:p>
        </w:tc>
        <w:tc>
          <w:tcPr>
            <w:tcW w:w="0" w:type="dxa"/>
            <w:vAlign w:val="bottom"/>
          </w:tcPr>
          <w:p>
            <w:pPr>
              <w:spacing w:after="0"/>
              <w:rPr>
                <w:sz w:val="1"/>
                <w:szCs w:val="1"/>
                <w:color w:val="auto"/>
              </w:rPr>
            </w:pPr>
          </w:p>
        </w:tc>
      </w:tr>
      <w:tr>
        <w:trPr>
          <w:trHeight w:val="197"/>
        </w:trPr>
        <w:tc>
          <w:tcPr>
            <w:tcW w:w="8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Less: present value discount</w:t>
            </w: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(268.3)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0" w:type="dxa"/>
            <w:vAlign w:val="bottom"/>
          </w:tcPr>
          <w:p>
            <w:pPr>
              <w:spacing w:after="0"/>
              <w:rPr>
                <w:sz w:val="1"/>
                <w:szCs w:val="1"/>
                <w:color w:val="auto"/>
              </w:rPr>
            </w:pPr>
          </w:p>
        </w:tc>
      </w:tr>
      <w:tr>
        <w:trPr>
          <w:trHeight w:val="213"/>
        </w:trPr>
        <w:tc>
          <w:tcPr>
            <w:tcW w:w="8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Present value of lease payments</w:t>
            </w:r>
          </w:p>
        </w:tc>
        <w:tc>
          <w:tcPr>
            <w:tcW w:w="440" w:type="dxa"/>
            <w:vAlign w:val="bottom"/>
            <w:tcBorders>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822.7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Current portion</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520" w:type="dxa"/>
            <w:vAlign w:val="bottom"/>
            <w:vMerge w:val="continue"/>
          </w:tcPr>
          <w:p>
            <w:pPr>
              <w:spacing w:after="0"/>
              <w:rPr>
                <w:sz w:val="14"/>
                <w:szCs w:val="14"/>
                <w:color w:val="auto"/>
              </w:rPr>
            </w:pPr>
          </w:p>
        </w:tc>
        <w:tc>
          <w:tcPr>
            <w:tcW w:w="440" w:type="dxa"/>
            <w:vAlign w:val="bottom"/>
            <w:tcBorders>
              <w:bottom w:val="single" w:sz="8" w:color="auto"/>
            </w:tcBorders>
          </w:tcPr>
          <w:p>
            <w:pPr>
              <w:jc w:val="right"/>
              <w:ind w:right="284"/>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89.3</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3"/>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7.0</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Long-term portion</w:t>
            </w:r>
          </w:p>
        </w:tc>
        <w:tc>
          <w:tcPr>
            <w:tcW w:w="440" w:type="dxa"/>
            <w:vAlign w:val="bottom"/>
            <w:tcBorders>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733.4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______________</w:t>
      </w:r>
    </w:p>
    <w:p>
      <w:pPr>
        <w:spacing w:after="0" w:line="221" w:lineRule="exact"/>
        <w:rPr>
          <w:sz w:val="20"/>
          <w:szCs w:val="20"/>
          <w:color w:val="auto"/>
        </w:rPr>
      </w:pPr>
    </w:p>
    <w:p>
      <w:pPr>
        <w:jc w:val="both"/>
        <w:ind w:left="407" w:hanging="407"/>
        <w:spacing w:after="0" w:line="276" w:lineRule="auto"/>
        <w:tabs>
          <w:tab w:leader="none" w:pos="405"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Operating lease payments exclude $83.7 million of estimated future payments for lease commitments not yet commenced at Telenet, the majority of which are not anticipated to be due until after 2028. These payments relate to the lease back of build-to-suit sites on certain passive infrastructure and tower assets sold to DigitalBridge Investments LLC in 2022. Telenet will act as an agent over the construction of future towers on the build-to-suit sites.</w:t>
      </w:r>
    </w:p>
    <w:p>
      <w:pPr>
        <w:spacing w:after="0" w:line="165" w:lineRule="exact"/>
        <w:rPr>
          <w:sz w:val="20"/>
          <w:szCs w:val="20"/>
          <w:color w:val="auto"/>
        </w:rPr>
      </w:pPr>
    </w:p>
    <w:p>
      <w:pPr>
        <w:ind w:left="407" w:hanging="407"/>
        <w:spacing w:after="0"/>
        <w:tabs>
          <w:tab w:leader="none" w:pos="407" w:val="left"/>
        </w:tabs>
        <w:numPr>
          <w:ilvl w:val="0"/>
          <w:numId w:val="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Income Taxes</w:t>
      </w:r>
    </w:p>
    <w:p>
      <w:pPr>
        <w:spacing w:after="0" w:line="225" w:lineRule="exact"/>
        <w:rPr>
          <w:sz w:val="20"/>
          <w:szCs w:val="20"/>
          <w:color w:val="auto"/>
        </w:rPr>
      </w:pPr>
    </w:p>
    <w:p>
      <w:pPr>
        <w:jc w:val="both"/>
        <w:ind w:left="7" w:firstLine="278"/>
        <w:spacing w:after="0" w:line="267" w:lineRule="auto"/>
        <w:rPr>
          <w:sz w:val="20"/>
          <w:szCs w:val="20"/>
          <w:color w:val="auto"/>
        </w:rPr>
      </w:pPr>
      <w:r>
        <w:rPr>
          <w:rFonts w:ascii="Times New Roman" w:cs="Times New Roman" w:eastAsia="Times New Roman" w:hAnsi="Times New Roman"/>
          <w:sz w:val="15"/>
          <w:szCs w:val="15"/>
          <w:color w:val="auto"/>
        </w:rPr>
        <w:t xml:space="preserve">Liberty Global is a Bermuda exempted company limited by shares and is not considered to be a tax resident in any other jurisdiction or country. On December 27, 2023, Bermuda enacted the Corporate Income Tax Act 2023 (the </w:t>
      </w:r>
      <w:r>
        <w:rPr>
          <w:rFonts w:ascii="Times New Roman" w:cs="Times New Roman" w:eastAsia="Times New Roman" w:hAnsi="Times New Roman"/>
          <w:sz w:val="15"/>
          <w:szCs w:val="15"/>
          <w:b w:val="1"/>
          <w:bCs w:val="1"/>
          <w:color w:val="auto"/>
        </w:rPr>
        <w:t>CIT Act</w:t>
      </w:r>
      <w:r>
        <w:rPr>
          <w:rFonts w:ascii="Times New Roman" w:cs="Times New Roman" w:eastAsia="Times New Roman" w:hAnsi="Times New Roman"/>
          <w:sz w:val="15"/>
          <w:szCs w:val="15"/>
          <w:color w:val="auto"/>
        </w:rPr>
        <w:t>) which provides for the taxation of the Bermuda constituent entities of certain large multinational groups beginning on or after January 1, 2025. Prior to 2025, we used the U.K. statutory rate to compute our “expected” income tax benefit or expense, as management considered this rate to be more meaningful given that Bermuda did not impose an income tax in those periods. As the CIT Act is now in effect, we will use the Bermuda statutory rate of 15.0% to compute our expected income tax benefit or expense for 2025 and all future periods.</w:t>
      </w:r>
    </w:p>
    <w:p>
      <w:pPr>
        <w:spacing w:after="0" w:line="175" w:lineRule="exact"/>
        <w:rPr>
          <w:sz w:val="20"/>
          <w:szCs w:val="20"/>
          <w:color w:val="auto"/>
        </w:rPr>
      </w:pPr>
    </w:p>
    <w:p>
      <w:pPr>
        <w:jc w:val="both"/>
        <w:ind w:left="7" w:right="20" w:firstLine="278"/>
        <w:spacing w:after="0" w:line="267" w:lineRule="auto"/>
        <w:rPr>
          <w:sz w:val="20"/>
          <w:szCs w:val="20"/>
          <w:color w:val="auto"/>
        </w:rPr>
      </w:pPr>
      <w:r>
        <w:rPr>
          <w:rFonts w:ascii="Times New Roman" w:cs="Times New Roman" w:eastAsia="Times New Roman" w:hAnsi="Times New Roman"/>
          <w:sz w:val="15"/>
          <w:szCs w:val="15"/>
          <w:color w:val="auto"/>
        </w:rPr>
        <w:t>The effective tax rate for the three months ended September 30, 2025 was 36.0% (income tax benefit of $46.9 million), which differs from the Bermuda statutory rate of 15.0% (income tax benefit of $19.6 million). This difference is primarily due to the positive impacts of (i) a net decrease in unrecognized tax benefits of $46.4 million (35.6%) and (ii) statutory rates in certain jurisdictions in which we operate that are different than the Bermuda statutory rate, including $14.5 million (11.1%) in the U.K. The positive impacts of these items were partially offset by the negative impacts of (a) a net increase in valuation allowances in the U.K. of $23.0 million (17.7%) and (b) non-deductible net income from investments in certain subsidiaries and affiliates in the U.K. and Netherlands of $9.2 million (7.1%).</w:t>
      </w:r>
    </w:p>
    <w:p>
      <w:pPr>
        <w:spacing w:after="0" w:line="175" w:lineRule="exact"/>
        <w:rPr>
          <w:sz w:val="20"/>
          <w:szCs w:val="20"/>
          <w:color w:val="auto"/>
        </w:rPr>
      </w:pPr>
    </w:p>
    <w:p>
      <w:pPr>
        <w:jc w:val="both"/>
        <w:ind w:left="7" w:firstLine="278"/>
        <w:spacing w:after="0" w:line="267" w:lineRule="auto"/>
        <w:rPr>
          <w:sz w:val="20"/>
          <w:szCs w:val="20"/>
          <w:color w:val="auto"/>
        </w:rPr>
      </w:pPr>
      <w:r>
        <w:rPr>
          <w:rFonts w:ascii="Times New Roman" w:cs="Times New Roman" w:eastAsia="Times New Roman" w:hAnsi="Times New Roman"/>
          <w:sz w:val="15"/>
          <w:szCs w:val="15"/>
          <w:color w:val="auto"/>
        </w:rPr>
        <w:t>The effective tax rate for the nine months ended September 30, 2025 was 2.7% (income tax benefit of $116.0 million), which differs from the Bermuda statutory rate of 15.0% (income tax benefit of $644.5 million). This difference is primarily due to the negative impacts of (i) non-deductible net foreign currency exchange losses in the U.K. of $899.9 million (20.9%) and (ii) non-deductible net losses from investments in certain subsidiaries and affiliates in the U.K. and Netherlands of $122.0 million (2.8%). The negative impacts of these items were partially offset by the positive impacts of (a) statutory rates in certain jurisdictions in which we operate that are different than the Bermuda statutory rate, including $406.8 million (9.5%) in the U.K., and (b) the release of valuation allowances in Luxembourg of $86.0 million (2.0%).</w:t>
      </w:r>
    </w:p>
    <w:p>
      <w:pPr>
        <w:spacing w:after="0" w:line="200" w:lineRule="exact"/>
        <w:rPr>
          <w:sz w:val="20"/>
          <w:szCs w:val="20"/>
          <w:color w:val="auto"/>
        </w:rPr>
      </w:pPr>
    </w:p>
    <w:p>
      <w:pPr>
        <w:spacing w:after="0" w:line="27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278"/>
        <w:spacing w:after="0" w:line="276" w:lineRule="auto"/>
        <w:rPr>
          <w:sz w:val="20"/>
          <w:szCs w:val="20"/>
          <w:color w:val="auto"/>
        </w:rPr>
      </w:pPr>
      <w:r>
        <w:rPr>
          <w:rFonts w:ascii="Times New Roman" w:cs="Times New Roman" w:eastAsia="Times New Roman" w:hAnsi="Times New Roman"/>
          <w:sz w:val="15"/>
          <w:szCs w:val="15"/>
          <w:color w:val="auto"/>
        </w:rPr>
        <w:t>The effective tax rate for the three months ended September 30, 2024 was 0.8% (income tax benefit of $11.2 million), which differs from the U.K. statutory rate of 25.0% (income tax benefit of $358.7 million). This difference is primarily due to the negative impacts of (i) non-deductible net foreign currency exchange losses in the U.K. of $267.2 million (18.6%) and (ii) and non-deductible net losses from investments in the Netherlands of $62.3 million (4.3%).</w:t>
      </w:r>
    </w:p>
    <w:p>
      <w:pPr>
        <w:spacing w:after="0" w:line="169" w:lineRule="exact"/>
        <w:rPr>
          <w:sz w:val="20"/>
          <w:szCs w:val="20"/>
          <w:color w:val="auto"/>
        </w:rPr>
      </w:pPr>
    </w:p>
    <w:p>
      <w:pPr>
        <w:jc w:val="both"/>
        <w:ind w:firstLine="278"/>
        <w:spacing w:after="0" w:line="267" w:lineRule="auto"/>
        <w:rPr>
          <w:sz w:val="20"/>
          <w:szCs w:val="20"/>
          <w:color w:val="auto"/>
        </w:rPr>
      </w:pPr>
      <w:r>
        <w:rPr>
          <w:rFonts w:ascii="Times New Roman" w:cs="Times New Roman" w:eastAsia="Times New Roman" w:hAnsi="Times New Roman"/>
          <w:sz w:val="15"/>
          <w:szCs w:val="15"/>
          <w:color w:val="auto"/>
        </w:rPr>
        <w:t>The effective tax rate for the nine months ended September 30, 2024 was (14.8%) (income tax expense of $59.8 million), which differs from the U.K. statutory rate of 25.0% (income tax benefit of $101.3 million). This difference is primarily due to the negative impacts of (i) certain non-taxable or non-deductible items in the Netherlands, the U.K. and Belgium of $76.6 million (18.9%), (ii) non-deductible net losses from investments in the Netherlands of $57.2 million (14.1%) and (iii) non-deductible net foreign currency exchange losses in the U.K. of $54.3 million (13.4%). The negative impacts of these items were partially offset by the positive impact of a net decrease in valuation allowances in the U.K. and Netherlands of $41.3 million (10.2%).</w:t>
      </w:r>
    </w:p>
    <w:p>
      <w:pPr>
        <w:spacing w:after="0" w:line="171" w:lineRule="exact"/>
        <w:rPr>
          <w:sz w:val="20"/>
          <w:szCs w:val="20"/>
          <w:color w:val="auto"/>
        </w:rPr>
      </w:pPr>
    </w:p>
    <w:p>
      <w:pPr>
        <w:jc w:val="both"/>
        <w:ind w:firstLine="278"/>
        <w:spacing w:after="0" w:line="279" w:lineRule="auto"/>
        <w:rPr>
          <w:sz w:val="20"/>
          <w:szCs w:val="20"/>
          <w:color w:val="auto"/>
        </w:rPr>
      </w:pPr>
      <w:r>
        <w:rPr>
          <w:rFonts w:ascii="Times New Roman" w:cs="Times New Roman" w:eastAsia="Times New Roman" w:hAnsi="Times New Roman"/>
          <w:sz w:val="15"/>
          <w:szCs w:val="15"/>
          <w:color w:val="auto"/>
        </w:rPr>
        <w:t xml:space="preserve">On July 4, 2025, the One Big Beautiful Bill Act (the </w:t>
      </w:r>
      <w:r>
        <w:rPr>
          <w:rFonts w:ascii="Times New Roman" w:cs="Times New Roman" w:eastAsia="Times New Roman" w:hAnsi="Times New Roman"/>
          <w:sz w:val="15"/>
          <w:szCs w:val="15"/>
          <w:b w:val="1"/>
          <w:bCs w:val="1"/>
          <w:color w:val="auto"/>
        </w:rPr>
        <w:t>OBBBA</w:t>
      </w:r>
      <w:r>
        <w:rPr>
          <w:rFonts w:ascii="Times New Roman" w:cs="Times New Roman" w:eastAsia="Times New Roman" w:hAnsi="Times New Roman"/>
          <w:sz w:val="15"/>
          <w:szCs w:val="15"/>
          <w:color w:val="auto"/>
        </w:rPr>
        <w:t>) was enacted in the U.S., introducing various changes to federal tax law. We have evaluated the provisions of the OBBBA and determined that they did not have a material impact on our consolidated financial statements through September 30, 2025, nor do we currently anticipate that the OBBBA will have a material impact on our consolidated financial statements in the future.</w:t>
      </w:r>
    </w:p>
    <w:p>
      <w:pPr>
        <w:spacing w:after="0" w:line="166" w:lineRule="exact"/>
        <w:rPr>
          <w:sz w:val="20"/>
          <w:szCs w:val="20"/>
          <w:color w:val="auto"/>
        </w:rPr>
      </w:pPr>
    </w:p>
    <w:p>
      <w:pPr>
        <w:jc w:val="both"/>
        <w:ind w:firstLine="278"/>
        <w:spacing w:after="0" w:line="295" w:lineRule="auto"/>
        <w:rPr>
          <w:sz w:val="20"/>
          <w:szCs w:val="20"/>
          <w:color w:val="auto"/>
        </w:rPr>
      </w:pPr>
      <w:r>
        <w:rPr>
          <w:rFonts w:ascii="Times New Roman" w:cs="Times New Roman" w:eastAsia="Times New Roman" w:hAnsi="Times New Roman"/>
          <w:sz w:val="15"/>
          <w:szCs w:val="15"/>
          <w:color w:val="auto"/>
        </w:rPr>
        <w:t>As of September 30, 2025, our unrecognized tax benefits were $141.7 million, of which $102.7 million would have a favorable impact on our effective income tax rate if ultimately recognized, after considering amounts that we would expect to be offset by valuation allowances and other factors.</w:t>
      </w:r>
    </w:p>
    <w:p>
      <w:pPr>
        <w:spacing w:after="0" w:line="155" w:lineRule="exact"/>
        <w:rPr>
          <w:sz w:val="20"/>
          <w:szCs w:val="20"/>
          <w:color w:val="auto"/>
        </w:rPr>
      </w:pPr>
    </w:p>
    <w:p>
      <w:pPr>
        <w:jc w:val="both"/>
        <w:ind w:firstLine="278"/>
        <w:spacing w:after="0" w:line="267" w:lineRule="auto"/>
        <w:rPr>
          <w:sz w:val="20"/>
          <w:szCs w:val="20"/>
          <w:color w:val="auto"/>
        </w:rPr>
      </w:pPr>
      <w:r>
        <w:rPr>
          <w:rFonts w:ascii="Times New Roman" w:cs="Times New Roman" w:eastAsia="Times New Roman" w:hAnsi="Times New Roman"/>
          <w:sz w:val="15"/>
          <w:szCs w:val="15"/>
          <w:color w:val="auto"/>
        </w:rPr>
        <w:t>We and our subsidiaries file consolidated and standalone income tax returns in various jurisdictions. In the normal course of business, our income tax filings are subject to review by various taxing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spacing w:after="0" w:line="1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In general, tax returns filed by our company or our subsidiaries for years prior to 2019 are no longer subject to examination</w:t>
      </w:r>
    </w:p>
    <w:p>
      <w:pPr>
        <w:spacing w:after="0" w:line="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by tax authorities. Certain of our subsidiaries are currently involved in income tax examinations in various jurisdictions in which we operate, including Belgium, Luxembourg, Slovakia and the U.S. While we do not expect adjustments from the foregoing examinations to have a material impact on our consolidated financial position, results of operations or cash flows, no assurance can be given that this will be the case given the amounts involved and the complex nature of the related issues.</w:t>
      </w:r>
    </w:p>
    <w:p>
      <w:pPr>
        <w:spacing w:after="0" w:line="172" w:lineRule="exact"/>
        <w:rPr>
          <w:sz w:val="20"/>
          <w:szCs w:val="20"/>
          <w:color w:val="auto"/>
        </w:rPr>
      </w:pPr>
    </w:p>
    <w:p>
      <w:pPr>
        <w:jc w:val="both"/>
        <w:ind w:firstLine="278"/>
        <w:spacing w:after="0" w:line="266" w:lineRule="auto"/>
        <w:rPr>
          <w:sz w:val="20"/>
          <w:szCs w:val="20"/>
          <w:color w:val="auto"/>
        </w:rPr>
      </w:pPr>
      <w:r>
        <w:rPr>
          <w:rFonts w:ascii="Times New Roman" w:cs="Times New Roman" w:eastAsia="Times New Roman" w:hAnsi="Times New Roman"/>
          <w:sz w:val="15"/>
          <w:szCs w:val="15"/>
          <w:color w:val="auto"/>
        </w:rPr>
        <w:t>On October 7, 2022, the U.S. Department of Justice filed a suit against Liberty Global, Inc. (</w:t>
      </w:r>
      <w:r>
        <w:rPr>
          <w:rFonts w:ascii="Times New Roman" w:cs="Times New Roman" w:eastAsia="Times New Roman" w:hAnsi="Times New Roman"/>
          <w:sz w:val="15"/>
          <w:szCs w:val="15"/>
          <w:b w:val="1"/>
          <w:bCs w:val="1"/>
          <w:color w:val="auto"/>
        </w:rPr>
        <w:t>LGI</w:t>
      </w:r>
      <w:r>
        <w:rPr>
          <w:rFonts w:ascii="Times New Roman" w:cs="Times New Roman" w:eastAsia="Times New Roman" w:hAnsi="Times New Roman"/>
          <w:sz w:val="15"/>
          <w:szCs w:val="15"/>
          <w:color w:val="auto"/>
        </w:rPr>
        <w:t xml:space="preserve">), a wholly-owned U.S. subsidiary of Liberty Global, in the U.S. District Court of Colorado for unpaid federal income taxes and penalties for the 2018 tax year of approximately $284 million. This action by the U.S. Department of Justice is related to the November 2020 complaint filed by LGI in the U.S. District Court of Colorado seeking a refund of approximately $110 million of taxes, penalties and interest associated with the application of certain temporary treasury regulations issued in June 2019. In October 2023, the U.S. District Court of Colorado entered judgment against LGI with respect to the refund claim and we appealed this decision to the U.S. Court of Appeals for the Tenth Circuit (the </w:t>
      </w:r>
      <w:r>
        <w:rPr>
          <w:rFonts w:ascii="Times New Roman" w:cs="Times New Roman" w:eastAsia="Times New Roman" w:hAnsi="Times New Roman"/>
          <w:sz w:val="15"/>
          <w:szCs w:val="15"/>
          <w:b w:val="1"/>
          <w:bCs w:val="1"/>
          <w:color w:val="auto"/>
        </w:rPr>
        <w:t>Court of Appeals</w:t>
      </w:r>
      <w:r>
        <w:rPr>
          <w:rFonts w:ascii="Times New Roman" w:cs="Times New Roman" w:eastAsia="Times New Roman" w:hAnsi="Times New Roman"/>
          <w:sz w:val="15"/>
          <w:szCs w:val="15"/>
          <w:color w:val="auto"/>
        </w:rPr>
        <w:t>) in December 2023. No amounts have been accrued by LGI with respect to this matter. We continue to vigorously defend this matter and actively pursue our claim for refund.</w:t>
      </w:r>
    </w:p>
    <w:p>
      <w:pPr>
        <w:spacing w:after="0" w:line="177" w:lineRule="exact"/>
        <w:rPr>
          <w:sz w:val="20"/>
          <w:szCs w:val="20"/>
          <w:color w:val="auto"/>
        </w:rPr>
      </w:pPr>
    </w:p>
    <w:p>
      <w:pPr>
        <w:jc w:val="both"/>
        <w:ind w:firstLine="278"/>
        <w:spacing w:after="0" w:line="267" w:lineRule="auto"/>
        <w:rPr>
          <w:sz w:val="20"/>
          <w:szCs w:val="20"/>
          <w:color w:val="auto"/>
        </w:rPr>
      </w:pPr>
      <w:r>
        <w:rPr>
          <w:rFonts w:ascii="Times New Roman" w:cs="Times New Roman" w:eastAsia="Times New Roman" w:hAnsi="Times New Roman"/>
          <w:sz w:val="15"/>
          <w:szCs w:val="15"/>
          <w:color w:val="auto"/>
        </w:rPr>
        <w:t>In January 2021, we petitioned the U.S. Tax Court to address unresolved matters related to our 2010 tax year for which we had already recorded a liability for an unrecognized tax benefit. In November 2023, the U.S. Tax Court issued an unfavorable decision, which we subsequently appealed to the Court of Appeals. In December 2023, we made a $315 million payment for the disputed tax and estimated associated interest. While this payment reduced the liability for unrecognized tax benefits on our consolidated balance sheet, the position remained in our inventory of unrecognized tax benefits as the matter was not yet settled. In August 2025, the Court of Appeals upheld the U.S. Tax Court’s decision and we will not appeal further. As a result, we have now removed the position from our inventory of unrecognized tax benefits.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40" w:name="page41"/>
    <w:bookmarkEnd w:id="40"/>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4" w:lineRule="exact"/>
        <w:rPr>
          <w:sz w:val="20"/>
          <w:szCs w:val="20"/>
          <w:color w:val="auto"/>
        </w:rPr>
      </w:pPr>
    </w:p>
    <w:p>
      <w:pPr>
        <w:ind w:left="407" w:hanging="407"/>
        <w:spacing w:after="0"/>
        <w:tabs>
          <w:tab w:leader="none" w:pos="407" w:val="left"/>
        </w:tabs>
        <w:numPr>
          <w:ilvl w:val="0"/>
          <w:numId w:val="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Equity</w:t>
      </w:r>
    </w:p>
    <w:p>
      <w:pPr>
        <w:spacing w:after="0" w:line="221"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Share Repurchases</w:t>
      </w:r>
    </w:p>
    <w:p>
      <w:pPr>
        <w:spacing w:after="0" w:line="225" w:lineRule="exact"/>
        <w:rPr>
          <w:sz w:val="20"/>
          <w:szCs w:val="20"/>
          <w:color w:val="auto"/>
        </w:rPr>
      </w:pPr>
    </w:p>
    <w:p>
      <w:pPr>
        <w:jc w:val="both"/>
        <w:ind w:left="7" w:right="20" w:firstLine="278"/>
        <w:spacing w:after="0" w:line="295" w:lineRule="auto"/>
        <w:rPr>
          <w:sz w:val="20"/>
          <w:szCs w:val="20"/>
          <w:color w:val="auto"/>
        </w:rPr>
      </w:pPr>
      <w:r>
        <w:rPr>
          <w:rFonts w:ascii="Times New Roman" w:cs="Times New Roman" w:eastAsia="Times New Roman" w:hAnsi="Times New Roman"/>
          <w:sz w:val="15"/>
          <w:szCs w:val="15"/>
          <w:color w:val="auto"/>
        </w:rPr>
        <w:t>During the nine months ended September 30, 2025, we repurchased 14,458,853 of our Class C common shares at an average price per share of $10.98, for an aggregate purchase price of $158.8 million, including direct acquisition costs.</w:t>
      </w:r>
    </w:p>
    <w:p>
      <w:pPr>
        <w:spacing w:after="0" w:line="155" w:lineRule="exact"/>
        <w:rPr>
          <w:sz w:val="20"/>
          <w:szCs w:val="20"/>
          <w:color w:val="auto"/>
        </w:rPr>
      </w:pPr>
    </w:p>
    <w:p>
      <w:pPr>
        <w:jc w:val="both"/>
        <w:ind w:left="7" w:firstLine="278"/>
        <w:spacing w:after="0" w:line="267" w:lineRule="auto"/>
        <w:rPr>
          <w:sz w:val="20"/>
          <w:szCs w:val="20"/>
          <w:color w:val="auto"/>
        </w:rPr>
      </w:pPr>
      <w:r>
        <w:rPr>
          <w:rFonts w:ascii="Times New Roman" w:cs="Times New Roman" w:eastAsia="Times New Roman" w:hAnsi="Times New Roman"/>
          <w:sz w:val="15"/>
          <w:szCs w:val="15"/>
          <w:color w:val="auto"/>
        </w:rPr>
        <w:t>Under our current share repurchase program, we are authorized during 2025 to repurchase up to 10% of our total outstanding shares as of December 31, 2024. As of September 30, 2025, the remaining number of our Class A and/or Class C common shares that we are authorized to repurchase during 2025 was 20.4 million. Based on the average of the respective closing share prices as of September 30, 2025, this would equate to additional share repurchases during the remainder of 2025 of approximately $236.7 million. However, the actual U.S. dollar amount of our share repurchases during the remainder of 2025 will be determined by the actual transaction date share prices during the year and could differ significantly from this amount.</w:t>
      </w:r>
    </w:p>
    <w:p>
      <w:pPr>
        <w:spacing w:after="0" w:line="171" w:lineRule="exact"/>
        <w:rPr>
          <w:sz w:val="20"/>
          <w:szCs w:val="20"/>
          <w:color w:val="auto"/>
        </w:rPr>
      </w:pPr>
    </w:p>
    <w:p>
      <w:pPr>
        <w:ind w:left="407" w:hanging="407"/>
        <w:spacing w:after="0"/>
        <w:tabs>
          <w:tab w:leader="none" w:pos="407" w:val="left"/>
        </w:tabs>
        <w:numPr>
          <w:ilvl w:val="0"/>
          <w:numId w:val="3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Share-based Compensation</w:t>
      </w:r>
    </w:p>
    <w:p>
      <w:pPr>
        <w:spacing w:after="0" w:line="225" w:lineRule="exact"/>
        <w:rPr>
          <w:sz w:val="20"/>
          <w:szCs w:val="20"/>
          <w:color w:val="auto"/>
        </w:rPr>
      </w:pPr>
    </w:p>
    <w:p>
      <w:pPr>
        <w:ind w:left="7" w:firstLine="278"/>
        <w:spacing w:after="0" w:line="295" w:lineRule="auto"/>
        <w:rPr>
          <w:sz w:val="20"/>
          <w:szCs w:val="20"/>
          <w:color w:val="auto"/>
        </w:rPr>
      </w:pPr>
      <w:r>
        <w:rPr>
          <w:rFonts w:ascii="Times New Roman" w:cs="Times New Roman" w:eastAsia="Times New Roman" w:hAnsi="Times New Roman"/>
          <w:sz w:val="15"/>
          <w:szCs w:val="15"/>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43"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2080" w:type="dxa"/>
            <w:vAlign w:val="bottom"/>
            <w:gridSpan w:val="4"/>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4"/>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2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22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gridSpan w:val="3"/>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Liberty Global (a):</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Non-performance based incentive awards</w:t>
            </w:r>
          </w:p>
        </w:tc>
        <w:tc>
          <w:tcPr>
            <w:tcW w:w="760" w:type="dxa"/>
            <w:vAlign w:val="bottom"/>
          </w:tcPr>
          <w:p>
            <w:pPr>
              <w:jc w:val="right"/>
              <w:ind w:right="585"/>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100" w:type="dxa"/>
            <w:vAlign w:val="bottom"/>
          </w:tcPr>
          <w:p>
            <w:pPr>
              <w:spacing w:after="0"/>
              <w:rPr>
                <w:sz w:val="17"/>
                <w:szCs w:val="17"/>
                <w:color w:val="auto"/>
              </w:rPr>
            </w:pPr>
          </w:p>
        </w:tc>
        <w:tc>
          <w:tcPr>
            <w:tcW w:w="800" w:type="dxa"/>
            <w:vAlign w:val="bottom"/>
          </w:tcPr>
          <w:p>
            <w:pPr>
              <w:jc w:val="right"/>
              <w:ind w:right="624"/>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w:t>
            </w:r>
          </w:p>
        </w:tc>
        <w:tc>
          <w:tcPr>
            <w:tcW w:w="100" w:type="dxa"/>
            <w:vAlign w:val="bottom"/>
          </w:tcPr>
          <w:p>
            <w:pPr>
              <w:spacing w:after="0"/>
              <w:rPr>
                <w:sz w:val="17"/>
                <w:szCs w:val="17"/>
                <w:color w:val="auto"/>
              </w:rPr>
            </w:pPr>
          </w:p>
        </w:tc>
        <w:tc>
          <w:tcPr>
            <w:tcW w:w="760" w:type="dxa"/>
            <w:vAlign w:val="bottom"/>
          </w:tcPr>
          <w:p>
            <w:pPr>
              <w:jc w:val="right"/>
              <w:ind w:right="585"/>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68.1</w:t>
            </w:r>
          </w:p>
        </w:tc>
        <w:tc>
          <w:tcPr>
            <w:tcW w:w="100" w:type="dxa"/>
            <w:vAlign w:val="bottom"/>
          </w:tcPr>
          <w:p>
            <w:pPr>
              <w:spacing w:after="0"/>
              <w:rPr>
                <w:sz w:val="17"/>
                <w:szCs w:val="17"/>
                <w:color w:val="auto"/>
              </w:rPr>
            </w:pPr>
          </w:p>
        </w:tc>
        <w:tc>
          <w:tcPr>
            <w:tcW w:w="740" w:type="dxa"/>
            <w:vAlign w:val="bottom"/>
          </w:tcPr>
          <w:p>
            <w:pPr>
              <w:jc w:val="right"/>
              <w:ind w:right="584"/>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93.1</w:t>
            </w:r>
          </w:p>
        </w:tc>
        <w:tc>
          <w:tcPr>
            <w:tcW w:w="0" w:type="dxa"/>
            <w:vAlign w:val="bottom"/>
          </w:tcPr>
          <w:p>
            <w:pPr>
              <w:spacing w:after="0"/>
              <w:rPr>
                <w:sz w:val="1"/>
                <w:szCs w:val="1"/>
                <w:color w:val="auto"/>
              </w:rPr>
            </w:pPr>
          </w:p>
        </w:tc>
      </w:tr>
      <w:tr>
        <w:trPr>
          <w:trHeight w:val="197"/>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Performance-based incentive awards</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34.8</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0" w:type="dxa"/>
            <w:vAlign w:val="bottom"/>
          </w:tcPr>
          <w:p>
            <w:pPr>
              <w:spacing w:after="0"/>
              <w:rPr>
                <w:sz w:val="1"/>
                <w:szCs w:val="1"/>
                <w:color w:val="auto"/>
              </w:rPr>
            </w:pPr>
          </w:p>
        </w:tc>
      </w:tr>
      <w:tr>
        <w:trPr>
          <w:trHeight w:val="197"/>
        </w:trPr>
        <w:tc>
          <w:tcPr>
            <w:tcW w:w="6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Other (b)</w:t>
            </w:r>
          </w:p>
        </w:tc>
        <w:tc>
          <w:tcPr>
            <w:tcW w:w="7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22.6</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19.2</w:t>
            </w:r>
          </w:p>
        </w:tc>
        <w:tc>
          <w:tcPr>
            <w:tcW w:w="0" w:type="dxa"/>
            <w:vAlign w:val="bottom"/>
          </w:tcPr>
          <w:p>
            <w:pPr>
              <w:spacing w:after="0"/>
              <w:rPr>
                <w:sz w:val="1"/>
                <w:szCs w:val="1"/>
                <w:color w:val="auto"/>
              </w:rPr>
            </w:pPr>
          </w:p>
        </w:tc>
      </w:tr>
      <w:tr>
        <w:trPr>
          <w:trHeight w:val="188"/>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Total Liberty Global</w:t>
            </w:r>
          </w:p>
        </w:tc>
        <w:tc>
          <w:tcPr>
            <w:tcW w:w="7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47.0</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125.5</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124.9</w:t>
            </w:r>
          </w:p>
        </w:tc>
        <w:tc>
          <w:tcPr>
            <w:tcW w:w="0" w:type="dxa"/>
            <w:vAlign w:val="bottom"/>
          </w:tcPr>
          <w:p>
            <w:pPr>
              <w:spacing w:after="0"/>
              <w:rPr>
                <w:sz w:val="1"/>
                <w:szCs w:val="1"/>
                <w:color w:val="auto"/>
              </w:rPr>
            </w:pPr>
          </w:p>
        </w:tc>
      </w:tr>
      <w:tr>
        <w:trPr>
          <w:trHeight w:val="197"/>
        </w:trPr>
        <w:tc>
          <w:tcPr>
            <w:tcW w:w="6220" w:type="dxa"/>
            <w:vAlign w:val="bottom"/>
          </w:tcPr>
          <w:p>
            <w:pPr>
              <w:spacing w:after="0"/>
              <w:rPr>
                <w:sz w:val="20"/>
                <w:szCs w:val="20"/>
                <w:color w:val="auto"/>
              </w:rPr>
            </w:pPr>
            <w:r>
              <w:rPr>
                <w:rFonts w:ascii="Times New Roman" w:cs="Times New Roman" w:eastAsia="Times New Roman" w:hAnsi="Times New Roman"/>
                <w:sz w:val="15"/>
                <w:szCs w:val="15"/>
                <w:color w:val="auto"/>
              </w:rPr>
              <w:t>Other</w:t>
            </w:r>
          </w:p>
        </w:tc>
        <w:tc>
          <w:tcPr>
            <w:tcW w:w="76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spacing w:after="0"/>
              <w:rPr>
                <w:sz w:val="17"/>
                <w:szCs w:val="17"/>
                <w:color w:val="auto"/>
              </w:rPr>
            </w:pPr>
          </w:p>
        </w:tc>
        <w:tc>
          <w:tcPr>
            <w:tcW w:w="4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3.9</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0" w:type="dxa"/>
            <w:vAlign w:val="bottom"/>
          </w:tcPr>
          <w:p>
            <w:pPr>
              <w:spacing w:after="0"/>
              <w:rPr>
                <w:sz w:val="1"/>
                <w:szCs w:val="1"/>
                <w:color w:val="auto"/>
              </w:rPr>
            </w:pPr>
          </w:p>
        </w:tc>
      </w:tr>
      <w:tr>
        <w:trPr>
          <w:trHeight w:val="213"/>
        </w:trPr>
        <w:tc>
          <w:tcPr>
            <w:tcW w:w="62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Total</w:t>
            </w:r>
          </w:p>
        </w:tc>
        <w:tc>
          <w:tcPr>
            <w:tcW w:w="760" w:type="dxa"/>
            <w:vAlign w:val="bottom"/>
            <w:tcBorders>
              <w:top w:val="single" w:sz="8" w:color="auto"/>
              <w:bottom w:val="single" w:sz="8" w:color="auto"/>
            </w:tcBorders>
            <w:shd w:val="clear" w:color="auto" w:fill="CCEEFF"/>
          </w:tcPr>
          <w:p>
            <w:pPr>
              <w:jc w:val="right"/>
              <w:ind w:right="585"/>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24"/>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85"/>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84"/>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129.4</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Included in:</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operating expense</w:t>
            </w:r>
          </w:p>
        </w:tc>
        <w:tc>
          <w:tcPr>
            <w:tcW w:w="760" w:type="dxa"/>
            <w:vAlign w:val="bottom"/>
            <w:shd w:val="clear" w:color="auto" w:fill="CCEEFF"/>
          </w:tcPr>
          <w:p>
            <w:pPr>
              <w:jc w:val="right"/>
              <w:ind w:right="585"/>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24"/>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85"/>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9.9</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84"/>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0" w:type="dxa"/>
            <w:vAlign w:val="bottom"/>
          </w:tcPr>
          <w:p>
            <w:pPr>
              <w:spacing w:after="0"/>
              <w:rPr>
                <w:sz w:val="1"/>
                <w:szCs w:val="1"/>
                <w:color w:val="auto"/>
              </w:rPr>
            </w:pPr>
          </w:p>
        </w:tc>
      </w:tr>
      <w:tr>
        <w:trPr>
          <w:trHeight w:val="197"/>
        </w:trPr>
        <w:tc>
          <w:tcPr>
            <w:tcW w:w="6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SG&amp;A expense</w:t>
            </w:r>
          </w:p>
        </w:tc>
        <w:tc>
          <w:tcPr>
            <w:tcW w:w="7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43.1</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41.8</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119.5</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114.8</w:t>
            </w:r>
          </w:p>
        </w:tc>
        <w:tc>
          <w:tcPr>
            <w:tcW w:w="0" w:type="dxa"/>
            <w:vAlign w:val="bottom"/>
          </w:tcPr>
          <w:p>
            <w:pPr>
              <w:spacing w:after="0"/>
              <w:rPr>
                <w:sz w:val="1"/>
                <w:szCs w:val="1"/>
                <w:color w:val="auto"/>
              </w:rPr>
            </w:pPr>
          </w:p>
        </w:tc>
      </w:tr>
      <w:tr>
        <w:trPr>
          <w:trHeight w:val="213"/>
        </w:trPr>
        <w:tc>
          <w:tcPr>
            <w:tcW w:w="62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Total</w:t>
            </w:r>
          </w:p>
        </w:tc>
        <w:tc>
          <w:tcPr>
            <w:tcW w:w="760" w:type="dxa"/>
            <w:vAlign w:val="bottom"/>
            <w:tcBorders>
              <w:bottom w:val="single" w:sz="8" w:color="auto"/>
            </w:tcBorders>
            <w:shd w:val="clear" w:color="auto" w:fill="CCEEFF"/>
          </w:tcPr>
          <w:p>
            <w:pPr>
              <w:jc w:val="right"/>
              <w:ind w:right="585"/>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24"/>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47.0</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85"/>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129.4</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84"/>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129.4</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_______________</w:t>
      </w:r>
    </w:p>
    <w:p>
      <w:pPr>
        <w:spacing w:after="0" w:line="221" w:lineRule="exact"/>
        <w:rPr>
          <w:sz w:val="20"/>
          <w:szCs w:val="20"/>
          <w:color w:val="auto"/>
        </w:rPr>
      </w:pPr>
    </w:p>
    <w:p>
      <w:pPr>
        <w:ind w:left="407" w:hanging="407"/>
        <w:spacing w:after="0"/>
        <w:tabs>
          <w:tab w:leader="none" w:pos="407"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include share-based compensation expense related to certain Telenet Replacement Awards.</w:t>
      </w:r>
    </w:p>
    <w:p>
      <w:pPr>
        <w:spacing w:after="0" w:line="221" w:lineRule="exact"/>
        <w:rPr>
          <w:rFonts w:ascii="Times New Roman" w:cs="Times New Roman" w:eastAsia="Times New Roman" w:hAnsi="Times New Roman"/>
          <w:sz w:val="15"/>
          <w:szCs w:val="15"/>
          <w:color w:val="auto"/>
        </w:rPr>
      </w:pPr>
    </w:p>
    <w:p>
      <w:pPr>
        <w:jc w:val="both"/>
        <w:ind w:left="407" w:right="20" w:hanging="407"/>
        <w:spacing w:after="0" w:line="273" w:lineRule="auto"/>
        <w:tabs>
          <w:tab w:leader="none" w:pos="402"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annual incentive compensation and defined contribution plan liabilities that have been or are expected to be settled with Liberty Global common shares. In the case of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common shares of Liberty Global in lieu of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41" w:name="page42"/>
    <w:bookmarkEnd w:id="41"/>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4" w:lineRule="exact"/>
        <w:rPr>
          <w:sz w:val="20"/>
          <w:szCs w:val="20"/>
          <w:color w:val="auto"/>
        </w:rPr>
      </w:pPr>
    </w:p>
    <w:p>
      <w:pPr>
        <w:ind w:left="7" w:firstLine="278"/>
        <w:spacing w:after="0" w:line="300" w:lineRule="auto"/>
        <w:rPr>
          <w:sz w:val="20"/>
          <w:szCs w:val="20"/>
          <w:color w:val="auto"/>
        </w:rPr>
      </w:pPr>
      <w:r>
        <w:rPr>
          <w:rFonts w:ascii="Times New Roman" w:cs="Times New Roman" w:eastAsia="Times New Roman" w:hAnsi="Times New Roman"/>
          <w:sz w:val="15"/>
          <w:szCs w:val="15"/>
          <w:color w:val="auto"/>
        </w:rPr>
        <w:t>The following table provides the aggregate number of options, SARs and performance-based share appreciation rights (</w:t>
      </w:r>
      <w:r>
        <w:rPr>
          <w:rFonts w:ascii="Times New Roman" w:cs="Times New Roman" w:eastAsia="Times New Roman" w:hAnsi="Times New Roman"/>
          <w:sz w:val="15"/>
          <w:szCs w:val="15"/>
          <w:b w:val="1"/>
          <w:bCs w:val="1"/>
          <w:color w:val="auto"/>
        </w:rPr>
        <w:t>PSARs</w:t>
      </w:r>
      <w:r>
        <w:rPr>
          <w:rFonts w:ascii="Times New Roman" w:cs="Times New Roman" w:eastAsia="Times New Roman" w:hAnsi="Times New Roman"/>
          <w:sz w:val="15"/>
          <w:szCs w:val="15"/>
          <w:color w:val="auto"/>
        </w:rPr>
        <w:t>) with respect to awards issued by Liberty Global that were (i) outstanding and (ii) exercisable as of September 30, 2025:</w:t>
      </w:r>
    </w:p>
    <w:p>
      <w:pPr>
        <w:spacing w:after="0" w:line="59"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2860" w:type="dxa"/>
            <w:vAlign w:val="bottom"/>
            <w:gridSpan w:val="5"/>
          </w:tcPr>
          <w:p>
            <w:pPr>
              <w:ind w:left="11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740" w:type="dxa"/>
            <w:vAlign w:val="bottom"/>
            <w:gridSpan w:val="4"/>
          </w:tcPr>
          <w:p>
            <w:pPr>
              <w:jc w:val="right"/>
              <w:ind w:right="1084"/>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0" w:type="dxa"/>
            <w:vAlign w:val="bottom"/>
          </w:tcPr>
          <w:p>
            <w:pPr>
              <w:spacing w:after="0"/>
              <w:rPr>
                <w:sz w:val="1"/>
                <w:szCs w:val="1"/>
                <w:color w:val="auto"/>
              </w:rPr>
            </w:pPr>
          </w:p>
        </w:tc>
      </w:tr>
      <w:tr>
        <w:trPr>
          <w:trHeight w:val="133"/>
        </w:trPr>
        <w:tc>
          <w:tcPr>
            <w:tcW w:w="566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w w:val="98"/>
              </w:rPr>
              <w:t>Gross number of</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w w:val="98"/>
              </w:rPr>
              <w:t>Gross number of</w:t>
            </w: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5660" w:type="dxa"/>
            <w:vAlign w:val="bottom"/>
          </w:tcPr>
          <w:p>
            <w:pPr>
              <w:spacing w:after="0"/>
              <w:rPr>
                <w:sz w:val="12"/>
                <w:szCs w:val="12"/>
                <w:color w:val="auto"/>
              </w:rPr>
            </w:pPr>
          </w:p>
        </w:tc>
        <w:tc>
          <w:tcPr>
            <w:tcW w:w="142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4"/>
                <w:szCs w:val="14"/>
                <w:b w:val="1"/>
                <w:bCs w:val="1"/>
                <w:color w:val="auto"/>
                <w:w w:val="99"/>
              </w:rPr>
              <w:t>shares underlying</w:t>
            </w:r>
          </w:p>
        </w:tc>
        <w:tc>
          <w:tcPr>
            <w:tcW w:w="120" w:type="dxa"/>
            <w:vAlign w:val="bottom"/>
          </w:tcPr>
          <w:p>
            <w:pPr>
              <w:spacing w:after="0"/>
              <w:rPr>
                <w:sz w:val="12"/>
                <w:szCs w:val="12"/>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2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4"/>
                <w:szCs w:val="14"/>
                <w:b w:val="1"/>
                <w:bCs w:val="1"/>
                <w:color w:val="auto"/>
                <w:w w:val="99"/>
              </w:rPr>
              <w:t>shares underlying</w:t>
            </w:r>
          </w:p>
        </w:tc>
        <w:tc>
          <w:tcPr>
            <w:tcW w:w="100" w:type="dxa"/>
            <w:vAlign w:val="bottom"/>
          </w:tcPr>
          <w:p>
            <w:pPr>
              <w:spacing w:after="0"/>
              <w:rPr>
                <w:sz w:val="12"/>
                <w:szCs w:val="12"/>
                <w:color w:val="auto"/>
              </w:rPr>
            </w:pPr>
          </w:p>
        </w:tc>
        <w:tc>
          <w:tcPr>
            <w:tcW w:w="1220" w:type="dxa"/>
            <w:vAlign w:val="bottom"/>
            <w:vMerge w:val="restart"/>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w w:val="98"/>
              </w:rPr>
              <w:t>Weighted average</w:t>
            </w:r>
          </w:p>
        </w:tc>
        <w:tc>
          <w:tcPr>
            <w:tcW w:w="0" w:type="dxa"/>
            <w:vAlign w:val="bottom"/>
          </w:tcPr>
          <w:p>
            <w:pPr>
              <w:spacing w:after="0"/>
              <w:rPr>
                <w:sz w:val="1"/>
                <w:szCs w:val="1"/>
                <w:color w:val="auto"/>
              </w:rPr>
            </w:pPr>
          </w:p>
        </w:tc>
      </w:tr>
      <w:tr>
        <w:trPr>
          <w:trHeight w:val="139"/>
        </w:trPr>
        <w:tc>
          <w:tcPr>
            <w:tcW w:w="5660" w:type="dxa"/>
            <w:vAlign w:val="bottom"/>
          </w:tcPr>
          <w:p>
            <w:pPr>
              <w:spacing w:after="0"/>
              <w:rPr>
                <w:sz w:val="12"/>
                <w:szCs w:val="12"/>
                <w:color w:val="auto"/>
              </w:rPr>
            </w:pPr>
          </w:p>
        </w:tc>
        <w:tc>
          <w:tcPr>
            <w:tcW w:w="142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4"/>
                <w:szCs w:val="14"/>
                <w:b w:val="1"/>
                <w:bCs w:val="1"/>
                <w:color w:val="auto"/>
                <w:w w:val="98"/>
              </w:rPr>
              <w:t>option, SAR and</w:t>
            </w: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2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4"/>
                <w:szCs w:val="14"/>
                <w:b w:val="1"/>
                <w:bCs w:val="1"/>
                <w:color w:val="auto"/>
                <w:w w:val="98"/>
              </w:rPr>
              <w:t>option, SAR and</w:t>
            </w: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660" w:type="dxa"/>
            <w:vAlign w:val="bottom"/>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PSAR awards (a)</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exercise or base price</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PSAR awards (a)</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or base price</w:t>
            </w:r>
          </w:p>
        </w:tc>
        <w:tc>
          <w:tcPr>
            <w:tcW w:w="0" w:type="dxa"/>
            <w:vAlign w:val="bottom"/>
          </w:tcPr>
          <w:p>
            <w:pPr>
              <w:spacing w:after="0"/>
              <w:rPr>
                <w:sz w:val="1"/>
                <w:szCs w:val="1"/>
                <w:color w:val="auto"/>
              </w:rPr>
            </w:pPr>
          </w:p>
        </w:tc>
      </w:tr>
      <w:tr>
        <w:trPr>
          <w:trHeight w:val="120"/>
        </w:trPr>
        <w:tc>
          <w:tcPr>
            <w:tcW w:w="5660" w:type="dxa"/>
            <w:vAlign w:val="bottom"/>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Held by Liberty Global employees:</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6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Outstanding</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38,067,064</w:t>
            </w:r>
          </w:p>
        </w:tc>
        <w:tc>
          <w:tcPr>
            <w:tcW w:w="10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13.89</w:t>
            </w:r>
          </w:p>
        </w:tc>
        <w:tc>
          <w:tcPr>
            <w:tcW w:w="12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85,917,060</w:t>
            </w:r>
          </w:p>
        </w:tc>
        <w:tc>
          <w:tcPr>
            <w:tcW w:w="10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14.04</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Exercisable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32,727,463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14.54</w:t>
            </w: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76,033,947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14.48</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Held by former Liberty Global employees (b):</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6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Outstanding</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2,769,331</w:t>
            </w:r>
          </w:p>
        </w:tc>
        <w:tc>
          <w:tcPr>
            <w:tcW w:w="10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15.60</w:t>
            </w:r>
          </w:p>
        </w:tc>
        <w:tc>
          <w:tcPr>
            <w:tcW w:w="12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5,410,590</w:t>
            </w:r>
          </w:p>
        </w:tc>
        <w:tc>
          <w:tcPr>
            <w:tcW w:w="10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15.63</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Exercisable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2,597,480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15.93</w:t>
            </w: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5,080,285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15.91</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_______________</w:t>
      </w:r>
    </w:p>
    <w:p>
      <w:pPr>
        <w:spacing w:after="0" w:line="221" w:lineRule="exact"/>
        <w:rPr>
          <w:sz w:val="20"/>
          <w:szCs w:val="20"/>
          <w:color w:val="auto"/>
        </w:rPr>
      </w:pPr>
    </w:p>
    <w:p>
      <w:pPr>
        <w:jc w:val="both"/>
        <w:ind w:left="407" w:hanging="407"/>
        <w:spacing w:after="0" w:line="270" w:lineRule="auto"/>
        <w:tabs>
          <w:tab w:leader="none" w:pos="405"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represent the gross number of shares associated with option, SAR and PSAR awards issued to our current and former employees and our directors. Our company settles SARs and PSARs on a net basis when exercised by the award holder, whereby the number of shares issued represents the excess value of the award based on the market price of the respective Liberty Global shares at the time of exercise relative to the award’s exercise price. In addition, the number of shares issued is further reduced by the amount of the employee’s required income tax withholding.</w:t>
      </w:r>
    </w:p>
    <w:p>
      <w:pPr>
        <w:spacing w:after="0" w:line="172" w:lineRule="exact"/>
        <w:rPr>
          <w:rFonts w:ascii="Times New Roman" w:cs="Times New Roman" w:eastAsia="Times New Roman" w:hAnsi="Times New Roman"/>
          <w:sz w:val="15"/>
          <w:szCs w:val="15"/>
          <w:color w:val="auto"/>
        </w:rPr>
      </w:pPr>
    </w:p>
    <w:p>
      <w:pPr>
        <w:jc w:val="both"/>
        <w:ind w:left="407" w:hanging="407"/>
        <w:spacing w:after="0" w:line="276" w:lineRule="auto"/>
        <w:tabs>
          <w:tab w:leader="none" w:pos="402"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represent certain share-based awards that continue to be held by former employees of Liberty Global subsequent to certain spin-off or disposal transactions, or as otherwise permitted under applicable Liberty Global equity plan documents. Although future exercises of these awards by former employees will not result in the recognition of share-based compensation expense, such exercises will increase the number of our outstanding common shares.</w:t>
      </w:r>
    </w:p>
    <w:p>
      <w:pPr>
        <w:spacing w:after="0" w:line="165" w:lineRule="exact"/>
        <w:rPr>
          <w:sz w:val="20"/>
          <w:szCs w:val="20"/>
          <w:color w:val="auto"/>
        </w:rPr>
      </w:pPr>
    </w:p>
    <w:p>
      <w:pPr>
        <w:ind w:left="7" w:right="20" w:firstLine="278"/>
        <w:spacing w:after="0" w:line="300" w:lineRule="auto"/>
        <w:rPr>
          <w:sz w:val="20"/>
          <w:szCs w:val="20"/>
          <w:color w:val="auto"/>
        </w:rPr>
      </w:pPr>
      <w:r>
        <w:rPr>
          <w:rFonts w:ascii="Times New Roman" w:cs="Times New Roman" w:eastAsia="Times New Roman" w:hAnsi="Times New Roman"/>
          <w:sz w:val="15"/>
          <w:szCs w:val="15"/>
          <w:color w:val="auto"/>
        </w:rPr>
        <w:t>The following table provides the aggregate number of restricted share units (</w:t>
      </w:r>
      <w:r>
        <w:rPr>
          <w:rFonts w:ascii="Times New Roman" w:cs="Times New Roman" w:eastAsia="Times New Roman" w:hAnsi="Times New Roman"/>
          <w:sz w:val="15"/>
          <w:szCs w:val="15"/>
          <w:b w:val="1"/>
          <w:bCs w:val="1"/>
          <w:color w:val="auto"/>
        </w:rPr>
        <w:t>RSUs</w:t>
      </w:r>
      <w:r>
        <w:rPr>
          <w:rFonts w:ascii="Times New Roman" w:cs="Times New Roman" w:eastAsia="Times New Roman" w:hAnsi="Times New Roman"/>
          <w:sz w:val="15"/>
          <w:szCs w:val="15"/>
          <w:color w:val="auto"/>
        </w:rPr>
        <w:t>) and performance-based restricted share units (</w:t>
      </w:r>
      <w:r>
        <w:rPr>
          <w:rFonts w:ascii="Times New Roman" w:cs="Times New Roman" w:eastAsia="Times New Roman" w:hAnsi="Times New Roman"/>
          <w:sz w:val="15"/>
          <w:szCs w:val="15"/>
          <w:b w:val="1"/>
          <w:bCs w:val="1"/>
          <w:color w:val="auto"/>
        </w:rPr>
        <w:t>PSUs</w:t>
      </w:r>
      <w:r>
        <w:rPr>
          <w:rFonts w:ascii="Times New Roman" w:cs="Times New Roman" w:eastAsia="Times New Roman" w:hAnsi="Times New Roman"/>
          <w:sz w:val="15"/>
          <w:szCs w:val="15"/>
          <w:color w:val="auto"/>
        </w:rPr>
        <w:t>) that were outstanding as of September 30, 2025. The number of shares to be issued on the vesting date of these awards will be reduced by the amount of the employee’s required income tax withholding.</w:t>
      </w:r>
    </w:p>
    <w:p>
      <w:pPr>
        <w:spacing w:after="0" w:line="59"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8520" w:type="dxa"/>
            <w:vAlign w:val="bottom"/>
          </w:tcPr>
          <w:p>
            <w:pPr>
              <w:spacing w:after="0"/>
              <w:rPr>
                <w:sz w:val="16"/>
                <w:szCs w:val="16"/>
                <w:color w:val="auto"/>
              </w:rPr>
            </w:pP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32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0" w:type="dxa"/>
            <w:vAlign w:val="bottom"/>
          </w:tcPr>
          <w:p>
            <w:pPr>
              <w:spacing w:after="0"/>
              <w:rPr>
                <w:sz w:val="1"/>
                <w:szCs w:val="1"/>
                <w:color w:val="auto"/>
              </w:rPr>
            </w:pPr>
          </w:p>
        </w:tc>
      </w:tr>
      <w:tr>
        <w:trPr>
          <w:trHeight w:val="121"/>
        </w:trPr>
        <w:tc>
          <w:tcPr>
            <w:tcW w:w="8520" w:type="dxa"/>
            <w:vAlign w:val="bottom"/>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Held by Liberty Global employees:</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5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RSUs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3,356,053</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4,386,316</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PSUs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4,911,592</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6,722,183</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Held by former Liberty Global employees (a):</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52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8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RSUs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61,183</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110,911</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5"/>
                <w:szCs w:val="15"/>
                <w:color w:val="auto"/>
              </w:rPr>
              <w:t>PSUs</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520" w:type="dxa"/>
            <w:vAlign w:val="bottom"/>
            <w:vMerge w:val="continue"/>
          </w:tcPr>
          <w:p>
            <w:pPr>
              <w:spacing w:after="0"/>
              <w:rPr>
                <w:sz w:val="14"/>
                <w:szCs w:val="14"/>
                <w:color w:val="auto"/>
              </w:rPr>
            </w:pPr>
          </w:p>
        </w:tc>
        <w:tc>
          <w:tcPr>
            <w:tcW w:w="132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11,300</w:t>
            </w: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11,260</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_______________</w:t>
      </w:r>
    </w:p>
    <w:p>
      <w:pPr>
        <w:spacing w:after="0" w:line="221" w:lineRule="exact"/>
        <w:rPr>
          <w:sz w:val="20"/>
          <w:szCs w:val="20"/>
          <w:color w:val="auto"/>
        </w:rPr>
      </w:pPr>
    </w:p>
    <w:p>
      <w:pPr>
        <w:jc w:val="both"/>
        <w:ind w:left="407" w:right="20" w:hanging="407"/>
        <w:spacing w:after="0" w:line="276" w:lineRule="auto"/>
        <w:tabs>
          <w:tab w:leader="none" w:pos="405"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represent certain share-based awards that continue to be held by former employees of Liberty Global subsequent to certain spin-off or disposal transactions, or as otherwise permitted under applicable Liberty Global equity plan documents. The future vesting of these RSUs and PSUs will increase the number of our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42" w:name="page43"/>
    <w:bookmarkEnd w:id="42"/>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4"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2025 PSUs</w:t>
      </w:r>
    </w:p>
    <w:p>
      <w:pPr>
        <w:spacing w:after="0" w:line="221" w:lineRule="exact"/>
        <w:rPr>
          <w:sz w:val="20"/>
          <w:szCs w:val="20"/>
          <w:color w:val="auto"/>
        </w:rPr>
      </w:pPr>
    </w:p>
    <w:p>
      <w:pPr>
        <w:jc w:val="both"/>
        <w:ind w:left="7" w:firstLine="278"/>
        <w:spacing w:after="0" w:line="264" w:lineRule="auto"/>
        <w:rPr>
          <w:sz w:val="20"/>
          <w:szCs w:val="20"/>
          <w:color w:val="auto"/>
        </w:rPr>
      </w:pPr>
      <w:r>
        <w:rPr>
          <w:rFonts w:ascii="Times New Roman" w:cs="Times New Roman" w:eastAsia="Times New Roman" w:hAnsi="Times New Roman"/>
          <w:sz w:val="15"/>
          <w:szCs w:val="15"/>
          <w:color w:val="auto"/>
        </w:rPr>
        <w:t xml:space="preserve">In March 2025, the compensation committee of our board of directors approved the grant of PSUs to executive officers and certain employees (the </w:t>
      </w:r>
      <w:r>
        <w:rPr>
          <w:rFonts w:ascii="Times New Roman" w:cs="Times New Roman" w:eastAsia="Times New Roman" w:hAnsi="Times New Roman"/>
          <w:sz w:val="15"/>
          <w:szCs w:val="15"/>
          <w:b w:val="1"/>
          <w:bCs w:val="1"/>
          <w:color w:val="auto"/>
        </w:rPr>
        <w:t>2025 PSUs</w:t>
      </w:r>
      <w:r>
        <w:rPr>
          <w:rFonts w:ascii="Times New Roman" w:cs="Times New Roman" w:eastAsia="Times New Roman" w:hAnsi="Times New Roman"/>
          <w:sz w:val="15"/>
          <w:szCs w:val="15"/>
          <w:color w:val="auto"/>
        </w:rPr>
        <w:t>). The performance metric for the 2025 PSUs is the appreciation of Liberty Global’s average share price during the performance period commencing March 21, 2025 and ending December 31, 2027. The payout is determined based on the achievement of certain share price levels, as adjusted by the committee for (i) corporate transactions, including acquisitions, dispositions, spin-offs and mergers, and (ii) force majeure type events such as natural disasters, acts of war or terrorism or other unanticipated events impacting the business that are outside of our control. Share price appreciation of 0% to 80% will generally result in award recipients earning 0% to 200% of their target 2025 PSUs. In addition, 50% of the 2025 PSUs award payout may be “banked” if Liberty Global’s average share price exceeds specific target levels ranging from 30% to 50% during the performance period, subject to a cap of 75% of the target 2025 PSUs. The earned 2025 PSUs will fully vest on February 15, 2028.</w:t>
      </w:r>
    </w:p>
    <w:p>
      <w:pPr>
        <w:spacing w:after="0" w:line="177" w:lineRule="exact"/>
        <w:rPr>
          <w:sz w:val="20"/>
          <w:szCs w:val="20"/>
          <w:color w:val="auto"/>
        </w:rPr>
      </w:pPr>
    </w:p>
    <w:p>
      <w:pPr>
        <w:ind w:left="407" w:hanging="407"/>
        <w:spacing w:after="0"/>
        <w:tabs>
          <w:tab w:leader="none" w:pos="407" w:val="left"/>
        </w:tabs>
        <w:numPr>
          <w:ilvl w:val="0"/>
          <w:numId w:val="4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Loss per Share</w:t>
      </w:r>
    </w:p>
    <w:p>
      <w:pPr>
        <w:spacing w:after="0" w:line="221" w:lineRule="exact"/>
        <w:rPr>
          <w:sz w:val="20"/>
          <w:szCs w:val="20"/>
          <w:color w:val="auto"/>
        </w:rPr>
      </w:pPr>
    </w:p>
    <w:p>
      <w:pPr>
        <w:jc w:val="both"/>
        <w:ind w:left="7" w:firstLine="278"/>
        <w:spacing w:after="0" w:line="267" w:lineRule="auto"/>
        <w:rPr>
          <w:sz w:val="20"/>
          <w:szCs w:val="20"/>
          <w:color w:val="auto"/>
        </w:rPr>
      </w:pPr>
      <w:r>
        <w:rPr>
          <w:rFonts w:ascii="Times New Roman" w:cs="Times New Roman" w:eastAsia="Times New Roman" w:hAnsi="Times New Roman"/>
          <w:sz w:val="15"/>
          <w:szCs w:val="15"/>
          <w:color w:val="auto"/>
        </w:rPr>
        <w:t>Basic earnings or loss per share (</w:t>
      </w:r>
      <w:r>
        <w:rPr>
          <w:rFonts w:ascii="Times New Roman" w:cs="Times New Roman" w:eastAsia="Times New Roman" w:hAnsi="Times New Roman"/>
          <w:sz w:val="15"/>
          <w:szCs w:val="15"/>
          <w:b w:val="1"/>
          <w:bCs w:val="1"/>
          <w:color w:val="auto"/>
        </w:rPr>
        <w:t>EPS</w:t>
      </w:r>
      <w:r>
        <w:rPr>
          <w:rFonts w:ascii="Times New Roman" w:cs="Times New Roman" w:eastAsia="Times New Roman" w:hAnsi="Times New Roman"/>
          <w:sz w:val="15"/>
          <w:szCs w:val="15"/>
          <w:color w:val="auto"/>
        </w:rPr>
        <w:t>) is computed by dividing net earnings or loss attributable to Liberty Global shareholders by the weighted average number of shares outstanding for the period. Diluted EPS, as calculated under the treasury stock method, presents the dilutive effect, if any, on a per share basis of potential shares from share-based incentive awards as if they had been exercised, vested or converted at the beginning of the periods presented. Certain of our share incentive plans include performance and/or other features that result in the associated shares being contingently issuable. For purposes of applying the treasury stock method, the dilutive effect of these awards is calculated based on the number of the shares that would be issuable as if the end of the reporting period was the end of the contingency period. For additional information regarding our share-based incentive awards, see note 13.</w:t>
      </w:r>
    </w:p>
    <w:p>
      <w:pPr>
        <w:spacing w:after="0" w:line="364"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color w:val="auto"/>
        </w:rPr>
        <w:t>The details of our net loss from continuing operations attributable to Liberty Global shareholders are set forth below:</w:t>
      </w:r>
    </w:p>
    <w:p>
      <w:pPr>
        <w:spacing w:after="0" w:line="109"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4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460" w:type="dxa"/>
            <w:vAlign w:val="bottom"/>
            <w:gridSpan w:val="4"/>
          </w:tcPr>
          <w:p>
            <w:pPr>
              <w:jc w:val="right"/>
              <w:ind w:right="72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4"/>
        </w:trPr>
        <w:tc>
          <w:tcPr>
            <w:tcW w:w="5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6"/>
        </w:trPr>
        <w:tc>
          <w:tcPr>
            <w:tcW w:w="5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 millions, except share amounts</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from continuing operations</w:t>
            </w:r>
          </w:p>
        </w:tc>
        <w:tc>
          <w:tcPr>
            <w:tcW w:w="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(1,423.7)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(4,180.5)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(465.1)</w:t>
            </w:r>
          </w:p>
        </w:tc>
        <w:tc>
          <w:tcPr>
            <w:tcW w:w="0" w:type="dxa"/>
            <w:vAlign w:val="bottom"/>
          </w:tcPr>
          <w:p>
            <w:pPr>
              <w:spacing w:after="0"/>
              <w:rPr>
                <w:sz w:val="1"/>
                <w:szCs w:val="1"/>
                <w:color w:val="auto"/>
              </w:rPr>
            </w:pPr>
          </w:p>
        </w:tc>
      </w:tr>
      <w:tr>
        <w:trPr>
          <w:trHeight w:val="197"/>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Net earnings from continuing operations attributable to noncontrolling interests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(47.3)</w:t>
            </w:r>
          </w:p>
        </w:tc>
        <w:tc>
          <w:tcPr>
            <w:tcW w:w="0" w:type="dxa"/>
            <w:vAlign w:val="bottom"/>
          </w:tcPr>
          <w:p>
            <w:pPr>
              <w:spacing w:after="0"/>
              <w:rPr>
                <w:sz w:val="1"/>
                <w:szCs w:val="1"/>
                <w:color w:val="auto"/>
              </w:rPr>
            </w:pPr>
          </w:p>
        </w:tc>
      </w:tr>
      <w:tr>
        <w:trPr>
          <w:trHeight w:val="213"/>
        </w:trPr>
        <w:tc>
          <w:tcPr>
            <w:tcW w:w="5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loss from continuing operations attributable to Liberty Global shareholders</w:t>
            </w: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(90.7)</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(1,446.9)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(4,220.9)</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(512.4)</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common shares outstanding (basic and diluted EPS computation)</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339,726,508</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363,156,702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344,354,828</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370,673,984</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Excluded potentially dilutive employee share-based incentive awards (a)</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153,333,863</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102,059,429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153,333,863</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102,059,429</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_______________</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407" w:hanging="407"/>
        <w:spacing w:after="0" w:line="276" w:lineRule="auto"/>
        <w:tabs>
          <w:tab w:leader="none" w:pos="405"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represent potentially dilutive shares that have been excluded from the computation of diluted loss from continuing operations attributable to Liberty Global shareholders because their effect would have been anti-dilutive under the treasury stock method. Additional shares may be issuable in future periods based on the actual performance of certain PSUs, because such awards had not yet met the applicable performance criteria during the reporting period.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43" w:name="page44"/>
    <w:bookmarkEnd w:id="43"/>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4" w:lineRule="exact"/>
        <w:rPr>
          <w:sz w:val="20"/>
          <w:szCs w:val="20"/>
          <w:color w:val="auto"/>
        </w:rPr>
      </w:pPr>
    </w:p>
    <w:p>
      <w:pPr>
        <w:ind w:left="407" w:hanging="407"/>
        <w:spacing w:after="0"/>
        <w:tabs>
          <w:tab w:leader="none" w:pos="407" w:val="left"/>
        </w:tabs>
        <w:numPr>
          <w:ilvl w:val="0"/>
          <w:numId w:val="4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Commitments and Contingencies</w:t>
      </w:r>
    </w:p>
    <w:p>
      <w:pPr>
        <w:spacing w:after="0" w:line="221"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Commitments</w:t>
      </w:r>
    </w:p>
    <w:p>
      <w:pPr>
        <w:spacing w:after="0" w:line="225" w:lineRule="exact"/>
        <w:rPr>
          <w:sz w:val="20"/>
          <w:szCs w:val="20"/>
          <w:color w:val="auto"/>
        </w:rPr>
      </w:pPr>
    </w:p>
    <w:p>
      <w:pPr>
        <w:jc w:val="both"/>
        <w:ind w:left="7" w:firstLine="278"/>
        <w:spacing w:after="0" w:line="273" w:lineRule="auto"/>
        <w:rPr>
          <w:sz w:val="20"/>
          <w:szCs w:val="20"/>
          <w:color w:val="auto"/>
        </w:rPr>
      </w:pPr>
      <w:r>
        <w:rPr>
          <w:rFonts w:ascii="Times New Roman" w:cs="Times New Roman" w:eastAsia="Times New Roman" w:hAnsi="Times New Roman"/>
          <w:sz w:val="15"/>
          <w:szCs w:val="15"/>
          <w:color w:val="auto"/>
        </w:rPr>
        <w:t>In the normal course of business, we enter into agreements that commit our company to make cash payments in future periods with respect to purchases of CPE and other equipment and services, programming contracts, network and connectivity commitments and other items. The following table sets forth the U.S. dollar equivalents of such commitments as of September 30, 2025. The commitments included in this table do not reflect any liabilities that are included on our September 30, 2025 condensed consolidated balance sheet.</w:t>
      </w:r>
    </w:p>
    <w:p>
      <w:pPr>
        <w:spacing w:after="0" w:line="268"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Payments due during:</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200" w:type="dxa"/>
            <w:vAlign w:val="bottom"/>
          </w:tcPr>
          <w:p>
            <w:pPr>
              <w:spacing w:after="0"/>
              <w:rPr>
                <w:sz w:val="15"/>
                <w:szCs w:val="15"/>
                <w:color w:val="auto"/>
              </w:rPr>
            </w:pPr>
          </w:p>
        </w:tc>
        <w:tc>
          <w:tcPr>
            <w:tcW w:w="720" w:type="dxa"/>
            <w:vAlign w:val="bottom"/>
            <w:vMerge w:val="restart"/>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restart"/>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restart"/>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60" w:type="dxa"/>
            <w:vAlign w:val="bottom"/>
          </w:tcPr>
          <w:p>
            <w:pPr>
              <w:spacing w:after="0"/>
              <w:rPr>
                <w:sz w:val="15"/>
                <w:szCs w:val="15"/>
                <w:color w:val="auto"/>
              </w:rPr>
            </w:pPr>
          </w:p>
        </w:tc>
        <w:tc>
          <w:tcPr>
            <w:tcW w:w="860" w:type="dxa"/>
            <w:vAlign w:val="bottom"/>
            <w:vMerge w:val="restart"/>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Purchase commitments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242.8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658.5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522.3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2,138.9</w:t>
            </w:r>
          </w:p>
        </w:tc>
        <w:tc>
          <w:tcPr>
            <w:tcW w:w="0" w:type="dxa"/>
            <w:vAlign w:val="bottom"/>
          </w:tcPr>
          <w:p>
            <w:pPr>
              <w:spacing w:after="0"/>
              <w:rPr>
                <w:sz w:val="1"/>
                <w:szCs w:val="1"/>
                <w:color w:val="auto"/>
              </w:rPr>
            </w:pPr>
          </w:p>
        </w:tc>
      </w:tr>
      <w:tr>
        <w:trPr>
          <w:trHeight w:val="197"/>
        </w:trPr>
        <w:tc>
          <w:tcPr>
            <w:tcW w:w="2660" w:type="dxa"/>
            <w:vAlign w:val="bottom"/>
          </w:tcPr>
          <w:p>
            <w:pPr>
              <w:spacing w:after="0"/>
              <w:rPr>
                <w:sz w:val="20"/>
                <w:szCs w:val="20"/>
                <w:color w:val="auto"/>
              </w:rPr>
            </w:pPr>
            <w:r>
              <w:rPr>
                <w:rFonts w:ascii="Times New Roman" w:cs="Times New Roman" w:eastAsia="Times New Roman" w:hAnsi="Times New Roman"/>
                <w:sz w:val="15"/>
                <w:szCs w:val="15"/>
                <w:color w:val="auto"/>
              </w:rPr>
              <w:t>Programming commitments</w:t>
            </w:r>
          </w:p>
        </w:tc>
        <w:tc>
          <w:tcPr>
            <w:tcW w:w="120" w:type="dxa"/>
            <w:vAlign w:val="bottom"/>
          </w:tcPr>
          <w:p>
            <w:pPr>
              <w:spacing w:after="0"/>
              <w:rPr>
                <w:sz w:val="17"/>
                <w:szCs w:val="17"/>
                <w:color w:val="auto"/>
              </w:rPr>
            </w:pP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129.0</w:t>
            </w:r>
          </w:p>
        </w:tc>
        <w:tc>
          <w:tcPr>
            <w:tcW w:w="0" w:type="dxa"/>
            <w:vAlign w:val="bottom"/>
          </w:tcPr>
          <w:p>
            <w:pPr>
              <w:spacing w:after="0"/>
              <w:rPr>
                <w:sz w:val="1"/>
                <w:szCs w:val="1"/>
                <w:color w:val="auto"/>
              </w:rPr>
            </w:pPr>
          </w:p>
        </w:tc>
      </w:tr>
      <w:tr>
        <w:trPr>
          <w:trHeight w:val="197"/>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Network and connectivity commitments</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67.4</w:t>
            </w:r>
          </w:p>
        </w:tc>
        <w:tc>
          <w:tcPr>
            <w:tcW w:w="0" w:type="dxa"/>
            <w:vAlign w:val="bottom"/>
          </w:tcPr>
          <w:p>
            <w:pPr>
              <w:spacing w:after="0"/>
              <w:rPr>
                <w:sz w:val="1"/>
                <w:szCs w:val="1"/>
                <w:color w:val="auto"/>
              </w:rPr>
            </w:pPr>
          </w:p>
        </w:tc>
      </w:tr>
      <w:tr>
        <w:trPr>
          <w:trHeight w:val="197"/>
        </w:trPr>
        <w:tc>
          <w:tcPr>
            <w:tcW w:w="2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 commitments</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250.3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213.9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532.5</w:t>
            </w:r>
          </w:p>
        </w:tc>
        <w:tc>
          <w:tcPr>
            <w:tcW w:w="0" w:type="dxa"/>
            <w:vAlign w:val="bottom"/>
          </w:tcPr>
          <w:p>
            <w:pPr>
              <w:spacing w:after="0"/>
              <w:rPr>
                <w:sz w:val="1"/>
                <w:szCs w:val="1"/>
                <w:color w:val="auto"/>
              </w:rPr>
            </w:pPr>
          </w:p>
        </w:tc>
      </w:tr>
      <w:tr>
        <w:trPr>
          <w:trHeight w:val="213"/>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540.3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973.6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629.0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555.9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2,867.8</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jc w:val="both"/>
        <w:ind w:left="7" w:right="20" w:firstLine="278"/>
        <w:spacing w:after="0" w:line="295" w:lineRule="auto"/>
        <w:rPr>
          <w:sz w:val="20"/>
          <w:szCs w:val="20"/>
          <w:color w:val="auto"/>
        </w:rPr>
      </w:pPr>
      <w:r>
        <w:rPr>
          <w:rFonts w:ascii="Times New Roman" w:cs="Times New Roman" w:eastAsia="Times New Roman" w:hAnsi="Times New Roman"/>
          <w:sz w:val="15"/>
          <w:szCs w:val="15"/>
          <w:color w:val="auto"/>
        </w:rPr>
        <w:t>Purchase commitments include unconditional and legally binding obligations related to (i) certain service-related commitments, including software development, information technology, maintenance and call center services and (ii) the purchase of CPE.</w:t>
      </w:r>
    </w:p>
    <w:p>
      <w:pPr>
        <w:spacing w:after="0" w:line="155" w:lineRule="exact"/>
        <w:rPr>
          <w:sz w:val="20"/>
          <w:szCs w:val="20"/>
          <w:color w:val="auto"/>
        </w:rPr>
      </w:pPr>
    </w:p>
    <w:p>
      <w:pPr>
        <w:jc w:val="both"/>
        <w:ind w:left="7" w:firstLine="278"/>
        <w:spacing w:after="0" w:line="263" w:lineRule="auto"/>
        <w:rPr>
          <w:sz w:val="20"/>
          <w:szCs w:val="20"/>
          <w:color w:val="auto"/>
        </w:rPr>
      </w:pPr>
      <w:r>
        <w:rPr>
          <w:rFonts w:ascii="Times New Roman" w:cs="Times New Roman" w:eastAsia="Times New Roman" w:hAnsi="Times New Roman"/>
          <w:sz w:val="15"/>
          <w:szCs w:val="15"/>
          <w:color w:val="auto"/>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this will continue to be the case in future periods. In this regard, our total programming and copyright costs aggregated $415.6 million and $406.7 million during the nine months ended September 30, 2025 and 2024, respectively.</w:t>
      </w:r>
    </w:p>
    <w:p>
      <w:pPr>
        <w:spacing w:after="0" w:line="182"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color w:val="auto"/>
        </w:rPr>
        <w:t>Network and connectivity commitments include certain equipment and service-related commitments at Telenet.</w:t>
      </w:r>
    </w:p>
    <w:p>
      <w:pPr>
        <w:spacing w:after="0" w:line="221"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color w:val="auto"/>
        </w:rPr>
        <w:t>Other commitments include (i) our share of the funding commitment associated with the nexfibre JV and (ii) race management commitments associated with Formula E.</w:t>
      </w:r>
    </w:p>
    <w:p>
      <w:pPr>
        <w:spacing w:after="0" w:line="221" w:lineRule="exact"/>
        <w:rPr>
          <w:sz w:val="20"/>
          <w:szCs w:val="20"/>
          <w:color w:val="auto"/>
        </w:rPr>
      </w:pPr>
    </w:p>
    <w:p>
      <w:pPr>
        <w:jc w:val="both"/>
        <w:ind w:left="7" w:firstLine="278"/>
        <w:spacing w:after="0" w:line="276" w:lineRule="auto"/>
        <w:rPr>
          <w:sz w:val="20"/>
          <w:szCs w:val="20"/>
          <w:color w:val="auto"/>
        </w:rPr>
      </w:pPr>
      <w:r>
        <w:rPr>
          <w:rFonts w:ascii="Times New Roman" w:cs="Times New Roman" w:eastAsia="Times New Roman" w:hAnsi="Times New Roman"/>
          <w:sz w:val="15"/>
          <w:szCs w:val="15"/>
          <w:color w:val="auto"/>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see note 6.</w:t>
      </w:r>
    </w:p>
    <w:p>
      <w:pPr>
        <w:spacing w:after="0" w:line="169" w:lineRule="exact"/>
        <w:rPr>
          <w:sz w:val="20"/>
          <w:szCs w:val="20"/>
          <w:color w:val="auto"/>
        </w:rPr>
      </w:pPr>
    </w:p>
    <w:p>
      <w:pPr>
        <w:jc w:val="both"/>
        <w:ind w:left="7" w:firstLine="278"/>
        <w:spacing w:after="0" w:line="276" w:lineRule="auto"/>
        <w:rPr>
          <w:sz w:val="20"/>
          <w:szCs w:val="20"/>
          <w:color w:val="auto"/>
        </w:rPr>
      </w:pPr>
      <w:r>
        <w:rPr>
          <w:rFonts w:ascii="Times New Roman" w:cs="Times New Roman" w:eastAsia="Times New Roman" w:hAnsi="Times New Roman"/>
          <w:sz w:val="15"/>
          <w:szCs w:val="15"/>
          <w:color w:val="auto"/>
        </w:rPr>
        <w:t>We also have commitments pursuant to agreements with, and obligations imposed by, franchise authorities and municipalities, which may include obligations in certain markets to move aerial cable to underground ducts or to upgrade, rebuild or extend portions of our broadband communication systems. Such amounts are not included in the above table because they are not fixed or determinable.</w:t>
      </w:r>
    </w:p>
    <w:p>
      <w:pPr>
        <w:spacing w:after="0" w:line="169" w:lineRule="exact"/>
        <w:rPr>
          <w:sz w:val="20"/>
          <w:szCs w:val="20"/>
          <w:color w:val="auto"/>
        </w:rPr>
      </w:pPr>
    </w:p>
    <w:p>
      <w:pPr>
        <w:jc w:val="both"/>
        <w:ind w:left="7" w:firstLine="278"/>
        <w:spacing w:after="0" w:line="295" w:lineRule="auto"/>
        <w:rPr>
          <w:sz w:val="20"/>
          <w:szCs w:val="20"/>
          <w:color w:val="auto"/>
        </w:rPr>
      </w:pPr>
      <w:r>
        <w:rPr>
          <w:rFonts w:ascii="Times New Roman" w:cs="Times New Roman" w:eastAsia="Times New Roman" w:hAnsi="Times New Roman"/>
          <w:sz w:val="15"/>
          <w:szCs w:val="15"/>
          <w:color w:val="auto"/>
        </w:rPr>
        <w:t>Furthermore, in connection with a future sale of our interest in, or an initial public offering of, Formula E, we have agreed to pay a third party a portion of our economic gain. We estimate that this contingent obligation is not currently significant.</w:t>
      </w:r>
    </w:p>
    <w:p>
      <w:pPr>
        <w:spacing w:after="0" w:line="200" w:lineRule="exact"/>
        <w:rPr>
          <w:sz w:val="20"/>
          <w:szCs w:val="20"/>
          <w:color w:val="auto"/>
        </w:rPr>
      </w:pPr>
    </w:p>
    <w:p>
      <w:pPr>
        <w:spacing w:after="0" w:line="25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i w:val="1"/>
          <w:iCs w:val="1"/>
          <w:color w:val="auto"/>
        </w:rPr>
        <w:t>Guarantees and Other Credit Enhancements</w:t>
      </w:r>
    </w:p>
    <w:p>
      <w:pPr>
        <w:spacing w:after="0" w:line="225" w:lineRule="exact"/>
        <w:rPr>
          <w:sz w:val="20"/>
          <w:szCs w:val="20"/>
          <w:color w:val="auto"/>
        </w:rPr>
      </w:pPr>
    </w:p>
    <w:p>
      <w:pPr>
        <w:jc w:val="both"/>
        <w:ind w:right="20" w:firstLine="278"/>
        <w:spacing w:after="0" w:line="276" w:lineRule="auto"/>
        <w:rPr>
          <w:sz w:val="20"/>
          <w:szCs w:val="20"/>
          <w:color w:val="auto"/>
        </w:rPr>
      </w:pPr>
      <w:r>
        <w:rPr>
          <w:rFonts w:ascii="Times New Roman" w:cs="Times New Roman" w:eastAsia="Times New Roman" w:hAnsi="Times New Roman"/>
          <w:sz w:val="15"/>
          <w:szCs w:val="15"/>
          <w:color w:val="auto"/>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spacing w:after="0" w:line="1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i w:val="1"/>
          <w:iCs w:val="1"/>
          <w:color w:val="auto"/>
        </w:rPr>
        <w:t>Legal and Regulatory Proceedings and Other Contingencies</w:t>
      </w:r>
    </w:p>
    <w:p>
      <w:pPr>
        <w:spacing w:after="0" w:line="221" w:lineRule="exact"/>
        <w:rPr>
          <w:sz w:val="20"/>
          <w:szCs w:val="20"/>
          <w:color w:val="auto"/>
        </w:rPr>
      </w:pPr>
    </w:p>
    <w:p>
      <w:pPr>
        <w:jc w:val="both"/>
        <w:ind w:firstLine="278"/>
        <w:spacing w:after="0" w:line="260" w:lineRule="auto"/>
        <w:rPr>
          <w:sz w:val="20"/>
          <w:szCs w:val="20"/>
          <w:color w:val="auto"/>
        </w:rPr>
      </w:pPr>
      <w:r>
        <w:rPr>
          <w:rFonts w:ascii="Times New Roman" w:cs="Times New Roman" w:eastAsia="Times New Roman" w:hAnsi="Times New Roman"/>
          <w:sz w:val="15"/>
          <w:szCs w:val="15"/>
          <w:i w:val="1"/>
          <w:iCs w:val="1"/>
          <w:color w:val="auto"/>
        </w:rPr>
        <w:t xml:space="preserve">Interkabel Acquisition. </w:t>
      </w:r>
      <w:r>
        <w:rPr>
          <w:rFonts w:ascii="Times New Roman" w:cs="Times New Roman" w:eastAsia="Times New Roman" w:hAnsi="Times New Roman"/>
          <w:sz w:val="15"/>
          <w:szCs w:val="15"/>
          <w:color w:val="auto"/>
        </w:rPr>
        <w:t>On November 26, 2007, Telenet and four associations of municipalities in Belgium, which we refer to as the pure intercommunales or the “</w:t>
      </w:r>
      <w:r>
        <w:rPr>
          <w:rFonts w:ascii="Times New Roman" w:cs="Times New Roman" w:eastAsia="Times New Roman" w:hAnsi="Times New Roman"/>
          <w:sz w:val="15"/>
          <w:szCs w:val="15"/>
          <w:b w:val="1"/>
          <w:bCs w:val="1"/>
          <w:color w:val="auto"/>
        </w:rPr>
        <w:t>PICs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announced a non-binding agreement-in-principle to transfer the analog and digital television activities of the PICs, including all existing subscribers, to Telenet. Subsequently, Telenet and the PICs entered into a binding agreement (the </w:t>
      </w:r>
      <w:r>
        <w:rPr>
          <w:rFonts w:ascii="Times New Roman" w:cs="Times New Roman" w:eastAsia="Times New Roman" w:hAnsi="Times New Roman"/>
          <w:sz w:val="15"/>
          <w:szCs w:val="15"/>
          <w:b w:val="1"/>
          <w:bCs w:val="1"/>
          <w:color w:val="auto"/>
        </w:rPr>
        <w:t>2008 PICs Agreement</w:t>
      </w:r>
      <w:r>
        <w:rPr>
          <w:rFonts w:ascii="Times New Roman" w:cs="Times New Roman" w:eastAsia="Times New Roman" w:hAnsi="Times New Roman"/>
          <w:sz w:val="15"/>
          <w:szCs w:val="15"/>
          <w:color w:val="auto"/>
        </w:rPr>
        <w:t>), which closed effective October 1, 2008. Beginning in December 2007, Proximus NV/SA (</w:t>
      </w:r>
      <w:r>
        <w:rPr>
          <w:rFonts w:ascii="Times New Roman" w:cs="Times New Roman" w:eastAsia="Times New Roman" w:hAnsi="Times New Roman"/>
          <w:sz w:val="15"/>
          <w:szCs w:val="15"/>
          <w:b w:val="1"/>
          <w:bCs w:val="1"/>
          <w:color w:val="auto"/>
        </w:rPr>
        <w:t>Proximus</w:t>
      </w:r>
      <w:r>
        <w:rPr>
          <w:rFonts w:ascii="Times New Roman" w:cs="Times New Roman" w:eastAsia="Times New Roman" w:hAnsi="Times New Roman"/>
          <w:sz w:val="15"/>
          <w:szCs w:val="15"/>
          <w:color w:val="auto"/>
        </w:rPr>
        <w:t>), the incumbent telecommunications 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an appeal judgment before the Belgian Supreme Court, which confirmed the appeal judgment in September 2010. On April 6, 2009, the Court of First Instance of Antwerp ruled in favor of the PICs and Telenet in the civil procedure on the merits, dismissing Proximus’ request for the rescission of the agreement-in-principle and the 2008 PICs Agreement. On June 12, 2009, Proximus appealed this judgment to the Court of Appeal of Antwerp. In this appeal, Proximus also sought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 ($1.6 billion). On December 18, 2017, the Court of Appeal of Antwerp rejected Proximus’ claim in its entirety. On June 28, 2019, Proximus brought this appeal judgment before the Belgian Supreme Court. On January 22, 2021, the Belgian Supreme Court partially annulled the judgment of the Court of Appeal of Antwerp. The case was referred to the Court of Appeal of Brussels and is currently pending with this Court which will need to make a new decision on the matter within the boundaries of the annulment by the Belgian Supreme Court. It is likely that it will take the Court of Appeal of Brussels several years to decide on the matter.</w:t>
      </w:r>
    </w:p>
    <w:p>
      <w:pPr>
        <w:spacing w:after="0" w:line="371" w:lineRule="exact"/>
        <w:rPr>
          <w:sz w:val="20"/>
          <w:szCs w:val="20"/>
          <w:color w:val="auto"/>
        </w:rPr>
      </w:pPr>
    </w:p>
    <w:p>
      <w:pPr>
        <w:jc w:val="both"/>
        <w:ind w:firstLine="278"/>
        <w:spacing w:after="0" w:line="276" w:lineRule="auto"/>
        <w:rPr>
          <w:sz w:val="20"/>
          <w:szCs w:val="20"/>
          <w:color w:val="auto"/>
        </w:rPr>
      </w:pPr>
      <w:r>
        <w:rPr>
          <w:rFonts w:ascii="Times New Roman" w:cs="Times New Roman" w:eastAsia="Times New Roman" w:hAnsi="Times New Roman"/>
          <w:sz w:val="15"/>
          <w:szCs w:val="15"/>
          <w:color w:val="auto"/>
        </w:rPr>
        <w:t>No assurance can be given as to the outcome of these or other proceedings. However, an unfavorable outcome of existing or future proceedings could potentially lead to the annulment of the 2008 PICs Agreement. We do not expect the ultimate resolution of this matter to have a material impact on our results of operations, cash flows or financial position. No amounts have been accrued by us with respect to this matter as the likelihood of loss is not considered to be probable.</w:t>
      </w:r>
    </w:p>
    <w:p>
      <w:pPr>
        <w:spacing w:after="0" w:line="165" w:lineRule="exact"/>
        <w:rPr>
          <w:sz w:val="20"/>
          <w:szCs w:val="20"/>
          <w:color w:val="auto"/>
        </w:rPr>
      </w:pPr>
    </w:p>
    <w:p>
      <w:pPr>
        <w:jc w:val="both"/>
        <w:ind w:firstLine="278"/>
        <w:spacing w:after="0" w:line="262" w:lineRule="auto"/>
        <w:rPr>
          <w:sz w:val="20"/>
          <w:szCs w:val="20"/>
          <w:color w:val="auto"/>
        </w:rPr>
      </w:pPr>
      <w:r>
        <w:rPr>
          <w:rFonts w:ascii="Times New Roman" w:cs="Times New Roman" w:eastAsia="Times New Roman" w:hAnsi="Times New Roman"/>
          <w:sz w:val="15"/>
          <w:szCs w:val="15"/>
          <w:i w:val="1"/>
          <w:iCs w:val="1"/>
          <w:color w:val="auto"/>
        </w:rPr>
        <w:t xml:space="preserve">Telekom Deutschland Litigation. </w:t>
      </w:r>
      <w:r>
        <w:rPr>
          <w:rFonts w:ascii="Times New Roman" w:cs="Times New Roman" w:eastAsia="Times New Roman" w:hAnsi="Times New Roman"/>
          <w:sz w:val="15"/>
          <w:szCs w:val="15"/>
          <w:color w:val="auto"/>
        </w:rPr>
        <w:t>On December 28, 2012, Unitymedia filed a lawsuit against Telekom Deutschland GmbH (</w:t>
      </w:r>
      <w:r>
        <w:rPr>
          <w:rFonts w:ascii="Times New Roman" w:cs="Times New Roman" w:eastAsia="Times New Roman" w:hAnsi="Times New Roman"/>
          <w:sz w:val="15"/>
          <w:szCs w:val="15"/>
          <w:b w:val="1"/>
          <w:bCs w:val="1"/>
          <w:color w:val="auto"/>
        </w:rPr>
        <w:t>Telekom Deutschland</w:t>
      </w:r>
      <w:r>
        <w:rPr>
          <w:rFonts w:ascii="Times New Roman" w:cs="Times New Roman" w:eastAsia="Times New Roman" w:hAnsi="Times New Roman"/>
          <w:sz w:val="15"/>
          <w:szCs w:val="15"/>
          <w:color w:val="auto"/>
        </w:rPr>
        <w:t>) in which Unitymedia asserted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that it pays excessive prices for the co-use of Telekom Deutschland’s cable ducts in Unitymedia’s footprint. The Federal Network Agency approved rates for the co-use of certain ducts of Telekom Deutschland in March 2011. Based in part on these approved rates, Unitymedia sought a reduction of the annual lease fees by approximately five-sixths. In addition, Unitymedia sought the return of similarly calculated overpayments from 2009 through the ultimate settlement date, plus accrued interest. In October 2016, the first instance court dismissed this action, and in March 2018, the court of appeal dismissed Unitymedia’s appeal of the first instance court’s decision. Unitymedia has since successfully appealed the case to the Federal Court of Justice, and proceedings continue before the German courts. The resolution of this matter may take several years and no assurance can be given that Unitymedia’s claims will be successful. In connection with our sale of our former operations in Germany, Romania, Hungary and the Czech Republic to Vodafone (the </w:t>
      </w:r>
      <w:r>
        <w:rPr>
          <w:rFonts w:ascii="Times New Roman" w:cs="Times New Roman" w:eastAsia="Times New Roman" w:hAnsi="Times New Roman"/>
          <w:sz w:val="15"/>
          <w:szCs w:val="15"/>
          <w:b w:val="1"/>
          <w:bCs w:val="1"/>
          <w:color w:val="auto"/>
        </w:rPr>
        <w:t>Vodafone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Disposal Group</w:t>
      </w:r>
      <w:r>
        <w:rPr>
          <w:rFonts w:ascii="Times New Roman" w:cs="Times New Roman" w:eastAsia="Times New Roman" w:hAnsi="Times New Roman"/>
          <w:sz w:val="15"/>
          <w:szCs w:val="15"/>
          <w:color w:val="auto"/>
        </w:rPr>
        <w:t>) in 2019, we will only share in 50% of any amounts recovered, plus 50% of the net present value of certain cost savings in future periods that are attributable to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favorable resolution of this matter, less 50% of associated legal or other third-party fees paid post-completion of the sale of the Vodafone Disposal Group. Any amount we may recover related to this matter will not be reflected in our consolidated financial statements until such time as the final disposition of this matter has been reached.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45" w:name="page46"/>
    <w:bookmarkEnd w:id="45"/>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7" w:firstLine="278"/>
        <w:spacing w:after="0" w:line="268" w:lineRule="auto"/>
        <w:rPr>
          <w:sz w:val="20"/>
          <w:szCs w:val="20"/>
          <w:color w:val="auto"/>
        </w:rPr>
      </w:pPr>
      <w:r>
        <w:rPr>
          <w:rFonts w:ascii="Times New Roman" w:cs="Times New Roman" w:eastAsia="Times New Roman" w:hAnsi="Times New Roman"/>
          <w:sz w:val="15"/>
          <w:szCs w:val="15"/>
          <w:i w:val="1"/>
          <w:iCs w:val="1"/>
          <w:color w:val="auto"/>
        </w:rPr>
        <w:t xml:space="preserve">Other Contingency Matters. </w:t>
      </w:r>
      <w:r>
        <w:rPr>
          <w:rFonts w:ascii="Times New Roman" w:cs="Times New Roman" w:eastAsia="Times New Roman" w:hAnsi="Times New Roman"/>
          <w:sz w:val="15"/>
          <w:szCs w:val="15"/>
          <w:color w:val="auto"/>
        </w:rPr>
        <w:t>In connection with the dispositions of certain of our operations, we provided tax indemnities to the counterparties for certain tax liabilities that could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arise from the period we owned the respective operations, the amounts of which could be significant, subject to certain thresholds. No amounts have been accrued by our company related to unasserted claims for indemnification, as the likelihood of any loss is not considered to be probable. Further, Liberty Global may be entitled to certain amounts that our disposed operations may recover from taxing authorities. Any such amounts will not be reflected in our consolidated financial statements until such time as the final disposition of such matters has been reached.</w:t>
      </w:r>
    </w:p>
    <w:p>
      <w:pPr>
        <w:spacing w:after="0" w:line="171" w:lineRule="exact"/>
        <w:rPr>
          <w:sz w:val="20"/>
          <w:szCs w:val="20"/>
          <w:color w:val="auto"/>
        </w:rPr>
      </w:pPr>
    </w:p>
    <w:p>
      <w:pPr>
        <w:jc w:val="both"/>
        <w:ind w:left="7" w:firstLine="278"/>
        <w:spacing w:after="0" w:line="264" w:lineRule="auto"/>
        <w:rPr>
          <w:sz w:val="20"/>
          <w:szCs w:val="20"/>
          <w:color w:val="auto"/>
        </w:rPr>
      </w:pPr>
      <w:r>
        <w:rPr>
          <w:rFonts w:ascii="Times New Roman" w:cs="Times New Roman" w:eastAsia="Times New Roman" w:hAnsi="Times New Roman"/>
          <w:sz w:val="15"/>
          <w:szCs w:val="15"/>
          <w:i w:val="1"/>
          <w:iCs w:val="1"/>
          <w:color w:val="auto"/>
        </w:rPr>
        <w:t xml:space="preserve">Other Regulatory Matters. </w:t>
      </w:r>
      <w:r>
        <w:rPr>
          <w:rFonts w:ascii="Times New Roman" w:cs="Times New Roman" w:eastAsia="Times New Roman" w:hAnsi="Times New Roman"/>
          <w:sz w:val="15"/>
          <w:szCs w:val="15"/>
          <w:color w:val="auto"/>
        </w:rPr>
        <w:t>Broadband internet, video distribution, fixed-line telephony, mobile and content businesses are regulated in each of the countries in which we or our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affiliates operate. The scope of regulation varies from country to country, although in some significant respects regulation in European markets is harmonized under the regulatory structure of the European Union (</w:t>
      </w:r>
      <w:r>
        <w:rPr>
          <w:rFonts w:ascii="Times New Roman" w:cs="Times New Roman" w:eastAsia="Times New Roman" w:hAnsi="Times New Roman"/>
          <w:sz w:val="15"/>
          <w:szCs w:val="15"/>
          <w:b w:val="1"/>
          <w:bCs w:val="1"/>
          <w:color w:val="auto"/>
        </w:rPr>
        <w:t>E.U.</w:t>
      </w:r>
      <w:r>
        <w:rPr>
          <w:rFonts w:ascii="Times New Roman" w:cs="Times New Roman" w:eastAsia="Times New Roman" w:hAnsi="Times New Roman"/>
          <w:sz w:val="15"/>
          <w:szCs w:val="15"/>
          <w:color w:val="auto"/>
        </w:rPr>
        <w:t>), and largely similar rules apply in the U.K.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 Regulation may also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w:t>
      </w:r>
    </w:p>
    <w:p>
      <w:pPr>
        <w:spacing w:after="0" w:line="181" w:lineRule="exact"/>
        <w:rPr>
          <w:sz w:val="20"/>
          <w:szCs w:val="20"/>
          <w:color w:val="auto"/>
        </w:rPr>
      </w:pPr>
    </w:p>
    <w:p>
      <w:pPr>
        <w:jc w:val="both"/>
        <w:ind w:left="7" w:firstLine="278"/>
        <w:spacing w:after="0" w:line="265" w:lineRule="auto"/>
        <w:rPr>
          <w:sz w:val="20"/>
          <w:szCs w:val="20"/>
          <w:color w:val="auto"/>
        </w:rPr>
      </w:pPr>
      <w:r>
        <w:rPr>
          <w:rFonts w:ascii="Times New Roman" w:cs="Times New Roman" w:eastAsia="Times New Roman" w:hAnsi="Times New Roman"/>
          <w:sz w:val="15"/>
          <w:szCs w:val="15"/>
          <w:color w:val="auto"/>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spacing w:after="0" w:line="173" w:lineRule="exact"/>
        <w:rPr>
          <w:sz w:val="20"/>
          <w:szCs w:val="20"/>
          <w:color w:val="auto"/>
        </w:rPr>
      </w:pPr>
    </w:p>
    <w:p>
      <w:pPr>
        <w:ind w:left="407" w:hanging="407"/>
        <w:spacing w:after="0"/>
        <w:tabs>
          <w:tab w:leader="none" w:pos="407" w:val="left"/>
        </w:tabs>
        <w:numPr>
          <w:ilvl w:val="0"/>
          <w:numId w:val="4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Segment Reporting</w:t>
      </w:r>
    </w:p>
    <w:p>
      <w:pPr>
        <w:spacing w:after="0" w:line="221" w:lineRule="exact"/>
        <w:rPr>
          <w:sz w:val="20"/>
          <w:szCs w:val="20"/>
          <w:color w:val="auto"/>
        </w:rPr>
      </w:pPr>
    </w:p>
    <w:p>
      <w:pPr>
        <w:jc w:val="both"/>
        <w:ind w:left="7" w:firstLine="278"/>
        <w:spacing w:after="0" w:line="261" w:lineRule="auto"/>
        <w:rPr>
          <w:sz w:val="20"/>
          <w:szCs w:val="20"/>
          <w:color w:val="auto"/>
        </w:rPr>
      </w:pPr>
      <w:r>
        <w:rPr>
          <w:rFonts w:ascii="Times New Roman" w:cs="Times New Roman" w:eastAsia="Times New Roman" w:hAnsi="Times New Roman"/>
          <w:sz w:val="15"/>
          <w:szCs w:val="15"/>
          <w:color w:val="auto"/>
        </w:rPr>
        <w:t>Our chief executive officer, whom we have determined to be our Chief Operating Decision Maker (</w:t>
      </w:r>
      <w:r>
        <w:rPr>
          <w:rFonts w:ascii="Times New Roman" w:cs="Times New Roman" w:eastAsia="Times New Roman" w:hAnsi="Times New Roman"/>
          <w:sz w:val="15"/>
          <w:szCs w:val="15"/>
          <w:b w:val="1"/>
          <w:bCs w:val="1"/>
          <w:color w:val="auto"/>
        </w:rPr>
        <w:t>CODM</w:t>
      </w:r>
      <w:r>
        <w:rPr>
          <w:rFonts w:ascii="Times New Roman" w:cs="Times New Roman" w:eastAsia="Times New Roman" w:hAnsi="Times New Roman"/>
          <w:sz w:val="15"/>
          <w:szCs w:val="15"/>
          <w:color w:val="auto"/>
        </w:rPr>
        <w:t>), views our business as three strategic platforms, “Liberty Telecom” (our converged broadband, video and mobile communications businesses), “Liberty Growth” (our global investment arm comprised of various technology, media/content, sports, digital infrastructure and other growth assets) and “Liberty Services” (our innovative technology and finance service platforms offered by our centralized functions), each as further discussed below. Performance of our business is assessed and resources are allocated by our CODM on a segment basis. We generally identify our reportable segments as (i) those consolidated subsidiaries that represent 10% or more of our total reportable segment revenue or proportionate Adjusted EBITDA (as defined below) or (ii) those equity method affiliates where revenue or our share of Adjusted EBITDA represents 10% or more of our total reportable segment revenue or proportionate Adjusted EBITDA, respectively. In certain cases, we may elect to include an operating segment in our segment disclosure that does not meet the above-described criteria for a reportable segment. Adjusted EBITDA is the primary measure used by our CODM to evaluate segment operating performance and make decisions about allocating resources to our operating segments. The CODM uses Adjusted EBITDA to evaluate income generated from our segment assets in deciding whether to reinvest profits into other areas of our business, such as for acquisitions or investments. Adjusted EBITDA is also used to monitor budget versus actual results, which is used in assessing the performance of segments in comparison with one another and in establishing management’s compensation. The significant accounting policies of our segments are the same as those described in note 3 to the consolidated financial statements included in our 2024 10-K. In addition, our CODM reviews non-financial measures such as customer growth, as appropriate, but does not review any measure of total assets.</w:t>
      </w:r>
    </w:p>
    <w:p>
      <w:pPr>
        <w:spacing w:after="0" w:line="180" w:lineRule="exact"/>
        <w:rPr>
          <w:sz w:val="20"/>
          <w:szCs w:val="20"/>
          <w:color w:val="auto"/>
        </w:rPr>
      </w:pPr>
    </w:p>
    <w:p>
      <w:pPr>
        <w:jc w:val="both"/>
        <w:ind w:left="7" w:firstLine="278"/>
        <w:spacing w:after="0" w:line="272" w:lineRule="auto"/>
        <w:rPr>
          <w:sz w:val="20"/>
          <w:szCs w:val="20"/>
          <w:color w:val="auto"/>
        </w:rPr>
      </w:pPr>
      <w:r>
        <w:rPr>
          <w:rFonts w:ascii="Times New Roman" w:cs="Times New Roman" w:eastAsia="Times New Roman" w:hAnsi="Times New Roman"/>
          <w:sz w:val="15"/>
          <w:szCs w:val="15"/>
          <w:color w:val="auto"/>
        </w:rPr>
        <w:t>As we use the term, “</w:t>
      </w:r>
      <w:r>
        <w:rPr>
          <w:rFonts w:ascii="Times New Roman" w:cs="Times New Roman" w:eastAsia="Times New Roman" w:hAnsi="Times New Roman"/>
          <w:sz w:val="15"/>
          <w:szCs w:val="15"/>
          <w:b w:val="1"/>
          <w:bCs w:val="1"/>
          <w:color w:val="auto"/>
        </w:rPr>
        <w:t>Adjusted EBITDA</w:t>
      </w:r>
      <w:r>
        <w:rPr>
          <w:rFonts w:ascii="Times New Roman" w:cs="Times New Roman" w:eastAsia="Times New Roman" w:hAnsi="Times New Roman"/>
          <w:sz w:val="15"/>
          <w:szCs w:val="15"/>
          <w:color w:val="auto"/>
        </w:rPr>
        <w:t>” is defined as earnings (loss) from continuing operations before net income tax benefit (expense), other non-operating income or expenses, net share of results of affiliates, net gains (losses) on debt extinguishment, net realized and unrealized gains (losses) due to changes in fair values of certain investments, net foreign currency transaction gains (losses), net gains (losses) on derivative instruments, net interest expense, depreciation and amortization, share-based compensation, provisions and provision releases related to significant litigation and impairment,</w:t>
      </w:r>
    </w:p>
    <w:p>
      <w:pPr>
        <w:spacing w:after="0" w:line="200" w:lineRule="exact"/>
        <w:rPr>
          <w:sz w:val="20"/>
          <w:szCs w:val="20"/>
          <w:color w:val="auto"/>
        </w:rPr>
      </w:pPr>
    </w:p>
    <w:p>
      <w:pPr>
        <w:spacing w:after="0" w:line="27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46" w:name="page47"/>
    <w:bookmarkEnd w:id="46"/>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jc w:val="both"/>
        <w:ind w:left="7"/>
        <w:spacing w:after="0" w:line="265" w:lineRule="auto"/>
        <w:rPr>
          <w:sz w:val="20"/>
          <w:szCs w:val="20"/>
          <w:color w:val="auto"/>
        </w:rPr>
      </w:pPr>
      <w:r>
        <w:rPr>
          <w:rFonts w:ascii="Times New Roman" w:cs="Times New Roman" w:eastAsia="Times New Roman" w:hAnsi="Times New Roman"/>
          <w:sz w:val="15"/>
          <w:szCs w:val="15"/>
          <w:color w:val="auto"/>
        </w:rPr>
        <w:t>restructuring and other operating items. Other operating items include (i) gains and losses on the disposition of long-lived assets, (ii) third-party costs directly associated with successful and unsuccessful acquisitions and dispositions, including legal, advisory and due diligence fees, as applicable, and (iii) other acquisition-related items, such as gains and losses on the settlement of contingent consideration. Our internal decision makers believe Adjusted EBITDA is a meaningful measure because it represents a transparent view of our recurring operating performance that is unaffected by our capital structure and allows management to (a) readily view operating trends, (b) perform analytical comparisons and benchmarking between segments and (c) identify strategies to improve operating performance in the different countries in which we operate. A reconciliation of total reportable segment Adjusted EBITDA to loss from continuing operations before income taxes is presented below.</w:t>
      </w:r>
    </w:p>
    <w:p>
      <w:pPr>
        <w:spacing w:after="0" w:line="177"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color w:val="auto"/>
        </w:rPr>
        <w:t>As of September 30, 2025, our reportable segments are as follows:</w:t>
      </w:r>
    </w:p>
    <w:p>
      <w:pPr>
        <w:spacing w:after="0" w:line="217"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b w:val="1"/>
          <w:bCs w:val="1"/>
          <w:color w:val="auto"/>
        </w:rPr>
        <w:t>Consolidated:</w:t>
      </w:r>
    </w:p>
    <w:p>
      <w:pPr>
        <w:spacing w:after="0" w:line="109" w:lineRule="exact"/>
        <w:rPr>
          <w:sz w:val="20"/>
          <w:szCs w:val="20"/>
          <w:color w:val="auto"/>
        </w:rPr>
      </w:pPr>
    </w:p>
    <w:p>
      <w:pPr>
        <w:ind w:left="547" w:hanging="270"/>
        <w:spacing w:after="0"/>
        <w:tabs>
          <w:tab w:leader="none" w:pos="547"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Telenet</w:t>
      </w:r>
    </w:p>
    <w:p>
      <w:pPr>
        <w:spacing w:after="0" w:line="26" w:lineRule="exact"/>
        <w:rPr>
          <w:rFonts w:ascii="Times New Roman" w:cs="Times New Roman" w:eastAsia="Times New Roman" w:hAnsi="Times New Roman"/>
          <w:sz w:val="15"/>
          <w:szCs w:val="15"/>
          <w:color w:val="auto"/>
        </w:rPr>
      </w:pPr>
    </w:p>
    <w:p>
      <w:pPr>
        <w:ind w:left="547" w:hanging="270"/>
        <w:spacing w:after="0"/>
        <w:tabs>
          <w:tab w:leader="none" w:pos="547"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VM Ireland</w:t>
      </w:r>
    </w:p>
    <w:p>
      <w:pPr>
        <w:spacing w:after="0" w:line="203"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b w:val="1"/>
          <w:bCs w:val="1"/>
          <w:color w:val="auto"/>
        </w:rPr>
        <w:t>Nonconsolidated:</w:t>
      </w:r>
    </w:p>
    <w:p>
      <w:pPr>
        <w:spacing w:after="0" w:line="109" w:lineRule="exact"/>
        <w:rPr>
          <w:sz w:val="20"/>
          <w:szCs w:val="20"/>
          <w:color w:val="auto"/>
        </w:rPr>
      </w:pPr>
    </w:p>
    <w:p>
      <w:pPr>
        <w:ind w:left="547" w:hanging="270"/>
        <w:spacing w:after="0"/>
        <w:tabs>
          <w:tab w:leader="none" w:pos="547"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VMO2 JV</w:t>
      </w:r>
    </w:p>
    <w:p>
      <w:pPr>
        <w:spacing w:after="0" w:line="26" w:lineRule="exact"/>
        <w:rPr>
          <w:rFonts w:ascii="Times New Roman" w:cs="Times New Roman" w:eastAsia="Times New Roman" w:hAnsi="Times New Roman"/>
          <w:sz w:val="15"/>
          <w:szCs w:val="15"/>
          <w:color w:val="auto"/>
        </w:rPr>
      </w:pPr>
    </w:p>
    <w:p>
      <w:pPr>
        <w:ind w:left="547" w:hanging="270"/>
        <w:spacing w:after="0"/>
        <w:tabs>
          <w:tab w:leader="none" w:pos="547"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VodafoneZiggo JV</w:t>
      </w:r>
    </w:p>
    <w:p>
      <w:pPr>
        <w:spacing w:after="0" w:line="207" w:lineRule="exact"/>
        <w:rPr>
          <w:sz w:val="20"/>
          <w:szCs w:val="20"/>
          <w:color w:val="auto"/>
        </w:rPr>
      </w:pPr>
    </w:p>
    <w:p>
      <w:pPr>
        <w:ind w:left="7" w:firstLine="278"/>
        <w:spacing w:after="0" w:line="295" w:lineRule="auto"/>
        <w:rPr>
          <w:sz w:val="20"/>
          <w:szCs w:val="20"/>
          <w:color w:val="auto"/>
        </w:rPr>
      </w:pPr>
      <w:r>
        <w:rPr>
          <w:rFonts w:ascii="Times New Roman" w:cs="Times New Roman" w:eastAsia="Times New Roman" w:hAnsi="Times New Roman"/>
          <w:sz w:val="15"/>
          <w:szCs w:val="15"/>
          <w:color w:val="auto"/>
        </w:rPr>
        <w:t>Telenet, VM Ireland, the VMO2 JV and the VodafoneZiggo JV are included in our “Liberty Telecom” strategic platform and derive their revenue primarily from residential and B2B communications services, including broadband internet, video, fixed-line telephony and mobile services.</w:t>
      </w:r>
    </w:p>
    <w:p>
      <w:pPr>
        <w:spacing w:after="0" w:line="151" w:lineRule="exact"/>
        <w:rPr>
          <w:sz w:val="20"/>
          <w:szCs w:val="20"/>
          <w:color w:val="auto"/>
        </w:rPr>
      </w:pPr>
    </w:p>
    <w:p>
      <w:pPr>
        <w:ind w:left="7" w:right="20" w:firstLine="278"/>
        <w:spacing w:after="0" w:line="300" w:lineRule="auto"/>
        <w:rPr>
          <w:sz w:val="20"/>
          <w:szCs w:val="20"/>
          <w:color w:val="auto"/>
        </w:rPr>
      </w:pPr>
      <w:r>
        <w:rPr>
          <w:rFonts w:ascii="Times New Roman" w:cs="Times New Roman" w:eastAsia="Times New Roman" w:hAnsi="Times New Roman"/>
          <w:sz w:val="15"/>
          <w:szCs w:val="15"/>
          <w:color w:val="auto"/>
        </w:rPr>
        <w:t>During the fourth quarter of 2024, our previously defined “</w:t>
      </w:r>
      <w:r>
        <w:rPr>
          <w:rFonts w:ascii="Times New Roman" w:cs="Times New Roman" w:eastAsia="Times New Roman" w:hAnsi="Times New Roman"/>
          <w:sz w:val="15"/>
          <w:szCs w:val="15"/>
          <w:i w:val="1"/>
          <w:iCs w:val="1"/>
          <w:color w:val="auto"/>
        </w:rPr>
        <w:t>Central and Other</w:t>
      </w:r>
      <w:r>
        <w:rPr>
          <w:rFonts w:ascii="Times New Roman" w:cs="Times New Roman" w:eastAsia="Times New Roman" w:hAnsi="Times New Roman"/>
          <w:sz w:val="15"/>
          <w:szCs w:val="15"/>
          <w:color w:val="auto"/>
        </w:rPr>
        <w:t>” reportable segment was reorganized into various other operating segments, which are not separately or in the aggregate identified as reportable segments. Prior periods have been revised in accordance with this reorganization.</w:t>
      </w:r>
    </w:p>
    <w:p>
      <w:pPr>
        <w:spacing w:after="0" w:line="152" w:lineRule="exact"/>
        <w:rPr>
          <w:sz w:val="20"/>
          <w:szCs w:val="20"/>
          <w:color w:val="auto"/>
        </w:rPr>
      </w:pPr>
    </w:p>
    <w:p>
      <w:pPr>
        <w:ind w:left="7" w:firstLine="278"/>
        <w:spacing w:after="0" w:line="295" w:lineRule="auto"/>
        <w:rPr>
          <w:sz w:val="20"/>
          <w:szCs w:val="20"/>
          <w:color w:val="auto"/>
        </w:rPr>
      </w:pPr>
      <w:r>
        <w:rPr>
          <w:rFonts w:ascii="Times New Roman" w:cs="Times New Roman" w:eastAsia="Times New Roman" w:hAnsi="Times New Roman"/>
          <w:sz w:val="15"/>
          <w:szCs w:val="15"/>
          <w:color w:val="auto"/>
        </w:rPr>
        <w:t>The “Liberty Growth” strategic platform, included in the “all other category,” comprises certain investments in technology, media/content, sports and digital infrastructure companies that we view as scalable businesses, which derive their revenue from providing various goods, services and content to customers (</w:t>
      </w:r>
      <w:r>
        <w:rPr>
          <w:rFonts w:ascii="Times New Roman" w:cs="Times New Roman" w:eastAsia="Times New Roman" w:hAnsi="Times New Roman"/>
          <w:sz w:val="15"/>
          <w:szCs w:val="15"/>
          <w:b w:val="1"/>
          <w:bCs w:val="1"/>
          <w:color w:val="auto"/>
        </w:rPr>
        <w:t>Liberty Growth</w:t>
      </w:r>
      <w:r>
        <w:rPr>
          <w:rFonts w:ascii="Times New Roman" w:cs="Times New Roman" w:eastAsia="Times New Roman" w:hAnsi="Times New Roman"/>
          <w:sz w:val="15"/>
          <w:szCs w:val="15"/>
          <w:color w:val="auto"/>
        </w:rPr>
        <w:t>).</w:t>
      </w:r>
    </w:p>
    <w:p>
      <w:pPr>
        <w:spacing w:after="0" w:line="155"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color w:val="auto"/>
        </w:rPr>
        <w:t>The “Liberty Services” strategic platform, included in the “all other category,” primarily includes our technology and services operating segments that generate revenue through</w:t>
      </w:r>
    </w:p>
    <w:p>
      <w:pPr>
        <w:spacing w:after="0" w:line="27" w:lineRule="exact"/>
        <w:rPr>
          <w:sz w:val="20"/>
          <w:szCs w:val="20"/>
          <w:color w:val="auto"/>
        </w:rPr>
      </w:pPr>
    </w:p>
    <w:p>
      <w:pPr>
        <w:ind w:left="7" w:right="20" w:hanging="7"/>
        <w:spacing w:after="0" w:line="275" w:lineRule="auto"/>
        <w:tabs>
          <w:tab w:leader="none" w:pos="192"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sales of CPE to our reportable segments and certain third parties and (ii) providing certain centralized back office functions, including network operations and technology solutions (</w:t>
      </w:r>
      <w:r>
        <w:rPr>
          <w:rFonts w:ascii="Times New Roman" w:cs="Times New Roman" w:eastAsia="Times New Roman" w:hAnsi="Times New Roman"/>
          <w:sz w:val="15"/>
          <w:szCs w:val="15"/>
          <w:b w:val="1"/>
          <w:bCs w:val="1"/>
          <w:color w:val="auto"/>
        </w:rPr>
        <w:t>Liberty Services</w:t>
      </w:r>
      <w:r>
        <w:rPr>
          <w:rFonts w:ascii="Times New Roman" w:cs="Times New Roman" w:eastAsia="Times New Roman" w:hAnsi="Times New Roman"/>
          <w:sz w:val="15"/>
          <w:szCs w:val="15"/>
          <w:color w:val="auto"/>
        </w:rPr>
        <w:t>).</w:t>
      </w:r>
    </w:p>
    <w:p>
      <w:pPr>
        <w:spacing w:after="0" w:line="169" w:lineRule="exact"/>
        <w:rPr>
          <w:sz w:val="20"/>
          <w:szCs w:val="20"/>
          <w:color w:val="auto"/>
        </w:rPr>
      </w:pPr>
    </w:p>
    <w:p>
      <w:pPr>
        <w:jc w:val="both"/>
        <w:ind w:left="7" w:right="20" w:firstLine="278"/>
        <w:spacing w:after="0" w:line="276" w:lineRule="auto"/>
        <w:rPr>
          <w:sz w:val="20"/>
          <w:szCs w:val="20"/>
          <w:color w:val="auto"/>
        </w:rPr>
      </w:pPr>
      <w:r>
        <w:rPr>
          <w:rFonts w:ascii="Times New Roman" w:cs="Times New Roman" w:eastAsia="Times New Roman" w:hAnsi="Times New Roman"/>
          <w:sz w:val="15"/>
          <w:szCs w:val="15"/>
          <w:color w:val="auto"/>
        </w:rPr>
        <w:t>We also have certain corporate activities that are included in the “all other category,” which include (i) revenue associated with certain finance and administrative services provided to various third parties and affiliates pursuant to service agreements and (ii) costs associated with certain centralized functions including billing systems, marketing, facilities, finance and other administrative functions.</w:t>
      </w:r>
    </w:p>
    <w:p>
      <w:pPr>
        <w:spacing w:after="0" w:line="169"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color w:val="auto"/>
        </w:rPr>
        <w:t>Liberty Growth, Liberty Services and our corporate activities are all included in the “all other category” as they do not meet the reportable segment quantitative thresholds.</w:t>
      </w:r>
    </w:p>
    <w:p>
      <w:pPr>
        <w:spacing w:after="0" w:line="221"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color w:val="auto"/>
        </w:rPr>
        <w:t>We present only the reportable segments of our continuing operations in the tables below.</w:t>
      </w:r>
    </w:p>
    <w:p>
      <w:pPr>
        <w:spacing w:after="0" w:line="217" w:lineRule="exact"/>
        <w:rPr>
          <w:sz w:val="20"/>
          <w:szCs w:val="20"/>
          <w:color w:val="auto"/>
        </w:rPr>
      </w:pPr>
    </w:p>
    <w:p>
      <w:pPr>
        <w:jc w:val="both"/>
        <w:ind w:left="7" w:firstLine="278"/>
        <w:spacing w:after="0" w:line="272" w:lineRule="auto"/>
        <w:rPr>
          <w:sz w:val="20"/>
          <w:szCs w:val="20"/>
          <w:color w:val="auto"/>
        </w:rPr>
      </w:pPr>
      <w:r>
        <w:rPr>
          <w:rFonts w:ascii="Times New Roman" w:cs="Times New Roman" w:eastAsia="Times New Roman" w:hAnsi="Times New Roman"/>
          <w:sz w:val="15"/>
          <w:szCs w:val="15"/>
          <w:color w:val="auto"/>
        </w:rPr>
        <w:t xml:space="preserve">Our centrally-managed technology and innovation function (our </w:t>
      </w:r>
      <w:r>
        <w:rPr>
          <w:rFonts w:ascii="Times New Roman" w:cs="Times New Roman" w:eastAsia="Times New Roman" w:hAnsi="Times New Roman"/>
          <w:sz w:val="15"/>
          <w:szCs w:val="15"/>
          <w:b w:val="1"/>
          <w:bCs w:val="1"/>
          <w:color w:val="auto"/>
        </w:rPr>
        <w:t>T&amp;I Function</w:t>
      </w:r>
      <w:r>
        <w:rPr>
          <w:rFonts w:ascii="Times New Roman" w:cs="Times New Roman" w:eastAsia="Times New Roman" w:hAnsi="Times New Roman"/>
          <w:sz w:val="15"/>
          <w:szCs w:val="15"/>
          <w:color w:val="auto"/>
        </w:rPr>
        <w:t xml:space="preserve">) provides, and allocates charges for, certain products and services to our reportable segments (the </w:t>
      </w:r>
      <w:r>
        <w:rPr>
          <w:rFonts w:ascii="Times New Roman" w:cs="Times New Roman" w:eastAsia="Times New Roman" w:hAnsi="Times New Roman"/>
          <w:sz w:val="15"/>
          <w:szCs w:val="15"/>
          <w:b w:val="1"/>
          <w:bCs w:val="1"/>
          <w:color w:val="auto"/>
        </w:rPr>
        <w:t>Tech Framework</w:t>
      </w:r>
      <w:r>
        <w:rPr>
          <w:rFonts w:ascii="Times New Roman" w:cs="Times New Roman" w:eastAsia="Times New Roman" w:hAnsi="Times New Roman"/>
          <w:sz w:val="15"/>
          <w:szCs w:val="15"/>
          <w:color w:val="auto"/>
        </w:rPr>
        <w:t>). These products and services include CPE hardware and related essential software, maintenance, hosting and other services. Our reportable segments capitalize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combined cost of the CPE hardware and a portion of the essential software as property and equipment additions and the corresponding amounts charged by our T&amp;I Function are reflected as revenue when earned.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i w:val="1"/>
          <w:iCs w:val="1"/>
          <w:color w:val="auto"/>
        </w:rPr>
        <w:t>Performance Measures of Our Reportable Segments</w:t>
      </w:r>
    </w:p>
    <w:p>
      <w:pPr>
        <w:spacing w:after="0" w:line="225" w:lineRule="exact"/>
        <w:rPr>
          <w:sz w:val="20"/>
          <w:szCs w:val="20"/>
          <w:color w:val="auto"/>
        </w:rPr>
      </w:pPr>
    </w:p>
    <w:p>
      <w:pPr>
        <w:jc w:val="both"/>
        <w:ind w:firstLine="278"/>
        <w:spacing w:after="0" w:line="268" w:lineRule="auto"/>
        <w:rPr>
          <w:sz w:val="20"/>
          <w:szCs w:val="20"/>
          <w:color w:val="auto"/>
        </w:rPr>
      </w:pPr>
      <w:r>
        <w:rPr>
          <w:rFonts w:ascii="Times New Roman" w:cs="Times New Roman" w:eastAsia="Times New Roman" w:hAnsi="Times New Roman"/>
          <w:sz w:val="15"/>
          <w:szCs w:val="15"/>
          <w:color w:val="auto"/>
        </w:rPr>
        <w:t>The amounts presented in the tables below represent 100% of each of our consolidated and nonconsolidated reportable segment’s revenue, expenses and Adjusted EBITDA, despite only holding a 50% noncontrolling interest in both the VMO2 JV and the VodafoneZiggo JV. We account for our 50% interests in both the VMO2 JV and the VodafoneZiggo JV under the equity method; accordingly, our share of their operating results is included in share of results of affiliates, net in our condensed consolidated statements of operations. The noncontrolling interests at Telenet and Formula E are reflected in net earnings or loss attributable to noncontrolling interests in our condensed consolidated statements of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gridSpan w:val="7"/>
          </w:tcPr>
          <w:p>
            <w:pPr>
              <w:jc w:val="right"/>
              <w:ind w:right="605"/>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6"/>
          </w:tcPr>
          <w:p>
            <w:pPr>
              <w:jc w:val="center"/>
              <w:ind w:left="566"/>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 2025</w:t>
            </w:r>
          </w:p>
        </w:tc>
        <w:tc>
          <w:tcPr>
            <w:tcW w:w="7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w w:val="99"/>
              </w:rPr>
              <w:t>Third-party and</w:t>
            </w:r>
          </w:p>
        </w:tc>
        <w:tc>
          <w:tcPr>
            <w:tcW w:w="160" w:type="dxa"/>
            <w:vAlign w:val="bottom"/>
          </w:tcPr>
          <w:p>
            <w:pPr>
              <w:spacing w:after="0"/>
              <w:rPr>
                <w:sz w:val="11"/>
                <w:szCs w:val="11"/>
                <w:color w:val="auto"/>
              </w:rPr>
            </w:pP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920" w:type="dxa"/>
            <w:vAlign w:val="bottom"/>
            <w:vMerge w:val="restart"/>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w w:val="99"/>
              </w:rPr>
              <w:t>Third-party and</w:t>
            </w:r>
          </w:p>
        </w:tc>
        <w:tc>
          <w:tcPr>
            <w:tcW w:w="160" w:type="dxa"/>
            <w:vAlign w:val="bottom"/>
          </w:tcPr>
          <w:p>
            <w:pPr>
              <w:spacing w:after="0"/>
              <w:rPr>
                <w:sz w:val="11"/>
                <w:szCs w:val="11"/>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Intersegment</w:t>
            </w:r>
          </w:p>
        </w:tc>
        <w:tc>
          <w:tcPr>
            <w:tcW w:w="46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affiliate</w:t>
            </w:r>
          </w:p>
        </w:tc>
        <w:tc>
          <w:tcPr>
            <w:tcW w:w="16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affiliate</w:t>
            </w: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320" w:type="dxa"/>
            <w:vAlign w:val="bottom"/>
            <w:tcBorders>
              <w:top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in millions</w:t>
            </w: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Telenet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804.9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804.9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40" w:type="dxa"/>
            <w:vAlign w:val="bottom"/>
          </w:tcPr>
          <w:p>
            <w:pPr>
              <w:spacing w:after="0"/>
              <w:rPr>
                <w:sz w:val="20"/>
                <w:szCs w:val="20"/>
                <w:color w:val="auto"/>
              </w:rPr>
            </w:pPr>
            <w:r>
              <w:rPr>
                <w:rFonts w:ascii="Times New Roman" w:cs="Times New Roman" w:eastAsia="Times New Roman" w:hAnsi="Times New Roman"/>
                <w:sz w:val="15"/>
                <w:szCs w:val="15"/>
                <w:color w:val="auto"/>
              </w:rPr>
              <w:t>VM Ireland</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3"/>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VMO2 JV (nonconsolidated)</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3,436.0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3,436.0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9,935.8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9,935.8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40" w:type="dxa"/>
            <w:vAlign w:val="bottom"/>
          </w:tcPr>
          <w:p>
            <w:pPr>
              <w:spacing w:after="0"/>
              <w:rPr>
                <w:sz w:val="20"/>
                <w:szCs w:val="20"/>
                <w:color w:val="auto"/>
              </w:rPr>
            </w:pPr>
            <w:r>
              <w:rPr>
                <w:rFonts w:ascii="Times New Roman" w:cs="Times New Roman" w:eastAsia="Times New Roman" w:hAnsi="Times New Roman"/>
                <w:sz w:val="15"/>
                <w:szCs w:val="15"/>
                <w:color w:val="auto"/>
              </w:rPr>
              <w:t>VodafoneZiggo JV (nonconsolidated)</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1,156.8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3"/>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1,156.8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Total reportable segment revenue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5,519.9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5,519.9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15,994.2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15,994.3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Plus: all other category (a)</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323.6</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1,038.1</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nonconsolidated JV revenue</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(4,592.8)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(13,267.9)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540" w:type="dxa"/>
            <w:vAlign w:val="bottom"/>
          </w:tcPr>
          <w:p>
            <w:pPr>
              <w:spacing w:after="0" w:line="151" w:lineRule="exact"/>
              <w:rPr>
                <w:sz w:val="20"/>
                <w:szCs w:val="20"/>
                <w:color w:val="auto"/>
              </w:rPr>
            </w:pPr>
            <w:r>
              <w:rPr>
                <w:rFonts w:ascii="Times New Roman" w:cs="Times New Roman" w:eastAsia="Times New Roman" w:hAnsi="Times New Roman"/>
                <w:sz w:val="15"/>
                <w:szCs w:val="15"/>
                <w:color w:val="auto"/>
              </w:rPr>
              <w:t>Less: elimination of intercompany consolidated revenue</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(b)</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 consolidated revenue</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1,207.1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3,647.4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ind w:left="580"/>
              <w:spacing w:after="0"/>
              <w:rPr>
                <w:sz w:val="20"/>
                <w:szCs w:val="20"/>
                <w:color w:val="auto"/>
              </w:rPr>
            </w:pPr>
            <w:r>
              <w:rPr>
                <w:rFonts w:ascii="Times New Roman" w:cs="Times New Roman" w:eastAsia="Times New Roman" w:hAnsi="Times New Roman"/>
                <w:sz w:val="15"/>
                <w:szCs w:val="15"/>
                <w:color w:val="auto"/>
              </w:rPr>
              <w:t>46</w:t>
            </w: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5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48" w:name="page49"/>
    <w:bookmarkEnd w:id="48"/>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354"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gridSpan w:val="8"/>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9"/>
              </w:rPr>
              <w:t>Three months ended September 30, 2024</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gridSpan w:val="11"/>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 2024</w:t>
            </w:r>
          </w:p>
        </w:tc>
        <w:tc>
          <w:tcPr>
            <w:tcW w:w="0" w:type="dxa"/>
            <w:vAlign w:val="bottom"/>
          </w:tcPr>
          <w:p>
            <w:pPr>
              <w:spacing w:after="0"/>
              <w:rPr>
                <w:sz w:val="1"/>
                <w:szCs w:val="1"/>
                <w:color w:val="auto"/>
              </w:rPr>
            </w:pPr>
          </w:p>
        </w:tc>
      </w:tr>
      <w:tr>
        <w:trPr>
          <w:trHeight w:val="131"/>
        </w:trPr>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w w:val="99"/>
              </w:rPr>
              <w:t>Third-party and</w:t>
            </w:r>
          </w:p>
        </w:tc>
        <w:tc>
          <w:tcPr>
            <w:tcW w:w="140" w:type="dxa"/>
            <w:vAlign w:val="bottom"/>
          </w:tcPr>
          <w:p>
            <w:pPr>
              <w:spacing w:after="0"/>
              <w:rPr>
                <w:sz w:val="11"/>
                <w:szCs w:val="11"/>
                <w:color w:val="auto"/>
              </w:rPr>
            </w:pPr>
          </w:p>
        </w:tc>
        <w:tc>
          <w:tcPr>
            <w:tcW w:w="11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Intersegment</w:t>
            </w:r>
          </w:p>
        </w:tc>
        <w:tc>
          <w:tcPr>
            <w:tcW w:w="260" w:type="dxa"/>
            <w:vAlign w:val="bottom"/>
          </w:tcPr>
          <w:p>
            <w:pPr>
              <w:spacing w:after="0"/>
              <w:rPr>
                <w:sz w:val="11"/>
                <w:szCs w:val="11"/>
                <w:color w:val="auto"/>
              </w:rPr>
            </w:pPr>
          </w:p>
        </w:tc>
        <w:tc>
          <w:tcPr>
            <w:tcW w:w="940" w:type="dxa"/>
            <w:vAlign w:val="bottom"/>
            <w:vMerge w:val="restart"/>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1"/>
                <w:szCs w:val="11"/>
                <w:color w:val="auto"/>
              </w:rPr>
            </w:pPr>
          </w:p>
        </w:tc>
        <w:tc>
          <w:tcPr>
            <w:tcW w:w="12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Third-party and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Intersegment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affiliate</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85"/>
              <w:spacing w:after="0"/>
              <w:rPr>
                <w:sz w:val="20"/>
                <w:szCs w:val="20"/>
                <w:color w:val="auto"/>
              </w:rPr>
            </w:pPr>
            <w:r>
              <w:rPr>
                <w:rFonts w:ascii="Times New Roman" w:cs="Times New Roman" w:eastAsia="Times New Roman" w:hAnsi="Times New Roman"/>
                <w:sz w:val="14"/>
                <w:szCs w:val="14"/>
                <w:b w:val="1"/>
                <w:bCs w:val="1"/>
                <w:color w:val="auto"/>
              </w:rPr>
              <w:t>affiliate</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40" w:type="dxa"/>
            <w:vAlign w:val="bottom"/>
            <w:gridSpan w:val="2"/>
          </w:tcPr>
          <w:p>
            <w:pPr>
              <w:spacing w:after="0"/>
              <w:rPr>
                <w:sz w:val="11"/>
                <w:szCs w:val="11"/>
                <w:color w:val="auto"/>
              </w:rPr>
            </w:pPr>
          </w:p>
        </w:tc>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Telenet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785.2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785.2</w:t>
            </w:r>
          </w:p>
        </w:tc>
        <w:tc>
          <w:tcPr>
            <w:tcW w:w="42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2,302.9</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3"/>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2,302.9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VM Ireland</w:t>
            </w:r>
          </w:p>
        </w:tc>
        <w:tc>
          <w:tcPr>
            <w:tcW w:w="10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118.9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119.8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360.0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VMO2 JV (nonconsolidated)</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3,512.7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3,512.7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10,170.9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10,170.9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VodafoneZiggo JV (nonconsolidated)</w:t>
            </w:r>
          </w:p>
        </w:tc>
        <w:tc>
          <w:tcPr>
            <w:tcW w:w="10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1,131.1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1,131.1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3,336.7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60" w:type="dxa"/>
            <w:vAlign w:val="bottom"/>
            <w:tcBorders>
              <w:top w:val="single" w:sz="8" w:color="CCEEFF"/>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Total reportable segment revenue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5,547.9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5,548.8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16,170.5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16,173.3</w:t>
            </w:r>
          </w:p>
        </w:tc>
        <w:tc>
          <w:tcPr>
            <w:tcW w:w="6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5"/>
                <w:szCs w:val="15"/>
                <w:color w:val="auto"/>
              </w:rPr>
              <w:t>Plus: all other category (a)</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ind w:right="5"/>
              <w:spacing w:after="0"/>
              <w:rPr>
                <w:sz w:val="20"/>
                <w:szCs w:val="20"/>
                <w:color w:val="auto"/>
              </w:rPr>
            </w:pPr>
            <w:r>
              <w:rPr>
                <w:rFonts w:ascii="Times New Roman" w:cs="Times New Roman" w:eastAsia="Times New Roman" w:hAnsi="Times New Roman"/>
                <w:sz w:val="15"/>
                <w:szCs w:val="15"/>
                <w:color w:val="auto"/>
              </w:rPr>
              <w:t>229.6</w:t>
            </w: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755.0</w:t>
            </w: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5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nonconsolidated JV revenue</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(4,643.8)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(13,507.6)</w:t>
            </w:r>
          </w:p>
        </w:tc>
        <w:tc>
          <w:tcPr>
            <w:tcW w:w="0" w:type="dxa"/>
            <w:vAlign w:val="bottom"/>
          </w:tcPr>
          <w:p>
            <w:pPr>
              <w:spacing w:after="0"/>
              <w:rPr>
                <w:sz w:val="1"/>
                <w:szCs w:val="1"/>
                <w:color w:val="auto"/>
              </w:rPr>
            </w:pPr>
          </w:p>
        </w:tc>
      </w:tr>
      <w:tr>
        <w:trPr>
          <w:trHeight w:val="150"/>
        </w:trPr>
        <w:tc>
          <w:tcPr>
            <w:tcW w:w="3560" w:type="dxa"/>
            <w:vAlign w:val="bottom"/>
            <w:gridSpan w:val="3"/>
          </w:tcPr>
          <w:p>
            <w:pPr>
              <w:spacing w:after="0" w:line="151" w:lineRule="exact"/>
              <w:rPr>
                <w:sz w:val="20"/>
                <w:szCs w:val="20"/>
                <w:color w:val="auto"/>
              </w:rPr>
            </w:pPr>
            <w:r>
              <w:rPr>
                <w:rFonts w:ascii="Times New Roman" w:cs="Times New Roman" w:eastAsia="Times New Roman" w:hAnsi="Times New Roman"/>
                <w:sz w:val="15"/>
                <w:szCs w:val="15"/>
                <w:color w:val="auto"/>
              </w:rPr>
              <w:t>Less: elimination of intercompany consolidated revenue</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56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5"/>
                <w:szCs w:val="15"/>
                <w:color w:val="auto"/>
              </w:rPr>
              <w:t>(b)</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(202.0)</w:t>
            </w:r>
          </w:p>
        </w:tc>
        <w:tc>
          <w:tcPr>
            <w:tcW w:w="0" w:type="dxa"/>
            <w:vAlign w:val="bottom"/>
          </w:tcPr>
          <w:p>
            <w:pPr>
              <w:spacing w:after="0"/>
              <w:rPr>
                <w:sz w:val="1"/>
                <w:szCs w:val="1"/>
                <w:color w:val="auto"/>
              </w:rPr>
            </w:pPr>
          </w:p>
        </w:tc>
      </w:tr>
      <w:tr>
        <w:trPr>
          <w:trHeight w:val="214"/>
        </w:trPr>
        <w:tc>
          <w:tcPr>
            <w:tcW w:w="180" w:type="dxa"/>
            <w:vAlign w:val="bottom"/>
            <w:tcBorders>
              <w:bottom w:val="single" w:sz="8" w:color="CCEEFF"/>
            </w:tcBorders>
            <w:shd w:val="clear" w:color="auto" w:fill="CCEEFF"/>
          </w:tcPr>
          <w:p>
            <w:pPr>
              <w:spacing w:after="0"/>
              <w:rPr>
                <w:sz w:val="18"/>
                <w:szCs w:val="18"/>
                <w:color w:val="auto"/>
              </w:rPr>
            </w:pPr>
          </w:p>
        </w:tc>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consolidated revenue</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1,069.5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3,218.7</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5"/>
                <w:szCs w:val="15"/>
                <w:color w:val="auto"/>
              </w:rPr>
              <w:t>______________</w:t>
            </w: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56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w w:val="95"/>
              </w:rPr>
              <w:t>(a)</w:t>
            </w:r>
          </w:p>
        </w:tc>
        <w:tc>
          <w:tcPr>
            <w:tcW w:w="33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Amounts include revenue from:</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20" w:type="dxa"/>
            <w:vAlign w:val="bottom"/>
            <w:gridSpan w:val="4"/>
          </w:tcPr>
          <w:p>
            <w:pPr>
              <w:jc w:val="right"/>
              <w:ind w:right="56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80" w:type="dxa"/>
            <w:vAlign w:val="bottom"/>
            <w:gridSpan w:val="7"/>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74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6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8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Third parties and affiliates</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128.2</w:t>
            </w:r>
          </w:p>
        </w:tc>
        <w:tc>
          <w:tcPr>
            <w:tcW w:w="42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w:t>
            </w:r>
          </w:p>
        </w:tc>
        <w:tc>
          <w:tcPr>
            <w:tcW w:w="260" w:type="dxa"/>
            <w:vAlign w:val="bottom"/>
            <w:gridSpan w:val="3"/>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491.0</w:t>
            </w:r>
          </w:p>
        </w:tc>
        <w:tc>
          <w:tcPr>
            <w:tcW w:w="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0" w:type="dxa"/>
            <w:vAlign w:val="bottom"/>
            <w:gridSpan w:val="8"/>
          </w:tcPr>
          <w:p>
            <w:pPr>
              <w:ind w:left="20"/>
              <w:spacing w:after="0" w:line="151" w:lineRule="exact"/>
              <w:rPr>
                <w:sz w:val="20"/>
                <w:szCs w:val="20"/>
                <w:color w:val="auto"/>
              </w:rPr>
            </w:pPr>
            <w:r>
              <w:rPr>
                <w:rFonts w:ascii="Times New Roman" w:cs="Times New Roman" w:eastAsia="Times New Roman" w:hAnsi="Times New Roman"/>
                <w:sz w:val="15"/>
                <w:szCs w:val="15"/>
                <w:color w:val="auto"/>
              </w:rPr>
              <w:t>Services agreements with our nonconsolidated JV reportable segments (as further</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described in note 5)</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151.8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430.1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Consolidated reportable segments</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43.6</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64.2</w:t>
            </w: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Total</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323.6</w:t>
            </w:r>
          </w:p>
        </w:tc>
        <w:tc>
          <w:tcPr>
            <w:tcW w:w="80" w:type="dxa"/>
            <w:vAlign w:val="bottom"/>
          </w:tcPr>
          <w:p>
            <w:pPr>
              <w:spacing w:after="0"/>
              <w:rPr>
                <w:sz w:val="16"/>
                <w:szCs w:val="16"/>
                <w:color w:val="auto"/>
              </w:rPr>
            </w:pPr>
          </w:p>
        </w:tc>
        <w:tc>
          <w:tcPr>
            <w:tcW w:w="34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229.6</w:t>
            </w:r>
          </w:p>
        </w:tc>
        <w:tc>
          <w:tcPr>
            <w:tcW w:w="80" w:type="dxa"/>
            <w:vAlign w:val="bottom"/>
          </w:tcPr>
          <w:p>
            <w:pPr>
              <w:spacing w:after="0"/>
              <w:rPr>
                <w:sz w:val="16"/>
                <w:szCs w:val="16"/>
                <w:color w:val="auto"/>
              </w:rPr>
            </w:pPr>
          </w:p>
        </w:tc>
        <w:tc>
          <w:tcPr>
            <w:tcW w:w="180" w:type="dxa"/>
            <w:vAlign w:val="bottom"/>
            <w:tcBorders>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1,038.1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Borders>
              <w:bottom w:val="single" w:sz="8" w:color="auto"/>
            </w:tcBorders>
            <w:gridSpan w:val="2"/>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755.0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407" w:right="20" w:hanging="407"/>
        <w:spacing w:after="0" w:line="295" w:lineRule="auto"/>
        <w:tabs>
          <w:tab w:leader="none" w:pos="402"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Primarily reflects the elimination of (i) the revenue recognized related to the Tech Framework and (ii) for the 2024 periods, transactions between our continuing and discontinued operations.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ind w:firstLine="278"/>
        <w:spacing w:after="0" w:line="295" w:lineRule="auto"/>
        <w:rPr>
          <w:sz w:val="20"/>
          <w:szCs w:val="20"/>
          <w:color w:val="auto"/>
        </w:rPr>
      </w:pPr>
      <w:r>
        <w:rPr>
          <w:rFonts w:ascii="Times New Roman" w:cs="Times New Roman" w:eastAsia="Times New Roman" w:hAnsi="Times New Roman"/>
          <w:sz w:val="15"/>
          <w:szCs w:val="15"/>
          <w:color w:val="auto"/>
        </w:rPr>
        <w:t>The expense categories and amounts presented below align with the segment-level information that is regularly provided to the CODM. These amounts include intersegment expenses and are exclusive of share-based compensation expense.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400" w:type="dxa"/>
            <w:vAlign w:val="bottom"/>
          </w:tcPr>
          <w:p>
            <w:pPr>
              <w:spacing w:after="0"/>
              <w:rPr>
                <w:sz w:val="13"/>
                <w:szCs w:val="13"/>
                <w:color w:val="auto"/>
              </w:rPr>
            </w:pPr>
          </w:p>
        </w:tc>
        <w:tc>
          <w:tcPr>
            <w:tcW w:w="238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r>
      <w:tr>
        <w:trPr>
          <w:trHeight w:val="184"/>
        </w:trPr>
        <w:tc>
          <w:tcPr>
            <w:tcW w:w="56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85"/>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34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77"/>
        </w:trPr>
        <w:tc>
          <w:tcPr>
            <w:tcW w:w="56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0" w:type="dxa"/>
            <w:vAlign w:val="bottom"/>
            <w:tcBorders>
              <w:bottom w:val="single" w:sz="8" w:color="auto"/>
            </w:tcBorders>
          </w:tcPr>
          <w:p>
            <w:pPr>
              <w:spacing w:after="0"/>
              <w:rPr>
                <w:sz w:val="15"/>
                <w:szCs w:val="15"/>
                <w:color w:val="auto"/>
              </w:rPr>
            </w:pPr>
          </w:p>
        </w:tc>
      </w:tr>
      <w:tr>
        <w:trPr>
          <w:trHeight w:val="176"/>
        </w:trPr>
        <w:tc>
          <w:tcPr>
            <w:tcW w:w="5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gridSpan w:val="3"/>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0"/>
        </w:trPr>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Programming and other direct costs of services:</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97"/>
        </w:trPr>
        <w:tc>
          <w:tcPr>
            <w:tcW w:w="56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Consolidated reportable segments: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Telenet</w:t>
            </w:r>
          </w:p>
        </w:tc>
        <w:tc>
          <w:tcPr>
            <w:tcW w:w="32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167.7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557.6</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556.0</w:t>
            </w:r>
          </w:p>
        </w:tc>
        <w:tc>
          <w:tcPr>
            <w:tcW w:w="20" w:type="dxa"/>
            <w:vAlign w:val="bottom"/>
            <w:shd w:val="clear" w:color="auto" w:fill="CCEEFF"/>
          </w:tcPr>
          <w:p>
            <w:pPr>
              <w:spacing w:after="0"/>
              <w:rPr>
                <w:sz w:val="17"/>
                <w:szCs w:val="17"/>
                <w:color w:val="auto"/>
              </w:rPr>
            </w:pPr>
          </w:p>
        </w:tc>
      </w:tr>
      <w:tr>
        <w:trPr>
          <w:trHeight w:val="197"/>
        </w:trPr>
        <w:tc>
          <w:tcPr>
            <w:tcW w:w="56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VM Ireland</w:t>
            </w:r>
          </w:p>
        </w:tc>
        <w:tc>
          <w:tcPr>
            <w:tcW w:w="320" w:type="dxa"/>
            <w:vAlign w:val="bottom"/>
            <w:gridSpan w:val="2"/>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30.6</w:t>
            </w:r>
          </w:p>
        </w:tc>
        <w:tc>
          <w:tcPr>
            <w:tcW w:w="100" w:type="dxa"/>
            <w:vAlign w:val="bottom"/>
          </w:tcPr>
          <w:p>
            <w:pPr>
              <w:spacing w:after="0"/>
              <w:rPr>
                <w:sz w:val="17"/>
                <w:szCs w:val="17"/>
                <w:color w:val="auto"/>
              </w:rPr>
            </w:pPr>
          </w:p>
        </w:tc>
        <w:tc>
          <w:tcPr>
            <w:tcW w:w="440" w:type="dxa"/>
            <w:vAlign w:val="bottom"/>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w:t>
            </w:r>
          </w:p>
        </w:tc>
        <w:tc>
          <w:tcPr>
            <w:tcW w:w="10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97.2</w:t>
            </w:r>
          </w:p>
        </w:tc>
        <w:tc>
          <w:tcPr>
            <w:tcW w:w="120" w:type="dxa"/>
            <w:vAlign w:val="bottom"/>
          </w:tcPr>
          <w:p>
            <w:pPr>
              <w:spacing w:after="0"/>
              <w:rPr>
                <w:sz w:val="17"/>
                <w:szCs w:val="17"/>
                <w:color w:val="auto"/>
              </w:rPr>
            </w:pPr>
          </w:p>
        </w:tc>
        <w:tc>
          <w:tcPr>
            <w:tcW w:w="52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96.1</w:t>
            </w:r>
          </w:p>
        </w:tc>
        <w:tc>
          <w:tcPr>
            <w:tcW w:w="20" w:type="dxa"/>
            <w:vAlign w:val="bottom"/>
          </w:tcPr>
          <w:p>
            <w:pPr>
              <w:spacing w:after="0"/>
              <w:rPr>
                <w:sz w:val="17"/>
                <w:szCs w:val="17"/>
                <w:color w:val="auto"/>
              </w:rPr>
            </w:pPr>
          </w:p>
        </w:tc>
      </w:tr>
      <w:tr>
        <w:trPr>
          <w:trHeight w:val="139"/>
        </w:trPr>
        <w:tc>
          <w:tcPr>
            <w:tcW w:w="5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97"/>
        </w:trPr>
        <w:tc>
          <w:tcPr>
            <w:tcW w:w="56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Nonconsolidated reportable segments: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VMO2 JV</w:t>
            </w:r>
          </w:p>
        </w:tc>
        <w:tc>
          <w:tcPr>
            <w:tcW w:w="32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1,052.0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1,229.4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3,064.8</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3,484.0</w:t>
            </w:r>
          </w:p>
        </w:tc>
        <w:tc>
          <w:tcPr>
            <w:tcW w:w="20" w:type="dxa"/>
            <w:vAlign w:val="bottom"/>
            <w:shd w:val="clear" w:color="auto" w:fill="CCEEFF"/>
          </w:tcPr>
          <w:p>
            <w:pPr>
              <w:spacing w:after="0"/>
              <w:rPr>
                <w:sz w:val="17"/>
                <w:szCs w:val="17"/>
                <w:color w:val="auto"/>
              </w:rPr>
            </w:pPr>
          </w:p>
        </w:tc>
      </w:tr>
      <w:tr>
        <w:trPr>
          <w:trHeight w:val="197"/>
        </w:trPr>
        <w:tc>
          <w:tcPr>
            <w:tcW w:w="56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VodafoneZiggo JV</w:t>
            </w:r>
          </w:p>
        </w:tc>
        <w:tc>
          <w:tcPr>
            <w:tcW w:w="320" w:type="dxa"/>
            <w:vAlign w:val="bottom"/>
            <w:gridSpan w:val="2"/>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237.7</w:t>
            </w:r>
          </w:p>
        </w:tc>
        <w:tc>
          <w:tcPr>
            <w:tcW w:w="100" w:type="dxa"/>
            <w:vAlign w:val="bottom"/>
          </w:tcPr>
          <w:p>
            <w:pPr>
              <w:spacing w:after="0"/>
              <w:rPr>
                <w:sz w:val="17"/>
                <w:szCs w:val="17"/>
                <w:color w:val="auto"/>
              </w:rPr>
            </w:pPr>
          </w:p>
        </w:tc>
        <w:tc>
          <w:tcPr>
            <w:tcW w:w="440" w:type="dxa"/>
            <w:vAlign w:val="bottom"/>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238.3</w:t>
            </w:r>
          </w:p>
        </w:tc>
        <w:tc>
          <w:tcPr>
            <w:tcW w:w="10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683.4</w:t>
            </w:r>
          </w:p>
        </w:tc>
        <w:tc>
          <w:tcPr>
            <w:tcW w:w="120" w:type="dxa"/>
            <w:vAlign w:val="bottom"/>
          </w:tcPr>
          <w:p>
            <w:pPr>
              <w:spacing w:after="0"/>
              <w:rPr>
                <w:sz w:val="17"/>
                <w:szCs w:val="17"/>
                <w:color w:val="auto"/>
              </w:rPr>
            </w:pPr>
          </w:p>
        </w:tc>
        <w:tc>
          <w:tcPr>
            <w:tcW w:w="52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661.7</w:t>
            </w:r>
          </w:p>
        </w:tc>
        <w:tc>
          <w:tcPr>
            <w:tcW w:w="20" w:type="dxa"/>
            <w:vAlign w:val="bottom"/>
          </w:tcPr>
          <w:p>
            <w:pPr>
              <w:spacing w:after="0"/>
              <w:rPr>
                <w:sz w:val="17"/>
                <w:szCs w:val="17"/>
                <w:color w:val="auto"/>
              </w:rPr>
            </w:pPr>
          </w:p>
        </w:tc>
      </w:tr>
      <w:tr>
        <w:trPr>
          <w:trHeight w:val="232"/>
        </w:trPr>
        <w:tc>
          <w:tcPr>
            <w:tcW w:w="56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197"/>
        </w:trPr>
        <w:tc>
          <w:tcPr>
            <w:tcW w:w="562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Operating expenses: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Consolidated reportable segments:</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97"/>
        </w:trPr>
        <w:tc>
          <w:tcPr>
            <w:tcW w:w="56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Telenet</w:t>
            </w:r>
          </w:p>
        </w:tc>
        <w:tc>
          <w:tcPr>
            <w:tcW w:w="320" w:type="dxa"/>
            <w:vAlign w:val="bottom"/>
            <w:gridSpan w:val="2"/>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278.3</w:t>
            </w:r>
          </w:p>
        </w:tc>
        <w:tc>
          <w:tcPr>
            <w:tcW w:w="100" w:type="dxa"/>
            <w:vAlign w:val="bottom"/>
          </w:tcPr>
          <w:p>
            <w:pPr>
              <w:spacing w:after="0"/>
              <w:rPr>
                <w:sz w:val="17"/>
                <w:szCs w:val="17"/>
                <w:color w:val="auto"/>
              </w:rPr>
            </w:pPr>
          </w:p>
        </w:tc>
        <w:tc>
          <w:tcPr>
            <w:tcW w:w="440" w:type="dxa"/>
            <w:vAlign w:val="bottom"/>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250.3</w:t>
            </w:r>
          </w:p>
        </w:tc>
        <w:tc>
          <w:tcPr>
            <w:tcW w:w="10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809.6</w:t>
            </w:r>
          </w:p>
        </w:tc>
        <w:tc>
          <w:tcPr>
            <w:tcW w:w="120" w:type="dxa"/>
            <w:vAlign w:val="bottom"/>
          </w:tcPr>
          <w:p>
            <w:pPr>
              <w:spacing w:after="0"/>
              <w:rPr>
                <w:sz w:val="17"/>
                <w:szCs w:val="17"/>
                <w:color w:val="auto"/>
              </w:rPr>
            </w:pPr>
          </w:p>
        </w:tc>
        <w:tc>
          <w:tcPr>
            <w:tcW w:w="52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765.7</w:t>
            </w:r>
          </w:p>
        </w:tc>
        <w:tc>
          <w:tcPr>
            <w:tcW w:w="20" w:type="dxa"/>
            <w:vAlign w:val="bottom"/>
          </w:tcPr>
          <w:p>
            <w:pPr>
              <w:spacing w:after="0"/>
              <w:rPr>
                <w:sz w:val="17"/>
                <w:szCs w:val="17"/>
                <w:color w:val="auto"/>
              </w:rPr>
            </w:pPr>
          </w:p>
        </w:tc>
      </w:tr>
      <w:tr>
        <w:trPr>
          <w:trHeight w:val="197"/>
        </w:trPr>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VM Ireland</w:t>
            </w:r>
          </w:p>
        </w:tc>
        <w:tc>
          <w:tcPr>
            <w:tcW w:w="32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49.8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143.2</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139.6</w:t>
            </w:r>
          </w:p>
        </w:tc>
        <w:tc>
          <w:tcPr>
            <w:tcW w:w="20" w:type="dxa"/>
            <w:vAlign w:val="bottom"/>
            <w:shd w:val="clear" w:color="auto" w:fill="CCEEFF"/>
          </w:tcPr>
          <w:p>
            <w:pPr>
              <w:spacing w:after="0"/>
              <w:rPr>
                <w:sz w:val="17"/>
                <w:szCs w:val="17"/>
                <w:color w:val="auto"/>
              </w:rPr>
            </w:pPr>
          </w:p>
        </w:tc>
      </w:tr>
      <w:tr>
        <w:trPr>
          <w:trHeight w:val="139"/>
        </w:trPr>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7"/>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Nonconsolidated reportable segments:</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97"/>
        </w:trPr>
        <w:tc>
          <w:tcPr>
            <w:tcW w:w="56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VMO2 JV</w:t>
            </w:r>
          </w:p>
        </w:tc>
        <w:tc>
          <w:tcPr>
            <w:tcW w:w="320" w:type="dxa"/>
            <w:vAlign w:val="bottom"/>
            <w:gridSpan w:val="2"/>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1,133.7</w:t>
            </w:r>
          </w:p>
        </w:tc>
        <w:tc>
          <w:tcPr>
            <w:tcW w:w="100" w:type="dxa"/>
            <w:vAlign w:val="bottom"/>
          </w:tcPr>
          <w:p>
            <w:pPr>
              <w:spacing w:after="0"/>
              <w:rPr>
                <w:sz w:val="17"/>
                <w:szCs w:val="17"/>
                <w:color w:val="auto"/>
              </w:rPr>
            </w:pPr>
          </w:p>
        </w:tc>
        <w:tc>
          <w:tcPr>
            <w:tcW w:w="440" w:type="dxa"/>
            <w:vAlign w:val="bottom"/>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1,112.4</w:t>
            </w:r>
          </w:p>
        </w:tc>
        <w:tc>
          <w:tcPr>
            <w:tcW w:w="10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3,375.0</w:t>
            </w:r>
          </w:p>
        </w:tc>
        <w:tc>
          <w:tcPr>
            <w:tcW w:w="120" w:type="dxa"/>
            <w:vAlign w:val="bottom"/>
          </w:tcPr>
          <w:p>
            <w:pPr>
              <w:spacing w:after="0"/>
              <w:rPr>
                <w:sz w:val="17"/>
                <w:szCs w:val="17"/>
                <w:color w:val="auto"/>
              </w:rPr>
            </w:pPr>
          </w:p>
        </w:tc>
        <w:tc>
          <w:tcPr>
            <w:tcW w:w="52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3,310.0</w:t>
            </w:r>
          </w:p>
        </w:tc>
        <w:tc>
          <w:tcPr>
            <w:tcW w:w="20" w:type="dxa"/>
            <w:vAlign w:val="bottom"/>
          </w:tcPr>
          <w:p>
            <w:pPr>
              <w:spacing w:after="0"/>
              <w:rPr>
                <w:sz w:val="17"/>
                <w:szCs w:val="17"/>
                <w:color w:val="auto"/>
              </w:rPr>
            </w:pPr>
          </w:p>
        </w:tc>
      </w:tr>
      <w:tr>
        <w:trPr>
          <w:trHeight w:val="197"/>
        </w:trPr>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VodafoneZiggo JV</w:t>
            </w:r>
          </w:p>
        </w:tc>
        <w:tc>
          <w:tcPr>
            <w:tcW w:w="32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396.9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365.0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1,166.7</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1,109.5</w:t>
            </w:r>
          </w:p>
        </w:tc>
        <w:tc>
          <w:tcPr>
            <w:tcW w:w="20" w:type="dxa"/>
            <w:vAlign w:val="bottom"/>
            <w:shd w:val="clear" w:color="auto" w:fill="CCEEFF"/>
          </w:tcPr>
          <w:p>
            <w:pPr>
              <w:spacing w:after="0"/>
              <w:rPr>
                <w:sz w:val="17"/>
                <w:szCs w:val="17"/>
                <w:color w:val="auto"/>
              </w:rPr>
            </w:pPr>
          </w:p>
        </w:tc>
      </w:tr>
      <w:tr>
        <w:trPr>
          <w:trHeight w:val="484"/>
        </w:trPr>
        <w:tc>
          <w:tcPr>
            <w:tcW w:w="5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5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33"/>
        </w:trPr>
        <w:tc>
          <w:tcPr>
            <w:tcW w:w="5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40" w:type="dxa"/>
            <w:vAlign w:val="bottom"/>
            <w:gridSpan w:val="5"/>
          </w:tcPr>
          <w:p>
            <w:pPr>
              <w:jc w:val="center"/>
              <w:ind w:right="400"/>
              <w:spacing w:after="0" w:line="133" w:lineRule="exact"/>
              <w:rPr>
                <w:sz w:val="20"/>
                <w:szCs w:val="20"/>
                <w:color w:val="auto"/>
              </w:rPr>
            </w:pPr>
            <w:r>
              <w:rPr>
                <w:rFonts w:ascii="Times New Roman" w:cs="Times New Roman" w:eastAsia="Times New Roman" w:hAnsi="Times New Roman"/>
                <w:sz w:val="14"/>
                <w:szCs w:val="14"/>
                <w:b w:val="1"/>
                <w:bCs w:val="1"/>
                <w:color w:val="auto"/>
                <w:w w:val="99"/>
              </w:rPr>
              <w:t>Three months ended</w:t>
            </w:r>
          </w:p>
        </w:tc>
        <w:tc>
          <w:tcPr>
            <w:tcW w:w="400" w:type="dxa"/>
            <w:vAlign w:val="bottom"/>
          </w:tcPr>
          <w:p>
            <w:pPr>
              <w:spacing w:after="0"/>
              <w:rPr>
                <w:sz w:val="11"/>
                <w:szCs w:val="11"/>
                <w:color w:val="auto"/>
              </w:rPr>
            </w:pPr>
          </w:p>
        </w:tc>
        <w:tc>
          <w:tcPr>
            <w:tcW w:w="1560" w:type="dxa"/>
            <w:vAlign w:val="bottom"/>
            <w:gridSpan w:val="3"/>
          </w:tcPr>
          <w:p>
            <w:pPr>
              <w:jc w:val="center"/>
              <w:ind w:left="325"/>
              <w:spacing w:after="0" w:line="133"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4"/>
        </w:trPr>
        <w:tc>
          <w:tcPr>
            <w:tcW w:w="5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50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325"/>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8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7"/>
        </w:trPr>
        <w:tc>
          <w:tcPr>
            <w:tcW w:w="5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0" w:type="dxa"/>
            <w:vAlign w:val="bottom"/>
          </w:tcPr>
          <w:p>
            <w:pPr>
              <w:spacing w:after="0"/>
              <w:rPr>
                <w:sz w:val="15"/>
                <w:szCs w:val="15"/>
                <w:color w:val="auto"/>
              </w:rPr>
            </w:pPr>
          </w:p>
        </w:tc>
      </w:tr>
      <w:tr>
        <w:trPr>
          <w:trHeight w:val="176"/>
        </w:trPr>
        <w:tc>
          <w:tcPr>
            <w:tcW w:w="5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gridSpan w:val="3"/>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0"/>
        </w:trPr>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Telenet</w:t>
            </w:r>
          </w:p>
        </w:tc>
        <w:tc>
          <w:tcPr>
            <w:tcW w:w="32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358.9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998.4</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981.2</w:t>
            </w:r>
          </w:p>
        </w:tc>
        <w:tc>
          <w:tcPr>
            <w:tcW w:w="20" w:type="dxa"/>
            <w:vAlign w:val="bottom"/>
          </w:tcPr>
          <w:p>
            <w:pPr>
              <w:spacing w:after="0"/>
              <w:rPr>
                <w:sz w:val="17"/>
                <w:szCs w:val="17"/>
                <w:color w:val="auto"/>
              </w:rPr>
            </w:pPr>
          </w:p>
        </w:tc>
      </w:tr>
      <w:tr>
        <w:trPr>
          <w:trHeight w:val="197"/>
        </w:trPr>
        <w:tc>
          <w:tcPr>
            <w:tcW w:w="5620" w:type="dxa"/>
            <w:vAlign w:val="bottom"/>
          </w:tcPr>
          <w:p>
            <w:pPr>
              <w:spacing w:after="0"/>
              <w:rPr>
                <w:sz w:val="20"/>
                <w:szCs w:val="20"/>
                <w:color w:val="auto"/>
              </w:rPr>
            </w:pPr>
            <w:r>
              <w:rPr>
                <w:rFonts w:ascii="Times New Roman" w:cs="Times New Roman" w:eastAsia="Times New Roman" w:hAnsi="Times New Roman"/>
                <w:sz w:val="15"/>
                <w:szCs w:val="15"/>
                <w:color w:val="auto"/>
              </w:rPr>
              <w:t>VM Ireland</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120.4</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127.1</w:t>
            </w:r>
          </w:p>
        </w:tc>
        <w:tc>
          <w:tcPr>
            <w:tcW w:w="20" w:type="dxa"/>
            <w:vAlign w:val="bottom"/>
          </w:tcPr>
          <w:p>
            <w:pPr>
              <w:spacing w:after="0"/>
              <w:rPr>
                <w:sz w:val="17"/>
                <w:szCs w:val="17"/>
                <w:color w:val="auto"/>
              </w:rPr>
            </w:pPr>
          </w:p>
        </w:tc>
      </w:tr>
      <w:tr>
        <w:trPr>
          <w:trHeight w:val="19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VMO2 JV (nonconsolidated)</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1,250.3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1,170.9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3,496.0</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3,376.9</w:t>
            </w:r>
          </w:p>
        </w:tc>
        <w:tc>
          <w:tcPr>
            <w:tcW w:w="20" w:type="dxa"/>
            <w:vAlign w:val="bottom"/>
          </w:tcPr>
          <w:p>
            <w:pPr>
              <w:spacing w:after="0"/>
              <w:rPr>
                <w:sz w:val="17"/>
                <w:szCs w:val="17"/>
                <w:color w:val="auto"/>
              </w:rPr>
            </w:pPr>
          </w:p>
        </w:tc>
      </w:tr>
      <w:tr>
        <w:trPr>
          <w:trHeight w:val="197"/>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VodafoneZiggo JV (nonconsolidated)</w:t>
            </w: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522.2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527.8</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1,482.0</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1,565.5</w:t>
            </w:r>
          </w:p>
        </w:tc>
        <w:tc>
          <w:tcPr>
            <w:tcW w:w="20" w:type="dxa"/>
            <w:vAlign w:val="bottom"/>
          </w:tcPr>
          <w:p>
            <w:pPr>
              <w:spacing w:after="0"/>
              <w:rPr>
                <w:sz w:val="17"/>
                <w:szCs w:val="17"/>
                <w:color w:val="auto"/>
              </w:rPr>
            </w:pPr>
          </w:p>
        </w:tc>
      </w:tr>
      <w:tr>
        <w:trPr>
          <w:trHeight w:val="213"/>
        </w:trPr>
        <w:tc>
          <w:tcPr>
            <w:tcW w:w="5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reportable segment Adjusted EBITDA</w:t>
            </w: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2,173.2</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2,101.0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6,096.8</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6,050.7</w:t>
            </w:r>
          </w:p>
        </w:tc>
        <w:tc>
          <w:tcPr>
            <w:tcW w:w="20" w:type="dxa"/>
            <w:vAlign w:val="bottom"/>
          </w:tcPr>
          <w:p>
            <w:pPr>
              <w:spacing w:after="0"/>
              <w:rPr>
                <w:sz w:val="18"/>
                <w:szCs w:val="18"/>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50" w:name="page51"/>
    <w:bookmarkEnd w:id="50"/>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color w:val="auto"/>
        </w:rPr>
        <w:t>The following table provides a reconciliation of total reportable segment Adjusted EBITDA to loss from continuing operations before income taxes:</w:t>
      </w:r>
    </w:p>
    <w:p>
      <w:pPr>
        <w:spacing w:after="0" w:line="109"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2260" w:type="dxa"/>
            <w:vAlign w:val="bottom"/>
            <w:gridSpan w:val="4"/>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4"/>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9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6"/>
        </w:trPr>
        <w:tc>
          <w:tcPr>
            <w:tcW w:w="5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gridSpan w:val="3"/>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reportable segment Adjusted EBITDA</w:t>
            </w: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2,173.2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2,101.0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6,096.8</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6,050.7</w:t>
            </w:r>
          </w:p>
        </w:tc>
        <w:tc>
          <w:tcPr>
            <w:tcW w:w="0" w:type="dxa"/>
            <w:vAlign w:val="bottom"/>
          </w:tcPr>
          <w:p>
            <w:pPr>
              <w:spacing w:after="0"/>
              <w:rPr>
                <w:sz w:val="1"/>
                <w:szCs w:val="1"/>
                <w:color w:val="auto"/>
              </w:rPr>
            </w:pPr>
          </w:p>
        </w:tc>
      </w:tr>
      <w:tr>
        <w:trPr>
          <w:trHeight w:val="197"/>
        </w:trPr>
        <w:tc>
          <w:tcPr>
            <w:tcW w:w="59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Plus: all other category</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(94.4)</w:t>
            </w:r>
          </w:p>
        </w:tc>
        <w:tc>
          <w:tcPr>
            <w:tcW w:w="0" w:type="dxa"/>
            <w:vAlign w:val="bottom"/>
          </w:tcPr>
          <w:p>
            <w:pPr>
              <w:spacing w:after="0"/>
              <w:rPr>
                <w:sz w:val="1"/>
                <w:szCs w:val="1"/>
                <w:color w:val="auto"/>
              </w:rPr>
            </w:pPr>
          </w:p>
        </w:tc>
      </w:tr>
      <w:tr>
        <w:trPr>
          <w:trHeight w:val="197"/>
        </w:trPr>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Less: nonconsolidated JV Adjusted EBITDA</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(1,772.5)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(1,698.7)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(4,978.0)</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(4,942.4)</w:t>
            </w:r>
          </w:p>
        </w:tc>
        <w:tc>
          <w:tcPr>
            <w:tcW w:w="0" w:type="dxa"/>
            <w:vAlign w:val="bottom"/>
          </w:tcPr>
          <w:p>
            <w:pPr>
              <w:spacing w:after="0"/>
              <w:rPr>
                <w:sz w:val="1"/>
                <w:szCs w:val="1"/>
                <w:color w:val="auto"/>
              </w:rPr>
            </w:pPr>
          </w:p>
        </w:tc>
      </w:tr>
      <w:tr>
        <w:trPr>
          <w:trHeight w:val="197"/>
        </w:trPr>
        <w:tc>
          <w:tcPr>
            <w:tcW w:w="59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Less: intercompany consolidated eliminations (a)</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(101.9)</w:t>
            </w:r>
          </w:p>
        </w:tc>
        <w:tc>
          <w:tcPr>
            <w:tcW w:w="0" w:type="dxa"/>
            <w:vAlign w:val="bottom"/>
          </w:tcPr>
          <w:p>
            <w:pPr>
              <w:spacing w:after="0"/>
              <w:rPr>
                <w:sz w:val="1"/>
                <w:szCs w:val="1"/>
                <w:color w:val="auto"/>
              </w:rPr>
            </w:pPr>
          </w:p>
        </w:tc>
      </w:tr>
      <w:tr>
        <w:trPr>
          <w:trHeight w:val="197"/>
        </w:trPr>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(129.4)</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(129.4)</w:t>
            </w:r>
          </w:p>
        </w:tc>
        <w:tc>
          <w:tcPr>
            <w:tcW w:w="0" w:type="dxa"/>
            <w:vAlign w:val="bottom"/>
          </w:tcPr>
          <w:p>
            <w:pPr>
              <w:spacing w:after="0"/>
              <w:rPr>
                <w:sz w:val="1"/>
                <w:szCs w:val="1"/>
                <w:color w:val="auto"/>
              </w:rPr>
            </w:pPr>
          </w:p>
        </w:tc>
      </w:tr>
      <w:tr>
        <w:trPr>
          <w:trHeight w:val="197"/>
        </w:trPr>
        <w:tc>
          <w:tcPr>
            <w:tcW w:w="59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(758.9)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(750.4)</w:t>
            </w:r>
          </w:p>
        </w:tc>
        <w:tc>
          <w:tcPr>
            <w:tcW w:w="0" w:type="dxa"/>
            <w:vAlign w:val="bottom"/>
          </w:tcPr>
          <w:p>
            <w:pPr>
              <w:spacing w:after="0"/>
              <w:rPr>
                <w:sz w:val="1"/>
                <w:szCs w:val="1"/>
                <w:color w:val="auto"/>
              </w:rPr>
            </w:pPr>
          </w:p>
        </w:tc>
      </w:tr>
      <w:tr>
        <w:trPr>
          <w:trHeight w:val="197"/>
        </w:trPr>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Impairment, restructuring and other operating items, net</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(44.1)</w:t>
            </w:r>
          </w:p>
        </w:tc>
        <w:tc>
          <w:tcPr>
            <w:tcW w:w="0" w:type="dxa"/>
            <w:vAlign w:val="bottom"/>
          </w:tcPr>
          <w:p>
            <w:pPr>
              <w:spacing w:after="0"/>
              <w:rPr>
                <w:sz w:val="1"/>
                <w:szCs w:val="1"/>
                <w:color w:val="auto"/>
              </w:rPr>
            </w:pPr>
          </w:p>
        </w:tc>
      </w:tr>
      <w:tr>
        <w:trPr>
          <w:trHeight w:val="188"/>
        </w:trPr>
        <w:tc>
          <w:tcPr>
            <w:tcW w:w="5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Operating income (loss)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0" w:type="dxa"/>
            <w:vAlign w:val="bottom"/>
          </w:tcPr>
          <w:p>
            <w:pPr>
              <w:spacing w:after="0"/>
              <w:rPr>
                <w:sz w:val="1"/>
                <w:szCs w:val="1"/>
                <w:color w:val="auto"/>
              </w:rPr>
            </w:pPr>
          </w:p>
        </w:tc>
      </w:tr>
      <w:tr>
        <w:trPr>
          <w:trHeight w:val="197"/>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(380.3)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(434.2)</w:t>
            </w:r>
          </w:p>
        </w:tc>
        <w:tc>
          <w:tcPr>
            <w:tcW w:w="0" w:type="dxa"/>
            <w:vAlign w:val="bottom"/>
          </w:tcPr>
          <w:p>
            <w:pPr>
              <w:spacing w:after="0"/>
              <w:rPr>
                <w:sz w:val="1"/>
                <w:szCs w:val="1"/>
                <w:color w:val="auto"/>
              </w:rPr>
            </w:pPr>
          </w:p>
        </w:tc>
      </w:tr>
      <w:tr>
        <w:trPr>
          <w:trHeight w:val="197"/>
        </w:trPr>
        <w:tc>
          <w:tcPr>
            <w:tcW w:w="5900" w:type="dxa"/>
            <w:vAlign w:val="bottom"/>
          </w:tcPr>
          <w:p>
            <w:pPr>
              <w:spacing w:after="0"/>
              <w:rPr>
                <w:sz w:val="20"/>
                <w:szCs w:val="20"/>
                <w:color w:val="auto"/>
              </w:rPr>
            </w:pPr>
            <w:r>
              <w:rPr>
                <w:rFonts w:ascii="Times New Roman" w:cs="Times New Roman" w:eastAsia="Times New Roman" w:hAnsi="Times New Roman"/>
                <w:sz w:val="15"/>
                <w:szCs w:val="15"/>
                <w:color w:val="auto"/>
              </w:rPr>
              <w:t>Realized and unrealized losses on derivative instruments, net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(39.3)</w:t>
            </w:r>
          </w:p>
        </w:tc>
        <w:tc>
          <w:tcPr>
            <w:tcW w:w="0" w:type="dxa"/>
            <w:vAlign w:val="bottom"/>
          </w:tcPr>
          <w:p>
            <w:pPr>
              <w:spacing w:after="0"/>
              <w:rPr>
                <w:sz w:val="1"/>
                <w:szCs w:val="1"/>
                <w:color w:val="auto"/>
              </w:rPr>
            </w:pPr>
          </w:p>
        </w:tc>
      </w:tr>
      <w:tr>
        <w:trPr>
          <w:trHeight w:val="197"/>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Foreign currency transaction gains (losses), net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(934.9)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(3,160.9)</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(202.1)</w:t>
            </w:r>
          </w:p>
        </w:tc>
        <w:tc>
          <w:tcPr>
            <w:tcW w:w="0" w:type="dxa"/>
            <w:vAlign w:val="bottom"/>
          </w:tcPr>
          <w:p>
            <w:pPr>
              <w:spacing w:after="0"/>
              <w:rPr>
                <w:sz w:val="1"/>
                <w:szCs w:val="1"/>
                <w:color w:val="auto"/>
              </w:rPr>
            </w:pPr>
          </w:p>
        </w:tc>
      </w:tr>
      <w:tr>
        <w:trPr>
          <w:trHeight w:val="197"/>
        </w:trPr>
        <w:tc>
          <w:tcPr>
            <w:tcW w:w="5900" w:type="dxa"/>
            <w:vAlign w:val="bottom"/>
          </w:tcPr>
          <w:p>
            <w:pPr>
              <w:spacing w:after="0"/>
              <w:rPr>
                <w:sz w:val="20"/>
                <w:szCs w:val="20"/>
                <w:color w:val="auto"/>
              </w:rPr>
            </w:pPr>
            <w:r>
              <w:rPr>
                <w:rFonts w:ascii="Times New Roman" w:cs="Times New Roman" w:eastAsia="Times New Roman" w:hAnsi="Times New Roman"/>
                <w:sz w:val="15"/>
                <w:szCs w:val="15"/>
                <w:color w:val="auto"/>
              </w:rPr>
              <w:t>Realized and unrealized gains (losses) due to changes in fair values of certain investments, net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w:t>
            </w:r>
          </w:p>
        </w:tc>
        <w:tc>
          <w:tcPr>
            <w:tcW w:w="0" w:type="dxa"/>
            <w:vAlign w:val="bottom"/>
          </w:tcPr>
          <w:p>
            <w:pPr>
              <w:spacing w:after="0"/>
              <w:rPr>
                <w:sz w:val="1"/>
                <w:szCs w:val="1"/>
                <w:color w:val="auto"/>
              </w:rPr>
            </w:pPr>
          </w:p>
        </w:tc>
      </w:tr>
      <w:tr>
        <w:trPr>
          <w:trHeight w:val="197"/>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Losses on debt extinguishment, net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5900" w:type="dxa"/>
            <w:vAlign w:val="bottom"/>
          </w:tcPr>
          <w:p>
            <w:pPr>
              <w:spacing w:after="0"/>
              <w:rPr>
                <w:sz w:val="20"/>
                <w:szCs w:val="20"/>
                <w:color w:val="auto"/>
              </w:rPr>
            </w:pPr>
            <w:r>
              <w:rPr>
                <w:rFonts w:ascii="Times New Roman" w:cs="Times New Roman" w:eastAsia="Times New Roman" w:hAnsi="Times New Roman"/>
                <w:sz w:val="15"/>
                <w:szCs w:val="15"/>
                <w:color w:val="auto"/>
              </w:rPr>
              <w:t>Share of results of affiliates, net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(455.9)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(164.4)</w:t>
            </w:r>
          </w:p>
        </w:tc>
        <w:tc>
          <w:tcPr>
            <w:tcW w:w="0" w:type="dxa"/>
            <w:vAlign w:val="bottom"/>
          </w:tcPr>
          <w:p>
            <w:pPr>
              <w:spacing w:after="0"/>
              <w:rPr>
                <w:sz w:val="1"/>
                <w:szCs w:val="1"/>
                <w:color w:val="auto"/>
              </w:rPr>
            </w:pPr>
          </w:p>
        </w:tc>
      </w:tr>
      <w:tr>
        <w:trPr>
          <w:trHeight w:val="197"/>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Gain on sale of All3Media</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242.9</w:t>
            </w:r>
          </w:p>
        </w:tc>
        <w:tc>
          <w:tcPr>
            <w:tcW w:w="0" w:type="dxa"/>
            <w:vAlign w:val="bottom"/>
          </w:tcPr>
          <w:p>
            <w:pPr>
              <w:spacing w:after="0"/>
              <w:rPr>
                <w:sz w:val="1"/>
                <w:szCs w:val="1"/>
                <w:color w:val="auto"/>
              </w:rPr>
            </w:pPr>
          </w:p>
        </w:tc>
      </w:tr>
      <w:tr>
        <w:trPr>
          <w:trHeight w:val="197"/>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 income, net</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80.0</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166.0</w:t>
            </w:r>
          </w:p>
        </w:tc>
        <w:tc>
          <w:tcPr>
            <w:tcW w:w="0" w:type="dxa"/>
            <w:vAlign w:val="bottom"/>
          </w:tcPr>
          <w:p>
            <w:pPr>
              <w:spacing w:after="0"/>
              <w:rPr>
                <w:sz w:val="1"/>
                <w:szCs w:val="1"/>
                <w:color w:val="auto"/>
              </w:rPr>
            </w:pPr>
          </w:p>
        </w:tc>
      </w:tr>
      <w:tr>
        <w:trPr>
          <w:trHeight w:val="213"/>
        </w:trPr>
        <w:tc>
          <w:tcPr>
            <w:tcW w:w="5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Loss from continuing operations before income taxes</w:t>
            </w: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(130.3)</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(1,434.9)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(4,296.5)</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(405.3)</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_____________</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9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07" w:right="20" w:hanging="407"/>
        <w:spacing w:after="0" w:line="267" w:lineRule="auto"/>
        <w:tabs>
          <w:tab w:leader="none" w:pos="405"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relate to (i) the Adjusted EBITDA impact related to the Tech Framework and (ii) for the 2024 periods, transactions between our continuing and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51" w:name="page52"/>
    <w:bookmarkEnd w:id="51"/>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4"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Property and Equipment Additions of our Reportable Segments</w:t>
      </w:r>
    </w:p>
    <w:p>
      <w:pPr>
        <w:spacing w:after="0" w:line="225" w:lineRule="exact"/>
        <w:rPr>
          <w:sz w:val="20"/>
          <w:szCs w:val="20"/>
          <w:color w:val="auto"/>
        </w:rPr>
      </w:pPr>
    </w:p>
    <w:p>
      <w:pPr>
        <w:jc w:val="both"/>
        <w:ind w:left="7" w:right="20" w:firstLine="278"/>
        <w:spacing w:after="0" w:line="276" w:lineRule="auto"/>
        <w:rPr>
          <w:sz w:val="20"/>
          <w:szCs w:val="20"/>
          <w:color w:val="auto"/>
        </w:rPr>
      </w:pPr>
      <w:r>
        <w:rPr>
          <w:rFonts w:ascii="Times New Roman" w:cs="Times New Roman" w:eastAsia="Times New Roman" w:hAnsi="Times New Roman"/>
          <w:sz w:val="15"/>
          <w:szCs w:val="15"/>
          <w:color w:val="auto"/>
        </w:rPr>
        <w:t>The property and equipment additions of our reportable segments (including capital additions financed under capital-related vendor financing or finance lease arrangements) are presented below and reconciled to the capital expenditure amounts included in our condensed consolidated statements of cash flows. For additional information concerning capital additions financed under vendor financing and finance lease arrangements, see notes 8 and 10, respectively.</w:t>
      </w:r>
    </w:p>
    <w:p>
      <w:pPr>
        <w:spacing w:after="0" w:line="72"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5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81"/>
        </w:trPr>
        <w:tc>
          <w:tcPr>
            <w:tcW w:w="852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5"/>
        </w:trPr>
        <w:tc>
          <w:tcPr>
            <w:tcW w:w="8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3"/>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spacing w:after="0"/>
              <w:rPr>
                <w:sz w:val="15"/>
                <w:szCs w:val="15"/>
                <w:color w:val="auto"/>
              </w:rPr>
            </w:pPr>
          </w:p>
        </w:tc>
      </w:tr>
      <w:tr>
        <w:trPr>
          <w:trHeight w:val="140"/>
        </w:trPr>
        <w:tc>
          <w:tcPr>
            <w:tcW w:w="8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97"/>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Telenet</w:t>
            </w:r>
          </w:p>
        </w:tc>
        <w:tc>
          <w:tcPr>
            <w:tcW w:w="3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765.6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611.5</w:t>
            </w:r>
          </w:p>
        </w:tc>
      </w:tr>
      <w:tr>
        <w:trPr>
          <w:trHeight w:val="197"/>
        </w:trPr>
        <w:tc>
          <w:tcPr>
            <w:tcW w:w="8520" w:type="dxa"/>
            <w:vAlign w:val="bottom"/>
          </w:tcPr>
          <w:p>
            <w:pPr>
              <w:spacing w:after="0"/>
              <w:rPr>
                <w:sz w:val="20"/>
                <w:szCs w:val="20"/>
                <w:color w:val="auto"/>
              </w:rPr>
            </w:pPr>
            <w:r>
              <w:rPr>
                <w:rFonts w:ascii="Times New Roman" w:cs="Times New Roman" w:eastAsia="Times New Roman" w:hAnsi="Times New Roman"/>
                <w:sz w:val="15"/>
                <w:szCs w:val="15"/>
                <w:color w:val="auto"/>
              </w:rPr>
              <w:t>VM Ireland</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125.3</w:t>
            </w:r>
          </w:p>
        </w:tc>
      </w:tr>
      <w:tr>
        <w:trPr>
          <w:trHeight w:val="197"/>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VMO2 JV (nonconsolidated)</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1,914.8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1,959.6</w:t>
            </w:r>
          </w:p>
        </w:tc>
      </w:tr>
      <w:tr>
        <w:trPr>
          <w:trHeight w:val="197"/>
        </w:trPr>
        <w:tc>
          <w:tcPr>
            <w:tcW w:w="8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VodafoneZiggo JV (nonconsolidated)</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673.5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715.3</w:t>
            </w:r>
          </w:p>
        </w:tc>
      </w:tr>
      <w:tr>
        <w:trPr>
          <w:trHeight w:val="188"/>
        </w:trPr>
        <w:tc>
          <w:tcPr>
            <w:tcW w:w="8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Total reportable segment property and equipment additions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3,514.4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3,411.7</w:t>
            </w:r>
          </w:p>
        </w:tc>
      </w:tr>
      <w:tr>
        <w:trPr>
          <w:trHeight w:val="197"/>
        </w:trPr>
        <w:tc>
          <w:tcPr>
            <w:tcW w:w="8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Plus: all other category (a)</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w:t>
            </w:r>
          </w:p>
        </w:tc>
      </w:tr>
      <w:tr>
        <w:trPr>
          <w:trHeight w:val="197"/>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nonconsolidated JV property and equipment additions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(2,588.3)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(2,674.9)</w:t>
            </w:r>
          </w:p>
        </w:tc>
      </w:tr>
      <w:tr>
        <w:trPr>
          <w:trHeight w:val="197"/>
        </w:trPr>
        <w:tc>
          <w:tcPr>
            <w:tcW w:w="8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Less: elimination of intercompany consolidated property and equipment additions (b)</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(28.6)</w:t>
            </w:r>
          </w:p>
        </w:tc>
      </w:tr>
      <w:tr>
        <w:trPr>
          <w:trHeight w:val="188"/>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consolidated property and equipment additions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938.4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724.3</w:t>
            </w:r>
          </w:p>
        </w:tc>
      </w:tr>
      <w:tr>
        <w:trPr>
          <w:trHeight w:val="197"/>
        </w:trPr>
        <w:tc>
          <w:tcPr>
            <w:tcW w:w="8520" w:type="dxa"/>
            <w:vAlign w:val="bottom"/>
          </w:tcPr>
          <w:p>
            <w:pPr>
              <w:spacing w:after="0"/>
              <w:rPr>
                <w:sz w:val="20"/>
                <w:szCs w:val="20"/>
                <w:color w:val="auto"/>
              </w:rPr>
            </w:pPr>
            <w:r>
              <w:rPr>
                <w:rFonts w:ascii="Times New Roman" w:cs="Times New Roman" w:eastAsia="Times New Roman" w:hAnsi="Times New Roman"/>
                <w:sz w:val="15"/>
                <w:szCs w:val="15"/>
                <w:color w:val="auto"/>
              </w:rPr>
              <w:t>Assets acquired under capital-related vendor financing arrangements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(59.3)</w:t>
            </w:r>
          </w:p>
        </w:tc>
      </w:tr>
      <w:tr>
        <w:trPr>
          <w:trHeight w:val="197"/>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Assets acquired under finance leases</w:t>
            </w: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r>
      <w:tr>
        <w:trPr>
          <w:trHeight w:val="197"/>
        </w:trPr>
        <w:tc>
          <w:tcPr>
            <w:tcW w:w="8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Changes in current liabilities related to capital expenditures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(52.5)</w:t>
            </w:r>
          </w:p>
        </w:tc>
      </w:tr>
      <w:tr>
        <w:trPr>
          <w:trHeight w:val="213"/>
        </w:trPr>
        <w:tc>
          <w:tcPr>
            <w:tcW w:w="8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capital expenditures, net</w:t>
            </w:r>
          </w:p>
        </w:tc>
        <w:tc>
          <w:tcPr>
            <w:tcW w:w="30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905.5</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611.9</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_______________</w:t>
      </w:r>
    </w:p>
    <w:p>
      <w:pPr>
        <w:spacing w:after="0" w:line="221" w:lineRule="exact"/>
        <w:rPr>
          <w:sz w:val="20"/>
          <w:szCs w:val="20"/>
          <w:color w:val="auto"/>
        </w:rPr>
      </w:pPr>
    </w:p>
    <w:p>
      <w:pPr>
        <w:ind w:left="407" w:right="20" w:hanging="407"/>
        <w:spacing w:after="0" w:line="295" w:lineRule="auto"/>
        <w:tabs>
          <w:tab w:leader="none" w:pos="405"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 property and equipment additions representing centrally-owned assets that benefit other operating segments and (ii) the net impact of certain centrally-procured network equipment that is ultimately transferred to other operating segments.</w:t>
      </w:r>
    </w:p>
    <w:p>
      <w:pPr>
        <w:spacing w:after="0" w:line="154" w:lineRule="exact"/>
        <w:rPr>
          <w:rFonts w:ascii="Times New Roman" w:cs="Times New Roman" w:eastAsia="Times New Roman" w:hAnsi="Times New Roman"/>
          <w:sz w:val="15"/>
          <w:szCs w:val="15"/>
          <w:color w:val="auto"/>
        </w:rPr>
      </w:pPr>
    </w:p>
    <w:p>
      <w:pPr>
        <w:ind w:left="407" w:right="20" w:hanging="407"/>
        <w:spacing w:after="0" w:line="295" w:lineRule="auto"/>
        <w:tabs>
          <w:tab w:leader="none" w:pos="402"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eliminations primarily related to the charges under the Tech Framework to each respective consolidated reportable segment related to the portion of the charges attributed to centrally-held internally developed technology that is embedded within our various CPE, as well as any applicable markup.</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52" w:name="page53"/>
    <w:bookmarkEnd w:id="52"/>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4"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Revenue by Major Category</w:t>
      </w:r>
    </w:p>
    <w:p>
      <w:pPr>
        <w:spacing w:after="0" w:line="225"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color w:val="auto"/>
        </w:rPr>
        <w:t>Our revenue by major category is set forth below:</w:t>
      </w:r>
    </w:p>
    <w:p>
      <w:pPr>
        <w:spacing w:after="0" w:line="109"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0" w:type="dxa"/>
            <w:vAlign w:val="bottom"/>
          </w:tcPr>
          <w:p>
            <w:pPr>
              <w:spacing w:after="0"/>
              <w:rPr>
                <w:sz w:val="13"/>
                <w:szCs w:val="13"/>
                <w:color w:val="auto"/>
              </w:rPr>
            </w:pPr>
          </w:p>
        </w:tc>
      </w:tr>
      <w:tr>
        <w:trPr>
          <w:trHeight w:val="184"/>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177"/>
        </w:trPr>
        <w:tc>
          <w:tcPr>
            <w:tcW w:w="59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176"/>
        </w:trPr>
        <w:tc>
          <w:tcPr>
            <w:tcW w:w="5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gridSpan w:val="3"/>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w w:val="98"/>
              </w:rPr>
              <w:t>in millions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94"/>
        </w:trPr>
        <w:tc>
          <w:tcPr>
            <w:tcW w:w="5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97"/>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Residential revenue:</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7"/>
        </w:trPr>
        <w:tc>
          <w:tcPr>
            <w:tcW w:w="5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Residential fixed revenue (a):</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7"/>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Subscription revenue (b):</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7"/>
        </w:trPr>
        <w:tc>
          <w:tcPr>
            <w:tcW w:w="59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Broadband internet</w:t>
            </w:r>
          </w:p>
        </w:tc>
        <w:tc>
          <w:tcPr>
            <w:tcW w:w="2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247.2</w:t>
            </w:r>
          </w:p>
        </w:tc>
        <w:tc>
          <w:tcPr>
            <w:tcW w:w="10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229.0</w:t>
            </w:r>
          </w:p>
        </w:tc>
        <w:tc>
          <w:tcPr>
            <w:tcW w:w="120" w:type="dxa"/>
            <w:vAlign w:val="bottom"/>
          </w:tcPr>
          <w:p>
            <w:pPr>
              <w:spacing w:after="0"/>
              <w:rPr>
                <w:sz w:val="17"/>
                <w:szCs w:val="17"/>
                <w:color w:val="auto"/>
              </w:rPr>
            </w:pPr>
          </w:p>
        </w:tc>
        <w:tc>
          <w:tcPr>
            <w:tcW w:w="440" w:type="dxa"/>
            <w:vAlign w:val="bottom"/>
          </w:tcPr>
          <w:p>
            <w:pPr>
              <w:jc w:val="center"/>
              <w:ind w:right="28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703.9</w:t>
            </w:r>
          </w:p>
        </w:tc>
        <w:tc>
          <w:tcPr>
            <w:tcW w:w="100" w:type="dxa"/>
            <w:vAlign w:val="bottom"/>
          </w:tcPr>
          <w:p>
            <w:pPr>
              <w:spacing w:after="0"/>
              <w:rPr>
                <w:sz w:val="17"/>
                <w:szCs w:val="17"/>
                <w:color w:val="auto"/>
              </w:rPr>
            </w:pPr>
          </w:p>
        </w:tc>
        <w:tc>
          <w:tcPr>
            <w:tcW w:w="520" w:type="dxa"/>
            <w:vAlign w:val="bottom"/>
          </w:tcPr>
          <w:p>
            <w:pPr>
              <w:jc w:val="right"/>
              <w:ind w:right="36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667.5</w:t>
            </w:r>
          </w:p>
        </w:tc>
      </w:tr>
      <w:tr>
        <w:trPr>
          <w:trHeight w:val="197"/>
        </w:trPr>
        <w:tc>
          <w:tcPr>
            <w:tcW w:w="5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Video</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152.9</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451.6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450.8</w:t>
            </w:r>
          </w:p>
        </w:tc>
      </w:tr>
      <w:tr>
        <w:trPr>
          <w:trHeight w:val="197"/>
        </w:trPr>
        <w:tc>
          <w:tcPr>
            <w:tcW w:w="59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5"/>
                <w:szCs w:val="15"/>
                <w:color w:val="auto"/>
              </w:rPr>
              <w:t>Fixed-line telephony</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47.8</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49.9</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139.3</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149.6</w:t>
            </w:r>
          </w:p>
        </w:tc>
      </w:tr>
      <w:tr>
        <w:trPr>
          <w:trHeight w:val="188"/>
        </w:trPr>
        <w:tc>
          <w:tcPr>
            <w:tcW w:w="5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Total subscription revenue</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448.8</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431.8</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1,294.8</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1,267.9</w:t>
            </w:r>
          </w:p>
        </w:tc>
      </w:tr>
      <w:tr>
        <w:trPr>
          <w:trHeight w:val="197"/>
        </w:trPr>
        <w:tc>
          <w:tcPr>
            <w:tcW w:w="5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Non-subscription revenue</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w:t>
            </w:r>
          </w:p>
        </w:tc>
      </w:tr>
      <w:tr>
        <w:trPr>
          <w:trHeight w:val="188"/>
        </w:trPr>
        <w:tc>
          <w:tcPr>
            <w:tcW w:w="5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Total residential fixed revenue</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457.1</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436.5</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1,312.8</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1,279.3</w:t>
            </w:r>
          </w:p>
        </w:tc>
      </w:tr>
      <w:tr>
        <w:trPr>
          <w:trHeight w:val="177"/>
        </w:trPr>
        <w:tc>
          <w:tcPr>
            <w:tcW w:w="5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Residential mobile revenue (c):</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97"/>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Subscription revenue (b)</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371.7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367.4</w:t>
            </w:r>
          </w:p>
        </w:tc>
      </w:tr>
      <w:tr>
        <w:trPr>
          <w:trHeight w:val="197"/>
        </w:trPr>
        <w:tc>
          <w:tcPr>
            <w:tcW w:w="5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Non-subscription revenue</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35.6</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110.1</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124.6</w:t>
            </w:r>
          </w:p>
        </w:tc>
      </w:tr>
      <w:tr>
        <w:trPr>
          <w:trHeight w:val="188"/>
        </w:trPr>
        <w:tc>
          <w:tcPr>
            <w:tcW w:w="5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residential mobile revenue</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167.3</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160.3</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481.8</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492.0</w:t>
            </w:r>
          </w:p>
        </w:tc>
      </w:tr>
      <w:tr>
        <w:trPr>
          <w:trHeight w:val="188"/>
        </w:trPr>
        <w:tc>
          <w:tcPr>
            <w:tcW w:w="59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5"/>
                <w:szCs w:val="15"/>
                <w:color w:val="auto"/>
              </w:rPr>
              <w:t>Total residential revenue</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624.4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596.8</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1,794.6</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1,771.3</w:t>
            </w:r>
          </w:p>
        </w:tc>
      </w:tr>
      <w:tr>
        <w:trPr>
          <w:trHeight w:val="177"/>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B2B revenue (d):</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97"/>
        </w:trPr>
        <w:tc>
          <w:tcPr>
            <w:tcW w:w="5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Subscription revenue</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325.3</w:t>
            </w:r>
          </w:p>
        </w:tc>
      </w:tr>
      <w:tr>
        <w:trPr>
          <w:trHeight w:val="197"/>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Non-subscription revenue</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116.6</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101.9</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333.2</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306.6</w:t>
            </w:r>
          </w:p>
        </w:tc>
      </w:tr>
      <w:tr>
        <w:trPr>
          <w:trHeight w:val="188"/>
        </w:trPr>
        <w:tc>
          <w:tcPr>
            <w:tcW w:w="5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Total B2B revenue</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233.3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213.0</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666.2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631.9</w:t>
            </w:r>
          </w:p>
        </w:tc>
      </w:tr>
      <w:tr>
        <w:trPr>
          <w:trHeight w:val="18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revenue (e)</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349.4</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259.7</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1,186.6</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815.5</w:t>
            </w:r>
          </w:p>
        </w:tc>
      </w:tr>
      <w:tr>
        <w:trPr>
          <w:trHeight w:val="188"/>
        </w:trPr>
        <w:tc>
          <w:tcPr>
            <w:tcW w:w="59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Total</w:t>
            </w:r>
          </w:p>
        </w:tc>
        <w:tc>
          <w:tcPr>
            <w:tcW w:w="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1,207.1</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1,069.5</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center"/>
              <w:ind w:right="28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3,647.4</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3,218.7</w:t>
            </w:r>
          </w:p>
        </w:tc>
      </w:tr>
      <w:tr>
        <w:trPr>
          <w:trHeight w:val="20"/>
        </w:trPr>
        <w:tc>
          <w:tcPr>
            <w:tcW w:w="5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_______________</w:t>
      </w:r>
    </w:p>
    <w:p>
      <w:pPr>
        <w:spacing w:after="0" w:line="221" w:lineRule="exact"/>
        <w:rPr>
          <w:sz w:val="20"/>
          <w:szCs w:val="20"/>
          <w:color w:val="auto"/>
        </w:rPr>
      </w:pPr>
    </w:p>
    <w:p>
      <w:pPr>
        <w:ind w:left="407" w:right="20" w:hanging="407"/>
        <w:spacing w:after="0" w:line="295" w:lineRule="auto"/>
        <w:tabs>
          <w:tab w:leader="none" w:pos="405"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spacing w:after="0" w:line="154" w:lineRule="exact"/>
        <w:rPr>
          <w:rFonts w:ascii="Times New Roman" w:cs="Times New Roman" w:eastAsia="Times New Roman" w:hAnsi="Times New Roman"/>
          <w:sz w:val="15"/>
          <w:szCs w:val="15"/>
          <w:color w:val="auto"/>
        </w:rPr>
      </w:pPr>
    </w:p>
    <w:p>
      <w:pPr>
        <w:jc w:val="both"/>
        <w:ind w:left="407" w:hanging="407"/>
        <w:spacing w:after="0" w:line="276" w:lineRule="auto"/>
        <w:tabs>
          <w:tab w:leader="none" w:pos="402"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spacing w:after="0" w:line="168" w:lineRule="exact"/>
        <w:rPr>
          <w:rFonts w:ascii="Times New Roman" w:cs="Times New Roman" w:eastAsia="Times New Roman" w:hAnsi="Times New Roman"/>
          <w:sz w:val="15"/>
          <w:szCs w:val="15"/>
          <w:color w:val="auto"/>
        </w:rPr>
      </w:pPr>
    </w:p>
    <w:p>
      <w:pPr>
        <w:ind w:left="407" w:right="20" w:hanging="407"/>
        <w:spacing w:after="0" w:line="295" w:lineRule="auto"/>
        <w:tabs>
          <w:tab w:leader="none" w:pos="405"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Residential mobile subscription revenue includes amounts received from subscribers for ongoing services. Residential mobile non-subscription revenue includes, among other items, interconnect revenue and revenue from sales of mobile handsets and other devices.</w:t>
      </w:r>
    </w:p>
    <w:p>
      <w:pPr>
        <w:spacing w:after="0" w:line="150" w:lineRule="exact"/>
        <w:rPr>
          <w:rFonts w:ascii="Times New Roman" w:cs="Times New Roman" w:eastAsia="Times New Roman" w:hAnsi="Times New Roman"/>
          <w:sz w:val="15"/>
          <w:szCs w:val="15"/>
          <w:color w:val="auto"/>
        </w:rPr>
      </w:pPr>
    </w:p>
    <w:p>
      <w:pPr>
        <w:jc w:val="both"/>
        <w:ind w:left="407" w:hanging="407"/>
        <w:spacing w:after="0" w:line="272" w:lineRule="auto"/>
        <w:tabs>
          <w:tab w:leader="none" w:pos="402"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B2B subscription revenue represents revenue from (i) services provided to small or home office (</w:t>
      </w:r>
      <w:r>
        <w:rPr>
          <w:rFonts w:ascii="Times New Roman" w:cs="Times New Roman" w:eastAsia="Times New Roman" w:hAnsi="Times New Roman"/>
          <w:sz w:val="15"/>
          <w:szCs w:val="15"/>
          <w:b w:val="1"/>
          <w:bCs w:val="1"/>
          <w:color w:val="auto"/>
        </w:rPr>
        <w:t>SOHO</w:t>
      </w:r>
      <w:r>
        <w:rPr>
          <w:rFonts w:ascii="Times New Roman" w:cs="Times New Roman" w:eastAsia="Times New Roman" w:hAnsi="Times New Roman"/>
          <w:sz w:val="15"/>
          <w:szCs w:val="15"/>
          <w:color w:val="auto"/>
        </w:rPr>
        <w:t>)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B2B non-subscription revenue includes (a) revenue from business broadband internet, video, fixed-line telephony and data services offered to medium and large</w:t>
      </w:r>
    </w:p>
    <w:p>
      <w:pPr>
        <w:spacing w:after="0" w:line="200" w:lineRule="exact"/>
        <w:rPr>
          <w:sz w:val="20"/>
          <w:szCs w:val="20"/>
          <w:color w:val="auto"/>
        </w:rPr>
      </w:pPr>
    </w:p>
    <w:p>
      <w:pPr>
        <w:spacing w:after="0" w:line="27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53" w:name="page54"/>
    <w:bookmarkEnd w:id="53"/>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LIBERTY GLOBAL LTD.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 (Continued)</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ind w:left="407"/>
        <w:spacing w:after="0"/>
        <w:rPr>
          <w:sz w:val="20"/>
          <w:szCs w:val="20"/>
          <w:color w:val="auto"/>
        </w:rPr>
      </w:pPr>
      <w:r>
        <w:rPr>
          <w:rFonts w:ascii="Times New Roman" w:cs="Times New Roman" w:eastAsia="Times New Roman" w:hAnsi="Times New Roman"/>
          <w:sz w:val="15"/>
          <w:szCs w:val="15"/>
          <w:color w:val="auto"/>
        </w:rPr>
        <w:t>enterprises and, fixed-line and mobile services on a wholesale basis, to other operators and (b) revenue from long-term leases of portions of our network.</w:t>
      </w:r>
    </w:p>
    <w:p>
      <w:pPr>
        <w:spacing w:after="0" w:line="221" w:lineRule="exact"/>
        <w:rPr>
          <w:sz w:val="20"/>
          <w:szCs w:val="20"/>
          <w:color w:val="auto"/>
        </w:rPr>
      </w:pPr>
    </w:p>
    <w:p>
      <w:pPr>
        <w:ind w:left="407" w:hanging="407"/>
        <w:spacing w:after="0" w:line="295" w:lineRule="auto"/>
        <w:tabs>
          <w:tab w:leader="none" w:pos="405"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revenue includes, among other items, (i) revenue earned from the U.K. JV Services, the Sunrise Services and the NL JV Services, (ii) broadcasting revenue at Telenet and VM Ireland, (iii) revenue at Formula E and (iv) revenue earned from the sale of CPE to the VMO2 JV and the VodafoneZiggo JV.</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7"/>
          </w:cols>
          <w:pgMar w:left="313" w:top="32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5"/>
          <w:szCs w:val="15"/>
          <w:b w:val="1"/>
          <w:bCs w:val="1"/>
          <w:color w:val="auto"/>
        </w:rPr>
        <w:t>Item 2. MANAGEMENT’S DISCUSSION AND ANALYSIS OF FINANCIAL CONDITION AND RESULTS OF OPERATIONS</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following discussion and analysis, which should be read in conjunction with our consolidated financial statements and the discussion and analysis included in our 2024 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K, is intended to assist in providing an understanding of changes in our results of operations and financial condition and is organized as follows:</w:t>
      </w:r>
    </w:p>
    <w:p>
      <w:pPr>
        <w:spacing w:after="0" w:line="203" w:lineRule="exact"/>
        <w:rPr>
          <w:sz w:val="20"/>
          <w:szCs w:val="20"/>
          <w:color w:val="auto"/>
        </w:rPr>
      </w:pPr>
    </w:p>
    <w:p>
      <w:pPr>
        <w:ind w:left="540" w:right="20" w:hanging="270"/>
        <w:spacing w:after="0" w:line="270" w:lineRule="auto"/>
        <w:tabs>
          <w:tab w:leader="none" w:pos="536"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Forward-Looking Statements. </w:t>
      </w:r>
      <w:r>
        <w:rPr>
          <w:rFonts w:ascii="Times New Roman" w:cs="Times New Roman" w:eastAsia="Times New Roman" w:hAnsi="Times New Roman"/>
          <w:sz w:val="15"/>
          <w:szCs w:val="15"/>
          <w:color w:val="auto"/>
        </w:rPr>
        <w:t>This section provides a description of certain factors that could cause actual results or events to differ materially from anticipated results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events.</w:t>
      </w:r>
    </w:p>
    <w:p>
      <w:pPr>
        <w:spacing w:after="0" w:line="268"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Overview. </w:t>
      </w:r>
      <w:r>
        <w:rPr>
          <w:rFonts w:ascii="Times New Roman" w:cs="Times New Roman" w:eastAsia="Times New Roman" w:hAnsi="Times New Roman"/>
          <w:sz w:val="15"/>
          <w:szCs w:val="15"/>
          <w:color w:val="auto"/>
        </w:rPr>
        <w:t>This section provides a general description of our business and recent events.</w:t>
      </w:r>
    </w:p>
    <w:p>
      <w:pPr>
        <w:spacing w:after="0" w:line="105"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Material Changes in Results of Operations. </w:t>
      </w:r>
      <w:r>
        <w:rPr>
          <w:rFonts w:ascii="Times New Roman" w:cs="Times New Roman" w:eastAsia="Times New Roman" w:hAnsi="Times New Roman"/>
          <w:sz w:val="15"/>
          <w:szCs w:val="15"/>
          <w:color w:val="auto"/>
        </w:rPr>
        <w:t>This section provides an analysis of our results of operations for the three and nine months ended September 30, 2025 and 2024.</w:t>
      </w:r>
    </w:p>
    <w:p>
      <w:pPr>
        <w:spacing w:after="0" w:line="105" w:lineRule="exact"/>
        <w:rPr>
          <w:rFonts w:ascii="Times New Roman" w:cs="Times New Roman" w:eastAsia="Times New Roman" w:hAnsi="Times New Roman"/>
          <w:sz w:val="15"/>
          <w:szCs w:val="15"/>
          <w:color w:val="auto"/>
        </w:rPr>
      </w:pPr>
    </w:p>
    <w:p>
      <w:pPr>
        <w:ind w:left="540" w:right="20" w:hanging="270"/>
        <w:spacing w:after="0" w:line="270" w:lineRule="auto"/>
        <w:tabs>
          <w:tab w:leader="none" w:pos="536"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Material Changes in Financial Condition. </w:t>
      </w:r>
      <w:r>
        <w:rPr>
          <w:rFonts w:ascii="Times New Roman" w:cs="Times New Roman" w:eastAsia="Times New Roman" w:hAnsi="Times New Roman"/>
          <w:sz w:val="15"/>
          <w:szCs w:val="15"/>
          <w:color w:val="auto"/>
        </w:rPr>
        <w:t>This section provides an analysis of our corporate and subsidiary liquidity and our condensed consolidated statements of cash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flows.</w:t>
      </w:r>
    </w:p>
    <w:p>
      <w:pPr>
        <w:spacing w:after="0" w:line="389" w:lineRule="exact"/>
        <w:rPr>
          <w:sz w:val="20"/>
          <w:szCs w:val="20"/>
          <w:color w:val="auto"/>
        </w:rPr>
      </w:pPr>
    </w:p>
    <w:p>
      <w:pPr>
        <w:jc w:val="both"/>
        <w:ind w:firstLine="278"/>
        <w:spacing w:after="0" w:line="295" w:lineRule="auto"/>
        <w:rPr>
          <w:sz w:val="20"/>
          <w:szCs w:val="20"/>
          <w:color w:val="auto"/>
        </w:rPr>
      </w:pPr>
      <w:r>
        <w:rPr>
          <w:rFonts w:ascii="Times New Roman" w:cs="Times New Roman" w:eastAsia="Times New Roman" w:hAnsi="Times New Roman"/>
          <w:sz w:val="15"/>
          <w:szCs w:val="15"/>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55" w:lineRule="exact"/>
        <w:rPr>
          <w:sz w:val="20"/>
          <w:szCs w:val="20"/>
          <w:color w:val="auto"/>
        </w:rPr>
      </w:pPr>
    </w:p>
    <w:p>
      <w:pPr>
        <w:ind w:right="2000" w:firstLine="278"/>
        <w:spacing w:after="0" w:line="295" w:lineRule="auto"/>
        <w:rPr>
          <w:sz w:val="20"/>
          <w:szCs w:val="20"/>
          <w:color w:val="auto"/>
        </w:rPr>
      </w:pPr>
      <w:r>
        <w:rPr>
          <w:rFonts w:ascii="Times New Roman" w:cs="Times New Roman" w:eastAsia="Times New Roman" w:hAnsi="Times New Roman"/>
          <w:sz w:val="15"/>
          <w:szCs w:val="15"/>
          <w:color w:val="auto"/>
        </w:rPr>
        <w:t xml:space="preserve">Unless otherwise indicated, convenience translations into U.S. dollars are calculated, and operational data is presented, as of September 30, 2025. </w:t>
      </w:r>
      <w:r>
        <w:rPr>
          <w:rFonts w:ascii="Times New Roman" w:cs="Times New Roman" w:eastAsia="Times New Roman" w:hAnsi="Times New Roman"/>
          <w:sz w:val="15"/>
          <w:szCs w:val="15"/>
          <w:b w:val="1"/>
          <w:bCs w:val="1"/>
          <w:color w:val="auto"/>
        </w:rPr>
        <w:t>Forward-Looking Statements</w:t>
      </w:r>
    </w:p>
    <w:p>
      <w:pPr>
        <w:spacing w:after="0" w:line="155" w:lineRule="exact"/>
        <w:rPr>
          <w:sz w:val="20"/>
          <w:szCs w:val="20"/>
          <w:color w:val="auto"/>
        </w:rPr>
      </w:pPr>
    </w:p>
    <w:p>
      <w:pPr>
        <w:jc w:val="both"/>
        <w:ind w:firstLine="278"/>
        <w:spacing w:after="0" w:line="260" w:lineRule="auto"/>
        <w:rPr>
          <w:sz w:val="20"/>
          <w:szCs w:val="20"/>
          <w:color w:val="auto"/>
        </w:rPr>
      </w:pPr>
      <w:r>
        <w:rPr>
          <w:rFonts w:ascii="Times New Roman" w:cs="Times New Roman" w:eastAsia="Times New Roman" w:hAnsi="Times New Roman"/>
          <w:sz w:val="15"/>
          <w:szCs w:val="15"/>
          <w:color w:val="auto"/>
        </w:rPr>
        <w:t xml:space="preserve">Certain statements in this Quarterly Report on Form 10-Q constitute forward-looking statements within the meaning of the Private Securities Litigation Reform Act of 1995. To the extent that statements in this Quarterly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Part I, Item 2. </w:t>
      </w:r>
      <w:r>
        <w:rPr>
          <w:rFonts w:ascii="Times New Roman" w:cs="Times New Roman" w:eastAsia="Times New Roman" w:hAnsi="Times New Roman"/>
          <w:sz w:val="15"/>
          <w:szCs w:val="15"/>
          <w:i w:val="1"/>
          <w:iCs w:val="1"/>
          <w:color w:val="auto"/>
        </w:rPr>
        <w:t>Management’s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Discussion and Analysis of Financial Condition and Results of Operations, </w:t>
      </w:r>
      <w:r>
        <w:rPr>
          <w:rFonts w:ascii="Times New Roman" w:cs="Times New Roman" w:eastAsia="Times New Roman" w:hAnsi="Times New Roman"/>
          <w:sz w:val="15"/>
          <w:szCs w:val="15"/>
          <w:color w:val="auto"/>
        </w:rPr>
        <w:t>Part I, Item 3.</w:t>
      </w:r>
      <w:r>
        <w:rPr>
          <w:rFonts w:ascii="Times New Roman" w:cs="Times New Roman" w:eastAsia="Times New Roman" w:hAnsi="Times New Roman"/>
          <w:sz w:val="15"/>
          <w:szCs w:val="15"/>
          <w:i w:val="1"/>
          <w:iCs w:val="1"/>
          <w:color w:val="auto"/>
        </w:rPr>
        <w:t xml:space="preserve"> Quantitative and Qualitative Disclosures About Market Risk </w:t>
      </w:r>
      <w:r>
        <w:rPr>
          <w:rFonts w:ascii="Times New Roman" w:cs="Times New Roman" w:eastAsia="Times New Roman" w:hAnsi="Times New Roman"/>
          <w:sz w:val="15"/>
          <w:szCs w:val="15"/>
          <w:color w:val="auto"/>
        </w:rPr>
        <w:t>and Part II, Item 2.</w:t>
      </w:r>
      <w:r>
        <w:rPr>
          <w:rFonts w:ascii="Times New Roman" w:cs="Times New Roman" w:eastAsia="Times New Roman" w:hAnsi="Times New Roman"/>
          <w:sz w:val="15"/>
          <w:szCs w:val="15"/>
          <w:i w:val="1"/>
          <w:iCs w:val="1"/>
          <w:color w:val="auto"/>
        </w:rPr>
        <w:t xml:space="preserve"> Unregistered Sales of Equity Securities and Use of Proceeds </w:t>
      </w:r>
      <w:r>
        <w:rPr>
          <w:rFonts w:ascii="Times New Roman" w:cs="Times New Roman" w:eastAsia="Times New Roman" w:hAnsi="Times New Roman"/>
          <w:sz w:val="15"/>
          <w:szCs w:val="15"/>
          <w:color w:val="auto"/>
        </w:rPr>
        <w:t>may contain forward-looking statements, including statements regarding our business, product, foreign currency, hedging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and finance strategies, our property and equipment additions, subscriber growth and retention rates, competitive, regulatory and economic factors, the timing and impacts of proposed transactions, the maturity of our markets, the potential impact of large-scale health crises on our company, the anticipated impacts of new legislation (or changes to existing rules and regulations), anticipated changes in our revenue, costs or growth rates, our liquidity, credit risks, foreign currency risks, interest rate risks, target leverage levels, debt covenants, our future projected contractual commitments and cash flows, our share repurchase programs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in Part I, Item 1A.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xml:space="preserve"> of our 2024 10-K, as well as the following list of some, but not all, of the factors that could cause actual results or events (including with respect to our affiliates) to differ materially from anticipated results or events:</w:t>
      </w:r>
    </w:p>
    <w:p>
      <w:pPr>
        <w:spacing w:after="0" w:line="187" w:lineRule="exact"/>
        <w:rPr>
          <w:sz w:val="20"/>
          <w:szCs w:val="20"/>
          <w:color w:val="auto"/>
        </w:rPr>
      </w:pPr>
    </w:p>
    <w:p>
      <w:pPr>
        <w:ind w:left="540" w:hanging="270"/>
        <w:spacing w:after="0"/>
        <w:tabs>
          <w:tab w:leader="none" w:pos="5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economic and business conditions and industry trends in the countries in which we or our affiliates operate;</w:t>
      </w:r>
    </w:p>
    <w:p>
      <w:pPr>
        <w:spacing w:after="0" w:line="105"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competitive environment in the industries and in the countries in which we or our affiliates operate, including competitor responses to our products and services;</w:t>
      </w:r>
    </w:p>
    <w:p>
      <w:pPr>
        <w:spacing w:after="0" w:line="105" w:lineRule="exact"/>
        <w:rPr>
          <w:rFonts w:ascii="Times New Roman" w:cs="Times New Roman" w:eastAsia="Times New Roman" w:hAnsi="Times New Roman"/>
          <w:sz w:val="15"/>
          <w:szCs w:val="15"/>
          <w:color w:val="auto"/>
        </w:rPr>
      </w:pPr>
    </w:p>
    <w:p>
      <w:pPr>
        <w:ind w:left="540" w:right="20" w:hanging="270"/>
        <w:spacing w:after="0" w:line="295" w:lineRule="auto"/>
        <w:tabs>
          <w:tab w:leader="none" w:pos="536"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manage and adapt to rapid technological changes, including our ability to adequately manage our legacy technologies and the rate at which our current technology becomes obsolete;</w:t>
      </w:r>
    </w:p>
    <w:p>
      <w:pPr>
        <w:spacing w:after="0" w:line="38"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our future financial performance, or market conditions generally, on the availability, terms and deployment of capital;</w:t>
      </w:r>
    </w:p>
    <w:p>
      <w:pPr>
        <w:spacing w:after="0" w:line="105"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adequately forecast and plan future network requirements;</w:t>
      </w:r>
    </w:p>
    <w:p>
      <w:pPr>
        <w:spacing w:after="0" w:line="105" w:lineRule="exact"/>
        <w:rPr>
          <w:rFonts w:ascii="Times New Roman" w:cs="Times New Roman" w:eastAsia="Times New Roman" w:hAnsi="Times New Roman"/>
          <w:sz w:val="15"/>
          <w:szCs w:val="15"/>
          <w:color w:val="auto"/>
        </w:rPr>
      </w:pPr>
    </w:p>
    <w:p>
      <w:pPr>
        <w:ind w:left="540" w:right="20" w:hanging="270"/>
        <w:spacing w:after="0" w:line="295" w:lineRule="auto"/>
        <w:tabs>
          <w:tab w:leader="none" w:pos="536"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laws, monetary policies and government regulations that may impact the availability or cost of capital and the derivative instruments that hedge certain of our financial risks;</w:t>
      </w:r>
    </w:p>
    <w:p>
      <w:pPr>
        <w:spacing w:after="0" w:line="38"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consumer video, mobile and broadband usage, preferences and habits;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5" w:name="page56"/>
    <w:bookmarkEnd w:id="55"/>
    <w:p>
      <w:pPr>
        <w:ind w:left="270" w:hanging="270"/>
        <w:spacing w:after="0" w:line="295" w:lineRule="auto"/>
        <w:tabs>
          <w:tab w:leader="none" w:pos="266"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consumer acceptance of our existing service offerings, including our broadband internet, video, fixed-line telephony, mobile and business service offerings, and of new technology, programming alternatives and other products and services that we may offer in the future;</w:t>
      </w:r>
    </w:p>
    <w:p>
      <w:pPr>
        <w:spacing w:after="0" w:line="38" w:lineRule="exact"/>
        <w:rPr>
          <w:rFonts w:ascii="Times New Roman" w:cs="Times New Roman" w:eastAsia="Times New Roman" w:hAnsi="Times New Roman"/>
          <w:sz w:val="15"/>
          <w:szCs w:val="15"/>
          <w:color w:val="auto"/>
        </w:rPr>
      </w:pPr>
    </w:p>
    <w:p>
      <w:pPr>
        <w:ind w:left="270" w:right="20" w:hanging="270"/>
        <w:spacing w:after="0" w:line="295" w:lineRule="auto"/>
        <w:tabs>
          <w:tab w:leader="none" w:pos="266"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availability of attractive programming for our video services and the costs associated with such programming, including, but not limited to, production costs, retransmission and copyright fees;</w:t>
      </w:r>
    </w:p>
    <w:p>
      <w:pPr>
        <w:spacing w:after="0" w:line="38"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activities of device manufacturers and our operating companies’ ability to secure adequate and timely supply of handsets that experience high demand;</w:t>
      </w:r>
    </w:p>
    <w:p>
      <w:pPr>
        <w:spacing w:after="0" w:line="105"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uncertainties inherent in the development, and integration, of new business lines and business strategies;</w:t>
      </w:r>
    </w:p>
    <w:p>
      <w:pPr>
        <w:spacing w:after="0" w:line="105"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increase revenue from business services offered to our affiliates and other third parties;</w:t>
      </w:r>
    </w:p>
    <w:p>
      <w:pPr>
        <w:spacing w:after="0" w:line="105"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availability, cost and regulation of spectrum used in our business and our ability to deploy such spectrum in a timely and efficient manner;</w:t>
      </w:r>
    </w:p>
    <w:p>
      <w:pPr>
        <w:spacing w:after="0" w:line="105" w:lineRule="exact"/>
        <w:rPr>
          <w:rFonts w:ascii="Times New Roman" w:cs="Times New Roman" w:eastAsia="Times New Roman" w:hAnsi="Times New Roman"/>
          <w:sz w:val="15"/>
          <w:szCs w:val="15"/>
          <w:color w:val="auto"/>
        </w:rPr>
      </w:pPr>
    </w:p>
    <w:p>
      <w:pPr>
        <w:ind w:left="270" w:hanging="270"/>
        <w:spacing w:after="0" w:line="295" w:lineRule="auto"/>
        <w:tabs>
          <w:tab w:leader="none" w:pos="266"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suppliers and vendors (including our third-party wireless network provider, Three (Hutchison), under our mobile virtual network operator arrangement at VM Ireland) to timely deliver quality products, equipment, software, services and access;</w:t>
      </w:r>
    </w:p>
    <w:p>
      <w:pPr>
        <w:spacing w:after="0" w:line="38"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leakage of sensitive customer or company data or the failure to comply with applicable data protection laws, regulations and rules;</w:t>
      </w:r>
    </w:p>
    <w:p>
      <w:pPr>
        <w:spacing w:after="0" w:line="105" w:lineRule="exact"/>
        <w:rPr>
          <w:rFonts w:ascii="Times New Roman" w:cs="Times New Roman" w:eastAsia="Times New Roman" w:hAnsi="Times New Roman"/>
          <w:sz w:val="15"/>
          <w:szCs w:val="15"/>
          <w:color w:val="auto"/>
        </w:rPr>
      </w:pPr>
    </w:p>
    <w:p>
      <w:pPr>
        <w:ind w:left="270" w:right="20" w:hanging="270"/>
        <w:spacing w:after="0" w:line="295" w:lineRule="auto"/>
        <w:tabs>
          <w:tab w:leader="none" w:pos="266"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anticipate, protect against, mitigate and contain the loss of our and our customers’ data as a result of cyber attacks or security breaches involving us or any of our affiliates;</w:t>
      </w:r>
    </w:p>
    <w:p>
      <w:pPr>
        <w:spacing w:after="0" w:line="38"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failure in our network and information systems, whether caused by a natural failure or a security breach, and unauthorized access to our networks;</w:t>
      </w:r>
    </w:p>
    <w:p>
      <w:pPr>
        <w:spacing w:after="0" w:line="105"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in currency exchange rates and interest rates;</w:t>
      </w:r>
    </w:p>
    <w:p>
      <w:pPr>
        <w:spacing w:after="0" w:line="105"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instability in global financial markets, including sovereign debt issues, currency instability and related fiscal or monetary reforms;</w:t>
      </w:r>
    </w:p>
    <w:p>
      <w:pPr>
        <w:spacing w:after="0" w:line="105" w:lineRule="exact"/>
        <w:rPr>
          <w:rFonts w:ascii="Times New Roman" w:cs="Times New Roman" w:eastAsia="Times New Roman" w:hAnsi="Times New Roman"/>
          <w:sz w:val="15"/>
          <w:szCs w:val="15"/>
          <w:color w:val="auto"/>
        </w:rPr>
      </w:pPr>
    </w:p>
    <w:p>
      <w:pPr>
        <w:ind w:left="270" w:right="20" w:hanging="270"/>
        <w:spacing w:after="0" w:line="295" w:lineRule="auto"/>
        <w:tabs>
          <w:tab w:leader="none" w:pos="266"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or failure or inability to comply with, government regulations and legislation in the countries in which we or our affiliates operate and any adverse outcomes from regulatory or legal proceedings;</w:t>
      </w:r>
    </w:p>
    <w:p>
      <w:pPr>
        <w:spacing w:after="0" w:line="38"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5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changes in laws or treaties relating to taxation, or the interpretation thereof, in Bermuda, the U.K., the U.S. or in other countries in which we or our affiliates operate;</w:t>
      </w:r>
    </w:p>
    <w:p>
      <w:pPr>
        <w:spacing w:after="0" w:line="105" w:lineRule="exact"/>
        <w:rPr>
          <w:rFonts w:ascii="Times New Roman" w:cs="Times New Roman" w:eastAsia="Times New Roman" w:hAnsi="Times New Roman"/>
          <w:sz w:val="15"/>
          <w:szCs w:val="15"/>
          <w:i w:val="1"/>
          <w:iCs w:val="1"/>
          <w:color w:val="auto"/>
        </w:rPr>
      </w:pPr>
    </w:p>
    <w:p>
      <w:pPr>
        <w:ind w:left="270" w:hanging="270"/>
        <w:spacing w:after="0"/>
        <w:tabs>
          <w:tab w:leader="none" w:pos="27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 of perceived health risks associated with electromagnetic radiation from base stations and associated equipment;</w:t>
      </w:r>
    </w:p>
    <w:p>
      <w:pPr>
        <w:spacing w:after="0" w:line="105" w:lineRule="exact"/>
        <w:rPr>
          <w:rFonts w:ascii="Times New Roman" w:cs="Times New Roman" w:eastAsia="Times New Roman" w:hAnsi="Times New Roman"/>
          <w:sz w:val="15"/>
          <w:szCs w:val="15"/>
          <w:color w:val="auto"/>
        </w:rPr>
      </w:pPr>
    </w:p>
    <w:p>
      <w:pPr>
        <w:ind w:left="270" w:hanging="270"/>
        <w:spacing w:after="0" w:line="267" w:lineRule="auto"/>
        <w:tabs>
          <w:tab w:leader="none" w:pos="266"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navigate the impacts on our business resulting from potential disparate regulatory rules between the U.K. and the E.U. following the U.K.’s departure from the E.U.;</w:t>
      </w:r>
    </w:p>
    <w:p>
      <w:pPr>
        <w:spacing w:after="0" w:line="271" w:lineRule="exact"/>
        <w:rPr>
          <w:rFonts w:ascii="Times New Roman" w:cs="Times New Roman" w:eastAsia="Times New Roman" w:hAnsi="Times New Roman"/>
          <w:sz w:val="15"/>
          <w:szCs w:val="15"/>
          <w:color w:val="auto"/>
        </w:rPr>
      </w:pPr>
    </w:p>
    <w:p>
      <w:pPr>
        <w:ind w:left="270" w:right="20" w:hanging="270"/>
        <w:spacing w:after="0" w:line="295" w:lineRule="auto"/>
        <w:tabs>
          <w:tab w:leader="none" w:pos="266"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successfully acquire new businesses or form joint ventures and, if acquired or joined, to integrate, realize anticipated efficiencies from, and implement our business plans with respect to, the businesses we have acquired or joined or that we expect to acquire or join;</w:t>
      </w:r>
    </w:p>
    <w:p>
      <w:pPr>
        <w:spacing w:after="0" w:line="38"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successfully integrating businesses or operations that we acquire or partner with on the timelines, or within the budgets, estimated for such integrations;</w:t>
      </w:r>
    </w:p>
    <w:p>
      <w:pPr>
        <w:spacing w:after="0" w:line="105"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realize the expected synergies from our acquisitions and joint ventures in the amounts anticipated or on the anticipated timelines;</w:t>
      </w:r>
    </w:p>
    <w:p>
      <w:pPr>
        <w:spacing w:after="0" w:line="105" w:lineRule="exact"/>
        <w:rPr>
          <w:rFonts w:ascii="Times New Roman" w:cs="Times New Roman" w:eastAsia="Times New Roman" w:hAnsi="Times New Roman"/>
          <w:sz w:val="15"/>
          <w:szCs w:val="15"/>
          <w:color w:val="auto"/>
        </w:rPr>
      </w:pPr>
    </w:p>
    <w:p>
      <w:pPr>
        <w:jc w:val="both"/>
        <w:ind w:left="270" w:hanging="270"/>
        <w:spacing w:after="0" w:line="288" w:lineRule="auto"/>
        <w:tabs>
          <w:tab w:leader="none" w:pos="266"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regulatory approval and shareholder approval and satisfy other conditions necessary to close acquisitions, dispositions, combinations or joint ventures and the impact of conditions imposed by competition and other regulatory authorities in connection with any of our acquisitions, dispositions, combinations or joint ventures;</w:t>
      </w:r>
    </w:p>
    <w:p>
      <w:pPr>
        <w:spacing w:after="0" w:line="234" w:lineRule="exact"/>
        <w:rPr>
          <w:rFonts w:ascii="Times New Roman" w:cs="Times New Roman" w:eastAsia="Times New Roman" w:hAnsi="Times New Roman"/>
          <w:sz w:val="15"/>
          <w:szCs w:val="15"/>
          <w:color w:val="auto"/>
        </w:rPr>
      </w:pPr>
    </w:p>
    <w:p>
      <w:pPr>
        <w:ind w:left="270" w:hanging="270"/>
        <w:spacing w:after="0" w:line="295" w:lineRule="auto"/>
        <w:tabs>
          <w:tab w:leader="none" w:pos="266"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problems we may discover post-closing with the operations, including the internal controls and financial reporting processes, of businesses we acquire or with whom we combine or create joint ventures;</w:t>
      </w:r>
    </w:p>
    <w:p>
      <w:pPr>
        <w:spacing w:after="0" w:line="38" w:lineRule="exact"/>
        <w:rPr>
          <w:rFonts w:ascii="Times New Roman" w:cs="Times New Roman" w:eastAsia="Times New Roman" w:hAnsi="Times New Roman"/>
          <w:sz w:val="15"/>
          <w:szCs w:val="15"/>
          <w:color w:val="auto"/>
        </w:rPr>
      </w:pPr>
    </w:p>
    <w:p>
      <w:pPr>
        <w:ind w:left="270" w:hanging="270"/>
        <w:spacing w:after="0" w:line="295" w:lineRule="auto"/>
        <w:tabs>
          <w:tab w:leader="none" w:pos="266"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operating costs, customer loss and business disruption, including maintaining relationships with employees, customers, suppliers or vendors, may be greater than expected in connection with our acquisitions, dispositions, combinations or joint ventures;</w:t>
      </w:r>
    </w:p>
    <w:p>
      <w:pPr>
        <w:spacing w:after="0" w:line="38"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nature of key strategic relationships with partners and joint venturers;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70"/>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63500</wp:posOffset>
            </wp:positionV>
            <wp:extent cx="7177405" cy="40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0990"/>
          </w:cols>
          <w:pgMar w:left="590" w:top="820" w:right="319" w:bottom="1440" w:gutter="0" w:footer="0" w:header="0"/>
        </w:sectPr>
      </w:pPr>
    </w:p>
    <w:bookmarkStart w:id="56" w:name="page57"/>
    <w:bookmarkEnd w:id="56"/>
    <w:p>
      <w:pPr>
        <w:ind w:left="540" w:hanging="270"/>
        <w:spacing w:after="0"/>
        <w:tabs>
          <w:tab w:leader="none" w:pos="54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profit from or undertake transactions that we believe will be accretive with investments, such as our joint ventures, that we do not solely control;</w:t>
      </w:r>
    </w:p>
    <w:p>
      <w:pPr>
        <w:spacing w:after="0" w:line="105"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potential exposure to additional tax liabilities;</w:t>
      </w:r>
    </w:p>
    <w:p>
      <w:pPr>
        <w:spacing w:after="0" w:line="105"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 on our businesses of strikes or collective action by certain of our employees that are represented by trade unions or work councils;</w:t>
      </w:r>
    </w:p>
    <w:p>
      <w:pPr>
        <w:spacing w:after="0" w:line="105"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capital structure and factors related to our debt arrangements;</w:t>
      </w:r>
    </w:p>
    <w:p>
      <w:pPr>
        <w:spacing w:after="0" w:line="105" w:lineRule="exact"/>
        <w:rPr>
          <w:rFonts w:ascii="Times New Roman" w:cs="Times New Roman" w:eastAsia="Times New Roman" w:hAnsi="Times New Roman"/>
          <w:sz w:val="15"/>
          <w:szCs w:val="15"/>
          <w:color w:val="auto"/>
        </w:rPr>
      </w:pPr>
    </w:p>
    <w:p>
      <w:pPr>
        <w:ind w:left="540" w:hanging="270"/>
        <w:spacing w:after="0" w:line="295" w:lineRule="auto"/>
        <w:tabs>
          <w:tab w:leader="none" w:pos="536" w:val="left"/>
        </w:tabs>
        <w:numPr>
          <w:ilvl w:val="0"/>
          <w:numId w:val="58"/>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our ability to navigate the potential impacts on our business resulting from any international trade wars or tariffs imposed on the products or services that we purchase from vendors or sell to our customers;</w:t>
      </w:r>
    </w:p>
    <w:p>
      <w:pPr>
        <w:spacing w:after="0" w:line="38" w:lineRule="exact"/>
        <w:rPr>
          <w:rFonts w:ascii="Times New Roman" w:cs="Times New Roman" w:eastAsia="Times New Roman" w:hAnsi="Times New Roman"/>
          <w:sz w:val="15"/>
          <w:szCs w:val="15"/>
          <w:i w:val="1"/>
          <w:iCs w:val="1"/>
          <w:color w:val="auto"/>
        </w:rPr>
      </w:pPr>
    </w:p>
    <w:p>
      <w:pPr>
        <w:ind w:left="540" w:hanging="270"/>
        <w:spacing w:after="0" w:line="295" w:lineRule="auto"/>
        <w:tabs>
          <w:tab w:leader="none" w:pos="536"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maintain or increase rates to our subscribers or to pass through increased costs to our subscribers, including with respect to our significant property and equipment additions, as a result of, among other things, inflationary and cost of living pressures;</w:t>
      </w:r>
    </w:p>
    <w:p>
      <w:pPr>
        <w:spacing w:after="0" w:line="38"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availability and cost of capital for the acquisition, maintenance and/or development of telecommunications networks, products and services;</w:t>
      </w:r>
    </w:p>
    <w:p>
      <w:pPr>
        <w:spacing w:after="0" w:line="105" w:lineRule="exact"/>
        <w:rPr>
          <w:rFonts w:ascii="Times New Roman" w:cs="Times New Roman" w:eastAsia="Times New Roman" w:hAnsi="Times New Roman"/>
          <w:sz w:val="15"/>
          <w:szCs w:val="15"/>
          <w:color w:val="auto"/>
        </w:rPr>
      </w:pPr>
    </w:p>
    <w:p>
      <w:pPr>
        <w:ind w:left="540" w:right="20" w:hanging="270"/>
        <w:spacing w:after="0" w:line="295" w:lineRule="auto"/>
        <w:tabs>
          <w:tab w:leader="none" w:pos="536"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consumer disposable income and spending levels, including the availability and amount of individual consumer debt, as a result of, among other things, inflationary or cost of living pressures;</w:t>
      </w:r>
    </w:p>
    <w:p>
      <w:pPr>
        <w:spacing w:after="0" w:line="38"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freely access the cash of our operating companies;</w:t>
      </w:r>
    </w:p>
    <w:p>
      <w:pPr>
        <w:spacing w:after="0" w:line="105"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 of default by counterparties to our cash investments, derivative and other financial instruments and undrawn debt facilities;</w:t>
      </w:r>
    </w:p>
    <w:p>
      <w:pPr>
        <w:spacing w:after="0" w:line="105"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loss of key employees and the inability to attract or hire qualified personnel due to labor market dynamics or due to legal or immigration rules and regulations;</w:t>
      </w:r>
    </w:p>
    <w:p>
      <w:pPr>
        <w:spacing w:after="0" w:line="105"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provide satisfactory customer service, including support for new and evolving products and services;</w:t>
      </w:r>
    </w:p>
    <w:p>
      <w:pPr>
        <w:spacing w:after="0" w:line="105"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government intervention that requires opening our broadband distribution networks to competitors, such as certain regulatory obligations imposed in Belgium;</w:t>
      </w:r>
    </w:p>
    <w:p>
      <w:pPr>
        <w:spacing w:after="0" w:line="105"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maintain and further develop our direct and indirect distribution channels;</w:t>
      </w:r>
    </w:p>
    <w:p>
      <w:pPr>
        <w:spacing w:after="0" w:line="105"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outcome of any pending or threatened litigation; and</w:t>
      </w:r>
    </w:p>
    <w:p>
      <w:pPr>
        <w:spacing w:after="0" w:line="105" w:lineRule="exact"/>
        <w:rPr>
          <w:rFonts w:ascii="Times New Roman" w:cs="Times New Roman" w:eastAsia="Times New Roman" w:hAnsi="Times New Roman"/>
          <w:sz w:val="15"/>
          <w:szCs w:val="15"/>
          <w:color w:val="auto"/>
        </w:rPr>
      </w:pPr>
    </w:p>
    <w:p>
      <w:pPr>
        <w:ind w:left="540" w:hanging="270"/>
        <w:spacing w:after="0" w:line="295" w:lineRule="auto"/>
        <w:tabs>
          <w:tab w:leader="none" w:pos="536"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events that are outside of our control, such as political unrest in international markets, terrorist attacks, armed conflicts, malicious human acts, natural disasters, epidemics, pandemics and other similar events, including the ongoing invasion of Ukraine by Russia and the continuing conflicts in the Middle East.</w:t>
      </w:r>
    </w:p>
    <w:p>
      <w:pPr>
        <w:spacing w:after="0" w:line="155" w:lineRule="exact"/>
        <w:rPr>
          <w:sz w:val="20"/>
          <w:szCs w:val="20"/>
          <w:color w:val="auto"/>
        </w:rPr>
      </w:pPr>
    </w:p>
    <w:p>
      <w:pPr>
        <w:jc w:val="both"/>
        <w:ind w:firstLine="278"/>
        <w:spacing w:after="0" w:line="267" w:lineRule="auto"/>
        <w:rPr>
          <w:sz w:val="20"/>
          <w:szCs w:val="20"/>
          <w:color w:val="auto"/>
        </w:rPr>
      </w:pPr>
      <w:r>
        <w:rPr>
          <w:rFonts w:ascii="Times New Roman" w:cs="Times New Roman" w:eastAsia="Times New Roman" w:hAnsi="Times New Roman"/>
          <w:sz w:val="15"/>
          <w:szCs w:val="15"/>
          <w:color w:val="auto"/>
        </w:rPr>
        <w:t>The broadband distribution and mobile service industries are changing rapidly and, therefore, the forward-looking statements of expectations, plans and intents in this Quarterly Report are subject to a significant degree of risk. These forward-looking statements and the above-described risks, uncertainties and other factors speak only as of the date of this Quarterly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i w:val="1"/>
          <w:iCs w:val="1"/>
          <w:color w:val="auto"/>
        </w:rPr>
        <w:t>General</w:t>
      </w:r>
    </w:p>
    <w:p>
      <w:pPr>
        <w:spacing w:after="0" w:line="225" w:lineRule="exact"/>
        <w:rPr>
          <w:sz w:val="20"/>
          <w:szCs w:val="20"/>
          <w:color w:val="auto"/>
        </w:rPr>
      </w:pPr>
    </w:p>
    <w:p>
      <w:pPr>
        <w:jc w:val="both"/>
        <w:ind w:firstLine="278"/>
        <w:spacing w:after="0" w:line="267" w:lineRule="auto"/>
        <w:rPr>
          <w:sz w:val="20"/>
          <w:szCs w:val="20"/>
          <w:color w:val="auto"/>
        </w:rPr>
      </w:pPr>
      <w:r>
        <w:rPr>
          <w:rFonts w:ascii="Times New Roman" w:cs="Times New Roman" w:eastAsia="Times New Roman" w:hAnsi="Times New Roman"/>
          <w:sz w:val="15"/>
          <w:szCs w:val="15"/>
          <w:color w:val="auto"/>
        </w:rPr>
        <w:t>We are an international provider of broadband internet, video, fixed-line telephony and mobile communications services to residential customers and businesses in Europe and are an active investor across the infrastructure, content and technology industries. We also provide innovative technology solutions and finance services. Our continuing operations comprise businesses that provide residential and B2B communications services in (i) Belgium and Luxembourg through Telenet and (ii) Ireland through VM Ireland. In addition, we own 50% noncontrolling interests in (a) the VMO2 JV, which provides residential and B2B communications services in the U.K., and (b) the VodafoneZiggo JV, which provides residential and B2B communications services in the Netherlands.</w:t>
      </w:r>
    </w:p>
    <w:p>
      <w:pPr>
        <w:spacing w:after="0" w:line="175" w:lineRule="exact"/>
        <w:rPr>
          <w:sz w:val="20"/>
          <w:szCs w:val="20"/>
          <w:color w:val="auto"/>
        </w:rPr>
      </w:pPr>
    </w:p>
    <w:p>
      <w:pPr>
        <w:jc w:val="both"/>
        <w:ind w:firstLine="278"/>
        <w:spacing w:after="0" w:line="295" w:lineRule="auto"/>
        <w:rPr>
          <w:sz w:val="20"/>
          <w:szCs w:val="20"/>
          <w:color w:val="auto"/>
        </w:rPr>
      </w:pPr>
      <w:r>
        <w:rPr>
          <w:rFonts w:ascii="Times New Roman" w:cs="Times New Roman" w:eastAsia="Times New Roman" w:hAnsi="Times New Roman"/>
          <w:sz w:val="15"/>
          <w:szCs w:val="15"/>
          <w:color w:val="auto"/>
        </w:rPr>
        <w:t>Prior to the completion of the Spin-off on November 8, 2024, we also provided residential and B2B communications services in Switzerland through Sunrise. Sunrise, together with certain other Liberty Global subsidiaries connected to our Swiss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7" w:name="page58"/>
    <w:bookmarkEnd w:id="57"/>
    <w:p>
      <w:pPr>
        <w:jc w:val="both"/>
        <w:spacing w:after="0" w:line="276" w:lineRule="auto"/>
        <w:rPr>
          <w:sz w:val="20"/>
          <w:szCs w:val="20"/>
          <w:color w:val="auto"/>
        </w:rPr>
      </w:pPr>
      <w:r>
        <w:rPr>
          <w:rFonts w:ascii="Times New Roman" w:cs="Times New Roman" w:eastAsia="Times New Roman" w:hAnsi="Times New Roman"/>
          <w:sz w:val="15"/>
          <w:szCs w:val="15"/>
          <w:color w:val="auto"/>
        </w:rPr>
        <w:t>business, are collectively referred to as the Sunrise Entities and are reflected as discontinued operations for all applicable periods. In the following discussion and analysis, the operating statistics, results of operations, cash flows and financial condition that we present and discuss are those of our continuing operations, unless otherwise indicated. For additional information regarding the Spin-off, see note 4 to our condensed consolidated financial statements.</w:t>
      </w:r>
    </w:p>
    <w:p>
      <w:pPr>
        <w:spacing w:after="0" w:line="169" w:lineRule="exact"/>
        <w:rPr>
          <w:sz w:val="20"/>
          <w:szCs w:val="20"/>
          <w:color w:val="auto"/>
        </w:rPr>
      </w:pPr>
    </w:p>
    <w:p>
      <w:pPr>
        <w:jc w:val="both"/>
        <w:ind w:right="20" w:firstLine="278"/>
        <w:spacing w:after="0" w:line="295" w:lineRule="auto"/>
        <w:rPr>
          <w:sz w:val="20"/>
          <w:szCs w:val="20"/>
          <w:color w:val="auto"/>
        </w:rPr>
      </w:pPr>
      <w:r>
        <w:rPr>
          <w:rFonts w:ascii="Times New Roman" w:cs="Times New Roman" w:eastAsia="Times New Roman" w:hAnsi="Times New Roman"/>
          <w:sz w:val="15"/>
          <w:szCs w:val="15"/>
          <w:color w:val="auto"/>
        </w:rPr>
        <w:t>On October 2, 2024, we completed the Formula E Acquisition, pursuant to which we acquired a controlling interest in Formula E and began consolidating 100% of Formula E’s results from that date. For additional information, see note 4 to our condensed consolidated financial statements.</w:t>
      </w:r>
    </w:p>
    <w:p>
      <w:pPr>
        <w:spacing w:after="0" w:line="1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i w:val="1"/>
          <w:iCs w:val="1"/>
          <w:color w:val="auto"/>
        </w:rPr>
        <w:t>Operations</w:t>
      </w:r>
    </w:p>
    <w:p>
      <w:pPr>
        <w:spacing w:after="0" w:line="225" w:lineRule="exact"/>
        <w:rPr>
          <w:sz w:val="20"/>
          <w:szCs w:val="20"/>
          <w:color w:val="auto"/>
        </w:rPr>
      </w:pPr>
    </w:p>
    <w:p>
      <w:pPr>
        <w:jc w:val="both"/>
        <w:ind w:firstLine="278"/>
        <w:spacing w:after="0" w:line="295" w:lineRule="auto"/>
        <w:rPr>
          <w:sz w:val="20"/>
          <w:szCs w:val="20"/>
          <w:color w:val="auto"/>
        </w:rPr>
      </w:pPr>
      <w:r>
        <w:rPr>
          <w:rFonts w:ascii="Times New Roman" w:cs="Times New Roman" w:eastAsia="Times New Roman" w:hAnsi="Times New Roman"/>
          <w:sz w:val="15"/>
          <w:szCs w:val="15"/>
          <w:color w:val="auto"/>
        </w:rPr>
        <w:t>At September 30, 2025, our reportable segments, including our nonconsolidated JVs, as defined in note 16 to our condensed consolidated financial statements, owned and operated networks that passed 29,073,400 homes and served 11,443,800 fixed-line customers and 44,970,800 mobile subscribers.</w:t>
      </w:r>
    </w:p>
    <w:p>
      <w:pPr>
        <w:spacing w:after="0" w:line="1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i w:val="1"/>
          <w:iCs w:val="1"/>
          <w:color w:val="auto"/>
        </w:rPr>
        <w:t>Competition and Other External Factors</w:t>
      </w:r>
    </w:p>
    <w:p>
      <w:pPr>
        <w:spacing w:after="0" w:line="225" w:lineRule="exact"/>
        <w:rPr>
          <w:sz w:val="20"/>
          <w:szCs w:val="20"/>
          <w:color w:val="auto"/>
        </w:rPr>
      </w:pPr>
    </w:p>
    <w:p>
      <w:pPr>
        <w:jc w:val="both"/>
        <w:ind w:firstLine="278"/>
        <w:spacing w:after="0" w:line="273" w:lineRule="auto"/>
        <w:rPr>
          <w:sz w:val="20"/>
          <w:szCs w:val="20"/>
          <w:color w:val="auto"/>
        </w:rPr>
      </w:pPr>
      <w:r>
        <w:rPr>
          <w:rFonts w:ascii="Times New Roman" w:cs="Times New Roman" w:eastAsia="Times New Roman" w:hAnsi="Times New Roman"/>
          <w:sz w:val="15"/>
          <w:szCs w:val="15"/>
          <w:color w:val="auto"/>
        </w:rPr>
        <w:t>We are experiencing competition in all of the markets in which we or our affiliates operate. This competition, together with macroeconomic and regulatory factors, has adversely impacted our revenue, number of customers and/or average monthly subscription revenue per fixed-line customer or mobile subscriber, as applicable (</w:t>
      </w:r>
      <w:r>
        <w:rPr>
          <w:rFonts w:ascii="Times New Roman" w:cs="Times New Roman" w:eastAsia="Times New Roman" w:hAnsi="Times New Roman"/>
          <w:sz w:val="15"/>
          <w:szCs w:val="15"/>
          <w:b w:val="1"/>
          <w:bCs w:val="1"/>
          <w:color w:val="auto"/>
        </w:rPr>
        <w:t>ARPU</w:t>
      </w:r>
      <w:r>
        <w:rPr>
          <w:rFonts w:ascii="Times New Roman" w:cs="Times New Roman" w:eastAsia="Times New Roman" w:hAnsi="Times New Roman"/>
          <w:sz w:val="15"/>
          <w:szCs w:val="15"/>
          <w:color w:val="auto"/>
        </w:rPr>
        <w:t xml:space="preserve">). For additional information regarding the revenue impact of changes in the fixed-line customers and ARPU of our consolidated reportable segments, see </w:t>
      </w:r>
      <w:r>
        <w:rPr>
          <w:rFonts w:ascii="Times New Roman" w:cs="Times New Roman" w:eastAsia="Times New Roman" w:hAnsi="Times New Roman"/>
          <w:sz w:val="15"/>
          <w:szCs w:val="15"/>
          <w:i w:val="1"/>
          <w:iCs w:val="1"/>
          <w:color w:val="auto"/>
        </w:rPr>
        <w:t>Discussion and Analysis of our Reportable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Segments </w:t>
      </w:r>
      <w:r>
        <w:rPr>
          <w:rFonts w:ascii="Times New Roman" w:cs="Times New Roman" w:eastAsia="Times New Roman" w:hAnsi="Times New Roman"/>
          <w:sz w:val="15"/>
          <w:szCs w:val="15"/>
          <w:color w:val="auto"/>
        </w:rPr>
        <w:t>below</w:t>
      </w:r>
      <w:r>
        <w:rPr>
          <w:rFonts w:ascii="Times New Roman" w:cs="Times New Roman" w:eastAsia="Times New Roman" w:hAnsi="Times New Roman"/>
          <w:sz w:val="15"/>
          <w:szCs w:val="15"/>
          <w:i w:val="1"/>
          <w:iCs w:val="1"/>
          <w:color w:val="auto"/>
        </w:rPr>
        <w:t>.</w:t>
      </w:r>
    </w:p>
    <w:p>
      <w:pPr>
        <w:spacing w:after="0" w:line="361" w:lineRule="exact"/>
        <w:rPr>
          <w:sz w:val="20"/>
          <w:szCs w:val="20"/>
          <w:color w:val="auto"/>
        </w:rPr>
      </w:pPr>
    </w:p>
    <w:p>
      <w:pPr>
        <w:jc w:val="both"/>
        <w:ind w:firstLine="278"/>
        <w:spacing w:after="0" w:line="267" w:lineRule="auto"/>
        <w:rPr>
          <w:sz w:val="20"/>
          <w:szCs w:val="20"/>
          <w:color w:val="auto"/>
        </w:rPr>
      </w:pPr>
      <w:r>
        <w:rPr>
          <w:rFonts w:ascii="Times New Roman" w:cs="Times New Roman" w:eastAsia="Times New Roman" w:hAnsi="Times New Roman"/>
          <w:sz w:val="15"/>
          <w:szCs w:val="15"/>
          <w:color w:val="auto"/>
        </w:rPr>
        <w:t>We are subject to inflationary pressures with respect to labor, programming and other costs. While we attempt to increase our revenue to offset increases in costs, there is no assurance that we will be able to do so. Therefore, costs could rise faster than associated revenue, thereby resulting in a negative impact on our operating results, cash flows and liquidity. The economic environment in the respective countries in which we operate is a function of government, economic, fiscal and monetary policies and various other factors beyond our control that could lead to inflation. We are unable to predict the extent that price levels might be impacted in future periods by the current state of the economies in the countries in which we operate.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Material Changes in Results of Operations</w:t>
      </w:r>
    </w:p>
    <w:p>
      <w:pPr>
        <w:spacing w:after="0" w:line="225" w:lineRule="exact"/>
        <w:rPr>
          <w:sz w:val="20"/>
          <w:szCs w:val="20"/>
          <w:color w:val="auto"/>
        </w:rPr>
      </w:pPr>
    </w:p>
    <w:p>
      <w:pPr>
        <w:jc w:val="both"/>
        <w:ind w:firstLine="278"/>
        <w:spacing w:after="0" w:line="295" w:lineRule="auto"/>
        <w:rPr>
          <w:sz w:val="20"/>
          <w:szCs w:val="20"/>
          <w:color w:val="auto"/>
        </w:rPr>
      </w:pPr>
      <w:r>
        <w:rPr>
          <w:rFonts w:ascii="Times New Roman" w:cs="Times New Roman" w:eastAsia="Times New Roman" w:hAnsi="Times New Roman"/>
          <w:sz w:val="15"/>
          <w:szCs w:val="15"/>
          <w:color w:val="auto"/>
        </w:rPr>
        <w:t>We have completed a number of transactions that impact the comparability of our 2025 and 2024 results of operations, the most notable of which is the Formula E Acquisition on October 2, 2024. For further information, see note 4 to our condensed consolidated financial statements.</w:t>
      </w:r>
    </w:p>
    <w:p>
      <w:pPr>
        <w:spacing w:after="0" w:line="151" w:lineRule="exact"/>
        <w:rPr>
          <w:sz w:val="20"/>
          <w:szCs w:val="20"/>
          <w:color w:val="auto"/>
        </w:rPr>
      </w:pPr>
    </w:p>
    <w:p>
      <w:pPr>
        <w:jc w:val="both"/>
        <w:ind w:firstLine="278"/>
        <w:spacing w:after="0" w:line="263" w:lineRule="auto"/>
        <w:rPr>
          <w:sz w:val="20"/>
          <w:szCs w:val="20"/>
          <w:color w:val="auto"/>
        </w:rPr>
      </w:pPr>
      <w:r>
        <w:rPr>
          <w:rFonts w:ascii="Times New Roman" w:cs="Times New Roman" w:eastAsia="Times New Roman" w:hAnsi="Times New Roman"/>
          <w:sz w:val="15"/>
          <w:szCs w:val="15"/>
          <w:color w:val="auto"/>
        </w:rPr>
        <w:t xml:space="preserve">In the following discussion, we quantify the estimated impact of material acquisitions (the </w:t>
      </w:r>
      <w:r>
        <w:rPr>
          <w:rFonts w:ascii="Times New Roman" w:cs="Times New Roman" w:eastAsia="Times New Roman" w:hAnsi="Times New Roman"/>
          <w:sz w:val="15"/>
          <w:szCs w:val="15"/>
          <w:b w:val="1"/>
          <w:bCs w:val="1"/>
          <w:color w:val="auto"/>
        </w:rPr>
        <w:t>Acquisition Impact</w:t>
      </w:r>
      <w:r>
        <w:rPr>
          <w:rFonts w:ascii="Times New Roman" w:cs="Times New Roman" w:eastAsia="Times New Roman" w:hAnsi="Times New Roman"/>
          <w:sz w:val="15"/>
          <w:szCs w:val="15"/>
          <w:color w:val="auto"/>
        </w:rPr>
        <w:t>) and dispositions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3 to 12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 With respect to material dispositions, the organic changes that are discussed below reflect adjustments to exclude the historical prior-year results of any disposed entities to the extent that such entities are not included in the corresponding results for the current-year period.</w:t>
      </w:r>
    </w:p>
    <w:p>
      <w:pPr>
        <w:spacing w:after="0" w:line="182" w:lineRule="exact"/>
        <w:rPr>
          <w:sz w:val="20"/>
          <w:szCs w:val="20"/>
          <w:color w:val="auto"/>
        </w:rPr>
      </w:pPr>
    </w:p>
    <w:p>
      <w:pPr>
        <w:jc w:val="both"/>
        <w:ind w:firstLine="278"/>
        <w:spacing w:after="0" w:line="263" w:lineRule="auto"/>
        <w:rPr>
          <w:sz w:val="20"/>
          <w:szCs w:val="20"/>
          <w:color w:val="auto"/>
        </w:rPr>
      </w:pPr>
      <w:r>
        <w:rPr>
          <w:rFonts w:ascii="Times New Roman" w:cs="Times New Roman" w:eastAsia="Times New Roman" w:hAnsi="Times New Roman"/>
          <w:sz w:val="15"/>
          <w:szCs w:val="15"/>
          <w:color w:val="auto"/>
        </w:rPr>
        <w:t xml:space="preserve">Changes in foreign currency exchange rates have a significant impact on our reported operating results, as all of our operating segments have functional currencies other than the U.S. dollar. Our primary exposure to foreign exchange (FX) risk during the three months ended September 30, 2025 was to the euro, as substantially all of our reported revenue during the period was derived from subsidiaries whose functional currencies are the euro. In addition, our reported operating results are impacted by changes in the exchange rates for certain other local currencies in Europe. The portions of the changes in the various components of our results of operations that are attributable to changes in FX are highlighted under </w:t>
      </w:r>
      <w:r>
        <w:rPr>
          <w:rFonts w:ascii="Times New Roman" w:cs="Times New Roman" w:eastAsia="Times New Roman" w:hAnsi="Times New Roman"/>
          <w:sz w:val="15"/>
          <w:szCs w:val="15"/>
          <w:i w:val="1"/>
          <w:iCs w:val="1"/>
          <w:color w:val="auto"/>
        </w:rPr>
        <w:t>Discussion and Analysis of our Reportable Segments</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Discussion and Analysis of our Consolidated Operating Results</w:t>
      </w:r>
      <w:r>
        <w:rPr>
          <w:rFonts w:ascii="Times New Roman" w:cs="Times New Roman" w:eastAsia="Times New Roman" w:hAnsi="Times New Roman"/>
          <w:sz w:val="15"/>
          <w:szCs w:val="15"/>
          <w:color w:val="auto"/>
        </w:rPr>
        <w:t xml:space="preserve"> below. For information regarding our foreign currency risks and the applicable foreign currency exchange rates in effect for the periods covered by this Quarterly Report, see Part I, Item 3. </w:t>
      </w:r>
      <w:r>
        <w:rPr>
          <w:rFonts w:ascii="Times New Roman" w:cs="Times New Roman" w:eastAsia="Times New Roman" w:hAnsi="Times New Roman"/>
          <w:sz w:val="15"/>
          <w:szCs w:val="15"/>
          <w:i w:val="1"/>
          <w:iCs w:val="1"/>
          <w:color w:val="auto"/>
        </w:rPr>
        <w:t>Quantitative and Qualitative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Disclosures about Market Risk — Foreign Currency Risk </w:t>
      </w:r>
      <w:r>
        <w:rPr>
          <w:rFonts w:ascii="Times New Roman" w:cs="Times New Roman" w:eastAsia="Times New Roman" w:hAnsi="Times New Roman"/>
          <w:sz w:val="15"/>
          <w:szCs w:val="15"/>
          <w:color w:val="auto"/>
        </w:rPr>
        <w:t>below.</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8" w:name="page59"/>
    <w:bookmarkEnd w:id="58"/>
    <w:p>
      <w:pPr>
        <w:jc w:val="both"/>
        <w:ind w:firstLine="278"/>
        <w:spacing w:after="0" w:line="270" w:lineRule="auto"/>
        <w:rPr>
          <w:sz w:val="20"/>
          <w:szCs w:val="20"/>
          <w:color w:val="auto"/>
        </w:rPr>
      </w:pPr>
      <w:r>
        <w:rPr>
          <w:rFonts w:ascii="Times New Roman" w:cs="Times New Roman" w:eastAsia="Times New Roman" w:hAnsi="Times New Roman"/>
          <w:sz w:val="15"/>
          <w:szCs w:val="15"/>
          <w:color w:val="auto"/>
        </w:rPr>
        <w:t>The amounts presented and discussed below represent 100% of each of our consolidated and nonconsolidated reportable segment’s results of operations, despite only holding a 50% noncontrolling interest in both the VMO2 JV and the VodafoneZiggo JV. We account for our 50% interests in both the VMO2 JV and the VodafoneZiggo JV under the equity method; accordingly, our share of their operating results is included in share of results of affiliates, net in our condensed consolidated statements of operations. The noncontrolling interests at Telenet and Formula E are reflected in net earnings or loss attributable to noncontrolling interests in our condensed consolidated statements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Discussion and Analysis of our Reportable Segments</w:t>
      </w:r>
    </w:p>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i w:val="1"/>
          <w:iCs w:val="1"/>
          <w:color w:val="auto"/>
        </w:rPr>
        <w:t>General</w:t>
      </w:r>
    </w:p>
    <w:p>
      <w:pPr>
        <w:spacing w:after="0" w:line="225" w:lineRule="exact"/>
        <w:rPr>
          <w:sz w:val="20"/>
          <w:szCs w:val="20"/>
          <w:color w:val="auto"/>
        </w:rPr>
      </w:pPr>
    </w:p>
    <w:p>
      <w:pPr>
        <w:jc w:val="both"/>
        <w:ind w:firstLine="278"/>
        <w:spacing w:after="0" w:line="270" w:lineRule="auto"/>
        <w:rPr>
          <w:sz w:val="20"/>
          <w:szCs w:val="20"/>
          <w:color w:val="auto"/>
        </w:rPr>
      </w:pPr>
      <w:r>
        <w:rPr>
          <w:rFonts w:ascii="Times New Roman" w:cs="Times New Roman" w:eastAsia="Times New Roman" w:hAnsi="Times New Roman"/>
          <w:sz w:val="15"/>
          <w:szCs w:val="15"/>
          <w:color w:val="auto"/>
        </w:rPr>
        <w:t xml:space="preserve">Telenet, VM Ireland, the VMO2 JV and the VodafoneZiggo JV derive their revenue primarily from residential and B2B communications services. For detailed information regarding the composition of our reportable segments, our “all other category” and how we define and categorize our revenue components, see note 16 to our condensed consolidated financial statements. For information regarding the results of operations of the VMO2 JV and the VodafoneZiggo JV, refer to </w:t>
      </w:r>
      <w:r>
        <w:rPr>
          <w:rFonts w:ascii="Times New Roman" w:cs="Times New Roman" w:eastAsia="Times New Roman" w:hAnsi="Times New Roman"/>
          <w:sz w:val="15"/>
          <w:szCs w:val="15"/>
          <w:i w:val="1"/>
          <w:iCs w:val="1"/>
          <w:color w:val="auto"/>
        </w:rPr>
        <w:t>Discussion and Analysis of our Consolidated Operating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Results — Share of results of affiliates, net </w:t>
      </w:r>
      <w:r>
        <w:rPr>
          <w:rFonts w:ascii="Times New Roman" w:cs="Times New Roman" w:eastAsia="Times New Roman" w:hAnsi="Times New Roman"/>
          <w:sz w:val="15"/>
          <w:szCs w:val="15"/>
          <w:color w:val="auto"/>
        </w:rPr>
        <w:t>below.</w:t>
      </w:r>
    </w:p>
    <w:p>
      <w:pPr>
        <w:spacing w:after="0" w:line="173" w:lineRule="exact"/>
        <w:rPr>
          <w:sz w:val="20"/>
          <w:szCs w:val="20"/>
          <w:color w:val="auto"/>
        </w:rPr>
      </w:pPr>
    </w:p>
    <w:p>
      <w:pPr>
        <w:jc w:val="both"/>
        <w:ind w:firstLine="278"/>
        <w:spacing w:after="0" w:line="267" w:lineRule="auto"/>
        <w:rPr>
          <w:sz w:val="20"/>
          <w:szCs w:val="20"/>
          <w:color w:val="auto"/>
        </w:rPr>
      </w:pPr>
      <w:r>
        <w:rPr>
          <w:rFonts w:ascii="Times New Roman" w:cs="Times New Roman" w:eastAsia="Times New Roman" w:hAnsi="Times New Roman"/>
          <w:sz w:val="15"/>
          <w:szCs w:val="15"/>
          <w:color w:val="auto"/>
        </w:rPr>
        <w:t>The tables presented below in this section provide the details of the revenue and Adjusted EBITDA of our reportable segments for the three and nine months ended September 30, 2025, as compared to the corresponding periods in 2024. These tables present (i) the amounts reported for the current and comparative periods, (ii) the reported U.S. dollar change and percentage change from period to period and (iii) with respect to our consolidated reportable segments, the organic U.S. dollar change and percentage change from period to period. For our organic comparisons, which exclude the impact of FX, we assume that exchange rates remained constant at the prior-period rate during all periods presented. We also provide a table showing the Adjusted EBITDA margins of our reportable segments for the three and nine months ended September 30, 2025 and 2024 at the end of this section.</w:t>
      </w:r>
    </w:p>
    <w:p>
      <w:pPr>
        <w:spacing w:after="0" w:line="175" w:lineRule="exact"/>
        <w:rPr>
          <w:sz w:val="20"/>
          <w:szCs w:val="20"/>
          <w:color w:val="auto"/>
        </w:rPr>
      </w:pPr>
    </w:p>
    <w:p>
      <w:pPr>
        <w:jc w:val="both"/>
        <w:ind w:firstLine="278"/>
        <w:spacing w:after="0" w:line="276" w:lineRule="auto"/>
        <w:rPr>
          <w:sz w:val="20"/>
          <w:szCs w:val="20"/>
          <w:color w:val="auto"/>
        </w:rPr>
      </w:pPr>
      <w:r>
        <w:rPr>
          <w:rFonts w:ascii="Times New Roman" w:cs="Times New Roman" w:eastAsia="Times New Roman" w:hAnsi="Times New Roman"/>
          <w:sz w:val="15"/>
          <w:szCs w:val="15"/>
          <w:color w:val="auto"/>
        </w:rPr>
        <w:t>Consolidated Adjusted EBITDA is a non-GAAP measure, which we believe is a meaningful measure because it represents a transparent view of our recurring operating performance that is unaffected by our capital structure and allows management to readily view operating trends from a consolidated view. Investors should view consolidated Adjusted EBITDA as a supplement to, and not a substitute for, GAAP measures of performance included in our condensed consolidated statements of operations.</w:t>
      </w:r>
    </w:p>
    <w:p>
      <w:pPr>
        <w:spacing w:after="0" w:line="16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following table provides a reconciliation of loss from continuing operations to total consolidated Adjusted EBITDA: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72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2260" w:type="dxa"/>
            <w:vAlign w:val="bottom"/>
            <w:gridSpan w:val="4"/>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4"/>
        </w:trPr>
        <w:tc>
          <w:tcPr>
            <w:tcW w:w="59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90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6"/>
        </w:trPr>
        <w:tc>
          <w:tcPr>
            <w:tcW w:w="5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gridSpan w:val="3"/>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5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from continuing operations</w:t>
            </w:r>
          </w:p>
        </w:tc>
        <w:tc>
          <w:tcPr>
            <w:tcW w:w="800" w:type="dxa"/>
            <w:vAlign w:val="bottom"/>
            <w:shd w:val="clear" w:color="auto" w:fill="CCEEFF"/>
          </w:tcPr>
          <w:p>
            <w:pPr>
              <w:jc w:val="right"/>
              <w:ind w:right="647"/>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(1,423.7)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(4,180.5)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(465.1)</w:t>
            </w:r>
          </w:p>
        </w:tc>
        <w:tc>
          <w:tcPr>
            <w:tcW w:w="0" w:type="dxa"/>
            <w:vAlign w:val="bottom"/>
          </w:tcPr>
          <w:p>
            <w:pPr>
              <w:spacing w:after="0"/>
              <w:rPr>
                <w:sz w:val="1"/>
                <w:szCs w:val="1"/>
                <w:color w:val="auto"/>
              </w:rPr>
            </w:pPr>
          </w:p>
        </w:tc>
      </w:tr>
      <w:tr>
        <w:trPr>
          <w:trHeight w:val="197"/>
        </w:trPr>
        <w:tc>
          <w:tcPr>
            <w:tcW w:w="59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Income tax expense (benefit)</w:t>
            </w:r>
          </w:p>
        </w:tc>
        <w:tc>
          <w:tcPr>
            <w:tcW w:w="8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59.8</w:t>
            </w:r>
          </w:p>
        </w:tc>
        <w:tc>
          <w:tcPr>
            <w:tcW w:w="0" w:type="dxa"/>
            <w:vAlign w:val="bottom"/>
          </w:tcPr>
          <w:p>
            <w:pPr>
              <w:spacing w:after="0"/>
              <w:rPr>
                <w:sz w:val="1"/>
                <w:szCs w:val="1"/>
                <w:color w:val="auto"/>
              </w:rPr>
            </w:pPr>
          </w:p>
        </w:tc>
      </w:tr>
      <w:tr>
        <w:trPr>
          <w:trHeight w:val="197"/>
        </w:trPr>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Other income, net</w:t>
            </w: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(80.0)</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(166.0)</w:t>
            </w:r>
          </w:p>
        </w:tc>
        <w:tc>
          <w:tcPr>
            <w:tcW w:w="0" w:type="dxa"/>
            <w:vAlign w:val="bottom"/>
          </w:tcPr>
          <w:p>
            <w:pPr>
              <w:spacing w:after="0"/>
              <w:rPr>
                <w:sz w:val="1"/>
                <w:szCs w:val="1"/>
                <w:color w:val="auto"/>
              </w:rPr>
            </w:pPr>
          </w:p>
        </w:tc>
      </w:tr>
      <w:tr>
        <w:trPr>
          <w:trHeight w:val="197"/>
        </w:trPr>
        <w:tc>
          <w:tcPr>
            <w:tcW w:w="59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Gain on sale of All3Media</w:t>
            </w:r>
          </w:p>
        </w:tc>
        <w:tc>
          <w:tcPr>
            <w:tcW w:w="8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(242.9)</w:t>
            </w:r>
          </w:p>
        </w:tc>
        <w:tc>
          <w:tcPr>
            <w:tcW w:w="0" w:type="dxa"/>
            <w:vAlign w:val="bottom"/>
          </w:tcPr>
          <w:p>
            <w:pPr>
              <w:spacing w:after="0"/>
              <w:rPr>
                <w:sz w:val="1"/>
                <w:szCs w:val="1"/>
                <w:color w:val="auto"/>
              </w:rPr>
            </w:pPr>
          </w:p>
        </w:tc>
      </w:tr>
      <w:tr>
        <w:trPr>
          <w:trHeight w:val="197"/>
        </w:trPr>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Share of results of affiliates, net</w:t>
            </w: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455.9</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164.4</w:t>
            </w:r>
          </w:p>
        </w:tc>
        <w:tc>
          <w:tcPr>
            <w:tcW w:w="0" w:type="dxa"/>
            <w:vAlign w:val="bottom"/>
          </w:tcPr>
          <w:p>
            <w:pPr>
              <w:spacing w:after="0"/>
              <w:rPr>
                <w:sz w:val="1"/>
                <w:szCs w:val="1"/>
                <w:color w:val="auto"/>
              </w:rPr>
            </w:pPr>
          </w:p>
        </w:tc>
      </w:tr>
      <w:tr>
        <w:trPr>
          <w:trHeight w:val="197"/>
        </w:trPr>
        <w:tc>
          <w:tcPr>
            <w:tcW w:w="59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Losses on debt extinguishment, net</w:t>
            </w:r>
          </w:p>
        </w:tc>
        <w:tc>
          <w:tcPr>
            <w:tcW w:w="8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50"/>
        </w:trPr>
        <w:tc>
          <w:tcPr>
            <w:tcW w:w="5900" w:type="dxa"/>
            <w:vAlign w:val="bottom"/>
            <w:shd w:val="clear" w:color="auto" w:fill="CCEEFF"/>
          </w:tcPr>
          <w:p>
            <w:pPr>
              <w:ind w:left="100"/>
              <w:spacing w:after="0" w:line="151" w:lineRule="exact"/>
              <w:rPr>
                <w:sz w:val="20"/>
                <w:szCs w:val="20"/>
                <w:color w:val="auto"/>
              </w:rPr>
            </w:pPr>
            <w:r>
              <w:rPr>
                <w:rFonts w:ascii="Times New Roman" w:cs="Times New Roman" w:eastAsia="Times New Roman" w:hAnsi="Times New Roman"/>
                <w:sz w:val="15"/>
                <w:szCs w:val="15"/>
                <w:color w:val="auto"/>
              </w:rPr>
              <w:t>Realized and unrealized losses (gains) due to changes in fair values of certain investments,</w:t>
            </w: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net</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w:t>
            </w:r>
          </w:p>
        </w:tc>
        <w:tc>
          <w:tcPr>
            <w:tcW w:w="0" w:type="dxa"/>
            <w:vAlign w:val="bottom"/>
          </w:tcPr>
          <w:p>
            <w:pPr>
              <w:spacing w:after="0"/>
              <w:rPr>
                <w:sz w:val="1"/>
                <w:szCs w:val="1"/>
                <w:color w:val="auto"/>
              </w:rPr>
            </w:pPr>
          </w:p>
        </w:tc>
      </w:tr>
      <w:tr>
        <w:trPr>
          <w:trHeight w:val="197"/>
        </w:trPr>
        <w:tc>
          <w:tcPr>
            <w:tcW w:w="59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Foreign currency transaction losses (gains), net</w:t>
            </w:r>
          </w:p>
        </w:tc>
        <w:tc>
          <w:tcPr>
            <w:tcW w:w="8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934.9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3,160.9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202.1</w:t>
            </w:r>
          </w:p>
        </w:tc>
        <w:tc>
          <w:tcPr>
            <w:tcW w:w="0" w:type="dxa"/>
            <w:vAlign w:val="bottom"/>
          </w:tcPr>
          <w:p>
            <w:pPr>
              <w:spacing w:after="0"/>
              <w:rPr>
                <w:sz w:val="1"/>
                <w:szCs w:val="1"/>
                <w:color w:val="auto"/>
              </w:rPr>
            </w:pPr>
          </w:p>
        </w:tc>
      </w:tr>
      <w:tr>
        <w:trPr>
          <w:trHeight w:val="197"/>
        </w:trPr>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Realized and unrealized losses on derivative instruments, net</w:t>
            </w: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617.1</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39.3</w:t>
            </w:r>
          </w:p>
        </w:tc>
        <w:tc>
          <w:tcPr>
            <w:tcW w:w="0" w:type="dxa"/>
            <w:vAlign w:val="bottom"/>
          </w:tcPr>
          <w:p>
            <w:pPr>
              <w:spacing w:after="0"/>
              <w:rPr>
                <w:sz w:val="1"/>
                <w:szCs w:val="1"/>
                <w:color w:val="auto"/>
              </w:rPr>
            </w:pPr>
          </w:p>
        </w:tc>
      </w:tr>
      <w:tr>
        <w:trPr>
          <w:trHeight w:val="197"/>
        </w:trPr>
        <w:tc>
          <w:tcPr>
            <w:tcW w:w="5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5"/>
                <w:szCs w:val="15"/>
                <w:color w:val="auto"/>
              </w:rPr>
              <w:t>Interest expense</w:t>
            </w:r>
          </w:p>
        </w:tc>
        <w:tc>
          <w:tcPr>
            <w:tcW w:w="8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144.3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380.3</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434.2</w:t>
            </w:r>
          </w:p>
        </w:tc>
        <w:tc>
          <w:tcPr>
            <w:tcW w:w="0" w:type="dxa"/>
            <w:vAlign w:val="bottom"/>
          </w:tcPr>
          <w:p>
            <w:pPr>
              <w:spacing w:after="0"/>
              <w:rPr>
                <w:sz w:val="1"/>
                <w:szCs w:val="1"/>
                <w:color w:val="auto"/>
              </w:rPr>
            </w:pPr>
          </w:p>
        </w:tc>
      </w:tr>
      <w:tr>
        <w:trPr>
          <w:trHeight w:val="188"/>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Operating income (loss)</w:t>
            </w: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82.3</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0" w:type="dxa"/>
            <w:vAlign w:val="bottom"/>
          </w:tcPr>
          <w:p>
            <w:pPr>
              <w:spacing w:after="0"/>
              <w:rPr>
                <w:sz w:val="1"/>
                <w:szCs w:val="1"/>
                <w:color w:val="auto"/>
              </w:rPr>
            </w:pPr>
          </w:p>
        </w:tc>
      </w:tr>
      <w:tr>
        <w:trPr>
          <w:trHeight w:val="197"/>
        </w:trPr>
        <w:tc>
          <w:tcPr>
            <w:tcW w:w="5900" w:type="dxa"/>
            <w:vAlign w:val="bottom"/>
          </w:tcPr>
          <w:p>
            <w:pPr>
              <w:spacing w:after="0"/>
              <w:rPr>
                <w:sz w:val="20"/>
                <w:szCs w:val="20"/>
                <w:color w:val="auto"/>
              </w:rPr>
            </w:pPr>
            <w:r>
              <w:rPr>
                <w:rFonts w:ascii="Times New Roman" w:cs="Times New Roman" w:eastAsia="Times New Roman" w:hAnsi="Times New Roman"/>
                <w:sz w:val="15"/>
                <w:szCs w:val="15"/>
                <w:color w:val="auto"/>
              </w:rPr>
              <w:t>Impairment, restructuring and other operating items, net</w:t>
            </w:r>
          </w:p>
        </w:tc>
        <w:tc>
          <w:tcPr>
            <w:tcW w:w="8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w:t>
            </w:r>
          </w:p>
        </w:tc>
        <w:tc>
          <w:tcPr>
            <w:tcW w:w="0" w:type="dxa"/>
            <w:vAlign w:val="bottom"/>
          </w:tcPr>
          <w:p>
            <w:pPr>
              <w:spacing w:after="0"/>
              <w:rPr>
                <w:sz w:val="1"/>
                <w:szCs w:val="1"/>
                <w:color w:val="auto"/>
              </w:rPr>
            </w:pPr>
          </w:p>
        </w:tc>
      </w:tr>
      <w:tr>
        <w:trPr>
          <w:trHeight w:val="197"/>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758.9</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750.4</w:t>
            </w:r>
          </w:p>
        </w:tc>
        <w:tc>
          <w:tcPr>
            <w:tcW w:w="0" w:type="dxa"/>
            <w:vAlign w:val="bottom"/>
          </w:tcPr>
          <w:p>
            <w:pPr>
              <w:spacing w:after="0"/>
              <w:rPr>
                <w:sz w:val="1"/>
                <w:szCs w:val="1"/>
                <w:color w:val="auto"/>
              </w:rPr>
            </w:pPr>
          </w:p>
        </w:tc>
      </w:tr>
      <w:tr>
        <w:trPr>
          <w:trHeight w:val="197"/>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8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46.6</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129.4</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129.4</w:t>
            </w:r>
          </w:p>
        </w:tc>
        <w:tc>
          <w:tcPr>
            <w:tcW w:w="0" w:type="dxa"/>
            <w:vAlign w:val="bottom"/>
          </w:tcPr>
          <w:p>
            <w:pPr>
              <w:spacing w:after="0"/>
              <w:rPr>
                <w:sz w:val="1"/>
                <w:szCs w:val="1"/>
                <w:color w:val="auto"/>
              </w:rPr>
            </w:pPr>
          </w:p>
        </w:tc>
      </w:tr>
      <w:tr>
        <w:trPr>
          <w:trHeight w:val="213"/>
        </w:trPr>
        <w:tc>
          <w:tcPr>
            <w:tcW w:w="5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consolidated Adjusted EBITDA</w:t>
            </w:r>
          </w:p>
        </w:tc>
        <w:tc>
          <w:tcPr>
            <w:tcW w:w="800" w:type="dxa"/>
            <w:vAlign w:val="bottom"/>
            <w:tcBorders>
              <w:bottom w:val="single" w:sz="8" w:color="auto"/>
            </w:tcBorders>
            <w:shd w:val="clear" w:color="auto" w:fill="CCEEFF"/>
          </w:tcPr>
          <w:p>
            <w:pPr>
              <w:jc w:val="right"/>
              <w:ind w:right="647"/>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336.5</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996.4</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912.0</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5"/>
                <w:szCs w:val="15"/>
                <w:color w:val="auto"/>
              </w:rPr>
              <w:t>57</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59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59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28" w:right="319" w:bottom="1440" w:gutter="0" w:footer="0" w:header="0"/>
        </w:sectPr>
      </w:pPr>
    </w:p>
    <w:bookmarkStart w:id="59" w:name="page60"/>
    <w:bookmarkEnd w:id="59"/>
    <w:p>
      <w:pPr>
        <w:ind w:left="140"/>
        <w:spacing w:after="0"/>
        <w:rPr>
          <w:sz w:val="20"/>
          <w:szCs w:val="20"/>
          <w:color w:val="auto"/>
        </w:rPr>
      </w:pPr>
      <w:r>
        <w:rPr>
          <w:rFonts w:ascii="Times New Roman" w:cs="Times New Roman" w:eastAsia="Times New Roman" w:hAnsi="Times New Roman"/>
          <w:sz w:val="15"/>
          <w:szCs w:val="15"/>
          <w:b w:val="1"/>
          <w:bCs w:val="1"/>
          <w:i w:val="1"/>
          <w:iCs w:val="1"/>
          <w:color w:val="auto"/>
        </w:rPr>
        <w:t>Revenue of our Reportable Segments</w:t>
      </w:r>
    </w:p>
    <w:p>
      <w:pPr>
        <w:spacing w:after="0" w:line="221" w:lineRule="exact"/>
        <w:rPr>
          <w:sz w:val="20"/>
          <w:szCs w:val="20"/>
          <w:color w:val="auto"/>
        </w:rPr>
      </w:pPr>
    </w:p>
    <w:p>
      <w:pPr>
        <w:jc w:val="both"/>
        <w:ind w:right="20" w:firstLine="278"/>
        <w:spacing w:after="0" w:line="300" w:lineRule="auto"/>
        <w:rPr>
          <w:sz w:val="20"/>
          <w:szCs w:val="20"/>
          <w:color w:val="auto"/>
        </w:rPr>
      </w:pPr>
      <w:r>
        <w:rPr>
          <w:rFonts w:ascii="Times New Roman" w:cs="Times New Roman" w:eastAsia="Times New Roman" w:hAnsi="Times New Roman"/>
          <w:sz w:val="15"/>
          <w:szCs w:val="15"/>
          <w:i w:val="1"/>
          <w:iCs w:val="1"/>
          <w:color w:val="auto"/>
        </w:rPr>
        <w:t xml:space="preserve">General. </w:t>
      </w:r>
      <w:r>
        <w:rPr>
          <w:rFonts w:ascii="Times New Roman" w:cs="Times New Roman" w:eastAsia="Times New Roman" w:hAnsi="Times New Roman"/>
          <w:sz w:val="15"/>
          <w:szCs w:val="15"/>
          <w:color w:val="auto"/>
        </w:rPr>
        <w:t>While not specifically discussed in the below explanations of the changes in the revenue of our reportable segments, we are experiencing competition in all of our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markets. This competition has an adverse impact on our ability to increase or maintain our total number of customers and/or our ARPU.</w:t>
      </w:r>
    </w:p>
    <w:p>
      <w:pPr>
        <w:spacing w:after="0" w:line="152" w:lineRule="exact"/>
        <w:rPr>
          <w:sz w:val="20"/>
          <w:szCs w:val="20"/>
          <w:color w:val="auto"/>
        </w:rPr>
      </w:pPr>
    </w:p>
    <w:p>
      <w:pPr>
        <w:jc w:val="both"/>
        <w:ind w:right="20" w:firstLine="278"/>
        <w:spacing w:after="0" w:line="276" w:lineRule="auto"/>
        <w:rPr>
          <w:sz w:val="20"/>
          <w:szCs w:val="20"/>
          <w:color w:val="auto"/>
        </w:rPr>
      </w:pPr>
      <w:r>
        <w:rPr>
          <w:rFonts w:ascii="Times New Roman" w:cs="Times New Roman" w:eastAsia="Times New Roman" w:hAnsi="Times New Roman"/>
          <w:sz w:val="15"/>
          <w:szCs w:val="15"/>
          <w:color w:val="auto"/>
        </w:rPr>
        <w:t>Variances in the subscription revenue that we receive from our customers are a function of (i) changes in the number of our fixed-line customers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fixed and mobile products within a segment during the period.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Three months ended</w:t>
            </w:r>
          </w:p>
        </w:tc>
        <w:tc>
          <w:tcPr>
            <w:tcW w:w="140" w:type="dxa"/>
            <w:vAlign w:val="bottom"/>
          </w:tcPr>
          <w:p>
            <w:pPr>
              <w:spacing w:after="0"/>
              <w:rPr>
                <w:sz w:val="13"/>
                <w:szCs w:val="13"/>
                <w:color w:val="auto"/>
              </w:rPr>
            </w:pPr>
          </w:p>
        </w:tc>
        <w:tc>
          <w:tcPr>
            <w:tcW w:w="1720" w:type="dxa"/>
            <w:vAlign w:val="bottom"/>
            <w:gridSpan w:val="4"/>
            <w:vMerge w:val="restart"/>
          </w:tcPr>
          <w:p>
            <w:pPr>
              <w:jc w:val="center"/>
              <w:ind w:left="191"/>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w w:val="98"/>
              </w:rPr>
              <w:t>Organic decrease</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385"/>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5"/>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9"/>
              </w:rPr>
              <w:t>in millions, except percentages</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Telenet</w:t>
            </w: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804.9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785.2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0" w:type="dxa"/>
            <w:vAlign w:val="bottom"/>
          </w:tcPr>
          <w:p>
            <w:pPr>
              <w:spacing w:after="0"/>
              <w:rPr>
                <w:sz w:val="1"/>
                <w:szCs w:val="1"/>
                <w:color w:val="auto"/>
              </w:rPr>
            </w:pPr>
          </w:p>
        </w:tc>
      </w:tr>
      <w:tr>
        <w:trPr>
          <w:trHeight w:val="197"/>
        </w:trPr>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VM Ireland</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119.8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42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0" w:type="dxa"/>
            <w:vAlign w:val="bottom"/>
          </w:tcPr>
          <w:p>
            <w:pPr>
              <w:spacing w:after="0"/>
              <w:rPr>
                <w:sz w:val="1"/>
                <w:szCs w:val="1"/>
                <w:color w:val="auto"/>
              </w:rPr>
            </w:pPr>
          </w:p>
        </w:tc>
      </w:tr>
      <w:tr>
        <w:trPr>
          <w:trHeight w:val="188"/>
        </w:trPr>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Total consolidated reportable segments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927.1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905.0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Plus: all other category</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94.0</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elimination of intercompany consolidated revenue</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(65.1)</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N.M.</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Total consolidated</w:t>
            </w: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1,207.1</w:t>
            </w:r>
          </w:p>
        </w:tc>
        <w:tc>
          <w:tcPr>
            <w:tcW w:w="100" w:type="dxa"/>
            <w:vAlign w:val="bottom"/>
          </w:tcPr>
          <w:p>
            <w:pPr>
              <w:spacing w:after="0"/>
              <w:rPr>
                <w:sz w:val="16"/>
                <w:szCs w:val="16"/>
                <w:color w:val="auto"/>
              </w:rPr>
            </w:pPr>
          </w:p>
        </w:tc>
        <w:tc>
          <w:tcPr>
            <w:tcW w:w="40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1,069.5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137.6</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VMO2 JV</w:t>
            </w: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3,436.0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3,512.7</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(76.7)</w:t>
            </w:r>
          </w:p>
        </w:tc>
        <w:tc>
          <w:tcPr>
            <w:tcW w:w="1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VodafoneZiggo JV</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1,156.8</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1,131.1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140" w:type="dxa"/>
            <w:vAlign w:val="bottom"/>
          </w:tcPr>
          <w:p>
            <w:pPr>
              <w:spacing w:after="0"/>
              <w:rPr>
                <w:sz w:val="24"/>
                <w:szCs w:val="24"/>
                <w:color w:val="auto"/>
              </w:rPr>
            </w:pPr>
          </w:p>
        </w:tc>
        <w:tc>
          <w:tcPr>
            <w:tcW w:w="1720" w:type="dxa"/>
            <w:vAlign w:val="bottom"/>
            <w:gridSpan w:val="4"/>
            <w:vMerge w:val="restart"/>
          </w:tcPr>
          <w:p>
            <w:pPr>
              <w:jc w:val="center"/>
              <w:ind w:left="191"/>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w w:val="98"/>
              </w:rPr>
              <w:t>Organic decrease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385"/>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5"/>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9"/>
              </w:rPr>
              <w:t>in millions, except percentages</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Telenet</w:t>
            </w: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2,365.6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2,302.9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62.7</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197"/>
        </w:trPr>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VM Ireland</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360.8</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362.8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(0.6)</w:t>
            </w:r>
          </w:p>
        </w:tc>
        <w:tc>
          <w:tcPr>
            <w:tcW w:w="42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188"/>
        </w:trPr>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Total consolidated reportable segments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2,726.4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2,665.7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60.7</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Plus: all other category</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1,038.1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283.1</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elimination of intercompany consolidated revenue</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(117.1)</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(202.0)</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84.9</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N.M.</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Total consolidated</w:t>
            </w: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3,647.4</w:t>
            </w:r>
          </w:p>
        </w:tc>
        <w:tc>
          <w:tcPr>
            <w:tcW w:w="100" w:type="dxa"/>
            <w:vAlign w:val="bottom"/>
          </w:tcPr>
          <w:p>
            <w:pPr>
              <w:spacing w:after="0"/>
              <w:rPr>
                <w:sz w:val="16"/>
                <w:szCs w:val="16"/>
                <w:color w:val="auto"/>
              </w:rPr>
            </w:pPr>
          </w:p>
        </w:tc>
        <w:tc>
          <w:tcPr>
            <w:tcW w:w="40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3,218.7</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428.7</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VMO2 JV</w:t>
            </w: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9,935.8</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10,170.9</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(235.1)</w:t>
            </w:r>
          </w:p>
        </w:tc>
        <w:tc>
          <w:tcPr>
            <w:tcW w:w="1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VodafoneZiggo JV</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3,332.1</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3,336.7</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60" w:name="page61"/>
    <w:bookmarkEnd w:id="60"/>
    <w:p>
      <w:pPr>
        <w:ind w:left="7" w:firstLine="278"/>
        <w:spacing w:after="0" w:line="300" w:lineRule="auto"/>
        <w:rPr>
          <w:sz w:val="20"/>
          <w:szCs w:val="20"/>
          <w:color w:val="auto"/>
        </w:rPr>
      </w:pPr>
      <w:r>
        <w:rPr>
          <w:rFonts w:ascii="Times New Roman" w:cs="Times New Roman" w:eastAsia="Times New Roman" w:hAnsi="Times New Roman"/>
          <w:sz w:val="15"/>
          <w:szCs w:val="15"/>
          <w:i w:val="1"/>
          <w:iCs w:val="1"/>
          <w:color w:val="auto"/>
        </w:rPr>
        <w:t xml:space="preserve">Telenet. </w:t>
      </w:r>
      <w:r>
        <w:rPr>
          <w:rFonts w:ascii="Times New Roman" w:cs="Times New Roman" w:eastAsia="Times New Roman" w:hAnsi="Times New Roman"/>
          <w:sz w:val="15"/>
          <w:szCs w:val="15"/>
          <w:color w:val="auto"/>
        </w:rPr>
        <w:t>The details of the increases in Telenet’s revenue during the three and nine months ended September 30, 2025</w:t>
      </w:r>
      <w:r>
        <w:rPr>
          <w:rFonts w:ascii="Times New Roman" w:cs="Times New Roman" w:eastAsia="Times New Roman" w:hAnsi="Times New Roman"/>
          <w:sz w:val="15"/>
          <w:szCs w:val="15"/>
          <w:color w:val="2C2C2C"/>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as compared to the corresponding periods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2C2C2C"/>
        </w:rPr>
        <w:t>2024</w:t>
      </w:r>
      <w:r>
        <w:rPr>
          <w:rFonts w:ascii="Times New Roman" w:cs="Times New Roman" w:eastAsia="Times New Roman" w:hAnsi="Times New Roman"/>
          <w:sz w:val="15"/>
          <w:szCs w:val="15"/>
          <w:color w:val="auto"/>
        </w:rPr>
        <w:t>, are set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forth below:</w:t>
      </w:r>
    </w:p>
    <w:p>
      <w:pPr>
        <w:spacing w:after="0" w:line="59"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Three-month period</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Nine-month period</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64"/>
        </w:trPr>
        <w:tc>
          <w:tcPr>
            <w:tcW w:w="3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Subscription</w:t>
            </w:r>
          </w:p>
        </w:tc>
        <w:tc>
          <w:tcPr>
            <w:tcW w:w="100" w:type="dxa"/>
            <w:vAlign w:val="bottom"/>
          </w:tcPr>
          <w:p>
            <w:pPr>
              <w:spacing w:after="0"/>
              <w:rPr>
                <w:sz w:val="14"/>
                <w:szCs w:val="14"/>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Non-subscription</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Subscription</w:t>
            </w:r>
          </w:p>
        </w:tc>
        <w:tc>
          <w:tcPr>
            <w:tcW w:w="100" w:type="dxa"/>
            <w:vAlign w:val="bottom"/>
          </w:tcPr>
          <w:p>
            <w:pPr>
              <w:spacing w:after="0"/>
              <w:rPr>
                <w:sz w:val="14"/>
                <w:szCs w:val="14"/>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Non-subscription</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9"/>
        </w:trPr>
        <w:tc>
          <w:tcPr>
            <w:tcW w:w="3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7"/>
        </w:trPr>
        <w:tc>
          <w:tcPr>
            <w:tcW w:w="3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40" w:type="dxa"/>
            <w:vAlign w:val="bottom"/>
            <w:gridSpan w:val="4"/>
          </w:tcPr>
          <w:p>
            <w:pPr>
              <w:jc w:val="right"/>
              <w:ind w:right="86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40"/>
        </w:trPr>
        <w:tc>
          <w:tcPr>
            <w:tcW w:w="3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0"/>
        </w:trPr>
        <w:tc>
          <w:tcPr>
            <w:tcW w:w="38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5"/>
                <w:szCs w:val="15"/>
                <w:color w:val="auto"/>
              </w:rPr>
              <w:t>Increase (decrease) in residential fixed subscription revenue</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208"/>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due to change in:</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97"/>
        </w:trPr>
        <w:tc>
          <w:tcPr>
            <w:tcW w:w="3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Average number of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32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w:t>
            </w:r>
          </w:p>
        </w:tc>
        <w:tc>
          <w:tcPr>
            <w:tcW w:w="320" w:type="dxa"/>
            <w:vAlign w:val="bottom"/>
            <w:gridSpan w:val="2"/>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w:t>
            </w:r>
          </w:p>
        </w:tc>
      </w:tr>
      <w:tr>
        <w:trPr>
          <w:trHeight w:val="197"/>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ARPU</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w:t>
            </w:r>
          </w:p>
        </w:tc>
      </w:tr>
      <w:tr>
        <w:trPr>
          <w:trHeight w:val="197"/>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Increase in residential fixed non-subscription revenue</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w:t>
            </w:r>
          </w:p>
        </w:tc>
      </w:tr>
      <w:tr>
        <w:trPr>
          <w:trHeight w:val="188"/>
        </w:trPr>
        <w:tc>
          <w:tcPr>
            <w:tcW w:w="3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Total increase (decrease) in residential fixed revenue</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r>
      <w:tr>
        <w:trPr>
          <w:trHeight w:val="197"/>
        </w:trPr>
        <w:tc>
          <w:tcPr>
            <w:tcW w:w="3880" w:type="dxa"/>
            <w:vAlign w:val="bottom"/>
          </w:tcPr>
          <w:p>
            <w:pPr>
              <w:spacing w:after="0"/>
              <w:rPr>
                <w:sz w:val="20"/>
                <w:szCs w:val="20"/>
                <w:color w:val="auto"/>
              </w:rPr>
            </w:pPr>
            <w:r>
              <w:rPr>
                <w:rFonts w:ascii="Times New Roman" w:cs="Times New Roman" w:eastAsia="Times New Roman" w:hAnsi="Times New Roman"/>
                <w:sz w:val="15"/>
                <w:szCs w:val="15"/>
                <w:color w:val="auto"/>
              </w:rPr>
              <w:t>Decrease in residential mobile revenue (a)</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w:t>
            </w:r>
          </w:p>
        </w:tc>
      </w:tr>
      <w:tr>
        <w:trPr>
          <w:trHeight w:val="197"/>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Increase (decrease) in B2B revenue (b)</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w:t>
            </w:r>
          </w:p>
        </w:tc>
      </w:tr>
      <w:tr>
        <w:trPr>
          <w:trHeight w:val="197"/>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Increase (decrease) in other revenue (c)</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188"/>
        </w:trPr>
        <w:tc>
          <w:tcPr>
            <w:tcW w:w="3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Total organic increase (decrease)</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197"/>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Impact of FX</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65.2</w:t>
            </w:r>
          </w:p>
        </w:tc>
      </w:tr>
      <w:tr>
        <w:trPr>
          <w:trHeight w:val="213"/>
        </w:trPr>
        <w:tc>
          <w:tcPr>
            <w:tcW w:w="38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62.7</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_____________</w:t>
      </w:r>
    </w:p>
    <w:p>
      <w:pPr>
        <w:spacing w:after="0" w:line="221" w:lineRule="exact"/>
        <w:rPr>
          <w:sz w:val="20"/>
          <w:szCs w:val="20"/>
          <w:color w:val="auto"/>
        </w:rPr>
      </w:pPr>
    </w:p>
    <w:p>
      <w:pPr>
        <w:ind w:left="407" w:hanging="407"/>
        <w:spacing w:after="0"/>
        <w:tabs>
          <w:tab w:leader="none" w:pos="407"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decreases in residential mobile non-subscription revenue are primarily attributable to (i) decreases in interconnect revenue and (ii) lower revenue from handset sales.</w:t>
      </w:r>
    </w:p>
    <w:p>
      <w:pPr>
        <w:spacing w:after="0" w:line="26" w:lineRule="exact"/>
        <w:rPr>
          <w:rFonts w:ascii="Times New Roman" w:cs="Times New Roman" w:eastAsia="Times New Roman" w:hAnsi="Times New Roman"/>
          <w:sz w:val="15"/>
          <w:szCs w:val="15"/>
          <w:color w:val="auto"/>
        </w:rPr>
      </w:pPr>
    </w:p>
    <w:p>
      <w:pPr>
        <w:ind w:left="407" w:hanging="407"/>
        <w:spacing w:after="0"/>
        <w:tabs>
          <w:tab w:leader="none" w:pos="407"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increases in B2B non-subscription revenue are primarily due to (i) increases in revenue from wholesale services and (ii) higher revenue from equipment sales.</w:t>
      </w:r>
    </w:p>
    <w:p>
      <w:pPr>
        <w:spacing w:after="0" w:line="206" w:lineRule="exact"/>
        <w:rPr>
          <w:rFonts w:ascii="Times New Roman" w:cs="Times New Roman" w:eastAsia="Times New Roman" w:hAnsi="Times New Roman"/>
          <w:sz w:val="15"/>
          <w:szCs w:val="15"/>
          <w:color w:val="auto"/>
        </w:rPr>
      </w:pPr>
    </w:p>
    <w:p>
      <w:pPr>
        <w:ind w:left="407" w:right="20" w:hanging="407"/>
        <w:spacing w:after="0" w:line="295" w:lineRule="auto"/>
        <w:tabs>
          <w:tab w:leader="none" w:pos="405"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changes in other revenue include a decrease associated with the one-off impact of the recognition of previously deferred revenue of approximately $18 million during the third quarter of </w:t>
      </w:r>
      <w:r>
        <w:rPr>
          <w:rFonts w:ascii="Times New Roman" w:cs="Times New Roman" w:eastAsia="Times New Roman" w:hAnsi="Times New Roman"/>
          <w:sz w:val="15"/>
          <w:szCs w:val="15"/>
          <w:color w:val="2C2C2C"/>
        </w:rPr>
        <w:t>2024</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815" w:right="319" w:bottom="1440" w:gutter="0" w:footer="0" w:header="0"/>
        </w:sectPr>
      </w:pPr>
    </w:p>
    <w:bookmarkStart w:id="61" w:name="page62"/>
    <w:bookmarkEnd w:id="61"/>
    <w:p>
      <w:pPr>
        <w:jc w:val="both"/>
        <w:ind w:firstLine="278"/>
        <w:spacing w:after="0" w:line="300" w:lineRule="auto"/>
        <w:rPr>
          <w:sz w:val="20"/>
          <w:szCs w:val="20"/>
          <w:color w:val="auto"/>
        </w:rPr>
      </w:pPr>
      <w:r>
        <w:rPr>
          <w:rFonts w:ascii="Times New Roman" w:cs="Times New Roman" w:eastAsia="Times New Roman" w:hAnsi="Times New Roman"/>
          <w:sz w:val="15"/>
          <w:szCs w:val="15"/>
          <w:i w:val="1"/>
          <w:iCs w:val="1"/>
          <w:color w:val="auto"/>
        </w:rPr>
        <w:t xml:space="preserve">VM Ireland. </w:t>
      </w:r>
      <w:r>
        <w:rPr>
          <w:rFonts w:ascii="Times New Roman" w:cs="Times New Roman" w:eastAsia="Times New Roman" w:hAnsi="Times New Roman"/>
          <w:sz w:val="15"/>
          <w:szCs w:val="15"/>
          <w:color w:val="auto"/>
        </w:rPr>
        <w:t>The details of the changes in VM Ireland’s revenue during the three and nine months ended September 30, 2025, as compared to the corresponding periods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2C2C2C"/>
        </w:rPr>
        <w:t>2024</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are set forth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Three-month period</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Nine-month period</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64"/>
        </w:trPr>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Subscription</w:t>
            </w:r>
          </w:p>
        </w:tc>
        <w:tc>
          <w:tcPr>
            <w:tcW w:w="120" w:type="dxa"/>
            <w:vAlign w:val="bottom"/>
          </w:tcPr>
          <w:p>
            <w:pPr>
              <w:spacing w:after="0"/>
              <w:rPr>
                <w:sz w:val="14"/>
                <w:szCs w:val="14"/>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Non-subscription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Subscription</w:t>
            </w:r>
          </w:p>
        </w:tc>
        <w:tc>
          <w:tcPr>
            <w:tcW w:w="120" w:type="dxa"/>
            <w:vAlign w:val="bottom"/>
          </w:tcPr>
          <w:p>
            <w:pPr>
              <w:spacing w:after="0"/>
              <w:rPr>
                <w:sz w:val="14"/>
                <w:szCs w:val="14"/>
                <w:color w:val="auto"/>
              </w:rPr>
            </w:pP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Non-subscription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9"/>
        </w:trPr>
        <w:tc>
          <w:tcPr>
            <w:tcW w:w="3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7"/>
        </w:trPr>
        <w:tc>
          <w:tcPr>
            <w:tcW w:w="3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gridSpan w:val="4"/>
          </w:tcPr>
          <w:p>
            <w:pPr>
              <w:jc w:val="right"/>
              <w:ind w:right="86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40"/>
        </w:trPr>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0"/>
        </w:trPr>
        <w:tc>
          <w:tcPr>
            <w:tcW w:w="37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5"/>
                <w:szCs w:val="15"/>
                <w:color w:val="auto"/>
              </w:rPr>
              <w:t>Decrease in residential fixed subscription revenue due to</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08"/>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change in:</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97"/>
        </w:trPr>
        <w:tc>
          <w:tcPr>
            <w:tcW w:w="37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Average number of customers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340" w:type="dxa"/>
            <w:vAlign w:val="bottom"/>
            <w:gridSpan w:val="2"/>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ind w:left="444"/>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340" w:type="dxa"/>
            <w:vAlign w:val="bottom"/>
            <w:gridSpan w:val="2"/>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r>
      <w:tr>
        <w:trPr>
          <w:trHeight w:val="197"/>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ARPU</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left="444"/>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197"/>
        </w:trPr>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Decrease in residential fixed non-subscription revenue</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left="444"/>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(0.4)</w:t>
            </w:r>
          </w:p>
        </w:tc>
      </w:tr>
      <w:tr>
        <w:trPr>
          <w:trHeight w:val="188"/>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Total decrease in residential fixed revenue</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center"/>
              <w:ind w:left="444"/>
              <w:spacing w:after="0"/>
              <w:rPr>
                <w:sz w:val="20"/>
                <w:szCs w:val="20"/>
                <w:color w:val="auto"/>
              </w:rPr>
            </w:pPr>
            <w:r>
              <w:rPr>
                <w:rFonts w:ascii="Times New Roman" w:cs="Times New Roman" w:eastAsia="Times New Roman" w:hAnsi="Times New Roman"/>
                <w:sz w:val="15"/>
                <w:szCs w:val="15"/>
                <w:color w:val="auto"/>
              </w:rPr>
              <w:t>(3.4)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w:t>
            </w:r>
          </w:p>
        </w:tc>
      </w:tr>
      <w:tr>
        <w:trPr>
          <w:trHeight w:val="197"/>
        </w:trPr>
        <w:tc>
          <w:tcPr>
            <w:tcW w:w="3760" w:type="dxa"/>
            <w:vAlign w:val="bottom"/>
          </w:tcPr>
          <w:p>
            <w:pPr>
              <w:spacing w:after="0"/>
              <w:rPr>
                <w:sz w:val="20"/>
                <w:szCs w:val="20"/>
                <w:color w:val="auto"/>
              </w:rPr>
            </w:pPr>
            <w:r>
              <w:rPr>
                <w:rFonts w:ascii="Times New Roman" w:cs="Times New Roman" w:eastAsia="Times New Roman" w:hAnsi="Times New Roman"/>
                <w:sz w:val="15"/>
                <w:szCs w:val="15"/>
                <w:color w:val="auto"/>
              </w:rPr>
              <w:t>Decrease in residential mobile revenue</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center"/>
              <w:ind w:left="444"/>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197"/>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Increase in B2B revenue</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left="464"/>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197"/>
        </w:trPr>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Decrease in other revenue</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left="444"/>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w:t>
            </w:r>
          </w:p>
        </w:tc>
      </w:tr>
      <w:tr>
        <w:trPr>
          <w:trHeight w:val="188"/>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Total organic decrease</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center"/>
              <w:ind w:left="444"/>
              <w:spacing w:after="0"/>
              <w:rPr>
                <w:sz w:val="20"/>
                <w:szCs w:val="20"/>
                <w:color w:val="auto"/>
              </w:rPr>
            </w:pPr>
            <w:r>
              <w:rPr>
                <w:rFonts w:ascii="Times New Roman" w:cs="Times New Roman" w:eastAsia="Times New Roman" w:hAnsi="Times New Roman"/>
                <w:sz w:val="15"/>
                <w:szCs w:val="15"/>
                <w:color w:val="auto"/>
              </w:rPr>
              <w:t>(4.7)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r>
      <w:tr>
        <w:trPr>
          <w:trHeight w:val="197"/>
        </w:trPr>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Impact of FX</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left="464"/>
              <w:spacing w:after="0"/>
              <w:rPr>
                <w:sz w:val="20"/>
                <w:szCs w:val="20"/>
                <w:color w:val="auto"/>
              </w:rPr>
            </w:pPr>
            <w:r>
              <w:rPr>
                <w:rFonts w:ascii="Times New Roman" w:cs="Times New Roman" w:eastAsia="Times New Roman" w:hAnsi="Times New Roman"/>
                <w:sz w:val="15"/>
                <w:szCs w:val="15"/>
                <w:color w:val="auto"/>
              </w:rPr>
              <w:t>7.1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w:t>
            </w:r>
          </w:p>
        </w:tc>
      </w:tr>
      <w:tr>
        <w:trPr>
          <w:trHeight w:val="213"/>
        </w:trPr>
        <w:tc>
          <w:tcPr>
            <w:tcW w:w="37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center"/>
              <w:ind w:left="464"/>
              <w:spacing w:after="0"/>
              <w:rPr>
                <w:sz w:val="20"/>
                <w:szCs w:val="20"/>
                <w:color w:val="auto"/>
              </w:rPr>
            </w:pPr>
            <w:r>
              <w:rPr>
                <w:rFonts w:ascii="Times New Roman" w:cs="Times New Roman" w:eastAsia="Times New Roman" w:hAnsi="Times New Roman"/>
                <w:sz w:val="15"/>
                <w:szCs w:val="15"/>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i w:val="1"/>
          <w:iCs w:val="1"/>
          <w:color w:val="auto"/>
        </w:rPr>
        <w:t>Programming and Other Direct Costs of Services, Other Operating Expenses and SG&amp;A Expenses of our Reportable Segments</w:t>
      </w:r>
    </w:p>
    <w:p>
      <w:pPr>
        <w:spacing w:after="0" w:line="221" w:lineRule="exact"/>
        <w:rPr>
          <w:sz w:val="20"/>
          <w:szCs w:val="20"/>
          <w:color w:val="auto"/>
        </w:rPr>
      </w:pPr>
    </w:p>
    <w:p>
      <w:pPr>
        <w:jc w:val="both"/>
        <w:ind w:firstLine="278"/>
        <w:spacing w:after="0" w:line="300" w:lineRule="auto"/>
        <w:rPr>
          <w:sz w:val="20"/>
          <w:szCs w:val="20"/>
          <w:color w:val="auto"/>
        </w:rPr>
      </w:pPr>
      <w:r>
        <w:rPr>
          <w:rFonts w:ascii="Times New Roman" w:cs="Times New Roman" w:eastAsia="Times New Roman" w:hAnsi="Times New Roman"/>
          <w:sz w:val="15"/>
          <w:szCs w:val="15"/>
          <w:color w:val="auto"/>
        </w:rPr>
        <w:t>For information regarding the changes in our (i) programming and other direct costs of services, (ii) other operating expenses and (iii) SG&amp;A expenses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see </w:t>
      </w:r>
      <w:r>
        <w:rPr>
          <w:rFonts w:ascii="Times New Roman" w:cs="Times New Roman" w:eastAsia="Times New Roman" w:hAnsi="Times New Roman"/>
          <w:sz w:val="15"/>
          <w:szCs w:val="15"/>
          <w:i w:val="1"/>
          <w:iCs w:val="1"/>
          <w:color w:val="auto"/>
        </w:rPr>
        <w:t>Discussion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Analysis of our Consolidated Operating Results </w:t>
      </w:r>
      <w:r>
        <w:rPr>
          <w:rFonts w:ascii="Times New Roman" w:cs="Times New Roman" w:eastAsia="Times New Roman" w:hAnsi="Times New Roman"/>
          <w:sz w:val="15"/>
          <w:szCs w:val="15"/>
          <w:color w:val="auto"/>
        </w:rPr>
        <w:t>below.</w:t>
      </w:r>
    </w:p>
    <w:p>
      <w:pPr>
        <w:spacing w:after="0" w:line="1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i w:val="1"/>
          <w:iCs w:val="1"/>
          <w:color w:val="auto"/>
        </w:rPr>
        <w:t>Adjusted EBITDA of our Reportable Segments</w:t>
      </w:r>
    </w:p>
    <w:p>
      <w:pPr>
        <w:spacing w:after="0" w:line="225" w:lineRule="exact"/>
        <w:rPr>
          <w:sz w:val="20"/>
          <w:szCs w:val="20"/>
          <w:color w:val="auto"/>
        </w:rPr>
      </w:pPr>
    </w:p>
    <w:p>
      <w:pPr>
        <w:jc w:val="both"/>
        <w:ind w:firstLine="278"/>
        <w:spacing w:after="0" w:line="276" w:lineRule="auto"/>
        <w:rPr>
          <w:sz w:val="20"/>
          <w:szCs w:val="20"/>
          <w:color w:val="auto"/>
        </w:rPr>
      </w:pPr>
      <w:r>
        <w:rPr>
          <w:rFonts w:ascii="Times New Roman" w:cs="Times New Roman" w:eastAsia="Times New Roman" w:hAnsi="Times New Roman"/>
          <w:sz w:val="15"/>
          <w:szCs w:val="15"/>
          <w:color w:val="auto"/>
        </w:rPr>
        <w:t>Adjusted EBITDA is the primary measure used by our CODM to evaluate segment operating performance. As presented below, consolidated Adjusted EBITDA is a non-GAAP measure, which investors should view as a supplement to, and not a substitute for, GAAP measures of performance included in our condensed consolidated statements of operations. The following table sets forth the Adjusted EBITDA of our reportable segments: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w w:val="96"/>
              </w:rPr>
              <w:t>Organic decrease</w:t>
            </w:r>
          </w:p>
        </w:tc>
        <w:tc>
          <w:tcPr>
            <w:tcW w:w="640" w:type="dxa"/>
            <w:vAlign w:val="bottom"/>
          </w:tcPr>
          <w:p>
            <w:pPr>
              <w:spacing w:after="0"/>
              <w:rPr>
                <w:sz w:val="16"/>
                <w:szCs w:val="16"/>
                <w:color w:val="auto"/>
              </w:rPr>
            </w:pPr>
          </w:p>
        </w:tc>
      </w:tr>
      <w:tr>
        <w:trPr>
          <w:trHeight w:val="178"/>
        </w:trPr>
        <w:tc>
          <w:tcPr>
            <w:tcW w:w="4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176"/>
        </w:trPr>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gridSpan w:val="5"/>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8"/>
              </w:rPr>
              <w:t>in millions, except percentages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97"/>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Telenet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358.9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197"/>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VM Ireland</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42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(5.3)</w:t>
            </w:r>
          </w:p>
        </w:tc>
      </w:tr>
      <w:tr>
        <w:trPr>
          <w:trHeight w:val="188"/>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Total consolidated reportable segments</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97"/>
        </w:trPr>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Plus: all other category</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50"/>
        </w:trPr>
        <w:tc>
          <w:tcPr>
            <w:tcW w:w="41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5"/>
                <w:szCs w:val="15"/>
                <w:color w:val="auto"/>
              </w:rPr>
              <w:t>Less: elimination of intercompany consolidated Adjusted</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208"/>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EBITDA</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88"/>
        </w:trPr>
        <w:tc>
          <w:tcPr>
            <w:tcW w:w="41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Total consolidated</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336.5</w:t>
            </w:r>
          </w:p>
        </w:tc>
        <w:tc>
          <w:tcPr>
            <w:tcW w:w="100" w:type="dxa"/>
            <w:vAlign w:val="bottom"/>
          </w:tcPr>
          <w:p>
            <w:pPr>
              <w:spacing w:after="0"/>
              <w:rPr>
                <w:sz w:val="16"/>
                <w:szCs w:val="16"/>
                <w:color w:val="auto"/>
              </w:rPr>
            </w:pP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331.4</w:t>
            </w:r>
          </w:p>
        </w:tc>
        <w:tc>
          <w:tcPr>
            <w:tcW w:w="100" w:type="dxa"/>
            <w:vAlign w:val="bottom"/>
          </w:tcPr>
          <w:p>
            <w:pPr>
              <w:spacing w:after="0"/>
              <w:rPr>
                <w:sz w:val="16"/>
                <w:szCs w:val="16"/>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4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97"/>
        </w:trPr>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VMO2 JV</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1,250.3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1,170.9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79.4</w:t>
            </w:r>
          </w:p>
        </w:tc>
        <w:tc>
          <w:tcPr>
            <w:tcW w:w="1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r>
      <w:tr>
        <w:trPr>
          <w:trHeight w:val="208"/>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VodafoneZiggo JV</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522.2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527.8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w w:val="96"/>
              </w:rPr>
              <w:t>Organic decrease</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76"/>
        </w:trPr>
        <w:tc>
          <w:tcPr>
            <w:tcW w:w="4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gridSpan w:val="5"/>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8"/>
              </w:rPr>
              <w:t>in millions, except percentages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Telenet</w:t>
            </w: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998.4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jc w:val="center"/>
              <w:ind w:left="23"/>
              <w:spacing w:after="0"/>
              <w:rPr>
                <w:sz w:val="20"/>
                <w:szCs w:val="20"/>
                <w:color w:val="auto"/>
              </w:rPr>
            </w:pPr>
            <w:r>
              <w:rPr>
                <w:rFonts w:ascii="Times New Roman" w:cs="Times New Roman" w:eastAsia="Times New Roman" w:hAnsi="Times New Roman"/>
                <w:sz w:val="15"/>
                <w:szCs w:val="15"/>
                <w:color w:val="auto"/>
                <w:w w:val="95"/>
              </w:rPr>
              <w:t>1.8</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197"/>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VM Ireland</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127.1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(5.3)</w:t>
            </w:r>
          </w:p>
        </w:tc>
        <w:tc>
          <w:tcPr>
            <w:tcW w:w="42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0" w:type="dxa"/>
            <w:vAlign w:val="bottom"/>
          </w:tcPr>
          <w:p>
            <w:pPr>
              <w:spacing w:after="0"/>
              <w:rPr>
                <w:sz w:val="1"/>
                <w:szCs w:val="1"/>
                <w:color w:val="auto"/>
              </w:rPr>
            </w:pPr>
          </w:p>
        </w:tc>
      </w:tr>
      <w:tr>
        <w:trPr>
          <w:trHeight w:val="188"/>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Total consolidated reportable segments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1,118.8</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1,108.3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jc w:val="center"/>
              <w:ind w:left="23"/>
              <w:spacing w:after="0"/>
              <w:rPr>
                <w:sz w:val="20"/>
                <w:szCs w:val="20"/>
                <w:color w:val="auto"/>
              </w:rPr>
            </w:pPr>
            <w:r>
              <w:rPr>
                <w:rFonts w:ascii="Times New Roman" w:cs="Times New Roman" w:eastAsia="Times New Roman" w:hAnsi="Times New Roman"/>
                <w:sz w:val="15"/>
                <w:szCs w:val="15"/>
                <w:color w:val="auto"/>
                <w:w w:val="95"/>
              </w:rPr>
              <w:t>0.9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Plus: all other category</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w w:val="95"/>
              </w:rPr>
              <w:t>2.1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41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5"/>
                <w:szCs w:val="15"/>
                <w:color w:val="auto"/>
              </w:rPr>
              <w:t>Less: elimination of intercompany consolidated Adjusted</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EBITDA</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71.9</w:t>
            </w: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N.M.</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1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Total consolidated</w:t>
            </w: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996.4</w:t>
            </w:r>
          </w:p>
        </w:tc>
        <w:tc>
          <w:tcPr>
            <w:tcW w:w="100" w:type="dxa"/>
            <w:vAlign w:val="bottom"/>
          </w:tcPr>
          <w:p>
            <w:pPr>
              <w:spacing w:after="0"/>
              <w:rPr>
                <w:sz w:val="16"/>
                <w:szCs w:val="16"/>
                <w:color w:val="auto"/>
              </w:rPr>
            </w:pPr>
          </w:p>
        </w:tc>
        <w:tc>
          <w:tcPr>
            <w:tcW w:w="40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912.0</w:t>
            </w:r>
          </w:p>
        </w:tc>
        <w:tc>
          <w:tcPr>
            <w:tcW w:w="100" w:type="dxa"/>
            <w:vAlign w:val="bottom"/>
          </w:tcPr>
          <w:p>
            <w:pPr>
              <w:spacing w:after="0"/>
              <w:rPr>
                <w:sz w:val="16"/>
                <w:szCs w:val="16"/>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84.4</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w w:val="95"/>
              </w:rPr>
              <w:t>9.3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VMO2 JV</w:t>
            </w:r>
          </w:p>
        </w:tc>
        <w:tc>
          <w:tcPr>
            <w:tcW w:w="2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3,496.0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3,376.9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119.1</w:t>
            </w: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center"/>
              <w:ind w:left="23"/>
              <w:spacing w:after="0"/>
              <w:rPr>
                <w:sz w:val="20"/>
                <w:szCs w:val="20"/>
                <w:color w:val="auto"/>
              </w:rPr>
            </w:pPr>
            <w:r>
              <w:rPr>
                <w:rFonts w:ascii="Times New Roman" w:cs="Times New Roman" w:eastAsia="Times New Roman" w:hAnsi="Times New Roman"/>
                <w:sz w:val="15"/>
                <w:szCs w:val="15"/>
                <w:color w:val="auto"/>
                <w:w w:val="95"/>
              </w:rPr>
              <w:t>3.5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VodafoneZiggo JV</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1,482.0</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1,565.5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(83.5)</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(5.3)</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_______________</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N.M. — Not Meaningful.</w:t>
      </w:r>
    </w:p>
    <w:p>
      <w:pPr>
        <w:spacing w:after="0" w:line="2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i w:val="1"/>
          <w:iCs w:val="1"/>
          <w:color w:val="auto"/>
        </w:rPr>
        <w:t>Adjusted EBITDA Margin</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following table sets forth the Adjusted EBITDA margins (Adjusted EBITDA divided by revenue) of each of our reportable segments: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2060" w:type="dxa"/>
            <w:vAlign w:val="bottom"/>
            <w:gridSpan w:val="3"/>
          </w:tcPr>
          <w:p>
            <w:pPr>
              <w:jc w:val="center"/>
              <w:ind w:left="766"/>
              <w:spacing w:after="0"/>
              <w:rPr>
                <w:sz w:val="20"/>
                <w:szCs w:val="20"/>
                <w:color w:val="auto"/>
              </w:rPr>
            </w:pPr>
            <w:r>
              <w:rPr>
                <w:rFonts w:ascii="Times New Roman" w:cs="Times New Roman" w:eastAsia="Times New Roman" w:hAnsi="Times New Roman"/>
                <w:sz w:val="14"/>
                <w:szCs w:val="14"/>
                <w:b w:val="1"/>
                <w:bCs w:val="1"/>
                <w:color w:val="auto"/>
                <w:w w:val="99"/>
              </w:rPr>
              <w:t>Three months ended</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3"/>
          </w:tcPr>
          <w:p>
            <w:pPr>
              <w:jc w:val="center"/>
              <w:ind w:left="766"/>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860" w:type="dxa"/>
            <w:vAlign w:val="bottom"/>
          </w:tcPr>
          <w:p>
            <w:pPr>
              <w:spacing w:after="0"/>
              <w:rPr>
                <w:sz w:val="13"/>
                <w:szCs w:val="13"/>
                <w:color w:val="auto"/>
              </w:rPr>
            </w:pPr>
          </w:p>
        </w:tc>
      </w:tr>
      <w:tr>
        <w:trPr>
          <w:trHeight w:val="184"/>
        </w:trPr>
        <w:tc>
          <w:tcPr>
            <w:tcW w:w="5380" w:type="dxa"/>
            <w:vAlign w:val="bottom"/>
          </w:tcPr>
          <w:p>
            <w:pPr>
              <w:spacing w:after="0"/>
              <w:rPr>
                <w:sz w:val="16"/>
                <w:szCs w:val="16"/>
                <w:color w:val="auto"/>
              </w:rPr>
            </w:pPr>
          </w:p>
        </w:tc>
        <w:tc>
          <w:tcPr>
            <w:tcW w:w="2060" w:type="dxa"/>
            <w:vAlign w:val="bottom"/>
            <w:tcBorders>
              <w:bottom w:val="single" w:sz="8" w:color="auto"/>
            </w:tcBorders>
            <w:gridSpan w:val="3"/>
          </w:tcPr>
          <w:p>
            <w:pPr>
              <w:jc w:val="center"/>
              <w:ind w:left="76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gridSpan w:val="3"/>
          </w:tcPr>
          <w:p>
            <w:pPr>
              <w:jc w:val="center"/>
              <w:ind w:left="786"/>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860" w:type="dxa"/>
            <w:vAlign w:val="bottom"/>
            <w:tcBorders>
              <w:bottom w:val="single" w:sz="8" w:color="auto"/>
            </w:tcBorders>
          </w:tcPr>
          <w:p>
            <w:pPr>
              <w:spacing w:after="0"/>
              <w:rPr>
                <w:sz w:val="16"/>
                <w:szCs w:val="16"/>
                <w:color w:val="auto"/>
              </w:rPr>
            </w:pPr>
          </w:p>
        </w:tc>
      </w:tr>
      <w:tr>
        <w:trPr>
          <w:trHeight w:val="177"/>
        </w:trPr>
        <w:tc>
          <w:tcPr>
            <w:tcW w:w="5380" w:type="dxa"/>
            <w:vAlign w:val="bottom"/>
          </w:tcPr>
          <w:p>
            <w:pPr>
              <w:spacing w:after="0"/>
              <w:rPr>
                <w:sz w:val="15"/>
                <w:szCs w:val="15"/>
                <w:color w:val="auto"/>
              </w:rPr>
            </w:pPr>
          </w:p>
        </w:tc>
        <w:tc>
          <w:tcPr>
            <w:tcW w:w="140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20" w:type="dxa"/>
            <w:vAlign w:val="bottom"/>
          </w:tcPr>
          <w:p>
            <w:pPr>
              <w:spacing w:after="0"/>
              <w:rPr>
                <w:sz w:val="15"/>
                <w:szCs w:val="15"/>
                <w:color w:val="auto"/>
              </w:rPr>
            </w:pPr>
          </w:p>
        </w:tc>
        <w:tc>
          <w:tcPr>
            <w:tcW w:w="138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66"/>
        </w:trPr>
        <w:tc>
          <w:tcPr>
            <w:tcW w:w="5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7"/>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Telenet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44.6 %</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46.0 %</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42.2 %</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42.6 %</w:t>
            </w:r>
          </w:p>
        </w:tc>
      </w:tr>
      <w:tr>
        <w:trPr>
          <w:trHeight w:val="197"/>
        </w:trPr>
        <w:tc>
          <w:tcPr>
            <w:tcW w:w="5380" w:type="dxa"/>
            <w:vAlign w:val="bottom"/>
          </w:tcPr>
          <w:p>
            <w:pPr>
              <w:spacing w:after="0"/>
              <w:rPr>
                <w:sz w:val="20"/>
                <w:szCs w:val="20"/>
                <w:color w:val="auto"/>
              </w:rPr>
            </w:pPr>
            <w:r>
              <w:rPr>
                <w:rFonts w:ascii="Times New Roman" w:cs="Times New Roman" w:eastAsia="Times New Roman" w:hAnsi="Times New Roman"/>
                <w:sz w:val="15"/>
                <w:szCs w:val="15"/>
                <w:color w:val="auto"/>
              </w:rPr>
              <w:t>VM Ireland</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34.2 %</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34.6 %</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33.4 %</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35.1 %</w:t>
            </w:r>
          </w:p>
        </w:tc>
      </w:tr>
      <w:tr>
        <w:trPr>
          <w:trHeight w:val="220"/>
        </w:trPr>
        <w:tc>
          <w:tcPr>
            <w:tcW w:w="5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197"/>
        </w:trPr>
        <w:tc>
          <w:tcPr>
            <w:tcW w:w="5380" w:type="dxa"/>
            <w:vAlign w:val="bottom"/>
          </w:tcPr>
          <w:p>
            <w:pPr>
              <w:spacing w:after="0"/>
              <w:rPr>
                <w:sz w:val="20"/>
                <w:szCs w:val="20"/>
                <w:color w:val="auto"/>
              </w:rPr>
            </w:pPr>
            <w:r>
              <w:rPr>
                <w:rFonts w:ascii="Times New Roman" w:cs="Times New Roman" w:eastAsia="Times New Roman" w:hAnsi="Times New Roman"/>
                <w:sz w:val="15"/>
                <w:szCs w:val="15"/>
                <w:color w:val="auto"/>
              </w:rPr>
              <w:t>VMO2 JV</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36.4 %</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33.3 %</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35.2 %</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33.2 %</w:t>
            </w:r>
          </w:p>
        </w:tc>
      </w:tr>
      <w:tr>
        <w:trPr>
          <w:trHeight w:val="197"/>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VodafoneZiggo JV</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45.1 %</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46.7 %</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44.5 %</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46.9 %</w:t>
            </w:r>
          </w:p>
        </w:tc>
      </w:tr>
    </w:tbl>
    <w:p>
      <w:pPr>
        <w:spacing w:after="0" w:line="275" w:lineRule="exact"/>
        <w:rPr>
          <w:sz w:val="20"/>
          <w:szCs w:val="20"/>
          <w:color w:val="auto"/>
        </w:rPr>
      </w:pPr>
    </w:p>
    <w:p>
      <w:pPr>
        <w:jc w:val="both"/>
        <w:ind w:firstLine="278"/>
        <w:spacing w:after="0" w:line="267" w:lineRule="auto"/>
        <w:rPr>
          <w:sz w:val="20"/>
          <w:szCs w:val="20"/>
          <w:color w:val="auto"/>
        </w:rPr>
      </w:pPr>
      <w:r>
        <w:rPr>
          <w:rFonts w:ascii="Times New Roman" w:cs="Times New Roman" w:eastAsia="Times New Roman" w:hAnsi="Times New Roman"/>
          <w:sz w:val="15"/>
          <w:szCs w:val="15"/>
          <w:color w:val="auto"/>
        </w:rPr>
        <w:t xml:space="preserve">In addition to organic changes in the revenue, operating and SG&amp;A expenses of our reportable segments, the Adjusted EBITDA margins presented above include the impact of acquisitions, as applicable. For discussion of the factors contributing to the changes in the Adjusted EBITDA margins of our consolidated reportable segments, see the analysis of our revenue included in </w:t>
      </w:r>
      <w:r>
        <w:rPr>
          <w:rFonts w:ascii="Times New Roman" w:cs="Times New Roman" w:eastAsia="Times New Roman" w:hAnsi="Times New Roman"/>
          <w:sz w:val="15"/>
          <w:szCs w:val="15"/>
          <w:i w:val="1"/>
          <w:iCs w:val="1"/>
          <w:color w:val="auto"/>
        </w:rPr>
        <w:t>Discussion and Analysis of our Reportable Segments</w:t>
      </w:r>
      <w:r>
        <w:rPr>
          <w:rFonts w:ascii="Times New Roman" w:cs="Times New Roman" w:eastAsia="Times New Roman" w:hAnsi="Times New Roman"/>
          <w:sz w:val="15"/>
          <w:szCs w:val="15"/>
          <w:color w:val="auto"/>
        </w:rPr>
        <w:t xml:space="preserve"> above and the analysis of our expenses included in </w:t>
      </w:r>
      <w:r>
        <w:rPr>
          <w:rFonts w:ascii="Times New Roman" w:cs="Times New Roman" w:eastAsia="Times New Roman" w:hAnsi="Times New Roman"/>
          <w:sz w:val="15"/>
          <w:szCs w:val="15"/>
          <w:i w:val="1"/>
          <w:iCs w:val="1"/>
          <w:color w:val="auto"/>
        </w:rPr>
        <w:t>Discussion and Analysis of our Consolidated Operating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Results </w:t>
      </w:r>
      <w:r>
        <w:rPr>
          <w:rFonts w:ascii="Times New Roman" w:cs="Times New Roman" w:eastAsia="Times New Roman" w:hAnsi="Times New Roman"/>
          <w:sz w:val="15"/>
          <w:szCs w:val="15"/>
          <w:color w:val="auto"/>
        </w:rPr>
        <w:t>below. For discussion of the factors contributing to the changes in the Adjusted EBITDA margins of the VMO2 JV and the VodafoneZiggo JV, see</w:t>
      </w:r>
      <w:r>
        <w:rPr>
          <w:rFonts w:ascii="Times New Roman" w:cs="Times New Roman" w:eastAsia="Times New Roman" w:hAnsi="Times New Roman"/>
          <w:sz w:val="15"/>
          <w:szCs w:val="15"/>
          <w:i w:val="1"/>
          <w:iCs w:val="1"/>
          <w:color w:val="auto"/>
        </w:rPr>
        <w:t xml:space="preserve"> Discussion and Analysis of our Consolidated Operating Results — Share of results of affiliates, net </w:t>
      </w:r>
      <w:r>
        <w:rPr>
          <w:rFonts w:ascii="Times New Roman" w:cs="Times New Roman" w:eastAsia="Times New Roman" w:hAnsi="Times New Roman"/>
          <w:sz w:val="15"/>
          <w:szCs w:val="15"/>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916"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5"/>
          <w:szCs w:val="15"/>
          <w:b w:val="1"/>
          <w:bCs w:val="1"/>
          <w:color w:val="auto"/>
        </w:rPr>
        <w:t>Discussion and Analysis of our Consolidated Operating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General</w:t>
      </w:r>
    </w:p>
    <w:p>
      <w:pPr>
        <w:spacing w:after="0" w:line="2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 xml:space="preserve">For more detailed explanations of the changes in our revenue, see </w:t>
      </w:r>
      <w:r>
        <w:rPr>
          <w:rFonts w:ascii="Times New Roman" w:cs="Times New Roman" w:eastAsia="Times New Roman" w:hAnsi="Times New Roman"/>
          <w:sz w:val="15"/>
          <w:szCs w:val="15"/>
          <w:i w:val="1"/>
          <w:iCs w:val="1"/>
          <w:color w:val="auto"/>
        </w:rPr>
        <w:t>Discussion and Analysis of our Reportable Segments</w:t>
      </w:r>
      <w:r>
        <w:rPr>
          <w:rFonts w:ascii="Times New Roman" w:cs="Times New Roman" w:eastAsia="Times New Roman" w:hAnsi="Times New Roman"/>
          <w:sz w:val="15"/>
          <w:szCs w:val="15"/>
          <w:color w:val="auto"/>
        </w:rPr>
        <w:t xml:space="preserve"> above.</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i w:val="1"/>
          <w:iCs w:val="1"/>
          <w:color w:val="auto"/>
        </w:rPr>
        <w:t>Revenue</w:t>
      </w:r>
    </w:p>
    <w:p>
      <w:pPr>
        <w:spacing w:after="0" w:line="2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Our revenue by major category is set forth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220" w:type="dxa"/>
            <w:vAlign w:val="bottom"/>
            <w:gridSpan w:val="4"/>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200" w:type="dxa"/>
            <w:vAlign w:val="bottom"/>
          </w:tcPr>
          <w:p>
            <w:pPr>
              <w:spacing w:after="0"/>
              <w:rPr>
                <w:sz w:val="13"/>
                <w:szCs w:val="13"/>
                <w:color w:val="auto"/>
              </w:rPr>
            </w:pPr>
          </w:p>
        </w:tc>
        <w:tc>
          <w:tcPr>
            <w:tcW w:w="2060" w:type="dxa"/>
            <w:vAlign w:val="bottom"/>
            <w:gridSpan w:val="3"/>
            <w:vMerge w:val="restart"/>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Organic increase (decrease)</w:t>
            </w:r>
          </w:p>
        </w:tc>
        <w:tc>
          <w:tcPr>
            <w:tcW w:w="0" w:type="dxa"/>
            <w:vAlign w:val="bottom"/>
          </w:tcPr>
          <w:p>
            <w:pPr>
              <w:spacing w:after="0"/>
              <w:rPr>
                <w:sz w:val="1"/>
                <w:szCs w:val="1"/>
                <w:color w:val="auto"/>
              </w:rPr>
            </w:pPr>
          </w:p>
        </w:tc>
      </w:tr>
      <w:tr>
        <w:trPr>
          <w:trHeight w:val="184"/>
        </w:trPr>
        <w:tc>
          <w:tcPr>
            <w:tcW w:w="4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18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6"/>
        </w:trPr>
        <w:tc>
          <w:tcPr>
            <w:tcW w:w="4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Residential revenue: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1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Residential fixed revenue (a):</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Subscription revenue (b):</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1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Broadband internet</w:t>
            </w:r>
          </w:p>
        </w:tc>
        <w:tc>
          <w:tcPr>
            <w:tcW w:w="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247.2</w:t>
            </w:r>
          </w:p>
        </w:tc>
        <w:tc>
          <w:tcPr>
            <w:tcW w:w="8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8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197"/>
        </w:trPr>
        <w:tc>
          <w:tcPr>
            <w:tcW w:w="4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Video</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153.8</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0" w:type="dxa"/>
            <w:vAlign w:val="bottom"/>
          </w:tcPr>
          <w:p>
            <w:pPr>
              <w:spacing w:after="0"/>
              <w:rPr>
                <w:sz w:val="1"/>
                <w:szCs w:val="1"/>
                <w:color w:val="auto"/>
              </w:rPr>
            </w:pPr>
          </w:p>
        </w:tc>
      </w:tr>
      <w:tr>
        <w:trPr>
          <w:trHeight w:val="197"/>
        </w:trPr>
        <w:tc>
          <w:tcPr>
            <w:tcW w:w="41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5"/>
                <w:szCs w:val="15"/>
                <w:color w:val="auto"/>
              </w:rPr>
              <w:t>Fixed-line telephony</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47.8</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0" w:type="dxa"/>
            <w:vAlign w:val="bottom"/>
          </w:tcPr>
          <w:p>
            <w:pPr>
              <w:spacing w:after="0"/>
              <w:rPr>
                <w:sz w:val="1"/>
                <w:szCs w:val="1"/>
                <w:color w:val="auto"/>
              </w:rPr>
            </w:pPr>
          </w:p>
        </w:tc>
      </w:tr>
      <w:tr>
        <w:trPr>
          <w:trHeight w:val="188"/>
        </w:trPr>
        <w:tc>
          <w:tcPr>
            <w:tcW w:w="4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Total subscription revenue</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448.8</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0" w:type="dxa"/>
            <w:vAlign w:val="bottom"/>
          </w:tcPr>
          <w:p>
            <w:pPr>
              <w:spacing w:after="0"/>
              <w:rPr>
                <w:sz w:val="1"/>
                <w:szCs w:val="1"/>
                <w:color w:val="auto"/>
              </w:rPr>
            </w:pPr>
          </w:p>
        </w:tc>
      </w:tr>
      <w:tr>
        <w:trPr>
          <w:trHeight w:val="197"/>
        </w:trPr>
        <w:tc>
          <w:tcPr>
            <w:tcW w:w="4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Non-subscription revenue</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76.6</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61.7</w:t>
            </w:r>
          </w:p>
        </w:tc>
        <w:tc>
          <w:tcPr>
            <w:tcW w:w="0" w:type="dxa"/>
            <w:vAlign w:val="bottom"/>
          </w:tcPr>
          <w:p>
            <w:pPr>
              <w:spacing w:after="0"/>
              <w:rPr>
                <w:sz w:val="1"/>
                <w:szCs w:val="1"/>
                <w:color w:val="auto"/>
              </w:rPr>
            </w:pPr>
          </w:p>
        </w:tc>
      </w:tr>
      <w:tr>
        <w:trPr>
          <w:trHeight w:val="188"/>
        </w:trPr>
        <w:tc>
          <w:tcPr>
            <w:tcW w:w="4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Total residential fixed revenue</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457.1</w:t>
            </w: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436.5</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8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8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0" w:type="dxa"/>
            <w:vAlign w:val="bottom"/>
          </w:tcPr>
          <w:p>
            <w:pPr>
              <w:spacing w:after="0"/>
              <w:rPr>
                <w:sz w:val="1"/>
                <w:szCs w:val="1"/>
                <w:color w:val="auto"/>
              </w:rPr>
            </w:pPr>
          </w:p>
        </w:tc>
      </w:tr>
      <w:tr>
        <w:trPr>
          <w:trHeight w:val="177"/>
        </w:trPr>
        <w:tc>
          <w:tcPr>
            <w:tcW w:w="41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Residential mobile revenue (c):</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Subscription revenue (b)</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131.0</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197"/>
        </w:trPr>
        <w:tc>
          <w:tcPr>
            <w:tcW w:w="4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Non-subscription revenue</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36.3</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0" w:type="dxa"/>
            <w:vAlign w:val="bottom"/>
          </w:tcPr>
          <w:p>
            <w:pPr>
              <w:spacing w:after="0"/>
              <w:rPr>
                <w:sz w:val="1"/>
                <w:szCs w:val="1"/>
                <w:color w:val="auto"/>
              </w:rPr>
            </w:pPr>
          </w:p>
        </w:tc>
      </w:tr>
      <w:tr>
        <w:trPr>
          <w:trHeight w:val="188"/>
        </w:trPr>
        <w:tc>
          <w:tcPr>
            <w:tcW w:w="4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residential mobile revenue</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167.3</w:t>
            </w: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160.3</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8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8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188"/>
        </w:trPr>
        <w:tc>
          <w:tcPr>
            <w:tcW w:w="41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5"/>
                <w:szCs w:val="15"/>
                <w:color w:val="auto"/>
              </w:rPr>
              <w:t>Total residential revenue</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624.4</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596.8</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27.6</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0" w:type="dxa"/>
            <w:vAlign w:val="bottom"/>
          </w:tcPr>
          <w:p>
            <w:pPr>
              <w:spacing w:after="0"/>
              <w:rPr>
                <w:sz w:val="1"/>
                <w:szCs w:val="1"/>
                <w:color w:val="auto"/>
              </w:rPr>
            </w:pPr>
          </w:p>
        </w:tc>
      </w:tr>
      <w:tr>
        <w:trPr>
          <w:trHeight w:val="177"/>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B2B revenue (d):</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1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Subscription revenue</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116.7</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197"/>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Non-subscription revenue</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116.6</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101.9</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0" w:type="dxa"/>
            <w:vAlign w:val="bottom"/>
          </w:tcPr>
          <w:p>
            <w:pPr>
              <w:spacing w:after="0"/>
              <w:rPr>
                <w:sz w:val="1"/>
                <w:szCs w:val="1"/>
                <w:color w:val="auto"/>
              </w:rPr>
            </w:pPr>
          </w:p>
        </w:tc>
      </w:tr>
      <w:tr>
        <w:trPr>
          <w:trHeight w:val="188"/>
        </w:trPr>
        <w:tc>
          <w:tcPr>
            <w:tcW w:w="4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Total B2B revenue</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233.3</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213.0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20.3</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18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revenue (e)</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349.4</w:t>
            </w: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259.7</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89.7</w:t>
            </w:r>
          </w:p>
        </w:tc>
        <w:tc>
          <w:tcPr>
            <w:tcW w:w="8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8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0" w:type="dxa"/>
            <w:vAlign w:val="bottom"/>
          </w:tcPr>
          <w:p>
            <w:pPr>
              <w:spacing w:after="0"/>
              <w:rPr>
                <w:sz w:val="1"/>
                <w:szCs w:val="1"/>
                <w:color w:val="auto"/>
              </w:rPr>
            </w:pPr>
          </w:p>
        </w:tc>
      </w:tr>
      <w:tr>
        <w:trPr>
          <w:trHeight w:val="188"/>
        </w:trPr>
        <w:tc>
          <w:tcPr>
            <w:tcW w:w="418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Total</w:t>
            </w:r>
          </w:p>
        </w:tc>
        <w:tc>
          <w:tcPr>
            <w:tcW w:w="2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1,207.1</w:t>
            </w:r>
          </w:p>
        </w:tc>
        <w:tc>
          <w:tcPr>
            <w:tcW w:w="80" w:type="dxa"/>
            <w:vAlign w:val="bottom"/>
          </w:tcPr>
          <w:p>
            <w:pPr>
              <w:spacing w:after="0"/>
              <w:rPr>
                <w:sz w:val="16"/>
                <w:szCs w:val="16"/>
                <w:color w:val="auto"/>
              </w:rPr>
            </w:pPr>
          </w:p>
        </w:tc>
        <w:tc>
          <w:tcPr>
            <w:tcW w:w="4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1,069.5</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137.6</w:t>
            </w:r>
          </w:p>
        </w:tc>
        <w:tc>
          <w:tcPr>
            <w:tcW w:w="8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(17.8)</w:t>
            </w:r>
          </w:p>
        </w:tc>
        <w:tc>
          <w:tcPr>
            <w:tcW w:w="8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4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62</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4" w:name="page65"/>
    <w:bookmarkEnd w:id="64"/>
    <w:tbl>
      <w:tblPr>
        <w:tblLayout w:type="fixed"/>
        <w:tblInd w:w="7"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2280" w:type="dxa"/>
            <w:vAlign w:val="bottom"/>
            <w:gridSpan w:val="4"/>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200" w:type="dxa"/>
            <w:vAlign w:val="bottom"/>
          </w:tcPr>
          <w:p>
            <w:pPr>
              <w:spacing w:after="0"/>
              <w:rPr>
                <w:sz w:val="13"/>
                <w:szCs w:val="13"/>
                <w:color w:val="auto"/>
              </w:rPr>
            </w:pPr>
          </w:p>
        </w:tc>
        <w:tc>
          <w:tcPr>
            <w:tcW w:w="2100" w:type="dxa"/>
            <w:vAlign w:val="bottom"/>
            <w:gridSpan w:val="3"/>
            <w:vMerge w:val="restart"/>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Organic increase (decrease)</w:t>
            </w:r>
          </w:p>
        </w:tc>
        <w:tc>
          <w:tcPr>
            <w:tcW w:w="0" w:type="dxa"/>
            <w:vAlign w:val="bottom"/>
          </w:tcPr>
          <w:p>
            <w:pPr>
              <w:spacing w:after="0"/>
              <w:rPr>
                <w:sz w:val="1"/>
                <w:szCs w:val="1"/>
                <w:color w:val="auto"/>
              </w:rPr>
            </w:pPr>
          </w:p>
        </w:tc>
      </w:tr>
      <w:tr>
        <w:trPr>
          <w:trHeight w:val="184"/>
        </w:trPr>
        <w:tc>
          <w:tcPr>
            <w:tcW w:w="4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0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Residential revenue: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Residential fixed revenue (a):</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Subscription revenue (b):</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Broadband internet</w:t>
            </w: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703.9</w:t>
            </w:r>
          </w:p>
        </w:tc>
        <w:tc>
          <w:tcPr>
            <w:tcW w:w="10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667.5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36.4</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12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16.1</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197"/>
        </w:trPr>
        <w:tc>
          <w:tcPr>
            <w:tcW w:w="4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Video</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451.6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197"/>
        </w:trPr>
        <w:tc>
          <w:tcPr>
            <w:tcW w:w="40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5"/>
                <w:szCs w:val="15"/>
                <w:color w:val="auto"/>
              </w:rPr>
              <w:t>Fixed-line telephony</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139.3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(14.1)</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0" w:type="dxa"/>
            <w:vAlign w:val="bottom"/>
          </w:tcPr>
          <w:p>
            <w:pPr>
              <w:spacing w:after="0"/>
              <w:rPr>
                <w:sz w:val="1"/>
                <w:szCs w:val="1"/>
                <w:color w:val="auto"/>
              </w:rPr>
            </w:pPr>
          </w:p>
        </w:tc>
      </w:tr>
      <w:tr>
        <w:trPr>
          <w:trHeight w:val="188"/>
        </w:trPr>
        <w:tc>
          <w:tcPr>
            <w:tcW w:w="4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Total subscription revenue</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1,294.8</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1,267.9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0" w:type="dxa"/>
            <w:vAlign w:val="bottom"/>
          </w:tcPr>
          <w:p>
            <w:pPr>
              <w:spacing w:after="0"/>
              <w:rPr>
                <w:sz w:val="1"/>
                <w:szCs w:val="1"/>
                <w:color w:val="auto"/>
              </w:rPr>
            </w:pPr>
          </w:p>
        </w:tc>
      </w:tr>
      <w:tr>
        <w:trPr>
          <w:trHeight w:val="197"/>
        </w:trPr>
        <w:tc>
          <w:tcPr>
            <w:tcW w:w="4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Non-subscription revenue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52.6</w:t>
            </w:r>
          </w:p>
        </w:tc>
        <w:tc>
          <w:tcPr>
            <w:tcW w:w="0" w:type="dxa"/>
            <w:vAlign w:val="bottom"/>
          </w:tcPr>
          <w:p>
            <w:pPr>
              <w:spacing w:after="0"/>
              <w:rPr>
                <w:sz w:val="1"/>
                <w:szCs w:val="1"/>
                <w:color w:val="auto"/>
              </w:rPr>
            </w:pPr>
          </w:p>
        </w:tc>
      </w:tr>
      <w:tr>
        <w:trPr>
          <w:trHeight w:val="188"/>
        </w:trPr>
        <w:tc>
          <w:tcPr>
            <w:tcW w:w="4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Total residential fixed revenue</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1,312.8</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1,279.3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33.5</w:t>
            </w:r>
          </w:p>
        </w:tc>
        <w:tc>
          <w:tcPr>
            <w:tcW w:w="10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10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0" w:type="dxa"/>
            <w:vAlign w:val="bottom"/>
          </w:tcPr>
          <w:p>
            <w:pPr>
              <w:spacing w:after="0"/>
              <w:rPr>
                <w:sz w:val="1"/>
                <w:szCs w:val="1"/>
                <w:color w:val="auto"/>
              </w:rPr>
            </w:pPr>
          </w:p>
        </w:tc>
      </w:tr>
      <w:tr>
        <w:trPr>
          <w:trHeight w:val="177"/>
        </w:trPr>
        <w:tc>
          <w:tcPr>
            <w:tcW w:w="4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Residential mobile revenue (c):</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Subscription revenue (b)</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371.7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0" w:type="dxa"/>
            <w:vAlign w:val="bottom"/>
          </w:tcPr>
          <w:p>
            <w:pPr>
              <w:spacing w:after="0"/>
              <w:rPr>
                <w:sz w:val="1"/>
                <w:szCs w:val="1"/>
                <w:color w:val="auto"/>
              </w:rPr>
            </w:pPr>
          </w:p>
        </w:tc>
      </w:tr>
      <w:tr>
        <w:trPr>
          <w:trHeight w:val="197"/>
        </w:trPr>
        <w:tc>
          <w:tcPr>
            <w:tcW w:w="4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Non-subscription revenue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(14.5)</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0" w:type="dxa"/>
            <w:vAlign w:val="bottom"/>
          </w:tcPr>
          <w:p>
            <w:pPr>
              <w:spacing w:after="0"/>
              <w:rPr>
                <w:sz w:val="1"/>
                <w:szCs w:val="1"/>
                <w:color w:val="auto"/>
              </w:rPr>
            </w:pPr>
          </w:p>
        </w:tc>
      </w:tr>
      <w:tr>
        <w:trPr>
          <w:trHeight w:val="188"/>
        </w:trPr>
        <w:tc>
          <w:tcPr>
            <w:tcW w:w="4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residential mobile revenue</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481.8</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492.0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10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w:t>
            </w:r>
          </w:p>
        </w:tc>
        <w:tc>
          <w:tcPr>
            <w:tcW w:w="10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0" w:type="dxa"/>
            <w:vAlign w:val="bottom"/>
          </w:tcPr>
          <w:p>
            <w:pPr>
              <w:spacing w:after="0"/>
              <w:rPr>
                <w:sz w:val="1"/>
                <w:szCs w:val="1"/>
                <w:color w:val="auto"/>
              </w:rPr>
            </w:pPr>
          </w:p>
        </w:tc>
      </w:tr>
      <w:tr>
        <w:trPr>
          <w:trHeight w:val="188"/>
        </w:trPr>
        <w:tc>
          <w:tcPr>
            <w:tcW w:w="40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5"/>
                <w:szCs w:val="15"/>
                <w:color w:val="auto"/>
              </w:rPr>
              <w:t>Total residential revenue</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1,794.6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1,771.3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23.3</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(27.3)</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177"/>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B2B revenue (d):</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Subscription revenue</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0" w:type="dxa"/>
            <w:vAlign w:val="bottom"/>
          </w:tcPr>
          <w:p>
            <w:pPr>
              <w:spacing w:after="0"/>
              <w:rPr>
                <w:sz w:val="1"/>
                <w:szCs w:val="1"/>
                <w:color w:val="auto"/>
              </w:rPr>
            </w:pPr>
          </w:p>
        </w:tc>
      </w:tr>
      <w:tr>
        <w:trPr>
          <w:trHeight w:val="197"/>
        </w:trPr>
        <w:tc>
          <w:tcPr>
            <w:tcW w:w="4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Non-subscription revenue</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333.2</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16.5</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0" w:type="dxa"/>
            <w:vAlign w:val="bottom"/>
          </w:tcPr>
          <w:p>
            <w:pPr>
              <w:spacing w:after="0"/>
              <w:rPr>
                <w:sz w:val="1"/>
                <w:szCs w:val="1"/>
                <w:color w:val="auto"/>
              </w:rPr>
            </w:pPr>
          </w:p>
        </w:tc>
      </w:tr>
      <w:tr>
        <w:trPr>
          <w:trHeight w:val="188"/>
        </w:trPr>
        <w:tc>
          <w:tcPr>
            <w:tcW w:w="4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Total B2B revenue</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666.2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34.3</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14.8</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0" w:type="dxa"/>
            <w:vAlign w:val="bottom"/>
          </w:tcPr>
          <w:p>
            <w:pPr>
              <w:spacing w:after="0"/>
              <w:rPr>
                <w:sz w:val="1"/>
                <w:szCs w:val="1"/>
                <w:color w:val="auto"/>
              </w:rPr>
            </w:pPr>
          </w:p>
        </w:tc>
      </w:tr>
      <w:tr>
        <w:trPr>
          <w:trHeight w:val="188"/>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revenue (e)</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1,186.6</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815.5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371.1</w:t>
            </w:r>
          </w:p>
        </w:tc>
        <w:tc>
          <w:tcPr>
            <w:tcW w:w="10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w:t>
            </w:r>
          </w:p>
        </w:tc>
        <w:tc>
          <w:tcPr>
            <w:tcW w:w="10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188"/>
        </w:trPr>
        <w:tc>
          <w:tcPr>
            <w:tcW w:w="40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Total</w:t>
            </w: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3,647.4</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3,218.7</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428.7</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(47.0)</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_______________</w:t>
      </w:r>
    </w:p>
    <w:p>
      <w:pPr>
        <w:spacing w:after="0" w:line="221" w:lineRule="exact"/>
        <w:rPr>
          <w:sz w:val="20"/>
          <w:szCs w:val="20"/>
          <w:color w:val="auto"/>
        </w:rPr>
      </w:pPr>
    </w:p>
    <w:p>
      <w:pPr>
        <w:ind w:left="407" w:right="20" w:hanging="407"/>
        <w:spacing w:after="0" w:line="295" w:lineRule="auto"/>
        <w:tabs>
          <w:tab w:leader="none" w:pos="405"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spacing w:after="0" w:line="154" w:lineRule="exact"/>
        <w:rPr>
          <w:rFonts w:ascii="Times New Roman" w:cs="Times New Roman" w:eastAsia="Times New Roman" w:hAnsi="Times New Roman"/>
          <w:sz w:val="15"/>
          <w:szCs w:val="15"/>
          <w:color w:val="auto"/>
        </w:rPr>
      </w:pPr>
    </w:p>
    <w:p>
      <w:pPr>
        <w:jc w:val="both"/>
        <w:ind w:left="407" w:hanging="407"/>
        <w:spacing w:after="0" w:line="276" w:lineRule="auto"/>
        <w:tabs>
          <w:tab w:leader="none" w:pos="402"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spacing w:after="0" w:line="168" w:lineRule="exact"/>
        <w:rPr>
          <w:rFonts w:ascii="Times New Roman" w:cs="Times New Roman" w:eastAsia="Times New Roman" w:hAnsi="Times New Roman"/>
          <w:sz w:val="15"/>
          <w:szCs w:val="15"/>
          <w:color w:val="auto"/>
        </w:rPr>
      </w:pPr>
    </w:p>
    <w:p>
      <w:pPr>
        <w:jc w:val="both"/>
        <w:ind w:left="407" w:hanging="407"/>
        <w:spacing w:after="0" w:line="273" w:lineRule="auto"/>
        <w:tabs>
          <w:tab w:leader="none" w:pos="405"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$8.0 million and $11.0 million during the three months ended September 30, 2025 and 2024, respectively, and $24.8 million and $34.2 million during the nine months ended September 30, 2025 and 2024, respectively.</w:t>
      </w:r>
    </w:p>
    <w:p>
      <w:pPr>
        <w:spacing w:after="0" w:line="360" w:lineRule="exact"/>
        <w:rPr>
          <w:rFonts w:ascii="Times New Roman" w:cs="Times New Roman" w:eastAsia="Times New Roman" w:hAnsi="Times New Roman"/>
          <w:sz w:val="15"/>
          <w:szCs w:val="15"/>
          <w:color w:val="auto"/>
        </w:rPr>
      </w:pPr>
    </w:p>
    <w:p>
      <w:pPr>
        <w:jc w:val="both"/>
        <w:ind w:left="407" w:hanging="407"/>
        <w:spacing w:after="0" w:line="267" w:lineRule="auto"/>
        <w:tabs>
          <w:tab w:leader="none" w:pos="402"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B2B subscription revenue represents revenue from (i) services provided to SOHO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B2B non-subscription revenue includes (a) revenue from business broadband internet, video, fixed-line telephony and data services offered to medium and large enterprises and, fixed-line and mobile services on a wholesale basis, to other operators and (b) revenue from long-term leases of portions of our network.</w:t>
      </w:r>
    </w:p>
    <w:p>
      <w:pPr>
        <w:spacing w:after="0" w:line="174" w:lineRule="exact"/>
        <w:rPr>
          <w:rFonts w:ascii="Times New Roman" w:cs="Times New Roman" w:eastAsia="Times New Roman" w:hAnsi="Times New Roman"/>
          <w:sz w:val="15"/>
          <w:szCs w:val="15"/>
          <w:color w:val="auto"/>
        </w:rPr>
      </w:pPr>
    </w:p>
    <w:p>
      <w:pPr>
        <w:ind w:left="407" w:right="20" w:hanging="407"/>
        <w:spacing w:after="0" w:line="295" w:lineRule="auto"/>
        <w:tabs>
          <w:tab w:leader="none" w:pos="405"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revenue includes, among other items, (i) revenue earned from the U.K. JV Services, the Sunrise Services and the NL JV Services, (ii) broadcasting revenue at Telenet and VM Ireland, (iii) revenue at Formula E and (iv) revenue earned from the sale of CPE to the VMO2 JV and the VodafoneZiggo JV.</w:t>
      </w:r>
    </w:p>
    <w:p>
      <w:pPr>
        <w:spacing w:after="0" w:line="200" w:lineRule="exact"/>
        <w:rPr>
          <w:sz w:val="20"/>
          <w:szCs w:val="20"/>
          <w:color w:val="auto"/>
        </w:rPr>
      </w:pPr>
    </w:p>
    <w:p>
      <w:pPr>
        <w:spacing w:after="0" w:line="25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835" w:right="319" w:bottom="1440" w:gutter="0" w:footer="0" w:header="0"/>
        </w:sectPr>
      </w:pPr>
    </w:p>
    <w:bookmarkStart w:id="65" w:name="page66"/>
    <w:bookmarkEnd w:id="65"/>
    <w:p>
      <w:pPr>
        <w:jc w:val="both"/>
        <w:ind w:firstLine="278"/>
        <w:spacing w:after="0" w:line="272" w:lineRule="auto"/>
        <w:rPr>
          <w:sz w:val="20"/>
          <w:szCs w:val="20"/>
          <w:color w:val="auto"/>
        </w:rPr>
      </w:pPr>
      <w:r>
        <w:rPr>
          <w:rFonts w:ascii="Times New Roman" w:cs="Times New Roman" w:eastAsia="Times New Roman" w:hAnsi="Times New Roman"/>
          <w:sz w:val="15"/>
          <w:szCs w:val="15"/>
          <w:i w:val="1"/>
          <w:iCs w:val="1"/>
          <w:color w:val="auto"/>
        </w:rPr>
        <w:t xml:space="preserve">Total revenue. </w:t>
      </w:r>
      <w:r>
        <w:rPr>
          <w:rFonts w:ascii="Times New Roman" w:cs="Times New Roman" w:eastAsia="Times New Roman" w:hAnsi="Times New Roman"/>
          <w:sz w:val="15"/>
          <w:szCs w:val="15"/>
          <w:color w:val="auto"/>
        </w:rPr>
        <w:t>Our consolidated revenue increased $137.6 million or 12.9% and $428.7 million or 13.3% during the three and nine months ended September 30, 2025,</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respectively, as compared to the corresponding periods in 2024, including increases of $41.1 million and $240.8 million, respectively, attributable to the impact of the Formula E Acquisition and $52.8 million and $154.1 million, respectively, attributable to the Sunrise Services provided in connection with the Spin-off. On an organic basis, our consolidated revenue decreased $17.8 million or 1.6% and $47.0 million or 1.4%, respectively.</w:t>
      </w:r>
    </w:p>
    <w:p>
      <w:pPr>
        <w:spacing w:after="0" w:line="167" w:lineRule="exact"/>
        <w:rPr>
          <w:sz w:val="20"/>
          <w:szCs w:val="20"/>
          <w:color w:val="auto"/>
        </w:rPr>
      </w:pPr>
    </w:p>
    <w:p>
      <w:pPr>
        <w:jc w:val="both"/>
        <w:ind w:right="20" w:firstLine="278"/>
        <w:spacing w:after="0" w:line="300" w:lineRule="auto"/>
        <w:rPr>
          <w:sz w:val="20"/>
          <w:szCs w:val="20"/>
          <w:color w:val="auto"/>
        </w:rPr>
      </w:pPr>
      <w:r>
        <w:rPr>
          <w:rFonts w:ascii="Times New Roman" w:cs="Times New Roman" w:eastAsia="Times New Roman" w:hAnsi="Times New Roman"/>
          <w:sz w:val="15"/>
          <w:szCs w:val="15"/>
          <w:i w:val="1"/>
          <w:iCs w:val="1"/>
          <w:color w:val="auto"/>
        </w:rPr>
        <w:t xml:space="preserve">Residential revenue. </w:t>
      </w:r>
      <w:r>
        <w:rPr>
          <w:rFonts w:ascii="Times New Roman" w:cs="Times New Roman" w:eastAsia="Times New Roman" w:hAnsi="Times New Roman"/>
          <w:sz w:val="15"/>
          <w:szCs w:val="15"/>
          <w:color w:val="auto"/>
        </w:rPr>
        <w:t>The details of the increases in our consolidated residential revenue during the three and nine months ended September 30, 2025, as compared to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corresponding periods in 2024, are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20" w:type="dxa"/>
            <w:vAlign w:val="bottom"/>
          </w:tcPr>
          <w:p>
            <w:pPr>
              <w:spacing w:after="0"/>
              <w:rPr>
                <w:sz w:val="16"/>
                <w:szCs w:val="16"/>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Three-month period</w:t>
            </w:r>
          </w:p>
        </w:tc>
        <w:tc>
          <w:tcPr>
            <w:tcW w:w="126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Nine-month period</w:t>
            </w:r>
          </w:p>
        </w:tc>
      </w:tr>
      <w:tr>
        <w:trPr>
          <w:trHeight w:val="183"/>
        </w:trPr>
        <w:tc>
          <w:tcPr>
            <w:tcW w:w="8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20" w:type="dxa"/>
            <w:vAlign w:val="bottom"/>
            <w:gridSpan w:val="3"/>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00" w:type="dxa"/>
            <w:vAlign w:val="bottom"/>
          </w:tcPr>
          <w:p>
            <w:pPr>
              <w:spacing w:after="0"/>
              <w:rPr>
                <w:sz w:val="15"/>
                <w:szCs w:val="15"/>
                <w:color w:val="auto"/>
              </w:rPr>
            </w:pPr>
          </w:p>
        </w:tc>
      </w:tr>
      <w:tr>
        <w:trPr>
          <w:trHeight w:val="140"/>
        </w:trPr>
        <w:tc>
          <w:tcPr>
            <w:tcW w:w="8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97"/>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Increase (decrease) in residential fixed subscription revenue due to change in:</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197"/>
        </w:trPr>
        <w:tc>
          <w:tcPr>
            <w:tcW w:w="86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Average number of customers</w:t>
            </w:r>
          </w:p>
        </w:tc>
        <w:tc>
          <w:tcPr>
            <w:tcW w:w="520" w:type="dxa"/>
            <w:vAlign w:val="bottom"/>
          </w:tcPr>
          <w:p>
            <w:pPr>
              <w:jc w:val="right"/>
              <w:ind w:right="34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120" w:type="dxa"/>
            <w:vAlign w:val="bottom"/>
          </w:tcPr>
          <w:p>
            <w:pPr>
              <w:spacing w:after="0"/>
              <w:rPr>
                <w:sz w:val="17"/>
                <w:szCs w:val="17"/>
                <w:color w:val="auto"/>
              </w:rPr>
            </w:pPr>
          </w:p>
        </w:tc>
        <w:tc>
          <w:tcPr>
            <w:tcW w:w="560" w:type="dxa"/>
            <w:vAlign w:val="bottom"/>
          </w:tcPr>
          <w:p>
            <w:pPr>
              <w:jc w:val="right"/>
              <w:ind w:right="405"/>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w:t>
            </w:r>
          </w:p>
        </w:tc>
      </w:tr>
      <w:tr>
        <w:trPr>
          <w:trHeight w:val="197"/>
        </w:trPr>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ARPU</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w:t>
            </w:r>
          </w:p>
        </w:tc>
      </w:tr>
      <w:tr>
        <w:trPr>
          <w:trHeight w:val="197"/>
        </w:trPr>
        <w:tc>
          <w:tcPr>
            <w:tcW w:w="8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Increase in residential fixed non-subscription revenue</w:t>
            </w:r>
          </w:p>
        </w:tc>
        <w:tc>
          <w:tcPr>
            <w:tcW w:w="5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w:t>
            </w:r>
          </w:p>
        </w:tc>
      </w:tr>
      <w:tr>
        <w:trPr>
          <w:trHeight w:val="188"/>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Total decrease in residential fixed revenue</w:t>
            </w: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197"/>
        </w:trPr>
        <w:tc>
          <w:tcPr>
            <w:tcW w:w="8620" w:type="dxa"/>
            <w:vAlign w:val="bottom"/>
          </w:tcPr>
          <w:p>
            <w:pPr>
              <w:spacing w:after="0"/>
              <w:rPr>
                <w:sz w:val="20"/>
                <w:szCs w:val="20"/>
                <w:color w:val="auto"/>
              </w:rPr>
            </w:pPr>
            <w:r>
              <w:rPr>
                <w:rFonts w:ascii="Times New Roman" w:cs="Times New Roman" w:eastAsia="Times New Roman" w:hAnsi="Times New Roman"/>
                <w:sz w:val="15"/>
                <w:szCs w:val="15"/>
                <w:color w:val="auto"/>
              </w:rPr>
              <w:t>Decrease in residential mobile subscription revenue</w:t>
            </w:r>
          </w:p>
        </w:tc>
        <w:tc>
          <w:tcPr>
            <w:tcW w:w="5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r>
      <w:tr>
        <w:trPr>
          <w:trHeight w:val="197"/>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Decrease in residential mobile non-subscription revenue</w:t>
            </w:r>
          </w:p>
        </w:tc>
        <w:tc>
          <w:tcPr>
            <w:tcW w:w="5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w:t>
            </w:r>
          </w:p>
        </w:tc>
      </w:tr>
      <w:tr>
        <w:trPr>
          <w:trHeight w:val="188"/>
        </w:trPr>
        <w:tc>
          <w:tcPr>
            <w:tcW w:w="86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 organic decrease in residential revenue</w:t>
            </w:r>
          </w:p>
        </w:tc>
        <w:tc>
          <w:tcPr>
            <w:tcW w:w="5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w:t>
            </w:r>
          </w:p>
        </w:tc>
      </w:tr>
      <w:tr>
        <w:trPr>
          <w:trHeight w:val="197"/>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Impact of FX</w:t>
            </w:r>
          </w:p>
        </w:tc>
        <w:tc>
          <w:tcPr>
            <w:tcW w:w="5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w:t>
            </w:r>
          </w:p>
        </w:tc>
        <w:tc>
          <w:tcPr>
            <w:tcW w:w="1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50.6</w:t>
            </w:r>
          </w:p>
        </w:tc>
      </w:tr>
      <w:tr>
        <w:trPr>
          <w:trHeight w:val="188"/>
        </w:trPr>
        <w:tc>
          <w:tcPr>
            <w:tcW w:w="86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Total increase in residential revenue</w:t>
            </w:r>
          </w:p>
        </w:tc>
        <w:tc>
          <w:tcPr>
            <w:tcW w:w="5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27.6</w:t>
            </w:r>
          </w:p>
        </w:tc>
        <w:tc>
          <w:tcPr>
            <w:tcW w:w="120" w:type="dxa"/>
            <w:vAlign w:val="bottom"/>
          </w:tcPr>
          <w:p>
            <w:pPr>
              <w:spacing w:after="0"/>
              <w:rPr>
                <w:sz w:val="16"/>
                <w:szCs w:val="16"/>
                <w:color w:val="auto"/>
              </w:rPr>
            </w:pPr>
          </w:p>
        </w:tc>
        <w:tc>
          <w:tcPr>
            <w:tcW w:w="56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23.3</w:t>
            </w:r>
          </w:p>
        </w:tc>
      </w:tr>
      <w:tr>
        <w:trPr>
          <w:trHeight w:val="20"/>
        </w:trPr>
        <w:tc>
          <w:tcPr>
            <w:tcW w:w="8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jc w:val="both"/>
        <w:ind w:firstLine="278"/>
        <w:spacing w:after="0" w:line="295" w:lineRule="auto"/>
        <w:rPr>
          <w:sz w:val="20"/>
          <w:szCs w:val="20"/>
          <w:color w:val="auto"/>
        </w:rPr>
      </w:pPr>
      <w:r>
        <w:rPr>
          <w:rFonts w:ascii="Times New Roman" w:cs="Times New Roman" w:eastAsia="Times New Roman" w:hAnsi="Times New Roman"/>
          <w:sz w:val="15"/>
          <w:szCs w:val="15"/>
          <w:color w:val="auto"/>
        </w:rPr>
        <w:t>On an organic basis, our consolidated residential mobile non-subscription revenue decreased $1.5 million or 4.2% and $17.5 million or 14.0% during the three and nine months ended September 30, 2025, respectively, as compared to the corresponding periods in 2024, primarily due to decreases at Telenet.</w:t>
      </w:r>
    </w:p>
    <w:p>
      <w:pPr>
        <w:spacing w:after="0" w:line="151" w:lineRule="exact"/>
        <w:rPr>
          <w:sz w:val="20"/>
          <w:szCs w:val="20"/>
          <w:color w:val="auto"/>
        </w:rPr>
      </w:pPr>
    </w:p>
    <w:p>
      <w:pPr>
        <w:jc w:val="both"/>
        <w:ind w:right="20" w:firstLine="278"/>
        <w:spacing w:after="0" w:line="300" w:lineRule="auto"/>
        <w:rPr>
          <w:sz w:val="20"/>
          <w:szCs w:val="20"/>
          <w:color w:val="auto"/>
        </w:rPr>
      </w:pPr>
      <w:r>
        <w:rPr>
          <w:rFonts w:ascii="Times New Roman" w:cs="Times New Roman" w:eastAsia="Times New Roman" w:hAnsi="Times New Roman"/>
          <w:sz w:val="15"/>
          <w:szCs w:val="15"/>
          <w:i w:val="1"/>
          <w:iCs w:val="1"/>
          <w:color w:val="auto"/>
        </w:rPr>
        <w:t xml:space="preserve">B2B revenue. </w:t>
      </w:r>
      <w:r>
        <w:rPr>
          <w:rFonts w:ascii="Times New Roman" w:cs="Times New Roman" w:eastAsia="Times New Roman" w:hAnsi="Times New Roman"/>
          <w:sz w:val="15"/>
          <w:szCs w:val="15"/>
          <w:color w:val="auto"/>
        </w:rPr>
        <w:t>On an organic basis, our consolidated B2B non-subscription revenue increased $7.9 million or 7.7% and $16.5 million or 5.4% during the three and nine months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ended September 30, 2025, respectively, as compared to the corresponding periods in 2024, primarily due to increases at Telenet.</w:t>
      </w:r>
    </w:p>
    <w:p>
      <w:pPr>
        <w:spacing w:after="0" w:line="148" w:lineRule="exact"/>
        <w:rPr>
          <w:sz w:val="20"/>
          <w:szCs w:val="20"/>
          <w:color w:val="auto"/>
        </w:rPr>
      </w:pPr>
    </w:p>
    <w:p>
      <w:pPr>
        <w:jc w:val="both"/>
        <w:ind w:firstLine="278"/>
        <w:spacing w:after="0" w:line="272" w:lineRule="auto"/>
        <w:rPr>
          <w:sz w:val="20"/>
          <w:szCs w:val="20"/>
          <w:color w:val="auto"/>
        </w:rPr>
      </w:pPr>
      <w:r>
        <w:rPr>
          <w:rFonts w:ascii="Times New Roman" w:cs="Times New Roman" w:eastAsia="Times New Roman" w:hAnsi="Times New Roman"/>
          <w:sz w:val="15"/>
          <w:szCs w:val="15"/>
          <w:i w:val="1"/>
          <w:iCs w:val="1"/>
          <w:color w:val="auto"/>
        </w:rPr>
        <w:t xml:space="preserve">Other revenue. </w:t>
      </w:r>
      <w:r>
        <w:rPr>
          <w:rFonts w:ascii="Times New Roman" w:cs="Times New Roman" w:eastAsia="Times New Roman" w:hAnsi="Times New Roman"/>
          <w:sz w:val="15"/>
          <w:szCs w:val="15"/>
          <w:color w:val="auto"/>
        </w:rPr>
        <w:t>On an organic basis, our consolidated other revenue decreased $14.4 million or 4.8% and $34.5 million or 3.3% during the three and nine months ended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September 30, 2025, respectively, as compared to the corresponding periods in 2024, primarily due to the net effect of (i) lower revenue earned from the sale of CPE to the VMO2 JV and, for the nine-month comparison, the VodafoneZiggo JV, (ii) increases in revenue earned from the U.K. JV Services and (iii) a decrease associated with the one-off impact of the recognition of previously deferred revenue at Telenet during the third quarter of 2024.</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 xml:space="preserve">For additional information regarding the changes in our residential, B2B and other revenue, see </w:t>
      </w:r>
      <w:r>
        <w:rPr>
          <w:rFonts w:ascii="Times New Roman" w:cs="Times New Roman" w:eastAsia="Times New Roman" w:hAnsi="Times New Roman"/>
          <w:sz w:val="15"/>
          <w:szCs w:val="15"/>
          <w:i w:val="1"/>
          <w:iCs w:val="1"/>
          <w:color w:val="auto"/>
        </w:rPr>
        <w:t>Discussion and Analysis of our Reportable Segments</w:t>
      </w:r>
      <w:r>
        <w:rPr>
          <w:rFonts w:ascii="Times New Roman" w:cs="Times New Roman" w:eastAsia="Times New Roman" w:hAnsi="Times New Roman"/>
          <w:sz w:val="15"/>
          <w:szCs w:val="15"/>
          <w:color w:val="auto"/>
        </w:rPr>
        <w:t xml:space="preserve"> above.</w:t>
      </w:r>
    </w:p>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i w:val="1"/>
          <w:iCs w:val="1"/>
          <w:color w:val="auto"/>
        </w:rPr>
        <w:t>Programming and other direct costs of services</w:t>
      </w:r>
    </w:p>
    <w:p>
      <w:pPr>
        <w:spacing w:after="0" w:line="225" w:lineRule="exact"/>
        <w:rPr>
          <w:sz w:val="20"/>
          <w:szCs w:val="20"/>
          <w:color w:val="auto"/>
        </w:rPr>
      </w:pPr>
    </w:p>
    <w:p>
      <w:pPr>
        <w:jc w:val="both"/>
        <w:ind w:firstLine="278"/>
        <w:spacing w:after="0" w:line="267" w:lineRule="auto"/>
        <w:rPr>
          <w:sz w:val="20"/>
          <w:szCs w:val="20"/>
          <w:color w:val="auto"/>
        </w:rPr>
      </w:pPr>
      <w:r>
        <w:rPr>
          <w:rFonts w:ascii="Times New Roman" w:cs="Times New Roman" w:eastAsia="Times New Roman" w:hAnsi="Times New Roman"/>
          <w:sz w:val="15"/>
          <w:szCs w:val="15"/>
          <w:color w:val="auto"/>
        </w:rPr>
        <w:t>Programming and other direct costs of services include programming and copyright costs, interconnect and access costs, costs of mobile handsets and other devices and other direct costs related to our operations, including costs associated with our transitional service agreements and certain costs related to the development of externally marketed software. Programming and copyright costs represent a significant portion of our operating costs and are subject to rise in future periods due to various factors, including (i) higher costs associated with the expansion of our digital video content, including rights associated with ancillary product offerings and rights that provide for the broadcast of live sporting events, and (ii) rate increases.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24" w:right="319" w:bottom="1440" w:gutter="0" w:footer="0" w:header="0"/>
        </w:sectPr>
      </w:pPr>
    </w:p>
    <w:bookmarkStart w:id="66" w:name="page67"/>
    <w:bookmarkEnd w:id="66"/>
    <w:p>
      <w:pPr>
        <w:ind w:left="280"/>
        <w:spacing w:after="0"/>
        <w:rPr>
          <w:sz w:val="20"/>
          <w:szCs w:val="20"/>
          <w:color w:val="auto"/>
        </w:rPr>
      </w:pPr>
      <w:r>
        <w:rPr>
          <w:rFonts w:ascii="Times New Roman" w:cs="Times New Roman" w:eastAsia="Times New Roman" w:hAnsi="Times New Roman"/>
          <w:sz w:val="15"/>
          <w:szCs w:val="15"/>
          <w:color w:val="auto"/>
        </w:rPr>
        <w:t>The details of our programming and other direct costs of services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Three months ended</w:t>
            </w:r>
          </w:p>
        </w:tc>
        <w:tc>
          <w:tcPr>
            <w:tcW w:w="140" w:type="dxa"/>
            <w:vAlign w:val="bottom"/>
          </w:tcPr>
          <w:p>
            <w:pPr>
              <w:spacing w:after="0"/>
              <w:rPr>
                <w:sz w:val="13"/>
                <w:szCs w:val="13"/>
                <w:color w:val="auto"/>
              </w:rPr>
            </w:pPr>
          </w:p>
        </w:tc>
        <w:tc>
          <w:tcPr>
            <w:tcW w:w="1720" w:type="dxa"/>
            <w:vAlign w:val="bottom"/>
            <w:gridSpan w:val="4"/>
            <w:vMerge w:val="restart"/>
          </w:tcPr>
          <w:p>
            <w:pPr>
              <w:jc w:val="center"/>
              <w:ind w:left="191"/>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w w:val="98"/>
              </w:rPr>
              <w:t>Organic decrease</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385"/>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 millions, except percentages</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Telenet</w:t>
            </w: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0" w:type="dxa"/>
            <w:vAlign w:val="bottom"/>
          </w:tcPr>
          <w:p>
            <w:pPr>
              <w:spacing w:after="0"/>
              <w:rPr>
                <w:sz w:val="1"/>
                <w:szCs w:val="1"/>
                <w:color w:val="auto"/>
              </w:rPr>
            </w:pPr>
          </w:p>
        </w:tc>
      </w:tr>
      <w:tr>
        <w:trPr>
          <w:trHeight w:val="197"/>
        </w:trPr>
        <w:tc>
          <w:tcPr>
            <w:tcW w:w="4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VM Ireland</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0" w:type="dxa"/>
            <w:vAlign w:val="bottom"/>
          </w:tcPr>
          <w:p>
            <w:pPr>
              <w:spacing w:after="0"/>
              <w:rPr>
                <w:sz w:val="1"/>
                <w:szCs w:val="1"/>
                <w:color w:val="auto"/>
              </w:rPr>
            </w:pPr>
          </w:p>
        </w:tc>
      </w:tr>
      <w:tr>
        <w:trPr>
          <w:trHeight w:val="188"/>
        </w:trPr>
        <w:tc>
          <w:tcPr>
            <w:tcW w:w="4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Total consolidated reportable segments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Plus: all other category</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78.7</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422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5"/>
                <w:szCs w:val="15"/>
                <w:color w:val="auto"/>
              </w:rPr>
              <w:t>Less: elimination of intercompany consolidated programming and</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direct costs of services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N.M.</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22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Total consolidated</w:t>
            </w: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392.9</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320.4</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72.5</w:t>
            </w:r>
          </w:p>
        </w:tc>
        <w:tc>
          <w:tcPr>
            <w:tcW w:w="100" w:type="dxa"/>
            <w:vAlign w:val="bottom"/>
          </w:tcPr>
          <w:p>
            <w:pPr>
              <w:spacing w:after="0"/>
              <w:rPr>
                <w:sz w:val="16"/>
                <w:szCs w:val="16"/>
                <w:color w:val="auto"/>
              </w:rPr>
            </w:pPr>
          </w:p>
        </w:tc>
        <w:tc>
          <w:tcPr>
            <w:tcW w:w="66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22.6</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w w:val="98"/>
              </w:rPr>
              <w:t>Organic decrease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385"/>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 millions, except percentages</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Telenet</w:t>
            </w: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557.6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556.0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0" w:type="dxa"/>
            <w:vAlign w:val="bottom"/>
          </w:tcPr>
          <w:p>
            <w:pPr>
              <w:spacing w:after="0"/>
              <w:rPr>
                <w:sz w:val="1"/>
                <w:szCs w:val="1"/>
                <w:color w:val="auto"/>
              </w:rPr>
            </w:pPr>
          </w:p>
        </w:tc>
      </w:tr>
      <w:tr>
        <w:trPr>
          <w:trHeight w:val="197"/>
        </w:trPr>
        <w:tc>
          <w:tcPr>
            <w:tcW w:w="4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VM Ireland</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188"/>
        </w:trPr>
        <w:tc>
          <w:tcPr>
            <w:tcW w:w="42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Total consolidated reportable segments</w:t>
            </w:r>
          </w:p>
        </w:tc>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654.8</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652.1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Plus: all other category</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656.8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469.6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187.2</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422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Less: elimination of intercompany consolidated programming and</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direct costs of services</w:t>
            </w:r>
          </w:p>
        </w:tc>
        <w:tc>
          <w:tcPr>
            <w:tcW w:w="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(70.4)</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N.M.</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22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Total consolidated</w:t>
            </w: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1,261.6</w:t>
            </w:r>
          </w:p>
        </w:tc>
        <w:tc>
          <w:tcPr>
            <w:tcW w:w="100" w:type="dxa"/>
            <w:vAlign w:val="bottom"/>
          </w:tcPr>
          <w:p>
            <w:pPr>
              <w:spacing w:after="0"/>
              <w:rPr>
                <w:sz w:val="16"/>
                <w:szCs w:val="16"/>
                <w:color w:val="auto"/>
              </w:rPr>
            </w:pPr>
          </w:p>
        </w:tc>
        <w:tc>
          <w:tcPr>
            <w:tcW w:w="40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1,051.3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210.3</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w:t>
            </w:r>
          </w:p>
        </w:tc>
        <w:tc>
          <w:tcPr>
            <w:tcW w:w="100" w:type="dxa"/>
            <w:vAlign w:val="bottom"/>
          </w:tcPr>
          <w:p>
            <w:pPr>
              <w:spacing w:after="0"/>
              <w:rPr>
                <w:sz w:val="16"/>
                <w:szCs w:val="16"/>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N.M. — Not Meaningful.</w:t>
      </w:r>
    </w:p>
    <w:p>
      <w:pPr>
        <w:spacing w:after="0" w:line="221" w:lineRule="exact"/>
        <w:rPr>
          <w:sz w:val="20"/>
          <w:szCs w:val="20"/>
          <w:color w:val="auto"/>
        </w:rPr>
      </w:pPr>
    </w:p>
    <w:p>
      <w:pPr>
        <w:jc w:val="both"/>
        <w:ind w:firstLine="278"/>
        <w:spacing w:after="0" w:line="270" w:lineRule="auto"/>
        <w:rPr>
          <w:sz w:val="20"/>
          <w:szCs w:val="20"/>
          <w:color w:val="auto"/>
        </w:rPr>
      </w:pPr>
      <w:r>
        <w:rPr>
          <w:rFonts w:ascii="Times New Roman" w:cs="Times New Roman" w:eastAsia="Times New Roman" w:hAnsi="Times New Roman"/>
          <w:sz w:val="15"/>
          <w:szCs w:val="15"/>
          <w:color w:val="auto"/>
        </w:rPr>
        <w:t>Our programming and other direct costs of services increased $72.5 million or 22.6% and $210.3 million or 20.0% during the three and nine months ended September 30, 2025, respectively, as compared to the corresponding periods in 2024, including increases of $46.0 million and $193.7 million, respectively, attributable to the impact of the Formula E Acquisition. On an organic basis, our programming and other direct costs of services decreased $11.4 million or 3.1% and $58.2 million or 4.7%, respectively. These decreases include the following factors:</w:t>
      </w:r>
    </w:p>
    <w:p>
      <w:pPr>
        <w:spacing w:after="0" w:line="173" w:lineRule="exact"/>
        <w:rPr>
          <w:sz w:val="20"/>
          <w:szCs w:val="20"/>
          <w:color w:val="auto"/>
        </w:rPr>
      </w:pPr>
    </w:p>
    <w:p>
      <w:pPr>
        <w:ind w:left="540" w:hanging="270"/>
        <w:spacing w:after="0"/>
        <w:tabs>
          <w:tab w:leader="none" w:pos="54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Decreases in costs of $0.4 million and $26.3 million, respectively, related to the sale of CPE to the VMO2 JV;</w:t>
      </w:r>
    </w:p>
    <w:p>
      <w:pPr>
        <w:spacing w:after="0" w:line="221"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increase (decrease) in costs of $12.5 million and ($19.3 million), respectively, related to the sale of CPE to the VodafoneZiggo JV;</w:t>
      </w:r>
    </w:p>
    <w:p>
      <w:pPr>
        <w:spacing w:after="0" w:line="221" w:lineRule="exact"/>
        <w:rPr>
          <w:rFonts w:ascii="Times New Roman" w:cs="Times New Roman" w:eastAsia="Times New Roman" w:hAnsi="Times New Roman"/>
          <w:sz w:val="15"/>
          <w:szCs w:val="15"/>
          <w:color w:val="auto"/>
        </w:rPr>
      </w:pPr>
    </w:p>
    <w:p>
      <w:pPr>
        <w:ind w:left="540" w:right="20" w:hanging="270"/>
        <w:spacing w:after="0" w:line="295" w:lineRule="auto"/>
        <w:tabs>
          <w:tab w:leader="none" w:pos="536"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Decreases in interconnect and access costs of $2.3 million or 7.3% and $12.0 million or 14.3%, respectively, primarily due to lower interconnect and mobile roaming costs at Telenet;</w:t>
      </w:r>
    </w:p>
    <w:p>
      <w:pPr>
        <w:spacing w:after="0" w:line="154"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nine-month comparison, a decrease in mobile handset and other device costs of $5.6 million or 6.5%, primarily due to lower sales volumes at Telenet; and</w:t>
      </w:r>
    </w:p>
    <w:p>
      <w:pPr>
        <w:spacing w:after="0" w:line="221" w:lineRule="exact"/>
        <w:rPr>
          <w:rFonts w:ascii="Times New Roman" w:cs="Times New Roman" w:eastAsia="Times New Roman" w:hAnsi="Times New Roman"/>
          <w:sz w:val="15"/>
          <w:szCs w:val="15"/>
          <w:color w:val="auto"/>
        </w:rPr>
      </w:pPr>
    </w:p>
    <w:p>
      <w:pPr>
        <w:ind w:left="540" w:right="20" w:hanging="270"/>
        <w:spacing w:after="0" w:line="267" w:lineRule="auto"/>
        <w:tabs>
          <w:tab w:leader="none" w:pos="536"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three-month comparison, a decrease in programming and copyright costs of $17.6 million or 14.0%, primarily attributable to lower costs for certain content at Telenet.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7" w:name="page68"/>
    <w:bookmarkEnd w:id="67"/>
    <w:p>
      <w:pPr>
        <w:ind w:left="140"/>
        <w:spacing w:after="0"/>
        <w:rPr>
          <w:sz w:val="20"/>
          <w:szCs w:val="20"/>
          <w:color w:val="auto"/>
        </w:rPr>
      </w:pPr>
      <w:r>
        <w:rPr>
          <w:rFonts w:ascii="Times New Roman" w:cs="Times New Roman" w:eastAsia="Times New Roman" w:hAnsi="Times New Roman"/>
          <w:sz w:val="15"/>
          <w:szCs w:val="15"/>
          <w:i w:val="1"/>
          <w:iCs w:val="1"/>
          <w:color w:val="auto"/>
        </w:rPr>
        <w:t>Other operating expenses</w:t>
      </w:r>
    </w:p>
    <w:p>
      <w:pPr>
        <w:spacing w:after="0" w:line="225" w:lineRule="exact"/>
        <w:rPr>
          <w:sz w:val="20"/>
          <w:szCs w:val="20"/>
          <w:color w:val="auto"/>
        </w:rPr>
      </w:pPr>
    </w:p>
    <w:p>
      <w:pPr>
        <w:jc w:val="both"/>
        <w:ind w:right="20" w:firstLine="278"/>
        <w:spacing w:after="0" w:line="276" w:lineRule="auto"/>
        <w:rPr>
          <w:sz w:val="20"/>
          <w:szCs w:val="20"/>
          <w:color w:val="auto"/>
        </w:rPr>
      </w:pPr>
      <w:r>
        <w:rPr>
          <w:rFonts w:ascii="Times New Roman" w:cs="Times New Roman" w:eastAsia="Times New Roman" w:hAnsi="Times New Roman"/>
          <w:sz w:val="15"/>
          <w:szCs w:val="15"/>
          <w:color w:val="auto"/>
        </w:rPr>
        <w:t>Other operating expenses include network operations, customer operations, customer care, share-based compensation and other costs related to our operations. We do not include share-based compensation in the following discussion and analysis of the other operating expenses of our consolidated reportable segments as share-based compensation expense is not included in the performance measures of our consolidated reportable segments. Share-based compensation expense is separately discussed further below.</w:t>
      </w:r>
    </w:p>
    <w:p>
      <w:pPr>
        <w:spacing w:after="0" w:line="16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details of our other operating expenses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2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60" w:type="dxa"/>
            <w:vAlign w:val="bottom"/>
            <w:gridSpan w:val="6"/>
            <w:vMerge w:val="restart"/>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Organic increase</w:t>
            </w:r>
          </w:p>
        </w:tc>
        <w:tc>
          <w:tcPr>
            <w:tcW w:w="0" w:type="dxa"/>
            <w:vAlign w:val="bottom"/>
          </w:tcPr>
          <w:p>
            <w:pPr>
              <w:spacing w:after="0"/>
              <w:rPr>
                <w:sz w:val="1"/>
                <w:szCs w:val="1"/>
                <w:color w:val="auto"/>
              </w:rPr>
            </w:pPr>
          </w:p>
        </w:tc>
      </w:tr>
      <w:tr>
        <w:trPr>
          <w:trHeight w:val="184"/>
        </w:trPr>
        <w:tc>
          <w:tcPr>
            <w:tcW w:w="4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jc w:val="center"/>
              <w:ind w:left="405"/>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6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6"/>
        </w:trPr>
        <w:tc>
          <w:tcPr>
            <w:tcW w:w="4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9"/>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in millions, except percentages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Telenet</w:t>
            </w: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146.5</w:t>
            </w:r>
          </w:p>
        </w:tc>
        <w:tc>
          <w:tcPr>
            <w:tcW w:w="2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127.1</w:t>
            </w:r>
          </w:p>
        </w:tc>
        <w:tc>
          <w:tcPr>
            <w:tcW w:w="4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19.4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w:t>
            </w:r>
          </w:p>
        </w:tc>
        <w:tc>
          <w:tcPr>
            <w:tcW w:w="6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10.7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0" w:type="dxa"/>
            <w:vAlign w:val="bottom"/>
          </w:tcPr>
          <w:p>
            <w:pPr>
              <w:spacing w:after="0"/>
              <w:rPr>
                <w:sz w:val="1"/>
                <w:szCs w:val="1"/>
                <w:color w:val="auto"/>
              </w:rPr>
            </w:pPr>
          </w:p>
        </w:tc>
      </w:tr>
      <w:tr>
        <w:trPr>
          <w:trHeight w:val="197"/>
        </w:trPr>
        <w:tc>
          <w:tcPr>
            <w:tcW w:w="4220" w:type="dxa"/>
            <w:vAlign w:val="bottom"/>
          </w:tcPr>
          <w:p>
            <w:pPr>
              <w:spacing w:after="0"/>
              <w:rPr>
                <w:sz w:val="20"/>
                <w:szCs w:val="20"/>
                <w:color w:val="auto"/>
              </w:rPr>
            </w:pPr>
            <w:r>
              <w:rPr>
                <w:rFonts w:ascii="Times New Roman" w:cs="Times New Roman" w:eastAsia="Times New Roman" w:hAnsi="Times New Roman"/>
                <w:sz w:val="15"/>
                <w:szCs w:val="15"/>
                <w:color w:val="auto"/>
              </w:rPr>
              <w:t>VM Ireland</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600" w:type="dxa"/>
            <w:vAlign w:val="bottom"/>
            <w:gridSpan w:val="3"/>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0.3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0" w:type="dxa"/>
            <w:vAlign w:val="bottom"/>
          </w:tcPr>
          <w:p>
            <w:pPr>
              <w:spacing w:after="0"/>
              <w:rPr>
                <w:sz w:val="1"/>
                <w:szCs w:val="1"/>
                <w:color w:val="auto"/>
              </w:rPr>
            </w:pPr>
          </w:p>
        </w:tc>
      </w:tr>
      <w:tr>
        <w:trPr>
          <w:trHeight w:val="188"/>
        </w:trPr>
        <w:tc>
          <w:tcPr>
            <w:tcW w:w="42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Total consolidated reportable segments</w:t>
            </w: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181.2</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159.8</w:t>
            </w: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21.4</w:t>
            </w: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w:t>
            </w: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220" w:type="dxa"/>
            <w:vAlign w:val="bottom"/>
          </w:tcPr>
          <w:p>
            <w:pPr>
              <w:spacing w:after="0"/>
              <w:rPr>
                <w:sz w:val="20"/>
                <w:szCs w:val="20"/>
                <w:color w:val="auto"/>
              </w:rPr>
            </w:pPr>
            <w:r>
              <w:rPr>
                <w:rFonts w:ascii="Times New Roman" w:cs="Times New Roman" w:eastAsia="Times New Roman" w:hAnsi="Times New Roman"/>
                <w:sz w:val="15"/>
                <w:szCs w:val="15"/>
                <w:color w:val="auto"/>
              </w:rPr>
              <w:t>Plus: all other category</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3.9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42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5"/>
                <w:szCs w:val="15"/>
                <w:color w:val="auto"/>
              </w:rPr>
              <w:t>Less: elimination of intercompany consolidated other operating</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expenses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(9.1)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center"/>
              <w:ind w:left="264"/>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c>
          <w:tcPr>
            <w:tcW w:w="54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4220" w:type="dxa"/>
            <w:vAlign w:val="bottom"/>
          </w:tcPr>
          <w:p>
            <w:pPr>
              <w:ind w:left="220"/>
              <w:spacing w:after="0" w:line="131" w:lineRule="exact"/>
              <w:rPr>
                <w:sz w:val="20"/>
                <w:szCs w:val="20"/>
                <w:color w:val="auto"/>
              </w:rPr>
            </w:pPr>
            <w:r>
              <w:rPr>
                <w:rFonts w:ascii="Times New Roman" w:cs="Times New Roman" w:eastAsia="Times New Roman" w:hAnsi="Times New Roman"/>
                <w:sz w:val="15"/>
                <w:szCs w:val="15"/>
                <w:color w:val="auto"/>
              </w:rPr>
              <w:t>Total consolidated (excluding share-based compensation</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8.0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0" w:type="dxa"/>
            <w:vAlign w:val="bottom"/>
          </w:tcPr>
          <w:p>
            <w:pPr>
              <w:spacing w:after="0"/>
              <w:rPr>
                <w:sz w:val="1"/>
                <w:szCs w:val="1"/>
                <w:color w:val="auto"/>
              </w:rPr>
            </w:pPr>
          </w:p>
        </w:tc>
      </w:tr>
      <w:tr>
        <w:trPr>
          <w:trHeight w:val="185"/>
        </w:trPr>
        <w:tc>
          <w:tcPr>
            <w:tcW w:w="42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expense)</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23.6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600" w:type="dxa"/>
            <w:vAlign w:val="bottom"/>
            <w:gridSpan w:val="3"/>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22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auto"/>
              </w:rPr>
              <w:t>Share-based compensation expense</w:t>
            </w:r>
          </w:p>
        </w:tc>
        <w:tc>
          <w:tcPr>
            <w:tcW w:w="2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5"/>
                <w:szCs w:val="15"/>
                <w:color w:val="auto"/>
              </w:rPr>
              <w:t>3.5</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5"/>
                <w:szCs w:val="15"/>
                <w:color w:val="auto"/>
              </w:rPr>
              <w:t>5.2</w:t>
            </w: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gridSpan w:val="3"/>
            <w:shd w:val="clear" w:color="auto" w:fill="CCEEFF"/>
          </w:tcPr>
          <w:p>
            <w:pPr>
              <w:jc w:val="center"/>
              <w:ind w:left="264"/>
              <w:spacing w:after="0" w:line="160" w:lineRule="exact"/>
              <w:rPr>
                <w:sz w:val="20"/>
                <w:szCs w:val="20"/>
                <w:color w:val="auto"/>
              </w:rPr>
            </w:pPr>
            <w:r>
              <w:rPr>
                <w:rFonts w:ascii="Times New Roman" w:cs="Times New Roman" w:eastAsia="Times New Roman" w:hAnsi="Times New Roman"/>
                <w:sz w:val="15"/>
                <w:szCs w:val="15"/>
                <w:color w:val="auto"/>
              </w:rPr>
              <w:t>(1.7)</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gridSpan w:val="4"/>
            <w:shd w:val="clear" w:color="auto" w:fill="CCEEFF"/>
          </w:tcPr>
          <w:p>
            <w:pPr>
              <w:jc w:val="right"/>
              <w:spacing w:after="0" w:line="160" w:lineRule="exact"/>
              <w:rPr>
                <w:sz w:val="20"/>
                <w:szCs w:val="20"/>
                <w:color w:val="auto"/>
              </w:rPr>
            </w:pPr>
            <w:r>
              <w:rPr>
                <w:rFonts w:ascii="Times New Roman" w:cs="Times New Roman" w:eastAsia="Times New Roman" w:hAnsi="Times New Roman"/>
                <w:sz w:val="15"/>
                <w:szCs w:val="15"/>
                <w:color w:val="auto"/>
              </w:rPr>
              <w:t>(32.7)</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2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Total</w:t>
            </w:r>
          </w:p>
        </w:tc>
        <w:tc>
          <w:tcPr>
            <w:tcW w:w="2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216.3</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194.4</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21.9</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11.3</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gridSpan w:val="7"/>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6"/>
            <w:vMerge w:val="restart"/>
          </w:tcPr>
          <w:p>
            <w:pPr>
              <w:jc w:val="center"/>
              <w:ind w:left="211"/>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Organic increase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jc w:val="center"/>
              <w:ind w:left="365"/>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6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5"/>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76"/>
        </w:trPr>
        <w:tc>
          <w:tcPr>
            <w:tcW w:w="4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9"/>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in millions, except percentages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Telenet</w:t>
            </w: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417.8</w:t>
            </w:r>
          </w:p>
        </w:tc>
        <w:tc>
          <w:tcPr>
            <w:tcW w:w="2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388.5</w:t>
            </w:r>
          </w:p>
        </w:tc>
        <w:tc>
          <w:tcPr>
            <w:tcW w:w="4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0" w:type="dxa"/>
            <w:vAlign w:val="bottom"/>
          </w:tcPr>
          <w:p>
            <w:pPr>
              <w:spacing w:after="0"/>
              <w:rPr>
                <w:sz w:val="1"/>
                <w:szCs w:val="1"/>
                <w:color w:val="auto"/>
              </w:rPr>
            </w:pPr>
          </w:p>
        </w:tc>
      </w:tr>
      <w:tr>
        <w:trPr>
          <w:trHeight w:val="197"/>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VM Ireland</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95.2</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0" w:type="dxa"/>
            <w:vAlign w:val="bottom"/>
          </w:tcPr>
          <w:p>
            <w:pPr>
              <w:spacing w:after="0"/>
              <w:rPr>
                <w:sz w:val="1"/>
                <w:szCs w:val="1"/>
                <w:color w:val="auto"/>
              </w:rPr>
            </w:pPr>
          </w:p>
        </w:tc>
      </w:tr>
      <w:tr>
        <w:trPr>
          <w:trHeight w:val="188"/>
        </w:trPr>
        <w:tc>
          <w:tcPr>
            <w:tcW w:w="4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Total consolidated reportable segments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519.1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483.7</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220" w:type="dxa"/>
            <w:vAlign w:val="bottom"/>
          </w:tcPr>
          <w:p>
            <w:pPr>
              <w:spacing w:after="0"/>
              <w:rPr>
                <w:sz w:val="20"/>
                <w:szCs w:val="20"/>
                <w:color w:val="auto"/>
              </w:rPr>
            </w:pPr>
            <w:r>
              <w:rPr>
                <w:rFonts w:ascii="Times New Roman" w:cs="Times New Roman" w:eastAsia="Times New Roman" w:hAnsi="Times New Roman"/>
                <w:sz w:val="15"/>
                <w:szCs w:val="15"/>
                <w:color w:val="auto"/>
              </w:rPr>
              <w:t>Plus: all other category</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42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Less: elimination of intercompany consolidated other operating</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expenses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N.M.</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220" w:type="dxa"/>
            <w:vAlign w:val="bottom"/>
          </w:tcPr>
          <w:p>
            <w:pPr>
              <w:ind w:left="220"/>
              <w:spacing w:after="0" w:line="139" w:lineRule="exact"/>
              <w:rPr>
                <w:sz w:val="20"/>
                <w:szCs w:val="20"/>
                <w:color w:val="auto"/>
              </w:rPr>
            </w:pPr>
            <w:r>
              <w:rPr>
                <w:rFonts w:ascii="Times New Roman" w:cs="Times New Roman" w:eastAsia="Times New Roman" w:hAnsi="Times New Roman"/>
                <w:sz w:val="15"/>
                <w:szCs w:val="15"/>
                <w:color w:val="auto"/>
              </w:rPr>
              <w:t>Total consolidated (excluding share-based compensation</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23.9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0" w:type="dxa"/>
            <w:vAlign w:val="bottom"/>
          </w:tcPr>
          <w:p>
            <w:pPr>
              <w:spacing w:after="0"/>
              <w:rPr>
                <w:sz w:val="1"/>
                <w:szCs w:val="1"/>
                <w:color w:val="auto"/>
              </w:rPr>
            </w:pPr>
          </w:p>
        </w:tc>
      </w:tr>
      <w:tr>
        <w:trPr>
          <w:trHeight w:val="177"/>
        </w:trPr>
        <w:tc>
          <w:tcPr>
            <w:tcW w:w="42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expense)</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615.0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551.7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gridSpan w:val="2"/>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22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auto"/>
              </w:rPr>
              <w:t>Share-based compensation expense</w:t>
            </w:r>
          </w:p>
        </w:tc>
        <w:tc>
          <w:tcPr>
            <w:tcW w:w="2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5"/>
                <w:szCs w:val="15"/>
                <w:color w:val="auto"/>
              </w:rPr>
              <w:t>9.9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5"/>
                <w:szCs w:val="15"/>
                <w:color w:val="auto"/>
              </w:rPr>
              <w:t>14.6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5"/>
                <w:szCs w:val="15"/>
                <w:color w:val="auto"/>
              </w:rPr>
              <w:t>(4.7)</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5"/>
                <w:szCs w:val="15"/>
                <w:color w:val="auto"/>
              </w:rPr>
              <w:t>(32.2)</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2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Total</w:t>
            </w:r>
          </w:p>
        </w:tc>
        <w:tc>
          <w:tcPr>
            <w:tcW w:w="2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624.9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gridSpan w:val="2"/>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566.3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58.6</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N.M. — Not Meaningful.</w:t>
      </w:r>
    </w:p>
    <w:p>
      <w:pPr>
        <w:spacing w:after="0" w:line="221" w:lineRule="exact"/>
        <w:rPr>
          <w:sz w:val="20"/>
          <w:szCs w:val="20"/>
          <w:color w:val="auto"/>
        </w:rPr>
      </w:pPr>
    </w:p>
    <w:p>
      <w:pPr>
        <w:jc w:val="both"/>
        <w:ind w:firstLine="278"/>
        <w:spacing w:after="0" w:line="270" w:lineRule="auto"/>
        <w:rPr>
          <w:sz w:val="20"/>
          <w:szCs w:val="20"/>
          <w:color w:val="auto"/>
        </w:rPr>
      </w:pPr>
      <w:r>
        <w:rPr>
          <w:rFonts w:ascii="Times New Roman" w:cs="Times New Roman" w:eastAsia="Times New Roman" w:hAnsi="Times New Roman"/>
          <w:sz w:val="15"/>
          <w:szCs w:val="15"/>
          <w:color w:val="auto"/>
        </w:rPr>
        <w:t>Our other operating expenses (exclusive of share-based compensation expense) increased $23.6 million or 12.5% and $63.3 million or 11.5% during the three and nine months ended September 30, 2025, respectively, as compared to the corresponding periods in 2024. The increase for the nine months ended September 30, 2025 includes an increase of $11.1 million attributable to the impact of the Formula E Acquisition. On an organic basis, our other operating expenses increased $8.0 million or 4.3% and $23.9 million or 4.3%, respectively. These increases include the following factors:</w:t>
      </w:r>
    </w:p>
    <w:p>
      <w:pPr>
        <w:spacing w:after="0" w:line="173" w:lineRule="exact"/>
        <w:rPr>
          <w:sz w:val="20"/>
          <w:szCs w:val="20"/>
          <w:color w:val="auto"/>
        </w:rPr>
      </w:pPr>
    </w:p>
    <w:p>
      <w:pPr>
        <w:ind w:left="540" w:hanging="270"/>
        <w:spacing w:after="0" w:line="295" w:lineRule="auto"/>
        <w:tabs>
          <w:tab w:leader="none" w:pos="536"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Increases in core network and information technology-related costs of $10.7 million or 19.4% and $19.1 million or 15.9%, respectively, primarily due to (i) higher information technology-related costs, including increases at Telenet and VM Ireland, and (ii) for the three-month comparison, higher leased bandwidth costs at Telenet;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68" w:name="page69"/>
    <w:bookmarkEnd w:id="68"/>
    <w:p>
      <w:pPr>
        <w:ind w:left="540" w:right="20" w:hanging="270"/>
        <w:spacing w:after="0" w:line="295" w:lineRule="auto"/>
        <w:tabs>
          <w:tab w:leader="none" w:pos="536"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Increases in personnel costs of $3.1 million or 5.9% and $10.7 million or 6.5%, respectively, primarily due to the net effect of (i) higher average costs per employee, including increases at Telenet, (ii) lower staffing levels, including decreases at Telenet, and (iii) increases in incentive compensation costs; and</w:t>
      </w:r>
    </w:p>
    <w:p>
      <w:pPr>
        <w:spacing w:after="0" w:line="154" w:lineRule="exact"/>
        <w:rPr>
          <w:rFonts w:ascii="Times New Roman" w:cs="Times New Roman" w:eastAsia="Times New Roman" w:hAnsi="Times New Roman"/>
          <w:sz w:val="15"/>
          <w:szCs w:val="15"/>
          <w:color w:val="auto"/>
        </w:rPr>
      </w:pPr>
    </w:p>
    <w:p>
      <w:pPr>
        <w:ind w:left="540" w:right="20" w:hanging="270"/>
        <w:spacing w:after="0" w:line="295" w:lineRule="auto"/>
        <w:tabs>
          <w:tab w:leader="none" w:pos="536"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three-month comparison, a decrease in business service costs of $3.5 million or 17.8%, primarily due to (i) lower energy costs, primarily due to a decrease at Telenet, and (ii) lower consulting costs.</w:t>
      </w:r>
    </w:p>
    <w:p>
      <w:pPr>
        <w:spacing w:after="0" w:line="1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i w:val="1"/>
          <w:iCs w:val="1"/>
          <w:color w:val="auto"/>
        </w:rPr>
        <w:t>SG&amp;A expenses</w:t>
      </w:r>
    </w:p>
    <w:p>
      <w:pPr>
        <w:spacing w:after="0" w:line="225" w:lineRule="exact"/>
        <w:rPr>
          <w:sz w:val="20"/>
          <w:szCs w:val="20"/>
          <w:color w:val="auto"/>
        </w:rPr>
      </w:pPr>
    </w:p>
    <w:p>
      <w:pPr>
        <w:jc w:val="both"/>
        <w:ind w:firstLine="278"/>
        <w:spacing w:after="0" w:line="270" w:lineRule="auto"/>
        <w:rPr>
          <w:sz w:val="20"/>
          <w:szCs w:val="20"/>
          <w:color w:val="auto"/>
        </w:rPr>
      </w:pPr>
      <w:r>
        <w:rPr>
          <w:rFonts w:ascii="Times New Roman" w:cs="Times New Roman" w:eastAsia="Times New Roman" w:hAnsi="Times New Roman"/>
          <w:sz w:val="15"/>
          <w:szCs w:val="15"/>
          <w:color w:val="auto"/>
        </w:rPr>
        <w:t>SG&amp;A expenses include human resources, information technology, general services, management, finance, legal, external sales and marketing costs, share-based compensation and other general expenses. We do not include share-based compensation in the following discussion and analysis of the SG&amp;A expenses of our consolidated reportable segments as share-based compensation expense is not included in the performance measures of our consolidated reportable segments. Share-based compensation expense is separately discussed further below.</w:t>
      </w:r>
    </w:p>
    <w:p>
      <w:pPr>
        <w:spacing w:after="0" w:line="1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details of our SG&amp;A expenses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gridSpan w:val="7"/>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Three months ended</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Organic increase (decrease)</w:t>
            </w:r>
          </w:p>
        </w:tc>
        <w:tc>
          <w:tcPr>
            <w:tcW w:w="0" w:type="dxa"/>
            <w:vAlign w:val="bottom"/>
          </w:tcPr>
          <w:p>
            <w:pPr>
              <w:spacing w:after="0"/>
              <w:rPr>
                <w:sz w:val="1"/>
                <w:szCs w:val="1"/>
                <w:color w:val="auto"/>
              </w:rPr>
            </w:pPr>
          </w:p>
        </w:tc>
      </w:tr>
      <w:tr>
        <w:trPr>
          <w:trHeight w:val="184"/>
        </w:trPr>
        <w:tc>
          <w:tcPr>
            <w:tcW w:w="4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ind w:left="40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5"/>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6"/>
        </w:trPr>
        <w:tc>
          <w:tcPr>
            <w:tcW w:w="4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7"/>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8"/>
              </w:rPr>
              <w:t>in millions, except percentages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Telenet</w:t>
            </w: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131.8</w:t>
            </w: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123.2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ind w:left="466"/>
              <w:spacing w:after="0"/>
              <w:rPr>
                <w:sz w:val="20"/>
                <w:szCs w:val="20"/>
                <w:color w:val="auto"/>
              </w:rPr>
            </w:pPr>
            <w:r>
              <w:rPr>
                <w:rFonts w:ascii="Times New Roman" w:cs="Times New Roman" w:eastAsia="Times New Roman" w:hAnsi="Times New Roman"/>
                <w:sz w:val="15"/>
                <w:szCs w:val="15"/>
                <w:color w:val="auto"/>
              </w:rPr>
              <w:t>0.8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left="705"/>
              <w:spacing w:after="0"/>
              <w:rPr>
                <w:sz w:val="20"/>
                <w:szCs w:val="20"/>
                <w:color w:val="auto"/>
              </w:rPr>
            </w:pPr>
            <w:r>
              <w:rPr>
                <w:rFonts w:ascii="Times New Roman" w:cs="Times New Roman" w:eastAsia="Times New Roman" w:hAnsi="Times New Roman"/>
                <w:sz w:val="15"/>
                <w:szCs w:val="15"/>
                <w:color w:val="auto"/>
              </w:rPr>
              <w:t>0.6</w:t>
            </w:r>
          </w:p>
        </w:tc>
        <w:tc>
          <w:tcPr>
            <w:tcW w:w="0" w:type="dxa"/>
            <w:vAlign w:val="bottom"/>
          </w:tcPr>
          <w:p>
            <w:pPr>
              <w:spacing w:after="0"/>
              <w:rPr>
                <w:sz w:val="1"/>
                <w:szCs w:val="1"/>
                <w:color w:val="auto"/>
              </w:rPr>
            </w:pPr>
          </w:p>
        </w:tc>
      </w:tr>
      <w:tr>
        <w:trPr>
          <w:trHeight w:val="197"/>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VM Ireland</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5"/>
                <w:szCs w:val="15"/>
                <w:color w:val="auto"/>
              </w:rPr>
              <w:t>14.8</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32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tcPr>
          <w:p>
            <w:pPr>
              <w:jc w:val="center"/>
              <w:ind w:left="446"/>
              <w:spacing w:after="0"/>
              <w:rPr>
                <w:sz w:val="20"/>
                <w:szCs w:val="20"/>
                <w:color w:val="auto"/>
              </w:rPr>
            </w:pPr>
            <w:r>
              <w:rPr>
                <w:rFonts w:ascii="Times New Roman" w:cs="Times New Roman" w:eastAsia="Times New Roman" w:hAnsi="Times New Roman"/>
                <w:sz w:val="15"/>
                <w:szCs w:val="15"/>
                <w:color w:val="auto"/>
              </w:rPr>
              <w:t>(0.7)</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gridSpan w:val="2"/>
          </w:tcPr>
          <w:p>
            <w:pPr>
              <w:jc w:val="center"/>
              <w:ind w:left="685"/>
              <w:spacing w:after="0"/>
              <w:rPr>
                <w:sz w:val="20"/>
                <w:szCs w:val="20"/>
                <w:color w:val="auto"/>
              </w:rPr>
            </w:pPr>
            <w:r>
              <w:rPr>
                <w:rFonts w:ascii="Times New Roman" w:cs="Times New Roman" w:eastAsia="Times New Roman" w:hAnsi="Times New Roman"/>
                <w:sz w:val="15"/>
                <w:szCs w:val="15"/>
                <w:color w:val="auto"/>
              </w:rPr>
              <w:t>(4.7)</w:t>
            </w:r>
          </w:p>
        </w:tc>
        <w:tc>
          <w:tcPr>
            <w:tcW w:w="0" w:type="dxa"/>
            <w:vAlign w:val="bottom"/>
          </w:tcPr>
          <w:p>
            <w:pPr>
              <w:spacing w:after="0"/>
              <w:rPr>
                <w:sz w:val="1"/>
                <w:szCs w:val="1"/>
                <w:color w:val="auto"/>
              </w:rPr>
            </w:pPr>
          </w:p>
        </w:tc>
      </w:tr>
      <w:tr>
        <w:trPr>
          <w:trHeight w:val="188"/>
        </w:trPr>
        <w:tc>
          <w:tcPr>
            <w:tcW w:w="4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 consolidated reportable segments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138.0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220" w:type="dxa"/>
            <w:vAlign w:val="bottom"/>
          </w:tcPr>
          <w:p>
            <w:pPr>
              <w:spacing w:after="0"/>
              <w:rPr>
                <w:sz w:val="20"/>
                <w:szCs w:val="20"/>
                <w:color w:val="auto"/>
              </w:rPr>
            </w:pPr>
            <w:r>
              <w:rPr>
                <w:rFonts w:ascii="Times New Roman" w:cs="Times New Roman" w:eastAsia="Times New Roman" w:hAnsi="Times New Roman"/>
                <w:sz w:val="15"/>
                <w:szCs w:val="15"/>
                <w:color w:val="auto"/>
              </w:rPr>
              <w:t>Plus: all other category</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93.2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elimination of intercompany consolidated SG&amp;A expenses</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N.M.</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4220" w:type="dxa"/>
            <w:vAlign w:val="bottom"/>
          </w:tcPr>
          <w:p>
            <w:pPr>
              <w:ind w:left="220"/>
              <w:spacing w:after="0" w:line="131" w:lineRule="exact"/>
              <w:rPr>
                <w:sz w:val="20"/>
                <w:szCs w:val="20"/>
                <w:color w:val="auto"/>
              </w:rPr>
            </w:pPr>
            <w:r>
              <w:rPr>
                <w:rFonts w:ascii="Times New Roman" w:cs="Times New Roman" w:eastAsia="Times New Roman" w:hAnsi="Times New Roman"/>
                <w:sz w:val="15"/>
                <w:szCs w:val="15"/>
                <w:color w:val="auto"/>
              </w:rPr>
              <w:t>Total consolidated (excluding share-based compensation</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vMerge w:val="restart"/>
          </w:tcPr>
          <w:p>
            <w:pPr>
              <w:jc w:val="center"/>
              <w:ind w:left="466"/>
              <w:spacing w:after="0"/>
              <w:rPr>
                <w:sz w:val="20"/>
                <w:szCs w:val="20"/>
                <w:color w:val="auto"/>
              </w:rPr>
            </w:pPr>
            <w:r>
              <w:rPr>
                <w:rFonts w:ascii="Times New Roman" w:cs="Times New Roman" w:eastAsia="Times New Roman" w:hAnsi="Times New Roman"/>
                <w:sz w:val="15"/>
                <w:szCs w:val="15"/>
                <w:color w:val="auto"/>
              </w:rPr>
              <w:t>3.9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vMerge w:val="restart"/>
          </w:tcPr>
          <w:p>
            <w:pPr>
              <w:jc w:val="center"/>
              <w:ind w:left="705"/>
              <w:spacing w:after="0"/>
              <w:rPr>
                <w:sz w:val="20"/>
                <w:szCs w:val="20"/>
                <w:color w:val="auto"/>
              </w:rPr>
            </w:pPr>
            <w:r>
              <w:rPr>
                <w:rFonts w:ascii="Times New Roman" w:cs="Times New Roman" w:eastAsia="Times New Roman" w:hAnsi="Times New Roman"/>
                <w:sz w:val="15"/>
                <w:szCs w:val="15"/>
                <w:color w:val="auto"/>
              </w:rPr>
              <w:t>1.6</w:t>
            </w:r>
          </w:p>
        </w:tc>
        <w:tc>
          <w:tcPr>
            <w:tcW w:w="0" w:type="dxa"/>
            <w:vAlign w:val="bottom"/>
          </w:tcPr>
          <w:p>
            <w:pPr>
              <w:spacing w:after="0"/>
              <w:rPr>
                <w:sz w:val="1"/>
                <w:szCs w:val="1"/>
                <w:color w:val="auto"/>
              </w:rPr>
            </w:pPr>
          </w:p>
        </w:tc>
      </w:tr>
      <w:tr>
        <w:trPr>
          <w:trHeight w:val="185"/>
        </w:trPr>
        <w:tc>
          <w:tcPr>
            <w:tcW w:w="42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expense)</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228.5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3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22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auto"/>
              </w:rPr>
              <w:t>Share-based compensation expense</w:t>
            </w:r>
          </w:p>
        </w:tc>
        <w:tc>
          <w:tcPr>
            <w:tcW w:w="2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5"/>
                <w:szCs w:val="15"/>
                <w:color w:val="auto"/>
              </w:rPr>
              <w:t>43.1</w:t>
            </w:r>
          </w:p>
        </w:tc>
        <w:tc>
          <w:tcPr>
            <w:tcW w:w="10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ind w:left="380"/>
              <w:spacing w:after="0" w:line="160" w:lineRule="exact"/>
              <w:rPr>
                <w:sz w:val="20"/>
                <w:szCs w:val="20"/>
                <w:color w:val="auto"/>
              </w:rPr>
            </w:pPr>
            <w:r>
              <w:rPr>
                <w:rFonts w:ascii="Times New Roman" w:cs="Times New Roman" w:eastAsia="Times New Roman" w:hAnsi="Times New Roman"/>
                <w:sz w:val="15"/>
                <w:szCs w:val="15"/>
                <w:color w:val="auto"/>
              </w:rPr>
              <w:t>41.8</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5"/>
                <w:szCs w:val="15"/>
                <w:color w:val="auto"/>
              </w:rPr>
              <w:t>1.3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5"/>
                <w:szCs w:val="15"/>
                <w:color w:val="auto"/>
              </w:rPr>
              <w:t>3.1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2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Total</w:t>
            </w:r>
          </w:p>
        </w:tc>
        <w:tc>
          <w:tcPr>
            <w:tcW w:w="2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308.0</w:t>
            </w:r>
          </w:p>
        </w:tc>
        <w:tc>
          <w:tcPr>
            <w:tcW w:w="100" w:type="dxa"/>
            <w:vAlign w:val="bottom"/>
          </w:tcPr>
          <w:p>
            <w:pPr>
              <w:spacing w:after="0"/>
              <w:rPr>
                <w:sz w:val="16"/>
                <w:szCs w:val="16"/>
                <w:color w:val="auto"/>
              </w:rPr>
            </w:pPr>
          </w:p>
        </w:tc>
        <w:tc>
          <w:tcPr>
            <w:tcW w:w="400" w:type="dxa"/>
            <w:vAlign w:val="bottom"/>
            <w:tcBorders>
              <w:bottom w:val="single" w:sz="8" w:color="auto"/>
            </w:tcBorders>
            <w:gridSpan w:val="2"/>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5"/>
                <w:szCs w:val="15"/>
                <w:color w:val="auto"/>
              </w:rPr>
              <w:t>270.3</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7"/>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160" w:type="dxa"/>
            <w:vAlign w:val="bottom"/>
          </w:tcPr>
          <w:p>
            <w:pPr>
              <w:spacing w:after="0"/>
              <w:rPr>
                <w:sz w:val="24"/>
                <w:szCs w:val="24"/>
                <w:color w:val="auto"/>
              </w:rPr>
            </w:pPr>
          </w:p>
        </w:tc>
        <w:tc>
          <w:tcPr>
            <w:tcW w:w="1700" w:type="dxa"/>
            <w:vAlign w:val="bottom"/>
            <w:gridSpan w:val="6"/>
            <w:vMerge w:val="restart"/>
          </w:tcPr>
          <w:p>
            <w:pPr>
              <w:jc w:val="center"/>
              <w:ind w:left="171"/>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Organic increase (decrease)</w:t>
            </w:r>
          </w:p>
        </w:tc>
        <w:tc>
          <w:tcPr>
            <w:tcW w:w="0" w:type="dxa"/>
            <w:vAlign w:val="bottom"/>
          </w:tcPr>
          <w:p>
            <w:pPr>
              <w:spacing w:after="0"/>
              <w:rPr>
                <w:sz w:val="1"/>
                <w:szCs w:val="1"/>
                <w:color w:val="auto"/>
              </w:rPr>
            </w:pPr>
          </w:p>
        </w:tc>
      </w:tr>
      <w:tr>
        <w:trPr>
          <w:trHeight w:val="184"/>
        </w:trPr>
        <w:tc>
          <w:tcPr>
            <w:tcW w:w="4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ind w:left="385"/>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7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6"/>
        </w:trPr>
        <w:tc>
          <w:tcPr>
            <w:tcW w:w="4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7"/>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8"/>
              </w:rPr>
              <w:t>in millions, except percentages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Telenet</w:t>
            </w: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391.8</w:t>
            </w: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377.2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left="705"/>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197"/>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VM Ireland</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41.9</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44.4</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(5.6)</w:t>
            </w:r>
          </w:p>
        </w:tc>
        <w:tc>
          <w:tcPr>
            <w:tcW w:w="32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gridSpan w:val="2"/>
          </w:tcPr>
          <w:p>
            <w:pPr>
              <w:jc w:val="center"/>
              <w:ind w:left="466"/>
              <w:spacing w:after="0"/>
              <w:rPr>
                <w:sz w:val="20"/>
                <w:szCs w:val="20"/>
                <w:color w:val="auto"/>
              </w:rPr>
            </w:pPr>
            <w:r>
              <w:rPr>
                <w:rFonts w:ascii="Times New Roman" w:cs="Times New Roman" w:eastAsia="Times New Roman" w:hAnsi="Times New Roman"/>
                <w:sz w:val="15"/>
                <w:szCs w:val="15"/>
                <w:color w:val="auto"/>
              </w:rPr>
              <w:t>(3.8)</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gridSpan w:val="2"/>
          </w:tcPr>
          <w:p>
            <w:pPr>
              <w:jc w:val="center"/>
              <w:ind w:left="685"/>
              <w:spacing w:after="0"/>
              <w:rPr>
                <w:sz w:val="20"/>
                <w:szCs w:val="20"/>
                <w:color w:val="auto"/>
              </w:rPr>
            </w:pPr>
            <w:r>
              <w:rPr>
                <w:rFonts w:ascii="Times New Roman" w:cs="Times New Roman" w:eastAsia="Times New Roman" w:hAnsi="Times New Roman"/>
                <w:sz w:val="15"/>
                <w:szCs w:val="15"/>
                <w:color w:val="auto"/>
              </w:rPr>
              <w:t>(8.6)</w:t>
            </w:r>
          </w:p>
        </w:tc>
        <w:tc>
          <w:tcPr>
            <w:tcW w:w="0" w:type="dxa"/>
            <w:vAlign w:val="bottom"/>
          </w:tcPr>
          <w:p>
            <w:pPr>
              <w:spacing w:after="0"/>
              <w:rPr>
                <w:sz w:val="1"/>
                <w:szCs w:val="1"/>
                <w:color w:val="auto"/>
              </w:rPr>
            </w:pPr>
          </w:p>
        </w:tc>
      </w:tr>
      <w:tr>
        <w:trPr>
          <w:trHeight w:val="188"/>
        </w:trPr>
        <w:tc>
          <w:tcPr>
            <w:tcW w:w="4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 consolidated reportable segments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421.6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220" w:type="dxa"/>
            <w:vAlign w:val="bottom"/>
          </w:tcPr>
          <w:p>
            <w:pPr>
              <w:spacing w:after="0"/>
              <w:rPr>
                <w:sz w:val="20"/>
                <w:szCs w:val="20"/>
                <w:color w:val="auto"/>
              </w:rPr>
            </w:pPr>
            <w:r>
              <w:rPr>
                <w:rFonts w:ascii="Times New Roman" w:cs="Times New Roman" w:eastAsia="Times New Roman" w:hAnsi="Times New Roman"/>
                <w:sz w:val="15"/>
                <w:szCs w:val="15"/>
                <w:color w:val="auto"/>
              </w:rPr>
              <w:t>Plus: all other category</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286.9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elimination of intercompany consolidated SG&amp;A expenses</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w w:val="97"/>
              </w:rPr>
              <w:t>(4.8)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N.M.</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220" w:type="dxa"/>
            <w:vAlign w:val="bottom"/>
          </w:tcPr>
          <w:p>
            <w:pPr>
              <w:ind w:left="220"/>
              <w:spacing w:after="0" w:line="139" w:lineRule="exact"/>
              <w:rPr>
                <w:sz w:val="20"/>
                <w:szCs w:val="20"/>
                <w:color w:val="auto"/>
              </w:rPr>
            </w:pPr>
            <w:r>
              <w:rPr>
                <w:rFonts w:ascii="Times New Roman" w:cs="Times New Roman" w:eastAsia="Times New Roman" w:hAnsi="Times New Roman"/>
                <w:sz w:val="15"/>
                <w:szCs w:val="15"/>
                <w:color w:val="auto"/>
              </w:rPr>
              <w:t>Total consolidated (excluding share-based compensation</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vMerge w:val="restart"/>
          </w:tcPr>
          <w:p>
            <w:pPr>
              <w:jc w:val="center"/>
              <w:ind w:left="466"/>
              <w:spacing w:after="0"/>
              <w:rPr>
                <w:sz w:val="20"/>
                <w:szCs w:val="20"/>
                <w:color w:val="auto"/>
              </w:rPr>
            </w:pPr>
            <w:r>
              <w:rPr>
                <w:rFonts w:ascii="Times New Roman" w:cs="Times New Roman" w:eastAsia="Times New Roman" w:hAnsi="Times New Roman"/>
                <w:sz w:val="15"/>
                <w:szCs w:val="15"/>
                <w:color w:val="auto"/>
              </w:rPr>
              <w:t>(7.7)</w:t>
            </w:r>
          </w:p>
        </w:tc>
        <w:tc>
          <w:tcPr>
            <w:tcW w:w="80" w:type="dxa"/>
            <w:vAlign w:val="bottom"/>
          </w:tcPr>
          <w:p>
            <w:pPr>
              <w:spacing w:after="0"/>
              <w:rPr>
                <w:sz w:val="12"/>
                <w:szCs w:val="12"/>
                <w:color w:val="auto"/>
              </w:rPr>
            </w:pPr>
          </w:p>
        </w:tc>
        <w:tc>
          <w:tcPr>
            <w:tcW w:w="1100" w:type="dxa"/>
            <w:vAlign w:val="bottom"/>
            <w:gridSpan w:val="2"/>
            <w:vMerge w:val="restart"/>
          </w:tcPr>
          <w:p>
            <w:pPr>
              <w:jc w:val="center"/>
              <w:ind w:left="685"/>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177"/>
        </w:trPr>
        <w:tc>
          <w:tcPr>
            <w:tcW w:w="42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expense)</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774.4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703.7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32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22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auto"/>
              </w:rPr>
              <w:t>Share-based compensation expense</w:t>
            </w:r>
          </w:p>
        </w:tc>
        <w:tc>
          <w:tcPr>
            <w:tcW w:w="2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5"/>
                <w:szCs w:val="15"/>
                <w:color w:val="auto"/>
              </w:rPr>
              <w:t>119.5</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ind w:left="300"/>
              <w:spacing w:after="0" w:line="160" w:lineRule="exact"/>
              <w:rPr>
                <w:sz w:val="20"/>
                <w:szCs w:val="20"/>
                <w:color w:val="auto"/>
              </w:rPr>
            </w:pPr>
            <w:r>
              <w:rPr>
                <w:rFonts w:ascii="Times New Roman" w:cs="Times New Roman" w:eastAsia="Times New Roman" w:hAnsi="Times New Roman"/>
                <w:sz w:val="15"/>
                <w:szCs w:val="15"/>
                <w:color w:val="auto"/>
              </w:rPr>
              <w:t>114.8</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5"/>
                <w:szCs w:val="15"/>
                <w:color w:val="auto"/>
              </w:rPr>
              <w:t>4.7</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5"/>
                <w:szCs w:val="15"/>
                <w:color w:val="auto"/>
              </w:rPr>
              <w:t>4.1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2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Total</w:t>
            </w:r>
          </w:p>
        </w:tc>
        <w:tc>
          <w:tcPr>
            <w:tcW w:w="2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893.9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818.5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75.4</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9" w:name="page70"/>
    <w:bookmarkEnd w:id="69"/>
    <w:p>
      <w:pPr>
        <w:ind w:left="147"/>
        <w:spacing w:after="0"/>
        <w:rPr>
          <w:sz w:val="20"/>
          <w:szCs w:val="20"/>
          <w:color w:val="auto"/>
        </w:rPr>
      </w:pPr>
      <w:r>
        <w:rPr>
          <w:rFonts w:ascii="Times New Roman" w:cs="Times New Roman" w:eastAsia="Times New Roman" w:hAnsi="Times New Roman"/>
          <w:sz w:val="15"/>
          <w:szCs w:val="15"/>
          <w:i w:val="1"/>
          <w:iCs w:val="1"/>
          <w:color w:val="auto"/>
        </w:rPr>
        <w:t>Supplemental SG&amp;A expense information</w:t>
      </w:r>
    </w:p>
    <w:p>
      <w:pPr>
        <w:spacing w:after="0" w:line="113"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Three months ended</w:t>
            </w:r>
          </w:p>
        </w:tc>
        <w:tc>
          <w:tcPr>
            <w:tcW w:w="160" w:type="dxa"/>
            <w:vAlign w:val="bottom"/>
          </w:tcPr>
          <w:p>
            <w:pPr>
              <w:spacing w:after="0"/>
              <w:rPr>
                <w:sz w:val="13"/>
                <w:szCs w:val="13"/>
                <w:color w:val="auto"/>
              </w:rPr>
            </w:pPr>
          </w:p>
        </w:tc>
        <w:tc>
          <w:tcPr>
            <w:tcW w:w="220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220" w:type="dxa"/>
            <w:vAlign w:val="bottom"/>
          </w:tcPr>
          <w:p>
            <w:pPr>
              <w:spacing w:after="0"/>
              <w:rPr>
                <w:sz w:val="13"/>
                <w:szCs w:val="13"/>
                <w:color w:val="auto"/>
              </w:rPr>
            </w:pPr>
          </w:p>
        </w:tc>
        <w:tc>
          <w:tcPr>
            <w:tcW w:w="2060" w:type="dxa"/>
            <w:vAlign w:val="bottom"/>
            <w:gridSpan w:val="3"/>
            <w:vMerge w:val="restart"/>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Organic increase (decrease)</w:t>
            </w:r>
          </w:p>
        </w:tc>
        <w:tc>
          <w:tcPr>
            <w:tcW w:w="0" w:type="dxa"/>
            <w:vAlign w:val="bottom"/>
          </w:tcPr>
          <w:p>
            <w:pPr>
              <w:spacing w:after="0"/>
              <w:rPr>
                <w:sz w:val="1"/>
                <w:szCs w:val="1"/>
                <w:color w:val="auto"/>
              </w:rPr>
            </w:pPr>
          </w:p>
        </w:tc>
      </w:tr>
      <w:tr>
        <w:trPr>
          <w:trHeight w:val="184"/>
        </w:trPr>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jc w:val="center"/>
              <w:ind w:left="387"/>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5"/>
            <w:vMerge w:val="continue"/>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22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2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6"/>
        </w:trPr>
        <w:tc>
          <w:tcPr>
            <w:tcW w:w="4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in millions, except percentages</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General and administrative (a)</w:t>
            </w: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37.9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left="665"/>
              <w:spacing w:after="0"/>
              <w:rPr>
                <w:sz w:val="20"/>
                <w:szCs w:val="20"/>
                <w:color w:val="auto"/>
              </w:rPr>
            </w:pPr>
            <w:r>
              <w:rPr>
                <w:rFonts w:ascii="Times New Roman" w:cs="Times New Roman" w:eastAsia="Times New Roman" w:hAnsi="Times New Roman"/>
                <w:sz w:val="15"/>
                <w:szCs w:val="15"/>
                <w:color w:val="auto"/>
              </w:rPr>
              <w:t>5.1</w:t>
            </w:r>
          </w:p>
        </w:tc>
        <w:tc>
          <w:tcPr>
            <w:tcW w:w="0" w:type="dxa"/>
            <w:vAlign w:val="bottom"/>
          </w:tcPr>
          <w:p>
            <w:pPr>
              <w:spacing w:after="0"/>
              <w:rPr>
                <w:sz w:val="1"/>
                <w:szCs w:val="1"/>
                <w:color w:val="auto"/>
              </w:rPr>
            </w:pPr>
          </w:p>
        </w:tc>
      </w:tr>
      <w:tr>
        <w:trPr>
          <w:trHeight w:val="197"/>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External sales and marketing</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center"/>
              <w:ind w:left="645"/>
              <w:spacing w:after="0"/>
              <w:rPr>
                <w:sz w:val="20"/>
                <w:szCs w:val="20"/>
                <w:color w:val="auto"/>
              </w:rPr>
            </w:pPr>
            <w:r>
              <w:rPr>
                <w:rFonts w:ascii="Times New Roman" w:cs="Times New Roman" w:eastAsia="Times New Roman" w:hAnsi="Times New Roman"/>
                <w:sz w:val="15"/>
                <w:szCs w:val="15"/>
                <w:color w:val="auto"/>
              </w:rPr>
              <w:t>(6.8)</w:t>
            </w:r>
          </w:p>
        </w:tc>
        <w:tc>
          <w:tcPr>
            <w:tcW w:w="0" w:type="dxa"/>
            <w:vAlign w:val="bottom"/>
          </w:tcPr>
          <w:p>
            <w:pPr>
              <w:spacing w:after="0"/>
              <w:rPr>
                <w:sz w:val="1"/>
                <w:szCs w:val="1"/>
                <w:color w:val="auto"/>
              </w:rPr>
            </w:pPr>
          </w:p>
        </w:tc>
      </w:tr>
      <w:tr>
        <w:trPr>
          <w:trHeight w:val="213"/>
        </w:trPr>
        <w:tc>
          <w:tcPr>
            <w:tcW w:w="4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36.4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center"/>
              <w:ind w:left="665"/>
              <w:spacing w:after="0"/>
              <w:rPr>
                <w:sz w:val="20"/>
                <w:szCs w:val="20"/>
                <w:color w:val="auto"/>
              </w:rPr>
            </w:pPr>
            <w:r>
              <w:rPr>
                <w:rFonts w:ascii="Times New Roman" w:cs="Times New Roman" w:eastAsia="Times New Roman" w:hAnsi="Times New Roman"/>
                <w:sz w:val="15"/>
                <w:szCs w:val="15"/>
                <w:color w:val="auto"/>
              </w:rPr>
              <w:t>1.6</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160" w:type="dxa"/>
            <w:vAlign w:val="bottom"/>
          </w:tcPr>
          <w:p>
            <w:pPr>
              <w:spacing w:after="0"/>
              <w:rPr>
                <w:sz w:val="24"/>
                <w:szCs w:val="24"/>
                <w:color w:val="auto"/>
              </w:rPr>
            </w:pPr>
          </w:p>
        </w:tc>
        <w:tc>
          <w:tcPr>
            <w:tcW w:w="1360" w:type="dxa"/>
            <w:vAlign w:val="bottom"/>
            <w:gridSpan w:val="3"/>
            <w:vMerge w:val="restart"/>
          </w:tcPr>
          <w:p>
            <w:pPr>
              <w:jc w:val="center"/>
              <w:ind w:left="507"/>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3"/>
            <w:vMerge w:val="restart"/>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Organic increase (decrease)</w:t>
            </w:r>
          </w:p>
        </w:tc>
        <w:tc>
          <w:tcPr>
            <w:tcW w:w="0" w:type="dxa"/>
            <w:vAlign w:val="bottom"/>
          </w:tcPr>
          <w:p>
            <w:pPr>
              <w:spacing w:after="0"/>
              <w:rPr>
                <w:sz w:val="1"/>
                <w:szCs w:val="1"/>
                <w:color w:val="auto"/>
              </w:rPr>
            </w:pPr>
          </w:p>
        </w:tc>
      </w:tr>
      <w:tr>
        <w:trPr>
          <w:trHeight w:val="184"/>
        </w:trPr>
        <w:tc>
          <w:tcPr>
            <w:tcW w:w="4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387"/>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6"/>
        </w:trPr>
        <w:tc>
          <w:tcPr>
            <w:tcW w:w="4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in millions, except percentages</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General and administrative (a)</w:t>
            </w: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531.2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481.0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50.2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left="665"/>
              <w:spacing w:after="0"/>
              <w:rPr>
                <w:sz w:val="20"/>
                <w:szCs w:val="20"/>
                <w:color w:val="auto"/>
              </w:rPr>
            </w:pPr>
            <w:r>
              <w:rPr>
                <w:rFonts w:ascii="Times New Roman" w:cs="Times New Roman" w:eastAsia="Times New Roman" w:hAnsi="Times New Roman"/>
                <w:sz w:val="15"/>
                <w:szCs w:val="15"/>
                <w:color w:val="auto"/>
              </w:rPr>
              <w:t>0.5</w:t>
            </w:r>
          </w:p>
        </w:tc>
        <w:tc>
          <w:tcPr>
            <w:tcW w:w="0" w:type="dxa"/>
            <w:vAlign w:val="bottom"/>
          </w:tcPr>
          <w:p>
            <w:pPr>
              <w:spacing w:after="0"/>
              <w:rPr>
                <w:sz w:val="1"/>
                <w:szCs w:val="1"/>
                <w:color w:val="auto"/>
              </w:rPr>
            </w:pPr>
          </w:p>
        </w:tc>
      </w:tr>
      <w:tr>
        <w:trPr>
          <w:trHeight w:val="197"/>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External sales and marketing</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243.2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222.7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5"/>
                <w:szCs w:val="15"/>
                <w:color w:val="auto"/>
              </w:rPr>
              <w:t>20.5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center"/>
              <w:ind w:left="645"/>
              <w:spacing w:after="0"/>
              <w:rPr>
                <w:sz w:val="20"/>
                <w:szCs w:val="20"/>
                <w:color w:val="auto"/>
              </w:rPr>
            </w:pPr>
            <w:r>
              <w:rPr>
                <w:rFonts w:ascii="Times New Roman" w:cs="Times New Roman" w:eastAsia="Times New Roman" w:hAnsi="Times New Roman"/>
                <w:sz w:val="15"/>
                <w:szCs w:val="15"/>
                <w:color w:val="auto"/>
              </w:rPr>
              <w:t>(4.1)</w:t>
            </w:r>
          </w:p>
        </w:tc>
        <w:tc>
          <w:tcPr>
            <w:tcW w:w="0" w:type="dxa"/>
            <w:vAlign w:val="bottom"/>
          </w:tcPr>
          <w:p>
            <w:pPr>
              <w:spacing w:after="0"/>
              <w:rPr>
                <w:sz w:val="1"/>
                <w:szCs w:val="1"/>
                <w:color w:val="auto"/>
              </w:rPr>
            </w:pPr>
          </w:p>
        </w:tc>
      </w:tr>
      <w:tr>
        <w:trPr>
          <w:trHeight w:val="213"/>
        </w:trPr>
        <w:tc>
          <w:tcPr>
            <w:tcW w:w="4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774.4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703.7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70.7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center"/>
              <w:ind w:left="645"/>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_______________</w:t>
      </w:r>
    </w:p>
    <w:p>
      <w:pPr>
        <w:spacing w:after="0" w:line="221" w:lineRule="exact"/>
        <w:rPr>
          <w:sz w:val="20"/>
          <w:szCs w:val="20"/>
          <w:color w:val="auto"/>
        </w:rPr>
      </w:pPr>
    </w:p>
    <w:p>
      <w:pPr>
        <w:ind w:left="407" w:right="20" w:hanging="407"/>
        <w:spacing w:after="0" w:line="295" w:lineRule="auto"/>
        <w:tabs>
          <w:tab w:leader="none" w:pos="405"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and administrative expenses include all personnel-related costs within our SG&amp;A expenses, including personnel-related costs associated with our sales and marketing function.</w:t>
      </w:r>
    </w:p>
    <w:p>
      <w:pPr>
        <w:spacing w:after="0" w:line="155" w:lineRule="exact"/>
        <w:rPr>
          <w:sz w:val="20"/>
          <w:szCs w:val="20"/>
          <w:color w:val="auto"/>
        </w:rPr>
      </w:pPr>
    </w:p>
    <w:p>
      <w:pPr>
        <w:jc w:val="both"/>
        <w:ind w:left="7" w:firstLine="278"/>
        <w:spacing w:after="0" w:line="270" w:lineRule="auto"/>
        <w:rPr>
          <w:sz w:val="20"/>
          <w:szCs w:val="20"/>
          <w:color w:val="auto"/>
        </w:rPr>
      </w:pPr>
      <w:r>
        <w:rPr>
          <w:rFonts w:ascii="Times New Roman" w:cs="Times New Roman" w:eastAsia="Times New Roman" w:hAnsi="Times New Roman"/>
          <w:sz w:val="15"/>
          <w:szCs w:val="15"/>
          <w:color w:val="auto"/>
        </w:rPr>
        <w:t>Our SG&amp;A expenses (exclusive of share-based compensation expense) increased $36.4 million or 15.9% and $70.7 million or 10.0% during the three and nine months ended September 30, 2025, respectively, as compared to the corresponding periods in 2024, including increases of $18.5 million and $58.1 million, respectively, attributable to the impact of the Formula E Acquisition. On an organic basis, our SG&amp;A expenses increased (decreased) $3.9 million or 1.6% and ($7.7 million) or (1.0%), respectively. These changes include the following factors:</w:t>
      </w:r>
    </w:p>
    <w:p>
      <w:pPr>
        <w:spacing w:after="0" w:line="173" w:lineRule="exact"/>
        <w:rPr>
          <w:sz w:val="20"/>
          <w:szCs w:val="20"/>
          <w:color w:val="auto"/>
        </w:rPr>
      </w:pPr>
    </w:p>
    <w:p>
      <w:pPr>
        <w:jc w:val="both"/>
        <w:ind w:left="547" w:hanging="270"/>
        <w:spacing w:after="0" w:line="276" w:lineRule="auto"/>
        <w:tabs>
          <w:tab w:leader="none" w:pos="543"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Decreases in external sales and marketing costs of $5.0 million or 6.8% and $10.2 million or 4.1%, respectively, primarily due to the net effect of (i) lower costs associated with advertising campaigns, primarily due to decreases at Telenet and VM Ireland, and (ii) higher third-party sales commissions, as increases at Telenet were only partially offset by decreases at VM Ireland;</w:t>
      </w:r>
    </w:p>
    <w:p>
      <w:pPr>
        <w:spacing w:after="0" w:line="168" w:lineRule="exact"/>
        <w:rPr>
          <w:rFonts w:ascii="Times New Roman" w:cs="Times New Roman" w:eastAsia="Times New Roman" w:hAnsi="Times New Roman"/>
          <w:sz w:val="15"/>
          <w:szCs w:val="15"/>
          <w:color w:val="auto"/>
        </w:rPr>
      </w:pPr>
    </w:p>
    <w:p>
      <w:pPr>
        <w:ind w:left="547" w:right="20" w:hanging="270"/>
        <w:spacing w:after="0" w:line="295" w:lineRule="auto"/>
        <w:tabs>
          <w:tab w:leader="none" w:pos="543"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Increases in personnel costs of $5.2 million or 4.3% and $1.9 million or 0.5%, respectively, primarily due to the net effect of (i) higher average costs per employee, (ii) lower staffing levels, including decreases at Telenet, and (iii) for the nine-month comparison, lower incentive compensation costs; and</w:t>
      </w:r>
    </w:p>
    <w:p>
      <w:pPr>
        <w:spacing w:after="0" w:line="154" w:lineRule="exact"/>
        <w:rPr>
          <w:rFonts w:ascii="Times New Roman" w:cs="Times New Roman" w:eastAsia="Times New Roman" w:hAnsi="Times New Roman"/>
          <w:sz w:val="15"/>
          <w:szCs w:val="15"/>
          <w:color w:val="auto"/>
        </w:rPr>
      </w:pPr>
    </w:p>
    <w:p>
      <w:pPr>
        <w:ind w:left="547" w:hanging="270"/>
        <w:spacing w:after="0"/>
        <w:tabs>
          <w:tab w:leader="none" w:pos="547"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three-month comparison, an increase in business service costs of $3.0 million or 9.6%, primarily due to higher consulting costs at Telenet.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816" w:right="319" w:bottom="1440" w:gutter="0" w:footer="0" w:header="0"/>
        </w:sectPr>
      </w:pPr>
    </w:p>
    <w:bookmarkStart w:id="70" w:name="page71"/>
    <w:bookmarkEnd w:id="70"/>
    <w:p>
      <w:pPr>
        <w:ind w:left="147"/>
        <w:spacing w:after="0"/>
        <w:rPr>
          <w:sz w:val="20"/>
          <w:szCs w:val="20"/>
          <w:color w:val="auto"/>
        </w:rPr>
      </w:pPr>
      <w:r>
        <w:rPr>
          <w:rFonts w:ascii="Times New Roman" w:cs="Times New Roman" w:eastAsia="Times New Roman" w:hAnsi="Times New Roman"/>
          <w:sz w:val="15"/>
          <w:szCs w:val="15"/>
          <w:i w:val="1"/>
          <w:iCs w:val="1"/>
          <w:color w:val="auto"/>
        </w:rPr>
        <w:t>Share-based compensation expense</w:t>
      </w:r>
    </w:p>
    <w:p>
      <w:pPr>
        <w:spacing w:after="0" w:line="225" w:lineRule="exact"/>
        <w:rPr>
          <w:sz w:val="20"/>
          <w:szCs w:val="20"/>
          <w:color w:val="auto"/>
        </w:rPr>
      </w:pPr>
    </w:p>
    <w:p>
      <w:pPr>
        <w:ind w:left="7" w:firstLine="278"/>
        <w:spacing w:after="0" w:line="295" w:lineRule="auto"/>
        <w:rPr>
          <w:sz w:val="20"/>
          <w:szCs w:val="20"/>
          <w:color w:val="auto"/>
        </w:rPr>
      </w:pPr>
      <w:r>
        <w:rPr>
          <w:rFonts w:ascii="Times New Roman" w:cs="Times New Roman" w:eastAsia="Times New Roman" w:hAnsi="Times New Roman"/>
          <w:sz w:val="15"/>
          <w:szCs w:val="15"/>
          <w:color w:val="auto"/>
        </w:rPr>
        <w:t>Our share-based compensation expense primarily relates to the share-based incentive awards issued by Liberty Global to its employees and employees of its subsidiaries. A summary of our aggregate share-based compensation expense is set forth below:</w:t>
      </w:r>
    </w:p>
    <w:tbl>
      <w:tblPr>
        <w:tblLayout w:type="fixed"/>
        <w:tblInd w:w="7" w:type="dxa"/>
        <w:tblCellMar>
          <w:top w:w="0" w:type="dxa"/>
          <w:left w:w="0" w:type="dxa"/>
          <w:bottom w:w="0" w:type="dxa"/>
          <w:right w:w="0" w:type="dxa"/>
        </w:tblCellMar>
      </w:tblPr>
      <w:tr>
        <w:trPr>
          <w:trHeight w:val="158"/>
        </w:trPr>
        <w:tc>
          <w:tcPr>
            <w:tcW w:w="6220" w:type="dxa"/>
            <w:vAlign w:val="bottom"/>
          </w:tcPr>
          <w:p>
            <w:pPr>
              <w:spacing w:after="0"/>
              <w:rPr>
                <w:sz w:val="13"/>
                <w:szCs w:val="13"/>
                <w:color w:val="auto"/>
              </w:rPr>
            </w:pPr>
          </w:p>
        </w:tc>
        <w:tc>
          <w:tcPr>
            <w:tcW w:w="2080" w:type="dxa"/>
            <w:vAlign w:val="bottom"/>
            <w:gridSpan w:val="4"/>
          </w:tcPr>
          <w:p>
            <w:pPr>
              <w:jc w:val="right"/>
              <w:ind w:right="164"/>
              <w:spacing w:after="0" w:line="158"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4"/>
          </w:tcPr>
          <w:p>
            <w:pPr>
              <w:jc w:val="right"/>
              <w:ind w:right="144"/>
              <w:spacing w:after="0" w:line="158"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2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22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gridSpan w:val="3"/>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Liberty Global (a):</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Non-performance based incentive awards</w:t>
            </w:r>
          </w:p>
        </w:tc>
        <w:tc>
          <w:tcPr>
            <w:tcW w:w="760" w:type="dxa"/>
            <w:vAlign w:val="bottom"/>
          </w:tcPr>
          <w:p>
            <w:pPr>
              <w:jc w:val="right"/>
              <w:ind w:right="585"/>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100" w:type="dxa"/>
            <w:vAlign w:val="bottom"/>
          </w:tcPr>
          <w:p>
            <w:pPr>
              <w:spacing w:after="0"/>
              <w:rPr>
                <w:sz w:val="17"/>
                <w:szCs w:val="17"/>
                <w:color w:val="auto"/>
              </w:rPr>
            </w:pPr>
          </w:p>
        </w:tc>
        <w:tc>
          <w:tcPr>
            <w:tcW w:w="800" w:type="dxa"/>
            <w:vAlign w:val="bottom"/>
          </w:tcPr>
          <w:p>
            <w:pPr>
              <w:jc w:val="right"/>
              <w:ind w:right="624"/>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w:t>
            </w:r>
          </w:p>
        </w:tc>
        <w:tc>
          <w:tcPr>
            <w:tcW w:w="100" w:type="dxa"/>
            <w:vAlign w:val="bottom"/>
          </w:tcPr>
          <w:p>
            <w:pPr>
              <w:spacing w:after="0"/>
              <w:rPr>
                <w:sz w:val="17"/>
                <w:szCs w:val="17"/>
                <w:color w:val="auto"/>
              </w:rPr>
            </w:pPr>
          </w:p>
        </w:tc>
        <w:tc>
          <w:tcPr>
            <w:tcW w:w="760" w:type="dxa"/>
            <w:vAlign w:val="bottom"/>
          </w:tcPr>
          <w:p>
            <w:pPr>
              <w:jc w:val="right"/>
              <w:ind w:right="585"/>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68.1</w:t>
            </w:r>
          </w:p>
        </w:tc>
        <w:tc>
          <w:tcPr>
            <w:tcW w:w="100" w:type="dxa"/>
            <w:vAlign w:val="bottom"/>
          </w:tcPr>
          <w:p>
            <w:pPr>
              <w:spacing w:after="0"/>
              <w:rPr>
                <w:sz w:val="17"/>
                <w:szCs w:val="17"/>
                <w:color w:val="auto"/>
              </w:rPr>
            </w:pPr>
          </w:p>
        </w:tc>
        <w:tc>
          <w:tcPr>
            <w:tcW w:w="740" w:type="dxa"/>
            <w:vAlign w:val="bottom"/>
          </w:tcPr>
          <w:p>
            <w:pPr>
              <w:jc w:val="right"/>
              <w:ind w:right="584"/>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93.1</w:t>
            </w:r>
          </w:p>
        </w:tc>
        <w:tc>
          <w:tcPr>
            <w:tcW w:w="0" w:type="dxa"/>
            <w:vAlign w:val="bottom"/>
          </w:tcPr>
          <w:p>
            <w:pPr>
              <w:spacing w:after="0"/>
              <w:rPr>
                <w:sz w:val="1"/>
                <w:szCs w:val="1"/>
                <w:color w:val="auto"/>
              </w:rPr>
            </w:pPr>
          </w:p>
        </w:tc>
      </w:tr>
      <w:tr>
        <w:trPr>
          <w:trHeight w:val="197"/>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Performance based incentive awards</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34.8</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0" w:type="dxa"/>
            <w:vAlign w:val="bottom"/>
          </w:tcPr>
          <w:p>
            <w:pPr>
              <w:spacing w:after="0"/>
              <w:rPr>
                <w:sz w:val="1"/>
                <w:szCs w:val="1"/>
                <w:color w:val="auto"/>
              </w:rPr>
            </w:pPr>
          </w:p>
        </w:tc>
      </w:tr>
      <w:tr>
        <w:trPr>
          <w:trHeight w:val="197"/>
        </w:trPr>
        <w:tc>
          <w:tcPr>
            <w:tcW w:w="6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Other (b)</w:t>
            </w:r>
          </w:p>
        </w:tc>
        <w:tc>
          <w:tcPr>
            <w:tcW w:w="7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22.6</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19.2</w:t>
            </w:r>
          </w:p>
        </w:tc>
        <w:tc>
          <w:tcPr>
            <w:tcW w:w="0" w:type="dxa"/>
            <w:vAlign w:val="bottom"/>
          </w:tcPr>
          <w:p>
            <w:pPr>
              <w:spacing w:after="0"/>
              <w:rPr>
                <w:sz w:val="1"/>
                <w:szCs w:val="1"/>
                <w:color w:val="auto"/>
              </w:rPr>
            </w:pPr>
          </w:p>
        </w:tc>
      </w:tr>
      <w:tr>
        <w:trPr>
          <w:trHeight w:val="188"/>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Total Liberty Global</w:t>
            </w:r>
          </w:p>
        </w:tc>
        <w:tc>
          <w:tcPr>
            <w:tcW w:w="7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47.0</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125.5</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124.9</w:t>
            </w:r>
          </w:p>
        </w:tc>
        <w:tc>
          <w:tcPr>
            <w:tcW w:w="0" w:type="dxa"/>
            <w:vAlign w:val="bottom"/>
          </w:tcPr>
          <w:p>
            <w:pPr>
              <w:spacing w:after="0"/>
              <w:rPr>
                <w:sz w:val="1"/>
                <w:szCs w:val="1"/>
                <w:color w:val="auto"/>
              </w:rPr>
            </w:pPr>
          </w:p>
        </w:tc>
      </w:tr>
      <w:tr>
        <w:trPr>
          <w:trHeight w:val="197"/>
        </w:trPr>
        <w:tc>
          <w:tcPr>
            <w:tcW w:w="6220" w:type="dxa"/>
            <w:vAlign w:val="bottom"/>
          </w:tcPr>
          <w:p>
            <w:pPr>
              <w:spacing w:after="0"/>
              <w:rPr>
                <w:sz w:val="20"/>
                <w:szCs w:val="20"/>
                <w:color w:val="auto"/>
              </w:rPr>
            </w:pPr>
            <w:r>
              <w:rPr>
                <w:rFonts w:ascii="Times New Roman" w:cs="Times New Roman" w:eastAsia="Times New Roman" w:hAnsi="Times New Roman"/>
                <w:sz w:val="15"/>
                <w:szCs w:val="15"/>
                <w:color w:val="auto"/>
              </w:rPr>
              <w:t>Other</w:t>
            </w:r>
          </w:p>
        </w:tc>
        <w:tc>
          <w:tcPr>
            <w:tcW w:w="76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spacing w:after="0"/>
              <w:rPr>
                <w:sz w:val="17"/>
                <w:szCs w:val="17"/>
                <w:color w:val="auto"/>
              </w:rPr>
            </w:pPr>
          </w:p>
        </w:tc>
        <w:tc>
          <w:tcPr>
            <w:tcW w:w="4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3.9</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0" w:type="dxa"/>
            <w:vAlign w:val="bottom"/>
          </w:tcPr>
          <w:p>
            <w:pPr>
              <w:spacing w:after="0"/>
              <w:rPr>
                <w:sz w:val="1"/>
                <w:szCs w:val="1"/>
                <w:color w:val="auto"/>
              </w:rPr>
            </w:pPr>
          </w:p>
        </w:tc>
      </w:tr>
      <w:tr>
        <w:trPr>
          <w:trHeight w:val="213"/>
        </w:trPr>
        <w:tc>
          <w:tcPr>
            <w:tcW w:w="62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760" w:type="dxa"/>
            <w:vAlign w:val="bottom"/>
            <w:tcBorders>
              <w:top w:val="single" w:sz="8" w:color="auto"/>
              <w:bottom w:val="single" w:sz="8" w:color="auto"/>
            </w:tcBorders>
            <w:shd w:val="clear" w:color="auto" w:fill="CCEEFF"/>
          </w:tcPr>
          <w:p>
            <w:pPr>
              <w:jc w:val="right"/>
              <w:ind w:right="585"/>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24"/>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85"/>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84"/>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129.4</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Included in:</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operating expense</w:t>
            </w:r>
          </w:p>
        </w:tc>
        <w:tc>
          <w:tcPr>
            <w:tcW w:w="760" w:type="dxa"/>
            <w:vAlign w:val="bottom"/>
            <w:shd w:val="clear" w:color="auto" w:fill="CCEEFF"/>
          </w:tcPr>
          <w:p>
            <w:pPr>
              <w:jc w:val="right"/>
              <w:ind w:right="585"/>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24"/>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85"/>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9.9</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84"/>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0" w:type="dxa"/>
            <w:vAlign w:val="bottom"/>
          </w:tcPr>
          <w:p>
            <w:pPr>
              <w:spacing w:after="0"/>
              <w:rPr>
                <w:sz w:val="1"/>
                <w:szCs w:val="1"/>
                <w:color w:val="auto"/>
              </w:rPr>
            </w:pPr>
          </w:p>
        </w:tc>
      </w:tr>
      <w:tr>
        <w:trPr>
          <w:trHeight w:val="197"/>
        </w:trPr>
        <w:tc>
          <w:tcPr>
            <w:tcW w:w="6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SG&amp;A expense</w:t>
            </w:r>
          </w:p>
        </w:tc>
        <w:tc>
          <w:tcPr>
            <w:tcW w:w="7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43.1</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41.8</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119.5</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114.8</w:t>
            </w:r>
          </w:p>
        </w:tc>
        <w:tc>
          <w:tcPr>
            <w:tcW w:w="0" w:type="dxa"/>
            <w:vAlign w:val="bottom"/>
          </w:tcPr>
          <w:p>
            <w:pPr>
              <w:spacing w:after="0"/>
              <w:rPr>
                <w:sz w:val="1"/>
                <w:szCs w:val="1"/>
                <w:color w:val="auto"/>
              </w:rPr>
            </w:pPr>
          </w:p>
        </w:tc>
      </w:tr>
      <w:tr>
        <w:trPr>
          <w:trHeight w:val="213"/>
        </w:trPr>
        <w:tc>
          <w:tcPr>
            <w:tcW w:w="62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760" w:type="dxa"/>
            <w:vAlign w:val="bottom"/>
            <w:tcBorders>
              <w:bottom w:val="single" w:sz="8" w:color="auto"/>
            </w:tcBorders>
            <w:shd w:val="clear" w:color="auto" w:fill="CCEEFF"/>
          </w:tcPr>
          <w:p>
            <w:pPr>
              <w:jc w:val="right"/>
              <w:ind w:right="585"/>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24"/>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47.0</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85"/>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129.4</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84"/>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129.4</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_______________</w:t>
      </w:r>
    </w:p>
    <w:p>
      <w:pPr>
        <w:spacing w:after="0" w:line="221" w:lineRule="exact"/>
        <w:rPr>
          <w:sz w:val="20"/>
          <w:szCs w:val="20"/>
          <w:color w:val="auto"/>
        </w:rPr>
      </w:pPr>
    </w:p>
    <w:p>
      <w:pPr>
        <w:ind w:left="407" w:hanging="407"/>
        <w:spacing w:after="0"/>
        <w:tabs>
          <w:tab w:leader="none" w:pos="407"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include share-based compensation expense related to certain Telenet Replacement Awards.</w:t>
      </w:r>
    </w:p>
    <w:p>
      <w:pPr>
        <w:spacing w:after="0" w:line="221" w:lineRule="exact"/>
        <w:rPr>
          <w:rFonts w:ascii="Times New Roman" w:cs="Times New Roman" w:eastAsia="Times New Roman" w:hAnsi="Times New Roman"/>
          <w:sz w:val="15"/>
          <w:szCs w:val="15"/>
          <w:color w:val="auto"/>
        </w:rPr>
      </w:pPr>
    </w:p>
    <w:p>
      <w:pPr>
        <w:jc w:val="both"/>
        <w:ind w:left="407" w:right="20" w:hanging="407"/>
        <w:spacing w:after="0" w:line="273" w:lineRule="auto"/>
        <w:tabs>
          <w:tab w:leader="none" w:pos="402"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annual incentive compensation and defined contribution plan liabilities that have been or are expected to be settled with Liberty Global common shares. In the case of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common shares of Liberty Global in lieu of cash.</w:t>
      </w:r>
    </w:p>
    <w:p>
      <w:pPr>
        <w:spacing w:after="0" w:line="361"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color w:val="auto"/>
        </w:rPr>
        <w:t>For additional information regarding our share-based compensation expense, see note 13 to our condensed consolidated financial statements.</w:t>
      </w:r>
    </w:p>
    <w:p>
      <w:pPr>
        <w:spacing w:after="0" w:line="217"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i w:val="1"/>
          <w:iCs w:val="1"/>
          <w:color w:val="auto"/>
        </w:rPr>
        <w:t>Depreciation and amortization expense</w:t>
      </w:r>
    </w:p>
    <w:p>
      <w:pPr>
        <w:spacing w:after="0" w:line="225" w:lineRule="exact"/>
        <w:rPr>
          <w:sz w:val="20"/>
          <w:szCs w:val="20"/>
          <w:color w:val="auto"/>
        </w:rPr>
      </w:pPr>
    </w:p>
    <w:p>
      <w:pPr>
        <w:jc w:val="both"/>
        <w:ind w:left="7" w:firstLine="278"/>
        <w:spacing w:after="0" w:line="267" w:lineRule="auto"/>
        <w:rPr>
          <w:sz w:val="20"/>
          <w:szCs w:val="20"/>
          <w:color w:val="auto"/>
        </w:rPr>
      </w:pPr>
      <w:r>
        <w:rPr>
          <w:rFonts w:ascii="Times New Roman" w:cs="Times New Roman" w:eastAsia="Times New Roman" w:hAnsi="Times New Roman"/>
          <w:sz w:val="15"/>
          <w:szCs w:val="15"/>
          <w:color w:val="auto"/>
        </w:rPr>
        <w:t>Our depreciation and amortization expense was $275.9 million and $758.9 million for the three and nine months ended September 30, 2025, respectively, and $245.0 million and $750.4 million for the three and nine months ended September 30, 2024, respectively. Excluding the effects of FX, depreciation and amortization expense increased (decreased) $14.2 million or 5.8% and ($14.2 million) or (1.9%) during the three and nine months ended September 30, 2025, respectively, as compared to the corresponding periods in 2024. These changes are primarily due to the net effect of (i) decreases associated with certain assets becoming fully depreciated, primarily at Telenet, and (ii) increases associated with property and equipment additions related to the installation of CPE, the expansion and upgrade of our networks and other capital initiatives, primarily at Telenet.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815" w:right="319" w:bottom="1440" w:gutter="0" w:footer="0" w:header="0"/>
        </w:sectPr>
      </w:pPr>
    </w:p>
    <w:bookmarkStart w:id="71" w:name="page72"/>
    <w:bookmarkEnd w:id="71"/>
    <w:p>
      <w:pPr>
        <w:ind w:left="147"/>
        <w:spacing w:after="0"/>
        <w:rPr>
          <w:sz w:val="20"/>
          <w:szCs w:val="20"/>
          <w:color w:val="auto"/>
        </w:rPr>
      </w:pPr>
      <w:r>
        <w:rPr>
          <w:rFonts w:ascii="Times New Roman" w:cs="Times New Roman" w:eastAsia="Times New Roman" w:hAnsi="Times New Roman"/>
          <w:sz w:val="15"/>
          <w:szCs w:val="15"/>
          <w:i w:val="1"/>
          <w:iCs w:val="1"/>
          <w:color w:val="auto"/>
        </w:rPr>
        <w:t>Impairment, restructuring and other operating items, net</w:t>
      </w:r>
    </w:p>
    <w:p>
      <w:pPr>
        <w:spacing w:after="0" w:line="225" w:lineRule="exact"/>
        <w:rPr>
          <w:sz w:val="20"/>
          <w:szCs w:val="20"/>
          <w:color w:val="auto"/>
        </w:rPr>
      </w:pPr>
    </w:p>
    <w:p>
      <w:pPr>
        <w:jc w:val="both"/>
        <w:ind w:left="7" w:right="20" w:firstLine="278"/>
        <w:spacing w:after="0" w:line="295" w:lineRule="auto"/>
        <w:rPr>
          <w:sz w:val="20"/>
          <w:szCs w:val="20"/>
          <w:color w:val="auto"/>
        </w:rPr>
      </w:pPr>
      <w:r>
        <w:rPr>
          <w:rFonts w:ascii="Times New Roman" w:cs="Times New Roman" w:eastAsia="Times New Roman" w:hAnsi="Times New Roman"/>
          <w:sz w:val="15"/>
          <w:szCs w:val="15"/>
          <w:color w:val="auto"/>
        </w:rPr>
        <w:t>We recognized impairment, restructuring and other operating items, net, of $22.0 million and $25.8 million during the three and nine months ended September 30, 2025, respectively, and $6.0 million and $44.1 million during the three and nine months ended September 30, 2024, respectively.</w:t>
      </w:r>
    </w:p>
    <w:p>
      <w:pPr>
        <w:spacing w:after="0" w:line="155" w:lineRule="exact"/>
        <w:rPr>
          <w:sz w:val="20"/>
          <w:szCs w:val="20"/>
          <w:color w:val="auto"/>
        </w:rPr>
      </w:pPr>
    </w:p>
    <w:p>
      <w:pPr>
        <w:jc w:val="both"/>
        <w:ind w:left="7" w:firstLine="278"/>
        <w:spacing w:after="0" w:line="259" w:lineRule="auto"/>
        <w:rPr>
          <w:sz w:val="20"/>
          <w:szCs w:val="20"/>
          <w:color w:val="auto"/>
        </w:rPr>
      </w:pPr>
      <w:r>
        <w:rPr>
          <w:rFonts w:ascii="Times New Roman" w:cs="Times New Roman" w:eastAsia="Times New Roman" w:hAnsi="Times New Roman"/>
          <w:sz w:val="15"/>
          <w:szCs w:val="15"/>
          <w:color w:val="auto"/>
        </w:rPr>
        <w:t>The amounts for the 2025 periods primarily include restructuring costs of $20.6 million and $24.0 million, respectively. During the third quarter of 2025, we commenced a restructuring program that includes employee terminations within certain of our centralized functions and recorded $17.3 million of restructuring costs in the third quarter of 2025 related to this program. We expect to incur further restructuring charges during the remainder of 2025 and 2026 as certain elements of the restructuring plan did not meet the criteria for recognition in the third quarter.</w:t>
      </w:r>
    </w:p>
    <w:p>
      <w:pPr>
        <w:spacing w:after="0" w:line="170" w:lineRule="exact"/>
        <w:rPr>
          <w:sz w:val="20"/>
          <w:szCs w:val="20"/>
          <w:color w:val="auto"/>
        </w:rPr>
      </w:pPr>
    </w:p>
    <w:p>
      <w:pPr>
        <w:jc w:val="both"/>
        <w:ind w:left="7" w:right="20" w:firstLine="278"/>
        <w:spacing w:after="0" w:line="295" w:lineRule="auto"/>
        <w:rPr>
          <w:sz w:val="20"/>
          <w:szCs w:val="20"/>
          <w:color w:val="auto"/>
        </w:rPr>
      </w:pPr>
      <w:r>
        <w:rPr>
          <w:rFonts w:ascii="Times New Roman" w:cs="Times New Roman" w:eastAsia="Times New Roman" w:hAnsi="Times New Roman"/>
          <w:sz w:val="15"/>
          <w:szCs w:val="15"/>
          <w:color w:val="auto"/>
        </w:rPr>
        <w:t>The amounts for the 2024 periods include (i) restructuring costs of $5.4 million and $24.6 million, including amounts at Telenet, respectively, and (ii) a provision for legal contingencies of $17.5 million during the first quarter of 2024.</w:t>
      </w:r>
    </w:p>
    <w:p>
      <w:pPr>
        <w:spacing w:after="0" w:line="155" w:lineRule="exact"/>
        <w:rPr>
          <w:sz w:val="20"/>
          <w:szCs w:val="20"/>
          <w:color w:val="auto"/>
        </w:rPr>
      </w:pPr>
    </w:p>
    <w:p>
      <w:pPr>
        <w:jc w:val="both"/>
        <w:ind w:left="7" w:firstLine="278"/>
        <w:spacing w:after="0" w:line="276" w:lineRule="auto"/>
        <w:rPr>
          <w:sz w:val="20"/>
          <w:szCs w:val="20"/>
          <w:color w:val="auto"/>
        </w:rPr>
      </w:pPr>
      <w:r>
        <w:rPr>
          <w:rFonts w:ascii="Times New Roman" w:cs="Times New Roman" w:eastAsia="Times New Roman" w:hAnsi="Times New Roman"/>
          <w:sz w:val="15"/>
          <w:szCs w:val="15"/>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65"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i w:val="1"/>
          <w:iCs w:val="1"/>
          <w:color w:val="auto"/>
        </w:rPr>
        <w:t>Interest expense</w:t>
      </w:r>
    </w:p>
    <w:p>
      <w:pPr>
        <w:spacing w:after="0" w:line="225" w:lineRule="exact"/>
        <w:rPr>
          <w:sz w:val="20"/>
          <w:szCs w:val="20"/>
          <w:color w:val="auto"/>
        </w:rPr>
      </w:pPr>
    </w:p>
    <w:p>
      <w:pPr>
        <w:jc w:val="both"/>
        <w:ind w:left="7" w:firstLine="278"/>
        <w:spacing w:after="0" w:line="270" w:lineRule="auto"/>
        <w:rPr>
          <w:sz w:val="20"/>
          <w:szCs w:val="20"/>
          <w:color w:val="auto"/>
        </w:rPr>
      </w:pPr>
      <w:r>
        <w:rPr>
          <w:rFonts w:ascii="Times New Roman" w:cs="Times New Roman" w:eastAsia="Times New Roman" w:hAnsi="Times New Roman"/>
          <w:sz w:val="15"/>
          <w:szCs w:val="15"/>
          <w:color w:val="auto"/>
        </w:rPr>
        <w:t>We recognized interest expense of $123.3 million and $380.3 million during the three and nine months ended September 30, 2025, respectively, and $144.3 million and $434.2 million during the three and nine months ended September 30, 2024, respectively. Excluding the effects of FX, interest expense decreased $28.3 million or 19.6% and $63.9 million or 14.7% during the three and nine months ended September 30, 2025, respectively, as compared to the corresponding periods in 2024. These decreases are primarily attributable to lower weighted average interest rates. For additional information regarding our outstanding indebtedness, see note 9 to our condensed consolidated financial statements.</w:t>
      </w:r>
    </w:p>
    <w:p>
      <w:pPr>
        <w:spacing w:after="0" w:line="173" w:lineRule="exact"/>
        <w:rPr>
          <w:sz w:val="20"/>
          <w:szCs w:val="20"/>
          <w:color w:val="auto"/>
        </w:rPr>
      </w:pPr>
    </w:p>
    <w:p>
      <w:pPr>
        <w:jc w:val="both"/>
        <w:ind w:left="7" w:firstLine="278"/>
        <w:spacing w:after="0" w:line="276" w:lineRule="auto"/>
        <w:rPr>
          <w:sz w:val="20"/>
          <w:szCs w:val="20"/>
          <w:color w:val="auto"/>
        </w:rPr>
      </w:pPr>
      <w:r>
        <w:rPr>
          <w:rFonts w:ascii="Times New Roman" w:cs="Times New Roman" w:eastAsia="Times New Roman" w:hAnsi="Times New Roman"/>
          <w:sz w:val="15"/>
          <w:szCs w:val="15"/>
          <w:color w:val="auto"/>
        </w:rPr>
        <w:t xml:space="preserve">It is possible that the interest rates on (i) any new borrowings could be higher than the current interest rates on our existing indebtedness and (ii) our variable-rate indebtedness could increase in future periods. As further discussed in note 6 to our condensed consolidated financial statements and under Part I, Item 3. </w:t>
      </w:r>
      <w:r>
        <w:rPr>
          <w:rFonts w:ascii="Times New Roman" w:cs="Times New Roman" w:eastAsia="Times New Roman" w:hAnsi="Times New Roman"/>
          <w:sz w:val="15"/>
          <w:szCs w:val="15"/>
          <w:i w:val="1"/>
          <w:iCs w:val="1"/>
          <w:color w:val="auto"/>
        </w:rPr>
        <w:t>Quantitative and Qualitative Disclosures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about Market Risk </w:t>
      </w:r>
      <w:r>
        <w:rPr>
          <w:rFonts w:ascii="Times New Roman" w:cs="Times New Roman" w:eastAsia="Times New Roman" w:hAnsi="Times New Roman"/>
          <w:sz w:val="15"/>
          <w:szCs w:val="15"/>
          <w:color w:val="auto"/>
        </w:rPr>
        <w:t>below, we use derivative instruments to manage our interest rate risks.</w:t>
      </w:r>
    </w:p>
    <w:p>
      <w:pPr>
        <w:spacing w:after="0" w:line="165"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i w:val="1"/>
          <w:iCs w:val="1"/>
          <w:color w:val="auto"/>
        </w:rPr>
        <w:t>Realized and unrealized losses on derivative instruments, net</w:t>
      </w:r>
    </w:p>
    <w:p>
      <w:pPr>
        <w:spacing w:after="0" w:line="225" w:lineRule="exact"/>
        <w:rPr>
          <w:sz w:val="20"/>
          <w:szCs w:val="20"/>
          <w:color w:val="auto"/>
        </w:rPr>
      </w:pPr>
    </w:p>
    <w:p>
      <w:pPr>
        <w:jc w:val="both"/>
        <w:ind w:left="7" w:firstLine="278"/>
        <w:spacing w:after="0" w:line="276" w:lineRule="auto"/>
        <w:rPr>
          <w:sz w:val="20"/>
          <w:szCs w:val="20"/>
          <w:color w:val="auto"/>
        </w:rPr>
      </w:pPr>
      <w:r>
        <w:rPr>
          <w:rFonts w:ascii="Times New Roman" w:cs="Times New Roman" w:eastAsia="Times New Roman" w:hAnsi="Times New Roman"/>
          <w:sz w:val="15"/>
          <w:szCs w:val="15"/>
          <w:color w:val="auto"/>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losses on derivative instruments, net, are as follows:</w:t>
      </w:r>
    </w:p>
    <w:p>
      <w:pPr>
        <w:spacing w:after="0" w:line="57"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2580" w:type="dxa"/>
            <w:vAlign w:val="bottom"/>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2140" w:type="dxa"/>
            <w:vAlign w:val="bottom"/>
            <w:gridSpan w:val="4"/>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4"/>
        </w:trPr>
        <w:tc>
          <w:tcPr>
            <w:tcW w:w="61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177"/>
        </w:trPr>
        <w:tc>
          <w:tcPr>
            <w:tcW w:w="6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6"/>
        </w:trPr>
        <w:tc>
          <w:tcPr>
            <w:tcW w:w="6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gridSpan w:val="3"/>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40"/>
        </w:trPr>
        <w:tc>
          <w:tcPr>
            <w:tcW w:w="6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97"/>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Cross-currency and interest rate derivative contracts (a)</w:t>
            </w:r>
          </w:p>
        </w:tc>
        <w:tc>
          <w:tcPr>
            <w:tcW w:w="760" w:type="dxa"/>
            <w:vAlign w:val="bottom"/>
            <w:shd w:val="clear" w:color="auto" w:fill="CCEEFF"/>
          </w:tcPr>
          <w:p>
            <w:pPr>
              <w:jc w:val="right"/>
              <w:ind w:right="607"/>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(239.7)</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(397.3)</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w:t>
            </w:r>
          </w:p>
        </w:tc>
      </w:tr>
      <w:tr>
        <w:trPr>
          <w:trHeight w:val="197"/>
        </w:trPr>
        <w:tc>
          <w:tcPr>
            <w:tcW w:w="6160" w:type="dxa"/>
            <w:vAlign w:val="bottom"/>
          </w:tcPr>
          <w:p>
            <w:pPr>
              <w:spacing w:after="0"/>
              <w:rPr>
                <w:sz w:val="20"/>
                <w:szCs w:val="20"/>
                <w:color w:val="auto"/>
              </w:rPr>
            </w:pPr>
            <w:r>
              <w:rPr>
                <w:rFonts w:ascii="Times New Roman" w:cs="Times New Roman" w:eastAsia="Times New Roman" w:hAnsi="Times New Roman"/>
                <w:sz w:val="15"/>
                <w:szCs w:val="15"/>
                <w:color w:val="auto"/>
              </w:rPr>
              <w:t>Equity-related derivative instruments (b)</w:t>
            </w:r>
          </w:p>
        </w:tc>
        <w:tc>
          <w:tcPr>
            <w:tcW w:w="7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(110.7)</w:t>
            </w:r>
          </w:p>
        </w:tc>
      </w:tr>
      <w:tr>
        <w:trPr>
          <w:trHeight w:val="197"/>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Foreign currency forward and option contracts</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w:t>
            </w:r>
          </w:p>
        </w:tc>
      </w:tr>
      <w:tr>
        <w:trPr>
          <w:trHeight w:val="197"/>
        </w:trPr>
        <w:tc>
          <w:tcPr>
            <w:tcW w:w="6160" w:type="dxa"/>
            <w:vAlign w:val="bottom"/>
          </w:tcPr>
          <w:p>
            <w:pPr>
              <w:spacing w:after="0"/>
              <w:rPr>
                <w:sz w:val="20"/>
                <w:szCs w:val="20"/>
                <w:color w:val="auto"/>
              </w:rPr>
            </w:pPr>
            <w:r>
              <w:rPr>
                <w:rFonts w:ascii="Times New Roman" w:cs="Times New Roman" w:eastAsia="Times New Roman" w:hAnsi="Times New Roman"/>
                <w:sz w:val="15"/>
                <w:szCs w:val="15"/>
                <w:color w:val="auto"/>
              </w:rPr>
              <w:t>Other</w:t>
            </w:r>
          </w:p>
        </w:tc>
        <w:tc>
          <w:tcPr>
            <w:tcW w:w="76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213"/>
        </w:trPr>
        <w:tc>
          <w:tcPr>
            <w:tcW w:w="61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w:t>
            </w:r>
          </w:p>
        </w:tc>
        <w:tc>
          <w:tcPr>
            <w:tcW w:w="760" w:type="dxa"/>
            <w:vAlign w:val="bottom"/>
            <w:tcBorders>
              <w:top w:val="single" w:sz="8" w:color="auto"/>
              <w:bottom w:val="single" w:sz="8" w:color="auto"/>
            </w:tcBorders>
            <w:shd w:val="clear" w:color="auto" w:fill="CCEEFF"/>
          </w:tcPr>
          <w:p>
            <w:pPr>
              <w:jc w:val="right"/>
              <w:ind w:right="607"/>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(617.1)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(39.3)</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_______________</w:t>
      </w:r>
    </w:p>
    <w:p>
      <w:pPr>
        <w:spacing w:after="0" w:line="221" w:lineRule="exact"/>
        <w:rPr>
          <w:sz w:val="20"/>
          <w:szCs w:val="20"/>
          <w:color w:val="auto"/>
        </w:rPr>
      </w:pPr>
    </w:p>
    <w:p>
      <w:pPr>
        <w:jc w:val="both"/>
        <w:ind w:left="407" w:hanging="407"/>
        <w:spacing w:after="0" w:line="270" w:lineRule="auto"/>
        <w:tabs>
          <w:tab w:leader="none" w:pos="405"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results for the 2025 periods are primarily attributable to the net effect of (i) a net gain for the three-month period and a net loss for the nine-month period associated with changes in the relative value of certain currencies and (ii) net gains associated with changes in certain market interest rates. In addition, the results for the 2025 periods include a net gain (loss) of ($6.1 million) and $3.3 million, respectively, resulting from changes in our credit risk valuation adjustments. The results for the 2024 periods are attributable to net losses associated with changes in (a) certain market interest rates</w:t>
      </w:r>
    </w:p>
    <w:p>
      <w:pPr>
        <w:spacing w:after="0" w:line="200" w:lineRule="exact"/>
        <w:rPr>
          <w:sz w:val="20"/>
          <w:szCs w:val="20"/>
          <w:color w:val="auto"/>
        </w:rPr>
      </w:pPr>
    </w:p>
    <w:p>
      <w:pPr>
        <w:spacing w:after="0" w:line="27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816" w:right="319" w:bottom="1440" w:gutter="0" w:footer="0" w:header="0"/>
        </w:sectPr>
      </w:pPr>
    </w:p>
    <w:bookmarkStart w:id="72" w:name="page73"/>
    <w:bookmarkEnd w:id="72"/>
    <w:p>
      <w:pPr>
        <w:ind w:left="407" w:right="20"/>
        <w:spacing w:after="0" w:line="295" w:lineRule="auto"/>
        <w:rPr>
          <w:sz w:val="20"/>
          <w:szCs w:val="20"/>
          <w:color w:val="auto"/>
        </w:rPr>
      </w:pPr>
      <w:r>
        <w:rPr>
          <w:rFonts w:ascii="Times New Roman" w:cs="Times New Roman" w:eastAsia="Times New Roman" w:hAnsi="Times New Roman"/>
          <w:sz w:val="15"/>
          <w:szCs w:val="15"/>
          <w:color w:val="auto"/>
        </w:rPr>
        <w:t>and (b) the relative value of certain currencies. In addition, the results for the 2024 periods include a net gain (loss) of $3.5 million and ($2.0 million), respectively, resulting from changes in our credit risk valuation adjustments.</w:t>
      </w:r>
    </w:p>
    <w:p>
      <w:pPr>
        <w:spacing w:after="0" w:line="155" w:lineRule="exact"/>
        <w:rPr>
          <w:sz w:val="20"/>
          <w:szCs w:val="20"/>
          <w:color w:val="auto"/>
        </w:rPr>
      </w:pPr>
    </w:p>
    <w:p>
      <w:pPr>
        <w:ind w:left="407" w:right="20" w:hanging="407"/>
        <w:spacing w:after="0" w:line="295" w:lineRule="auto"/>
        <w:tabs>
          <w:tab w:leader="none" w:pos="402"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recurring fair value measurements of our equity-related derivative instruments are based on Black-Scholes pricing models. For additional information regarding the Vodafone Collar, which was fully settled in 2025, see note 5 to our condensed consolidated financial statements.</w:t>
      </w:r>
    </w:p>
    <w:p>
      <w:pPr>
        <w:spacing w:after="0" w:line="151" w:lineRule="exact"/>
        <w:rPr>
          <w:sz w:val="20"/>
          <w:szCs w:val="20"/>
          <w:color w:val="auto"/>
        </w:rPr>
      </w:pPr>
    </w:p>
    <w:p>
      <w:pPr>
        <w:jc w:val="both"/>
        <w:ind w:left="7" w:right="20" w:firstLine="278"/>
        <w:spacing w:after="0" w:line="300" w:lineRule="auto"/>
        <w:rPr>
          <w:sz w:val="20"/>
          <w:szCs w:val="20"/>
          <w:color w:val="auto"/>
        </w:rPr>
      </w:pPr>
      <w:r>
        <w:rPr>
          <w:rFonts w:ascii="Times New Roman" w:cs="Times New Roman" w:eastAsia="Times New Roman" w:hAnsi="Times New Roman"/>
          <w:sz w:val="15"/>
          <w:szCs w:val="15"/>
          <w:color w:val="auto"/>
        </w:rPr>
        <w:t xml:space="preserve">For additional information concerning our derivative instruments, see notes 6 and 7 to our condensed consolidated financial statements and Part I, Item 3. </w:t>
      </w:r>
      <w:r>
        <w:rPr>
          <w:rFonts w:ascii="Times New Roman" w:cs="Times New Roman" w:eastAsia="Times New Roman" w:hAnsi="Times New Roman"/>
          <w:sz w:val="15"/>
          <w:szCs w:val="15"/>
          <w:i w:val="1"/>
          <w:iCs w:val="1"/>
          <w:color w:val="auto"/>
        </w:rPr>
        <w:t>Quantitative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Qualitative Disclosures about Market Risk </w:t>
      </w:r>
      <w:r>
        <w:rPr>
          <w:rFonts w:ascii="Times New Roman" w:cs="Times New Roman" w:eastAsia="Times New Roman" w:hAnsi="Times New Roman"/>
          <w:sz w:val="15"/>
          <w:szCs w:val="15"/>
          <w:color w:val="auto"/>
        </w:rPr>
        <w:t>below.</w:t>
      </w:r>
    </w:p>
    <w:p>
      <w:pPr>
        <w:spacing w:after="0" w:line="148"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i w:val="1"/>
          <w:iCs w:val="1"/>
          <w:color w:val="auto"/>
        </w:rPr>
        <w:t>Foreign currency transaction gains (losses), net</w:t>
      </w:r>
    </w:p>
    <w:p>
      <w:pPr>
        <w:spacing w:after="0" w:line="225" w:lineRule="exact"/>
        <w:rPr>
          <w:sz w:val="20"/>
          <w:szCs w:val="20"/>
          <w:color w:val="auto"/>
        </w:rPr>
      </w:pPr>
    </w:p>
    <w:p>
      <w:pPr>
        <w:jc w:val="both"/>
        <w:ind w:left="7" w:right="20" w:firstLine="278"/>
        <w:spacing w:after="0" w:line="276" w:lineRule="auto"/>
        <w:rPr>
          <w:sz w:val="20"/>
          <w:szCs w:val="20"/>
          <w:color w:val="auto"/>
        </w:rPr>
      </w:pPr>
      <w:r>
        <w:rPr>
          <w:rFonts w:ascii="Times New Roman" w:cs="Times New Roman" w:eastAsia="Times New Roman" w:hAnsi="Times New Roman"/>
          <w:sz w:val="15"/>
          <w:szCs w:val="15"/>
          <w:color w:val="auto"/>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gains (losses), net, are as follows:</w:t>
      </w:r>
    </w:p>
    <w:p>
      <w:pPr>
        <w:spacing w:after="0" w:line="57"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256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Three months ended</w:t>
            </w:r>
          </w:p>
        </w:tc>
        <w:tc>
          <w:tcPr>
            <w:tcW w:w="360" w:type="dxa"/>
            <w:vAlign w:val="bottom"/>
          </w:tcPr>
          <w:p>
            <w:pPr>
              <w:spacing w:after="0"/>
              <w:rPr>
                <w:sz w:val="13"/>
                <w:szCs w:val="13"/>
                <w:color w:val="auto"/>
              </w:rPr>
            </w:pPr>
          </w:p>
        </w:tc>
        <w:tc>
          <w:tcPr>
            <w:tcW w:w="2120" w:type="dxa"/>
            <w:vAlign w:val="bottom"/>
            <w:gridSpan w:val="4"/>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4"/>
        </w:trPr>
        <w:tc>
          <w:tcPr>
            <w:tcW w:w="62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77"/>
        </w:trPr>
        <w:tc>
          <w:tcPr>
            <w:tcW w:w="622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6"/>
        </w:trPr>
        <w:tc>
          <w:tcPr>
            <w:tcW w:w="6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gridSpan w:val="3"/>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6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7"/>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Intercompany balances denominated in a currency other than the entity’s functional currency (a)</w:t>
            </w:r>
          </w:p>
        </w:tc>
        <w:tc>
          <w:tcPr>
            <w:tcW w:w="760" w:type="dxa"/>
            <w:vAlign w:val="bottom"/>
            <w:shd w:val="clear" w:color="auto" w:fill="CCEEFF"/>
          </w:tcPr>
          <w:p>
            <w:pPr>
              <w:jc w:val="right"/>
              <w:ind w:right="587"/>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13.6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(1,065.4)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(3,580.1)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(233.2)</w:t>
            </w:r>
          </w:p>
        </w:tc>
      </w:tr>
      <w:tr>
        <w:trPr>
          <w:trHeight w:val="197"/>
        </w:trPr>
        <w:tc>
          <w:tcPr>
            <w:tcW w:w="6220" w:type="dxa"/>
            <w:vAlign w:val="bottom"/>
          </w:tcPr>
          <w:p>
            <w:pPr>
              <w:spacing w:after="0"/>
              <w:rPr>
                <w:sz w:val="20"/>
                <w:szCs w:val="20"/>
                <w:color w:val="auto"/>
              </w:rPr>
            </w:pPr>
            <w:r>
              <w:rPr>
                <w:rFonts w:ascii="Times New Roman" w:cs="Times New Roman" w:eastAsia="Times New Roman" w:hAnsi="Times New Roman"/>
                <w:sz w:val="15"/>
                <w:szCs w:val="15"/>
                <w:color w:val="auto"/>
              </w:rPr>
              <w:t>U.S. dollar-denominated debt issued by euro functional currency entities</w:t>
            </w:r>
          </w:p>
        </w:tc>
        <w:tc>
          <w:tcPr>
            <w:tcW w:w="760" w:type="dxa"/>
            <w:vAlign w:val="bottom"/>
          </w:tcPr>
          <w:p>
            <w:pPr>
              <w:spacing w:after="0"/>
              <w:rPr>
                <w:sz w:val="17"/>
                <w:szCs w:val="17"/>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423.3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w:t>
            </w:r>
          </w:p>
        </w:tc>
      </w:tr>
      <w:tr>
        <w:trPr>
          <w:trHeight w:val="197"/>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restricted cash denominated in a currency other than the entity’s functional currency</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r>
      <w:tr>
        <w:trPr>
          <w:trHeight w:val="197"/>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w:t>
            </w:r>
          </w:p>
        </w:tc>
        <w:tc>
          <w:tcPr>
            <w:tcW w:w="7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213"/>
        </w:trPr>
        <w:tc>
          <w:tcPr>
            <w:tcW w:w="6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w:t>
            </w:r>
          </w:p>
        </w:tc>
        <w:tc>
          <w:tcPr>
            <w:tcW w:w="760" w:type="dxa"/>
            <w:vAlign w:val="bottom"/>
            <w:tcBorders>
              <w:bottom w:val="single" w:sz="8" w:color="auto"/>
            </w:tcBorders>
            <w:shd w:val="clear" w:color="auto" w:fill="CCEEFF"/>
          </w:tcPr>
          <w:p>
            <w:pPr>
              <w:jc w:val="right"/>
              <w:ind w:right="587"/>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(934.9)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(3,160.9)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(202.1)</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_______________</w:t>
      </w:r>
    </w:p>
    <w:p>
      <w:pPr>
        <w:spacing w:after="0" w:line="221" w:lineRule="exact"/>
        <w:rPr>
          <w:sz w:val="20"/>
          <w:szCs w:val="20"/>
          <w:color w:val="auto"/>
        </w:rPr>
      </w:pPr>
    </w:p>
    <w:p>
      <w:pPr>
        <w:ind w:left="407" w:hanging="407"/>
        <w:spacing w:after="0"/>
        <w:tabs>
          <w:tab w:leader="none" w:pos="407"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primarily relate to loans between certain of our non-operating subsidiaries in Europe.</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30" w:lineRule="exact"/>
        <w:rPr>
          <w:rFonts w:ascii="Times New Roman" w:cs="Times New Roman" w:eastAsia="Times New Roman" w:hAnsi="Times New Roman"/>
          <w:sz w:val="15"/>
          <w:szCs w:val="15"/>
          <w:color w:val="auto"/>
        </w:rPr>
      </w:pPr>
    </w:p>
    <w:p>
      <w:pPr>
        <w:ind w:left="5547"/>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819" w:right="319" w:bottom="1440" w:gutter="0" w:footer="0" w:header="0"/>
        </w:sectPr>
      </w:pPr>
    </w:p>
    <w:bookmarkStart w:id="73" w:name="page74"/>
    <w:bookmarkEnd w:id="73"/>
    <w:p>
      <w:pPr>
        <w:ind w:left="147"/>
        <w:spacing w:after="0"/>
        <w:rPr>
          <w:sz w:val="20"/>
          <w:szCs w:val="20"/>
          <w:color w:val="auto"/>
        </w:rPr>
      </w:pPr>
      <w:r>
        <w:rPr>
          <w:rFonts w:ascii="Times New Roman" w:cs="Times New Roman" w:eastAsia="Times New Roman" w:hAnsi="Times New Roman"/>
          <w:sz w:val="15"/>
          <w:szCs w:val="15"/>
          <w:i w:val="1"/>
          <w:iCs w:val="1"/>
          <w:color w:val="auto"/>
        </w:rPr>
        <w:t>Realized and unrealized gains (losses) due to changes in fair values of certain investments, net</w:t>
      </w:r>
    </w:p>
    <w:p>
      <w:pPr>
        <w:spacing w:after="0" w:line="225" w:lineRule="exact"/>
        <w:rPr>
          <w:sz w:val="20"/>
          <w:szCs w:val="20"/>
          <w:color w:val="auto"/>
        </w:rPr>
      </w:pPr>
    </w:p>
    <w:p>
      <w:pPr>
        <w:jc w:val="both"/>
        <w:ind w:left="7" w:firstLine="278"/>
        <w:spacing w:after="0" w:line="270" w:lineRule="auto"/>
        <w:rPr>
          <w:sz w:val="20"/>
          <w:szCs w:val="20"/>
          <w:color w:val="auto"/>
        </w:rPr>
      </w:pPr>
      <w:r>
        <w:rPr>
          <w:rFonts w:ascii="Times New Roman" w:cs="Times New Roman" w:eastAsia="Times New Roman" w:hAnsi="Times New Roman"/>
          <w:sz w:val="15"/>
          <w:szCs w:val="15"/>
          <w:color w:val="auto"/>
        </w:rPr>
        <w:t>Our realized and unrealized gains or losses due to changes in fair values of certain investments include unrealized gains or losses associated with changes in fair values that are non-cash in nature until such time as these gains or losses are realized through cash transactions. For additional information regarding our investments and fair value measurements, see notes 5 and 7, respectively, to our condensed consolidated financial statements. The details of our realized and unrealized gains (losses) due to changes in fair values of certain investments, net, are as follows:</w:t>
      </w:r>
    </w:p>
    <w:p>
      <w:pPr>
        <w:spacing w:after="0" w:line="61"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2080" w:type="dxa"/>
            <w:vAlign w:val="bottom"/>
            <w:gridSpan w:val="4"/>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60" w:type="dxa"/>
            <w:vAlign w:val="bottom"/>
            <w:gridSpan w:val="4"/>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4"/>
        </w:trPr>
        <w:tc>
          <w:tcPr>
            <w:tcW w:w="6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177"/>
        </w:trPr>
        <w:tc>
          <w:tcPr>
            <w:tcW w:w="612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6"/>
        </w:trPr>
        <w:tc>
          <w:tcPr>
            <w:tcW w:w="6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gridSpan w:val="3"/>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40"/>
        </w:trPr>
        <w:tc>
          <w:tcPr>
            <w:tcW w:w="6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97"/>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Vodafone</w:t>
            </w:r>
          </w:p>
        </w:tc>
        <w:tc>
          <w:tcPr>
            <w:tcW w:w="780" w:type="dxa"/>
            <w:vAlign w:val="bottom"/>
            <w:shd w:val="clear" w:color="auto" w:fill="CCEEFF"/>
          </w:tcPr>
          <w:p>
            <w:pPr>
              <w:jc w:val="right"/>
              <w:ind w:right="607"/>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86.1</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05"/>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207.7</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163.8</w:t>
            </w:r>
          </w:p>
        </w:tc>
      </w:tr>
      <w:tr>
        <w:trPr>
          <w:trHeight w:val="197"/>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ITV</w:t>
            </w:r>
          </w:p>
        </w:tc>
        <w:tc>
          <w:tcPr>
            <w:tcW w:w="7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58.9</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104.7</w:t>
            </w:r>
          </w:p>
        </w:tc>
      </w:tr>
      <w:tr>
        <w:trPr>
          <w:trHeight w:val="197"/>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Televisa Univision</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(76.4)</w:t>
            </w:r>
          </w:p>
        </w:tc>
      </w:tr>
      <w:tr>
        <w:trPr>
          <w:trHeight w:val="197"/>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Plume</w:t>
            </w:r>
          </w:p>
        </w:tc>
        <w:tc>
          <w:tcPr>
            <w:tcW w:w="7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(70.3)</w:t>
            </w:r>
          </w:p>
        </w:tc>
      </w:tr>
      <w:tr>
        <w:trPr>
          <w:trHeight w:val="197"/>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SMAs</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3.7</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w:t>
            </w:r>
          </w:p>
        </w:tc>
      </w:tr>
      <w:tr>
        <w:trPr>
          <w:trHeight w:val="197"/>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Aviatrix</w:t>
            </w:r>
          </w:p>
        </w:tc>
        <w:tc>
          <w:tcPr>
            <w:tcW w:w="7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w:t>
            </w:r>
          </w:p>
        </w:tc>
      </w:tr>
      <w:tr>
        <w:trPr>
          <w:trHeight w:val="197"/>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EdgeConneX</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0.3</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78.3</w:t>
            </w:r>
          </w:p>
        </w:tc>
      </w:tr>
      <w:tr>
        <w:trPr>
          <w:trHeight w:val="197"/>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Lionsgate (a)</w:t>
            </w:r>
          </w:p>
        </w:tc>
        <w:tc>
          <w:tcPr>
            <w:tcW w:w="780" w:type="dxa"/>
            <w:vAlign w:val="bottom"/>
          </w:tcPr>
          <w:p>
            <w:pPr>
              <w:spacing w:after="0"/>
              <w:rPr>
                <w:sz w:val="17"/>
                <w:szCs w:val="17"/>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7.7</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w:t>
            </w:r>
          </w:p>
        </w:tc>
      </w:tr>
      <w:tr>
        <w:trPr>
          <w:trHeight w:val="197"/>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Pax8 (b)</w:t>
            </w:r>
          </w:p>
        </w:tc>
        <w:tc>
          <w:tcPr>
            <w:tcW w:w="7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w:t>
            </w:r>
          </w:p>
        </w:tc>
      </w:tr>
      <w:tr>
        <w:trPr>
          <w:trHeight w:val="197"/>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Lacework (c)</w:t>
            </w:r>
          </w:p>
        </w:tc>
        <w:tc>
          <w:tcPr>
            <w:tcW w:w="78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(75.8)</w:t>
            </w:r>
          </w:p>
        </w:tc>
      </w:tr>
      <w:tr>
        <w:trPr>
          <w:trHeight w:val="197"/>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net</w:t>
            </w:r>
          </w:p>
        </w:tc>
        <w:tc>
          <w:tcPr>
            <w:tcW w:w="7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(38.5)</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w:t>
            </w:r>
          </w:p>
        </w:tc>
      </w:tr>
      <w:tr>
        <w:trPr>
          <w:trHeight w:val="188"/>
        </w:trPr>
        <w:tc>
          <w:tcPr>
            <w:tcW w:w="61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w:t>
            </w:r>
          </w:p>
        </w:tc>
        <w:tc>
          <w:tcPr>
            <w:tcW w:w="780" w:type="dxa"/>
            <w:vAlign w:val="bottom"/>
            <w:tcBorders>
              <w:bottom w:val="single" w:sz="8" w:color="auto"/>
            </w:tcBorders>
          </w:tcPr>
          <w:p>
            <w:pPr>
              <w:jc w:val="right"/>
              <w:ind w:right="607"/>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64.4</w:t>
            </w:r>
          </w:p>
        </w:tc>
        <w:tc>
          <w:tcPr>
            <w:tcW w:w="100" w:type="dxa"/>
            <w:vAlign w:val="bottom"/>
          </w:tcPr>
          <w:p>
            <w:pPr>
              <w:spacing w:after="0"/>
              <w:rPr>
                <w:sz w:val="16"/>
                <w:szCs w:val="16"/>
                <w:color w:val="auto"/>
              </w:rPr>
            </w:pPr>
          </w:p>
        </w:tc>
        <w:tc>
          <w:tcPr>
            <w:tcW w:w="760" w:type="dxa"/>
            <w:vAlign w:val="bottom"/>
            <w:tcBorders>
              <w:bottom w:val="single" w:sz="8" w:color="auto"/>
            </w:tcBorders>
          </w:tcPr>
          <w:p>
            <w:pPr>
              <w:jc w:val="right"/>
              <w:ind w:right="605"/>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(45.6)</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175.5</w:t>
            </w:r>
          </w:p>
        </w:tc>
        <w:tc>
          <w:tcPr>
            <w:tcW w:w="120" w:type="dxa"/>
            <w:vAlign w:val="bottom"/>
          </w:tcPr>
          <w:p>
            <w:pPr>
              <w:spacing w:after="0"/>
              <w:rPr>
                <w:sz w:val="16"/>
                <w:szCs w:val="16"/>
                <w:color w:val="auto"/>
              </w:rPr>
            </w:pPr>
          </w:p>
        </w:tc>
        <w:tc>
          <w:tcPr>
            <w:tcW w:w="4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37.7</w:t>
            </w:r>
          </w:p>
        </w:tc>
      </w:tr>
      <w:tr>
        <w:trPr>
          <w:trHeight w:val="20"/>
        </w:trPr>
        <w:tc>
          <w:tcPr>
            <w:tcW w:w="6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______________</w:t>
      </w:r>
    </w:p>
    <w:p>
      <w:pPr>
        <w:spacing w:after="0" w:line="221" w:lineRule="exact"/>
        <w:rPr>
          <w:sz w:val="20"/>
          <w:szCs w:val="20"/>
          <w:color w:val="auto"/>
        </w:rPr>
      </w:pPr>
    </w:p>
    <w:p>
      <w:pPr>
        <w:ind w:left="407" w:right="20" w:hanging="407"/>
        <w:spacing w:after="0" w:line="295" w:lineRule="auto"/>
        <w:tabs>
          <w:tab w:leader="none" w:pos="405"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represent the change in fair value of our investment in Lionsgate, both before and after the Lionsgate Separation. Following the Lionsgate Separation, changes in fair value related to our investment in Starz are included in ‘Other, net’ in the above table.</w:t>
      </w:r>
    </w:p>
    <w:p>
      <w:pPr>
        <w:spacing w:after="0" w:line="154" w:lineRule="exact"/>
        <w:rPr>
          <w:rFonts w:ascii="Times New Roman" w:cs="Times New Roman" w:eastAsia="Times New Roman" w:hAnsi="Times New Roman"/>
          <w:sz w:val="15"/>
          <w:szCs w:val="15"/>
          <w:color w:val="auto"/>
        </w:rPr>
      </w:pPr>
    </w:p>
    <w:p>
      <w:pPr>
        <w:ind w:left="407" w:hanging="407"/>
        <w:spacing w:after="0"/>
        <w:tabs>
          <w:tab w:leader="none" w:pos="407"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completed the sale of our investment in Pax8 during the fourth quarter of 2024.</w:t>
      </w:r>
    </w:p>
    <w:p>
      <w:pPr>
        <w:spacing w:after="0" w:line="221" w:lineRule="exact"/>
        <w:rPr>
          <w:rFonts w:ascii="Times New Roman" w:cs="Times New Roman" w:eastAsia="Times New Roman" w:hAnsi="Times New Roman"/>
          <w:sz w:val="15"/>
          <w:szCs w:val="15"/>
          <w:color w:val="auto"/>
        </w:rPr>
      </w:pPr>
    </w:p>
    <w:p>
      <w:pPr>
        <w:ind w:left="407" w:hanging="407"/>
        <w:spacing w:after="0"/>
        <w:tabs>
          <w:tab w:leader="none" w:pos="407"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completed the sale of our investment in Lacework during the third quarter of 2024.</w:t>
      </w:r>
    </w:p>
    <w:p>
      <w:pPr>
        <w:spacing w:after="0" w:line="217"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i w:val="1"/>
          <w:iCs w:val="1"/>
          <w:color w:val="auto"/>
        </w:rPr>
        <w:t>Losses on debt extinguishment, net</w:t>
      </w:r>
    </w:p>
    <w:p>
      <w:pPr>
        <w:spacing w:after="0" w:line="225" w:lineRule="exact"/>
        <w:rPr>
          <w:sz w:val="20"/>
          <w:szCs w:val="20"/>
          <w:color w:val="auto"/>
        </w:rPr>
      </w:pPr>
    </w:p>
    <w:p>
      <w:pPr>
        <w:jc w:val="both"/>
        <w:ind w:left="7" w:firstLine="278"/>
        <w:spacing w:after="0" w:line="276" w:lineRule="auto"/>
        <w:rPr>
          <w:sz w:val="20"/>
          <w:szCs w:val="20"/>
          <w:color w:val="auto"/>
        </w:rPr>
      </w:pPr>
      <w:r>
        <w:rPr>
          <w:rFonts w:ascii="Times New Roman" w:cs="Times New Roman" w:eastAsia="Times New Roman" w:hAnsi="Times New Roman"/>
          <w:sz w:val="15"/>
          <w:szCs w:val="15"/>
          <w:color w:val="auto"/>
        </w:rPr>
        <w:t>We recognized net losses on debt extinguishment of $11.2 million and $20.1 million during the three and nine months ended September 30, 2025, respectively, related to the write-off of unamortized deferred financing costs and discounts. For additional information concerning our losses on debt extinguishment, net, see note 9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816" w:right="319" w:bottom="1440" w:gutter="0" w:footer="0" w:header="0"/>
        </w:sectPr>
      </w:pPr>
    </w:p>
    <w:bookmarkStart w:id="74" w:name="page75"/>
    <w:bookmarkEnd w:id="74"/>
    <w:p>
      <w:pPr>
        <w:ind w:left="147"/>
        <w:spacing w:after="0"/>
        <w:rPr>
          <w:sz w:val="20"/>
          <w:szCs w:val="20"/>
          <w:color w:val="auto"/>
        </w:rPr>
      </w:pPr>
      <w:r>
        <w:rPr>
          <w:rFonts w:ascii="Times New Roman" w:cs="Times New Roman" w:eastAsia="Times New Roman" w:hAnsi="Times New Roman"/>
          <w:sz w:val="15"/>
          <w:szCs w:val="15"/>
          <w:i w:val="1"/>
          <w:iCs w:val="1"/>
          <w:color w:val="auto"/>
        </w:rPr>
        <w:t>Share of results of affiliates, net</w:t>
      </w:r>
    </w:p>
    <w:p>
      <w:pPr>
        <w:spacing w:after="0" w:line="225"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color w:val="auto"/>
        </w:rPr>
        <w:t>The following table sets forth the details of our share of results of affiliates, net:</w:t>
      </w:r>
    </w:p>
    <w:p>
      <w:pPr>
        <w:spacing w:after="0" w:line="109"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2620" w:type="dxa"/>
            <w:vAlign w:val="bottom"/>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2160" w:type="dxa"/>
            <w:vAlign w:val="bottom"/>
            <w:gridSpan w:val="4"/>
          </w:tcPr>
          <w:p>
            <w:pPr>
              <w:jc w:val="center"/>
              <w:ind w:right="28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4"/>
        </w:trPr>
        <w:tc>
          <w:tcPr>
            <w:tcW w:w="6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365"/>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800" w:type="dxa"/>
            <w:vAlign w:val="bottom"/>
            <w:tcBorders>
              <w:bottom w:val="single" w:sz="8" w:color="auto"/>
            </w:tcBorders>
          </w:tcPr>
          <w:p>
            <w:pPr>
              <w:spacing w:after="0"/>
              <w:rPr>
                <w:sz w:val="16"/>
                <w:szCs w:val="16"/>
                <w:color w:val="auto"/>
              </w:rPr>
            </w:pPr>
          </w:p>
        </w:tc>
      </w:tr>
      <w:tr>
        <w:trPr>
          <w:trHeight w:val="177"/>
        </w:trPr>
        <w:tc>
          <w:tcPr>
            <w:tcW w:w="612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6"/>
        </w:trPr>
        <w:tc>
          <w:tcPr>
            <w:tcW w:w="6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gridSpan w:val="3"/>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40"/>
        </w:trPr>
        <w:tc>
          <w:tcPr>
            <w:tcW w:w="6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97"/>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VMO2 JV (a)</w:t>
            </w:r>
          </w:p>
        </w:tc>
        <w:tc>
          <w:tcPr>
            <w:tcW w:w="780" w:type="dxa"/>
            <w:vAlign w:val="bottom"/>
            <w:shd w:val="clear" w:color="auto" w:fill="CCEEFF"/>
          </w:tcPr>
          <w:p>
            <w:pPr>
              <w:jc w:val="right"/>
              <w:ind w:right="607"/>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(258.9)</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w:t>
            </w:r>
          </w:p>
        </w:tc>
      </w:tr>
      <w:tr>
        <w:trPr>
          <w:trHeight w:val="197"/>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VodafoneZiggo JV (b)</w:t>
            </w:r>
          </w:p>
        </w:tc>
        <w:tc>
          <w:tcPr>
            <w:tcW w:w="780" w:type="dxa"/>
            <w:vAlign w:val="bottom"/>
          </w:tcPr>
          <w:p>
            <w:pPr>
              <w:spacing w:after="0"/>
              <w:rPr>
                <w:sz w:val="17"/>
                <w:szCs w:val="17"/>
                <w:color w:val="auto"/>
              </w:rPr>
            </w:pPr>
          </w:p>
        </w:tc>
        <w:tc>
          <w:tcPr>
            <w:tcW w:w="4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w:t>
            </w:r>
          </w:p>
        </w:tc>
      </w:tr>
      <w:tr>
        <w:trPr>
          <w:trHeight w:val="197"/>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AtlasEdge JV</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(57.7)</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w:t>
            </w:r>
          </w:p>
        </w:tc>
      </w:tr>
      <w:tr>
        <w:trPr>
          <w:trHeight w:val="197"/>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nexfibre JV</w:t>
            </w:r>
          </w:p>
        </w:tc>
        <w:tc>
          <w:tcPr>
            <w:tcW w:w="7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197"/>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Formula E (c)</w:t>
            </w:r>
          </w:p>
        </w:tc>
        <w:tc>
          <w:tcPr>
            <w:tcW w:w="7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w:t>
            </w:r>
          </w:p>
        </w:tc>
      </w:tr>
      <w:tr>
        <w:trPr>
          <w:trHeight w:val="197"/>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All3Media (d)</w:t>
            </w:r>
          </w:p>
        </w:tc>
        <w:tc>
          <w:tcPr>
            <w:tcW w:w="78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w:t>
            </w:r>
          </w:p>
        </w:tc>
      </w:tr>
      <w:tr>
        <w:trPr>
          <w:trHeight w:val="197"/>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net</w:t>
            </w:r>
          </w:p>
        </w:tc>
        <w:tc>
          <w:tcPr>
            <w:tcW w:w="7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w:t>
            </w:r>
          </w:p>
        </w:tc>
      </w:tr>
      <w:tr>
        <w:trPr>
          <w:trHeight w:val="188"/>
        </w:trPr>
        <w:tc>
          <w:tcPr>
            <w:tcW w:w="61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Total</w:t>
            </w:r>
          </w:p>
        </w:tc>
        <w:tc>
          <w:tcPr>
            <w:tcW w:w="780" w:type="dxa"/>
            <w:vAlign w:val="bottom"/>
            <w:tcBorders>
              <w:bottom w:val="single" w:sz="8" w:color="auto"/>
            </w:tcBorders>
          </w:tcPr>
          <w:p>
            <w:pPr>
              <w:jc w:val="right"/>
              <w:ind w:right="607"/>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(43.3)</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(132.8)</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(455.9)</w:t>
            </w:r>
          </w:p>
        </w:tc>
        <w:tc>
          <w:tcPr>
            <w:tcW w:w="120" w:type="dxa"/>
            <w:vAlign w:val="bottom"/>
          </w:tcPr>
          <w:p>
            <w:pPr>
              <w:spacing w:after="0"/>
              <w:rPr>
                <w:sz w:val="16"/>
                <w:szCs w:val="16"/>
                <w:color w:val="auto"/>
              </w:rPr>
            </w:pPr>
          </w:p>
        </w:tc>
        <w:tc>
          <w:tcPr>
            <w:tcW w:w="4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(164.4)</w:t>
            </w:r>
          </w:p>
        </w:tc>
      </w:tr>
      <w:tr>
        <w:trPr>
          <w:trHeight w:val="20"/>
        </w:trPr>
        <w:tc>
          <w:tcPr>
            <w:tcW w:w="6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_______________</w:t>
      </w:r>
    </w:p>
    <w:p>
      <w:pPr>
        <w:spacing w:after="0" w:line="221" w:lineRule="exact"/>
        <w:rPr>
          <w:sz w:val="20"/>
          <w:szCs w:val="20"/>
          <w:color w:val="auto"/>
        </w:rPr>
      </w:pPr>
    </w:p>
    <w:p>
      <w:pPr>
        <w:jc w:val="both"/>
        <w:ind w:left="407" w:hanging="407"/>
        <w:spacing w:after="0" w:line="276" w:lineRule="auto"/>
        <w:tabs>
          <w:tab w:leader="none" w:pos="405"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our 50% share of the results of operations of the VMO2 JV and (ii) for the nine months ended September 30, 2024, 100% of the share-based compensation expense associated with Liberty Global awards granted to VMO2 JV employees who were formerly employees of Liberty Global prior to the VMO2 JV formation, as these awards remain our responsibility. The summarized results of operations of the VMO2 JV are set forth below:</w:t>
      </w:r>
    </w:p>
    <w:p>
      <w:pPr>
        <w:spacing w:after="0" w:line="57" w:lineRule="exact"/>
        <w:rPr>
          <w:sz w:val="20"/>
          <w:szCs w:val="20"/>
          <w:color w:val="auto"/>
        </w:rPr>
      </w:pPr>
    </w:p>
    <w:tbl>
      <w:tblPr>
        <w:tblLayout w:type="fixed"/>
        <w:tblInd w:w="407"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2080" w:type="dxa"/>
            <w:vAlign w:val="bottom"/>
            <w:gridSpan w:val="4"/>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4"/>
        </w:trPr>
        <w:tc>
          <w:tcPr>
            <w:tcW w:w="5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77"/>
        </w:trPr>
        <w:tc>
          <w:tcPr>
            <w:tcW w:w="5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6"/>
        </w:trPr>
        <w:tc>
          <w:tcPr>
            <w:tcW w:w="5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5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2"/>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3,436.0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3,512.7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9,935.8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10,170.9</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340" w:type="dxa"/>
            <w:vAlign w:val="bottom"/>
          </w:tcPr>
          <w:p>
            <w:pPr>
              <w:ind w:left="20"/>
              <w:spacing w:after="0" w:line="163" w:lineRule="exact"/>
              <w:rPr>
                <w:sz w:val="20"/>
                <w:szCs w:val="20"/>
                <w:color w:val="auto"/>
              </w:rPr>
            </w:pPr>
            <w:r>
              <w:rPr>
                <w:rFonts w:ascii="Times New Roman" w:cs="Times New Roman" w:eastAsia="Times New Roman" w:hAnsi="Times New Roman"/>
                <w:sz w:val="15"/>
                <w:szCs w:val="15"/>
                <w:color w:val="auto"/>
              </w:rPr>
              <w:t>Adjusted EBITDA</w:t>
            </w:r>
          </w:p>
        </w:tc>
        <w:tc>
          <w:tcPr>
            <w:tcW w:w="260" w:type="dxa"/>
            <w:vAlign w:val="bottom"/>
            <w:tcBorders>
              <w:bottom w:val="single" w:sz="8" w:color="auto"/>
            </w:tcBorders>
          </w:tcPr>
          <w:p>
            <w:pPr>
              <w:jc w:val="right"/>
              <w:ind w:right="103"/>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tcPr>
          <w:p>
            <w:pPr>
              <w:jc w:val="right"/>
              <w:ind w:right="6"/>
              <w:spacing w:after="0" w:line="163" w:lineRule="exact"/>
              <w:rPr>
                <w:sz w:val="20"/>
                <w:szCs w:val="20"/>
                <w:color w:val="auto"/>
              </w:rPr>
            </w:pPr>
            <w:r>
              <w:rPr>
                <w:rFonts w:ascii="Times New Roman" w:cs="Times New Roman" w:eastAsia="Times New Roman" w:hAnsi="Times New Roman"/>
                <w:sz w:val="15"/>
                <w:szCs w:val="15"/>
                <w:color w:val="auto"/>
              </w:rPr>
              <w:t>1,250.3</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3"/>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1,170.9</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63"/>
              <w:spacing w:after="0" w:line="163"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3,496.0</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23"/>
              <w:spacing w:after="0" w:line="163"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3,376.9</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0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w:t>
            </w: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305.0</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609.7</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791.0</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340" w:type="dxa"/>
            <w:vAlign w:val="bottom"/>
          </w:tcPr>
          <w:p>
            <w:pPr>
              <w:ind w:left="20"/>
              <w:spacing w:after="0" w:line="163" w:lineRule="exact"/>
              <w:rPr>
                <w:sz w:val="20"/>
                <w:szCs w:val="20"/>
                <w:color w:val="auto"/>
              </w:rPr>
            </w:pPr>
            <w:r>
              <w:rPr>
                <w:rFonts w:ascii="Times New Roman" w:cs="Times New Roman" w:eastAsia="Times New Roman" w:hAnsi="Times New Roman"/>
                <w:sz w:val="15"/>
                <w:szCs w:val="15"/>
                <w:color w:val="auto"/>
              </w:rPr>
              <w:t>Non-operating expense (1)</w:t>
            </w:r>
          </w:p>
        </w:tc>
        <w:tc>
          <w:tcPr>
            <w:tcW w:w="260" w:type="dxa"/>
            <w:vAlign w:val="bottom"/>
            <w:tcBorders>
              <w:bottom w:val="single" w:sz="8" w:color="auto"/>
            </w:tcBorders>
          </w:tcPr>
          <w:p>
            <w:pPr>
              <w:jc w:val="right"/>
              <w:ind w:right="103"/>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(308.8)</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3"/>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(344.8)</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63"/>
              <w:spacing w:after="0" w:line="163"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(1,229.6)</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23"/>
              <w:spacing w:after="0" w:line="163"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(789.6)</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0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(494.7)</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color w:val="auto"/>
        </w:rPr>
        <w:t>_______________</w:t>
      </w:r>
    </w:p>
    <w:p>
      <w:pPr>
        <w:spacing w:after="0" w:line="221" w:lineRule="exact"/>
        <w:rPr>
          <w:sz w:val="20"/>
          <w:szCs w:val="20"/>
          <w:color w:val="auto"/>
        </w:rPr>
      </w:pPr>
    </w:p>
    <w:p>
      <w:pPr>
        <w:ind w:left="767" w:hanging="351"/>
        <w:spacing w:after="0"/>
        <w:tabs>
          <w:tab w:leader="none" w:pos="767"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interest expense of $413.2 million, $406.4 million, $1,201.8 million and $1,239.5 million in the respective periods shown.</w:t>
      </w:r>
    </w:p>
    <w:p>
      <w:pPr>
        <w:spacing w:after="0" w:line="221" w:lineRule="exact"/>
        <w:rPr>
          <w:sz w:val="20"/>
          <w:szCs w:val="20"/>
          <w:color w:val="auto"/>
        </w:rPr>
      </w:pPr>
    </w:p>
    <w:p>
      <w:pPr>
        <w:jc w:val="both"/>
        <w:ind w:left="7" w:firstLine="278"/>
        <w:spacing w:after="0" w:line="263" w:lineRule="auto"/>
        <w:rPr>
          <w:sz w:val="20"/>
          <w:szCs w:val="20"/>
          <w:color w:val="auto"/>
        </w:rPr>
      </w:pPr>
      <w:r>
        <w:rPr>
          <w:rFonts w:ascii="Times New Roman" w:cs="Times New Roman" w:eastAsia="Times New Roman" w:hAnsi="Times New Roman"/>
          <w:sz w:val="15"/>
          <w:szCs w:val="15"/>
          <w:color w:val="auto"/>
        </w:rPr>
        <w:t>The changes in the VMO2 JV’s revenue during the three and nine months ended September 30, 2025, as compared to the corresponding periods in 2024, are primarily due to the net effect of (i) decreases in other revenue related to low-margin construction revenue from the nexfibre JV, (ii) decreases in mobile revenue due to lower handset revenue and (iii) increases in B2B fixed revenue due the VMO2 JV’s consolidation of the Daisy Group following the merger of the B2B operations of O2 and Daisy, with each revenue category as defined and reported by the VMO2 JV. The changes in the VMO2 JV’s Adjusted EBITDA during the three and nine months ended September 30, 2025, as compared to the corresponding periods in 2024, are primarily due to the net effect of (a) the aforementioned changes in revenue, (b) a provision for legal matters in 2025, (c) a handset inventory-related insurance recovery during the third quarter of 2025 of approximately $27 million related to a loss recognized during the fourth quarter of 2024, (d) cost efficiencies and (e) decreases in the nexfibre JV construction impact to Adjusted EBITDA. In addition, the reported revenue and Adjusted EBITDA amounts are impacted by FX.</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816" w:right="319" w:bottom="1440" w:gutter="0" w:footer="0" w:header="0"/>
        </w:sectPr>
      </w:pPr>
    </w:p>
    <w:bookmarkStart w:id="75" w:name="page76"/>
    <w:bookmarkEnd w:id="75"/>
    <w:p>
      <w:pPr>
        <w:jc w:val="both"/>
        <w:ind w:left="407" w:right="20" w:hanging="407"/>
        <w:spacing w:after="0" w:line="276" w:lineRule="auto"/>
        <w:tabs>
          <w:tab w:leader="none" w:pos="402"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our 50% share of the results of operations of the VodafoneZiggo JV and (ii) interest income of $15.1 million, $14.2 million, $42.8 million and $41.7 million in the respective periods shown, representing 100% of the interest earned on the VodafoneZiggo JV Receivables. The summarized results of operations of the VodafoneZiggo JV are set forth below:</w:t>
      </w:r>
    </w:p>
    <w:p>
      <w:pPr>
        <w:spacing w:after="0" w:line="57" w:lineRule="exact"/>
        <w:rPr>
          <w:sz w:val="20"/>
          <w:szCs w:val="20"/>
          <w:color w:val="auto"/>
        </w:rPr>
      </w:pPr>
    </w:p>
    <w:tbl>
      <w:tblPr>
        <w:tblLayout w:type="fixed"/>
        <w:tblInd w:w="407"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2080" w:type="dxa"/>
            <w:vAlign w:val="bottom"/>
            <w:gridSpan w:val="4"/>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4"/>
        </w:trPr>
        <w:tc>
          <w:tcPr>
            <w:tcW w:w="5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77"/>
        </w:trPr>
        <w:tc>
          <w:tcPr>
            <w:tcW w:w="5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6"/>
        </w:trPr>
        <w:tc>
          <w:tcPr>
            <w:tcW w:w="5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5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2"/>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1,156.8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1,131.1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3,332.1</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3,336.7</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340" w:type="dxa"/>
            <w:vAlign w:val="bottom"/>
          </w:tcPr>
          <w:p>
            <w:pPr>
              <w:ind w:left="20"/>
              <w:spacing w:after="0" w:line="163" w:lineRule="exact"/>
              <w:rPr>
                <w:sz w:val="20"/>
                <w:szCs w:val="20"/>
                <w:color w:val="auto"/>
              </w:rPr>
            </w:pPr>
            <w:r>
              <w:rPr>
                <w:rFonts w:ascii="Times New Roman" w:cs="Times New Roman" w:eastAsia="Times New Roman" w:hAnsi="Times New Roman"/>
                <w:sz w:val="15"/>
                <w:szCs w:val="15"/>
                <w:color w:val="auto"/>
              </w:rPr>
              <w:t>Adjusted EBITDA</w:t>
            </w:r>
          </w:p>
        </w:tc>
        <w:tc>
          <w:tcPr>
            <w:tcW w:w="260" w:type="dxa"/>
            <w:vAlign w:val="bottom"/>
            <w:tcBorders>
              <w:bottom w:val="single" w:sz="8" w:color="auto"/>
            </w:tcBorders>
          </w:tcPr>
          <w:p>
            <w:pPr>
              <w:jc w:val="right"/>
              <w:ind w:right="103"/>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tcPr>
          <w:p>
            <w:pPr>
              <w:jc w:val="right"/>
              <w:ind w:right="6"/>
              <w:spacing w:after="0" w:line="163" w:lineRule="exact"/>
              <w:rPr>
                <w:sz w:val="20"/>
                <w:szCs w:val="20"/>
                <w:color w:val="auto"/>
              </w:rPr>
            </w:pPr>
            <w:r>
              <w:rPr>
                <w:rFonts w:ascii="Times New Roman" w:cs="Times New Roman" w:eastAsia="Times New Roman" w:hAnsi="Times New Roman"/>
                <w:sz w:val="15"/>
                <w:szCs w:val="15"/>
                <w:color w:val="auto"/>
              </w:rPr>
              <w:t>522.2</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3"/>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527.8</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63"/>
              <w:spacing w:after="0" w:line="163"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1,482.0</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23"/>
              <w:spacing w:after="0" w:line="163"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1,565.5</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0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w:t>
            </w: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63.9</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111.3</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292.4</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340" w:type="dxa"/>
            <w:vAlign w:val="bottom"/>
          </w:tcPr>
          <w:p>
            <w:pPr>
              <w:ind w:left="20"/>
              <w:spacing w:after="0" w:line="163" w:lineRule="exact"/>
              <w:rPr>
                <w:sz w:val="20"/>
                <w:szCs w:val="20"/>
                <w:color w:val="auto"/>
              </w:rPr>
            </w:pPr>
            <w:r>
              <w:rPr>
                <w:rFonts w:ascii="Times New Roman" w:cs="Times New Roman" w:eastAsia="Times New Roman" w:hAnsi="Times New Roman"/>
                <w:sz w:val="15"/>
                <w:szCs w:val="15"/>
                <w:color w:val="auto"/>
              </w:rPr>
              <w:t>Non-operating expense (1)</w:t>
            </w:r>
          </w:p>
        </w:tc>
        <w:tc>
          <w:tcPr>
            <w:tcW w:w="260" w:type="dxa"/>
            <w:vAlign w:val="bottom"/>
            <w:tcBorders>
              <w:bottom w:val="single" w:sz="8" w:color="auto"/>
            </w:tcBorders>
          </w:tcPr>
          <w:p>
            <w:pPr>
              <w:jc w:val="right"/>
              <w:ind w:right="103"/>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(145.4)</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3"/>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(259.8)</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63"/>
              <w:spacing w:after="0" w:line="163"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(439.4)</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23"/>
              <w:spacing w:after="0" w:line="163"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(493.9)</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0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(37.0)</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(227.4)</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(161.6)</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color w:val="auto"/>
        </w:rPr>
        <w:t>_______________</w:t>
      </w:r>
    </w:p>
    <w:p>
      <w:pPr>
        <w:spacing w:after="0" w:line="221" w:lineRule="exact"/>
        <w:rPr>
          <w:sz w:val="20"/>
          <w:szCs w:val="20"/>
          <w:color w:val="auto"/>
        </w:rPr>
      </w:pPr>
    </w:p>
    <w:p>
      <w:pPr>
        <w:ind w:left="767" w:hanging="351"/>
        <w:spacing w:after="0"/>
        <w:tabs>
          <w:tab w:leader="none" w:pos="767"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interest expense of $194.5 million, $208.3 million, $574.7 million and $619.5 million in the respective periods shown.</w:t>
      </w:r>
    </w:p>
    <w:p>
      <w:pPr>
        <w:spacing w:after="0" w:line="221" w:lineRule="exact"/>
        <w:rPr>
          <w:sz w:val="20"/>
          <w:szCs w:val="20"/>
          <w:color w:val="auto"/>
        </w:rPr>
      </w:pPr>
    </w:p>
    <w:p>
      <w:pPr>
        <w:jc w:val="both"/>
        <w:ind w:left="7" w:right="20" w:firstLine="278"/>
        <w:spacing w:after="0" w:line="267" w:lineRule="auto"/>
        <w:rPr>
          <w:sz w:val="20"/>
          <w:szCs w:val="20"/>
          <w:color w:val="auto"/>
        </w:rPr>
      </w:pPr>
      <w:r>
        <w:rPr>
          <w:rFonts w:ascii="Times New Roman" w:cs="Times New Roman" w:eastAsia="Times New Roman" w:hAnsi="Times New Roman"/>
          <w:sz w:val="15"/>
          <w:szCs w:val="15"/>
          <w:color w:val="auto"/>
        </w:rPr>
        <w:t>The changes in the VodafoneZiggo JV’s revenue during the three and nine months ended September 30, 2025, as compared to the corresponding periods in 2024, are primarily due to the net effect of (i) decreases in residential fixed revenue, partially offset by the repricing impact, (ii) decreases in mobile revenue and (iii) higher B2B fixed revenue. The changes in the VodafoneZiggo JV’s Adjusted EBITDA during the three and nine months ended September 30, 2025, as compared to the corresponding periods in 2024, are primarily due to the net effect of (a) the aforementioned changes in revenue, (b) increases in consulting costs, (c) higher programming costs and (d) cost control measures in customer service, IT and procurement. In addition, the reported revenue and Adjusted EBITDA amounts are impacted by FX.</w:t>
      </w:r>
    </w:p>
    <w:p>
      <w:pPr>
        <w:spacing w:after="0" w:line="175" w:lineRule="exact"/>
        <w:rPr>
          <w:sz w:val="20"/>
          <w:szCs w:val="20"/>
          <w:color w:val="auto"/>
        </w:rPr>
      </w:pPr>
    </w:p>
    <w:p>
      <w:pPr>
        <w:jc w:val="both"/>
        <w:ind w:left="7" w:firstLine="278"/>
        <w:spacing w:after="0" w:line="267" w:lineRule="auto"/>
        <w:rPr>
          <w:sz w:val="20"/>
          <w:szCs w:val="20"/>
          <w:color w:val="auto"/>
        </w:rPr>
      </w:pPr>
      <w:r>
        <w:rPr>
          <w:rFonts w:ascii="Times New Roman" w:cs="Times New Roman" w:eastAsia="Times New Roman" w:hAnsi="Times New Roman"/>
          <w:sz w:val="15"/>
          <w:szCs w:val="15"/>
          <w:color w:val="auto"/>
        </w:rPr>
        <w:t>The VodafoneZiggo JV is experiencing significant competition in both its fixed-line and mobile operations. If the adverse impacts of economic, competitive, regulatory or other factors were to cause significant deterioration of the results of operations or cash flows of the VodafoneZiggo JV, we could conclude in future periods that our investment in the VodafoneZiggo JV is impaired or management of the VodafoneZiggo JV could conclude that an impairment of the VodafoneZiggo JV goodwill and, to a lesser extent, long-lived assets, is required. Any such impairment of the VodafoneZiggo JV’s goodwill or our investment in the VodafoneZiggo JV would be reflected as a component of share of results of affiliates, net, in our condensed consolidated statement of operations. Our share of any such impairment charges could be significant.</w:t>
      </w:r>
    </w:p>
    <w:p>
      <w:pPr>
        <w:spacing w:after="0" w:line="175" w:lineRule="exact"/>
        <w:rPr>
          <w:sz w:val="20"/>
          <w:szCs w:val="20"/>
          <w:color w:val="auto"/>
        </w:rPr>
      </w:pPr>
    </w:p>
    <w:p>
      <w:pPr>
        <w:ind w:left="407" w:hanging="407"/>
        <w:spacing w:after="0"/>
        <w:tabs>
          <w:tab w:leader="none" w:pos="407"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our share of results of Formula E prior to the Formula E Acquisition Date.</w:t>
      </w:r>
    </w:p>
    <w:p>
      <w:pPr>
        <w:spacing w:after="0" w:line="221" w:lineRule="exact"/>
        <w:rPr>
          <w:rFonts w:ascii="Times New Roman" w:cs="Times New Roman" w:eastAsia="Times New Roman" w:hAnsi="Times New Roman"/>
          <w:sz w:val="15"/>
          <w:szCs w:val="15"/>
          <w:color w:val="auto"/>
        </w:rPr>
      </w:pPr>
    </w:p>
    <w:p>
      <w:pPr>
        <w:ind w:left="407" w:hanging="407"/>
        <w:spacing w:after="0"/>
        <w:tabs>
          <w:tab w:leader="none" w:pos="407"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completed the sale of our investment in All3Media during the second quarter of 2024.</w:t>
      </w:r>
    </w:p>
    <w:p>
      <w:pPr>
        <w:spacing w:after="0" w:line="217"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i w:val="1"/>
          <w:iCs w:val="1"/>
          <w:color w:val="auto"/>
        </w:rPr>
        <w:t>Gain on sale of All3Media</w:t>
      </w:r>
    </w:p>
    <w:p>
      <w:pPr>
        <w:spacing w:after="0" w:line="225"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color w:val="auto"/>
        </w:rPr>
        <w:t>In connection with the sale of All3Media, we recognized a gain of $242.9 million during the nine months ended September 30, 2024.</w:t>
      </w:r>
    </w:p>
    <w:p>
      <w:pPr>
        <w:spacing w:after="0" w:line="217"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i w:val="1"/>
          <w:iCs w:val="1"/>
          <w:color w:val="auto"/>
        </w:rPr>
        <w:t>Other income, net</w:t>
      </w:r>
    </w:p>
    <w:p>
      <w:pPr>
        <w:spacing w:after="0" w:line="225" w:lineRule="exact"/>
        <w:rPr>
          <w:sz w:val="20"/>
          <w:szCs w:val="20"/>
          <w:color w:val="auto"/>
        </w:rPr>
      </w:pPr>
    </w:p>
    <w:p>
      <w:pPr>
        <w:jc w:val="both"/>
        <w:ind w:left="7" w:firstLine="278"/>
        <w:spacing w:after="0" w:line="276" w:lineRule="auto"/>
        <w:rPr>
          <w:sz w:val="20"/>
          <w:szCs w:val="20"/>
          <w:color w:val="auto"/>
        </w:rPr>
      </w:pPr>
      <w:r>
        <w:rPr>
          <w:rFonts w:ascii="Times New Roman" w:cs="Times New Roman" w:eastAsia="Times New Roman" w:hAnsi="Times New Roman"/>
          <w:sz w:val="15"/>
          <w:szCs w:val="15"/>
          <w:color w:val="auto"/>
        </w:rPr>
        <w:t>We recognized other income, net, of $27.5 million and $53.1 million during the three months ended September 30, 2025 and 2024, respectively, and $80.0 million and $166.0 million during the nine months ended September 30, 2025 and 2024, respectively. These amounts include interest and dividend income of $20.5 million and $53.4 million during the three-month periods, respectively, and $78.1 million and $165.2 million during the nine-month periods, respectively.</w:t>
      </w:r>
    </w:p>
    <w:p>
      <w:pPr>
        <w:spacing w:after="0" w:line="165"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i w:val="1"/>
          <w:iCs w:val="1"/>
          <w:color w:val="auto"/>
        </w:rPr>
        <w:t>Income tax benefit (expense)</w:t>
      </w:r>
    </w:p>
    <w:p>
      <w:pPr>
        <w:spacing w:after="0" w:line="225" w:lineRule="exact"/>
        <w:rPr>
          <w:sz w:val="20"/>
          <w:szCs w:val="20"/>
          <w:color w:val="auto"/>
        </w:rPr>
      </w:pPr>
    </w:p>
    <w:p>
      <w:pPr>
        <w:jc w:val="both"/>
        <w:ind w:left="7" w:right="20" w:firstLine="278"/>
        <w:spacing w:after="0" w:line="295" w:lineRule="auto"/>
        <w:rPr>
          <w:sz w:val="20"/>
          <w:szCs w:val="20"/>
          <w:color w:val="auto"/>
        </w:rPr>
      </w:pPr>
      <w:r>
        <w:rPr>
          <w:rFonts w:ascii="Times New Roman" w:cs="Times New Roman" w:eastAsia="Times New Roman" w:hAnsi="Times New Roman"/>
          <w:sz w:val="15"/>
          <w:szCs w:val="15"/>
          <w:color w:val="auto"/>
        </w:rPr>
        <w:t>We recognized income tax benefit (expense) of $46.9 million and $116.0 million during the three and nine months ended September 30, 2025, respectively, and $11.2 million and ($59.8 million) during the three and nine months ended September 30, 2024.</w:t>
      </w:r>
    </w:p>
    <w:p>
      <w:pPr>
        <w:spacing w:after="0" w:line="200" w:lineRule="exact"/>
        <w:rPr>
          <w:sz w:val="20"/>
          <w:szCs w:val="20"/>
          <w:color w:val="auto"/>
        </w:rPr>
      </w:pPr>
    </w:p>
    <w:p>
      <w:pPr>
        <w:spacing w:after="0" w:line="25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820" w:right="319" w:bottom="1440" w:gutter="0" w:footer="0" w:header="0"/>
        </w:sectPr>
      </w:pPr>
    </w:p>
    <w:bookmarkStart w:id="76" w:name="page77"/>
    <w:bookmarkEnd w:id="76"/>
    <w:p>
      <w:pPr>
        <w:jc w:val="both"/>
        <w:ind w:firstLine="278"/>
        <w:spacing w:after="0" w:line="270" w:lineRule="auto"/>
        <w:rPr>
          <w:sz w:val="20"/>
          <w:szCs w:val="20"/>
          <w:color w:val="auto"/>
        </w:rPr>
      </w:pPr>
      <w:r>
        <w:rPr>
          <w:rFonts w:ascii="Times New Roman" w:cs="Times New Roman" w:eastAsia="Times New Roman" w:hAnsi="Times New Roman"/>
          <w:sz w:val="15"/>
          <w:szCs w:val="15"/>
          <w:color w:val="auto"/>
        </w:rPr>
        <w:t>The income tax benefit during the three months ended September 30, 2025 differs from the expected income tax benefit of $19.6 million (based on the Bermuda statutory income tax rate of 15.0%), primarily due to the net positive impact of (i) a net decrease in unrecognized tax benefits and (ii) statutory rates in certain jurisdictions in which we operate that are different than the Bermuda statutory income tax rate. The net positive impact of these items was partially offset by the net negative impact of (a) certain permanent differences between the financial and tax accounting treatment of items associated with investments in subsidiaries and affiliates and (b) a net increase in valuation allowances.</w:t>
      </w:r>
    </w:p>
    <w:p>
      <w:pPr>
        <w:spacing w:after="0" w:line="173" w:lineRule="exact"/>
        <w:rPr>
          <w:sz w:val="20"/>
          <w:szCs w:val="20"/>
          <w:color w:val="auto"/>
        </w:rPr>
      </w:pPr>
    </w:p>
    <w:p>
      <w:pPr>
        <w:jc w:val="both"/>
        <w:ind w:firstLine="278"/>
        <w:spacing w:after="0" w:line="268" w:lineRule="auto"/>
        <w:rPr>
          <w:sz w:val="20"/>
          <w:szCs w:val="20"/>
          <w:color w:val="auto"/>
        </w:rPr>
      </w:pPr>
      <w:r>
        <w:rPr>
          <w:rFonts w:ascii="Times New Roman" w:cs="Times New Roman" w:eastAsia="Times New Roman" w:hAnsi="Times New Roman"/>
          <w:sz w:val="15"/>
          <w:szCs w:val="15"/>
          <w:color w:val="auto"/>
        </w:rPr>
        <w:t>The income tax benefit during the nine months ended September 30, 2025 differs from the expected income tax benefit of $644.5 million (based on the Bermuda statutory income tax rate of 15.0%), primarily due to the net negative impact of (i) non-deductible or non-taxable foreign currency exchange results and (ii) certain permanent differences between the financial and tax accounting treatment of items associated with investments in subsidiaries and affiliates. The net negative impact of these items was partially offset by the net positive impact of (a) statutory rates in certain jurisdictions in which we operate that are different than the Bermuda statutory income tax rate and (b) a net decrease in valuation allowances.</w:t>
      </w:r>
    </w:p>
    <w:p>
      <w:pPr>
        <w:spacing w:after="0" w:line="364" w:lineRule="exact"/>
        <w:rPr>
          <w:sz w:val="20"/>
          <w:szCs w:val="20"/>
          <w:color w:val="auto"/>
        </w:rPr>
      </w:pPr>
    </w:p>
    <w:p>
      <w:pPr>
        <w:jc w:val="both"/>
        <w:ind w:firstLine="278"/>
        <w:spacing w:after="0" w:line="276" w:lineRule="auto"/>
        <w:rPr>
          <w:sz w:val="20"/>
          <w:szCs w:val="20"/>
          <w:color w:val="auto"/>
        </w:rPr>
      </w:pPr>
      <w:r>
        <w:rPr>
          <w:rFonts w:ascii="Times New Roman" w:cs="Times New Roman" w:eastAsia="Times New Roman" w:hAnsi="Times New Roman"/>
          <w:sz w:val="15"/>
          <w:szCs w:val="15"/>
          <w:color w:val="auto"/>
        </w:rPr>
        <w:t>The income tax benefit during the three months ended September 30, 2024 differs from the expected income tax benefit of $358.7 million (based on the U.K. statutory income tax rate of 25.0%), primarily due to the net negative impact of (i) non-deductible or non-taxable foreign currency exchange results and (ii) certain permanent differences between the financial and tax accounting treatment of items associated with investments in subsidiaries and affiliates.</w:t>
      </w:r>
    </w:p>
    <w:p>
      <w:pPr>
        <w:spacing w:after="0" w:line="169" w:lineRule="exact"/>
        <w:rPr>
          <w:sz w:val="20"/>
          <w:szCs w:val="20"/>
          <w:color w:val="auto"/>
        </w:rPr>
      </w:pPr>
    </w:p>
    <w:p>
      <w:pPr>
        <w:jc w:val="both"/>
        <w:ind w:firstLine="278"/>
        <w:spacing w:after="0" w:line="270" w:lineRule="auto"/>
        <w:rPr>
          <w:sz w:val="20"/>
          <w:szCs w:val="20"/>
          <w:color w:val="auto"/>
        </w:rPr>
      </w:pPr>
      <w:r>
        <w:rPr>
          <w:rFonts w:ascii="Times New Roman" w:cs="Times New Roman" w:eastAsia="Times New Roman" w:hAnsi="Times New Roman"/>
          <w:sz w:val="15"/>
          <w:szCs w:val="15"/>
          <w:color w:val="auto"/>
        </w:rPr>
        <w:t>The income tax expense during the nine months ended September 30, 2024 differs from the expected income tax benefit of $101.3 million (based on the U.K. statutory income tax rate of 25.0%), primarily due to the net negative impact of (i) certain permanent differences between the financial and tax accounting treatment of interest and other items, (ii) non-deductible or non-taxable foreign currency exchange results and (iii) certain permanent differences between the financial and tax accounting treatment of items associated with investments in subsidiaries and affiliates. The net negative impact of these items was partially offset by the positive impact of a net decrease in valuation allowances.</w:t>
      </w:r>
    </w:p>
    <w:p>
      <w:pPr>
        <w:spacing w:after="0" w:line="1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For additional information concerning our income taxes, see note 11 to our condensed consolidated financial statements.</w:t>
      </w:r>
    </w:p>
    <w:p>
      <w:pPr>
        <w:spacing w:after="0" w:line="2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i w:val="1"/>
          <w:iCs w:val="1"/>
          <w:color w:val="auto"/>
        </w:rPr>
        <w:t>Loss from continuing operations</w:t>
      </w:r>
    </w:p>
    <w:p>
      <w:pPr>
        <w:spacing w:after="0" w:line="225" w:lineRule="exact"/>
        <w:rPr>
          <w:sz w:val="20"/>
          <w:szCs w:val="20"/>
          <w:color w:val="auto"/>
        </w:rPr>
      </w:pPr>
    </w:p>
    <w:p>
      <w:pPr>
        <w:jc w:val="both"/>
        <w:ind w:firstLine="278"/>
        <w:spacing w:after="0" w:line="276" w:lineRule="auto"/>
        <w:rPr>
          <w:sz w:val="20"/>
          <w:szCs w:val="20"/>
          <w:color w:val="auto"/>
        </w:rPr>
      </w:pPr>
      <w:r>
        <w:rPr>
          <w:rFonts w:ascii="Times New Roman" w:cs="Times New Roman" w:eastAsia="Times New Roman" w:hAnsi="Times New Roman"/>
          <w:sz w:val="15"/>
          <w:szCs w:val="15"/>
          <w:color w:val="auto"/>
        </w:rPr>
        <w:t>During the three months ended September 30, 2025 and 2024, we reported loss from continuing operations of $83.4 million and $1,423.7 million, respectively, consisting of (i) operating income (loss) of ($8.0 million) and $33.4 million, respectively, (ii) net non-operating expense of $122.3 million and $1,468.3 million, respectively, and (iii) income tax benefit of $46.9 million and $11.2 million, respectively.</w:t>
      </w:r>
    </w:p>
    <w:p>
      <w:pPr>
        <w:spacing w:after="0" w:line="169" w:lineRule="exact"/>
        <w:rPr>
          <w:sz w:val="20"/>
          <w:szCs w:val="20"/>
          <w:color w:val="auto"/>
        </w:rPr>
      </w:pPr>
    </w:p>
    <w:p>
      <w:pPr>
        <w:jc w:val="both"/>
        <w:ind w:firstLine="278"/>
        <w:spacing w:after="0" w:line="276" w:lineRule="auto"/>
        <w:rPr>
          <w:sz w:val="20"/>
          <w:szCs w:val="20"/>
          <w:color w:val="auto"/>
        </w:rPr>
      </w:pPr>
      <w:r>
        <w:rPr>
          <w:rFonts w:ascii="Times New Roman" w:cs="Times New Roman" w:eastAsia="Times New Roman" w:hAnsi="Times New Roman"/>
          <w:sz w:val="15"/>
          <w:szCs w:val="15"/>
          <w:color w:val="auto"/>
        </w:rPr>
        <w:t>During the nine months ended September 30, 2025 and 2024, we reported loss from continuing operations of $4,180.5 million and $465.1 million, respectively, consisting of (i) operating income (loss) of $82.3 million and ($11.9 million), respectively, (ii) net non-operating expense of $4,378.8 million and $393.4 million, respectively, and (iii) income tax benefit (expense) of $116.0 million and ($59.8 million), respectively.</w:t>
      </w:r>
    </w:p>
    <w:p>
      <w:pPr>
        <w:spacing w:after="0" w:line="169" w:lineRule="exact"/>
        <w:rPr>
          <w:sz w:val="20"/>
          <w:szCs w:val="20"/>
          <w:color w:val="auto"/>
        </w:rPr>
      </w:pPr>
    </w:p>
    <w:p>
      <w:pPr>
        <w:jc w:val="both"/>
        <w:ind w:right="20" w:firstLine="278"/>
        <w:spacing w:after="0" w:line="270" w:lineRule="auto"/>
        <w:rPr>
          <w:sz w:val="20"/>
          <w:szCs w:val="20"/>
          <w:color w:val="auto"/>
        </w:rPr>
      </w:pPr>
      <w:r>
        <w:rPr>
          <w:rFonts w:ascii="Times New Roman" w:cs="Times New Roman" w:eastAsia="Times New Roman" w:hAnsi="Times New Roman"/>
          <w:sz w:val="15"/>
          <w:szCs w:val="15"/>
          <w:color w:val="auto"/>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 our aggregate operating income to a level that more than offsets the aggregate amount of our (a) interest expense, (b) other non-operating expenses and (c) income tax expense.</w:t>
      </w:r>
    </w:p>
    <w:p>
      <w:pPr>
        <w:spacing w:after="0" w:line="169" w:lineRule="exact"/>
        <w:rPr>
          <w:sz w:val="20"/>
          <w:szCs w:val="20"/>
          <w:color w:val="auto"/>
        </w:rPr>
      </w:pPr>
    </w:p>
    <w:p>
      <w:pPr>
        <w:jc w:val="both"/>
        <w:ind w:firstLine="278"/>
        <w:spacing w:after="0" w:line="268" w:lineRule="auto"/>
        <w:rPr>
          <w:sz w:val="20"/>
          <w:szCs w:val="20"/>
          <w:color w:val="auto"/>
        </w:rPr>
      </w:pPr>
      <w:r>
        <w:rPr>
          <w:rFonts w:ascii="Times New Roman" w:cs="Times New Roman" w:eastAsia="Times New Roman" w:hAnsi="Times New Roman"/>
          <w:sz w:val="15"/>
          <w:szCs w:val="15"/>
          <w:color w:val="auto"/>
        </w:rPr>
        <w:t xml:space="preserve">Due largely to the fact that we seek to maintain our debt at levels that provide for attractive equity returns, as discussed under </w:t>
      </w:r>
      <w:r>
        <w:rPr>
          <w:rFonts w:ascii="Times New Roman" w:cs="Times New Roman" w:eastAsia="Times New Roman" w:hAnsi="Times New Roman"/>
          <w:sz w:val="15"/>
          <w:szCs w:val="15"/>
          <w:i w:val="1"/>
          <w:iCs w:val="1"/>
          <w:color w:val="auto"/>
        </w:rPr>
        <w:t>Material Changes in Financial Condition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Capitalization </w:t>
      </w:r>
      <w:r>
        <w:rPr>
          <w:rFonts w:ascii="Times New Roman" w:cs="Times New Roman" w:eastAsia="Times New Roman" w:hAnsi="Times New Roman"/>
          <w:sz w:val="15"/>
          <w:szCs w:val="15"/>
          <w:color w:val="auto"/>
        </w:rPr>
        <w:t>below, we expect we will continue to report significant levels of interest expense for the foreseeable future. For information concerning our expectations with respect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to trends that may affect certain aspects of our operating results in future periods, see the discussion under </w:t>
      </w:r>
      <w:r>
        <w:rPr>
          <w:rFonts w:ascii="Times New Roman" w:cs="Times New Roman" w:eastAsia="Times New Roman" w:hAnsi="Times New Roman"/>
          <w:sz w:val="15"/>
          <w:szCs w:val="15"/>
          <w:i w:val="1"/>
          <w:iCs w:val="1"/>
          <w:color w:val="auto"/>
        </w:rPr>
        <w:t>Overview</w:t>
      </w:r>
      <w:r>
        <w:rPr>
          <w:rFonts w:ascii="Times New Roman" w:cs="Times New Roman" w:eastAsia="Times New Roman" w:hAnsi="Times New Roman"/>
          <w:sz w:val="15"/>
          <w:szCs w:val="15"/>
          <w:color w:val="auto"/>
        </w:rPr>
        <w:t xml:space="preserve"> above. For information concerning the reasons for changes in specific line items in our condensed consolidated statements of operations, see </w:t>
      </w:r>
      <w:r>
        <w:rPr>
          <w:rFonts w:ascii="Times New Roman" w:cs="Times New Roman" w:eastAsia="Times New Roman" w:hAnsi="Times New Roman"/>
          <w:sz w:val="15"/>
          <w:szCs w:val="15"/>
          <w:i w:val="1"/>
          <w:iCs w:val="1"/>
          <w:color w:val="auto"/>
        </w:rPr>
        <w:t>Discussion and Analysis of our Reportable Segments</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Discussion and Analysis of our Consolidated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Operating Results </w:t>
      </w:r>
      <w:r>
        <w:rPr>
          <w:rFonts w:ascii="Times New Roman" w:cs="Times New Roman" w:eastAsia="Times New Roman" w:hAnsi="Times New Roman"/>
          <w:sz w:val="15"/>
          <w:szCs w:val="15"/>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28" w:right="319" w:bottom="1440" w:gutter="0" w:footer="0" w:header="0"/>
        </w:sectPr>
      </w:pPr>
    </w:p>
    <w:bookmarkStart w:id="77" w:name="page78"/>
    <w:bookmarkEnd w:id="77"/>
    <w:p>
      <w:pPr>
        <w:ind w:left="140"/>
        <w:spacing w:after="0"/>
        <w:rPr>
          <w:sz w:val="20"/>
          <w:szCs w:val="20"/>
          <w:color w:val="auto"/>
        </w:rPr>
      </w:pPr>
      <w:r>
        <w:rPr>
          <w:rFonts w:ascii="Times New Roman" w:cs="Times New Roman" w:eastAsia="Times New Roman" w:hAnsi="Times New Roman"/>
          <w:sz w:val="15"/>
          <w:szCs w:val="15"/>
          <w:i w:val="1"/>
          <w:iCs w:val="1"/>
          <w:color w:val="auto"/>
        </w:rPr>
        <w:t>Earnings (loss) from discontinued operations, net of taxes</w:t>
      </w:r>
    </w:p>
    <w:p>
      <w:pPr>
        <w:spacing w:after="0" w:line="225" w:lineRule="exact"/>
        <w:rPr>
          <w:sz w:val="20"/>
          <w:szCs w:val="20"/>
          <w:color w:val="auto"/>
        </w:rPr>
      </w:pPr>
    </w:p>
    <w:p>
      <w:pPr>
        <w:ind w:firstLine="278"/>
        <w:spacing w:after="0" w:line="295" w:lineRule="auto"/>
        <w:rPr>
          <w:sz w:val="20"/>
          <w:szCs w:val="20"/>
          <w:color w:val="auto"/>
        </w:rPr>
      </w:pPr>
      <w:r>
        <w:rPr>
          <w:rFonts w:ascii="Times New Roman" w:cs="Times New Roman" w:eastAsia="Times New Roman" w:hAnsi="Times New Roman"/>
          <w:sz w:val="15"/>
          <w:szCs w:val="15"/>
          <w:color w:val="auto"/>
        </w:rPr>
        <w:t>We reported earnings (loss) from discontinued operations, net of taxes, of $12.8 million and ($143.6 million) during the three and nine months ended September 30, 2024, respectively, related to the operations of the Sunrise Entities. For additional information, see note 4 to our condensed consolidated financial statements.</w:t>
      </w:r>
    </w:p>
    <w:p>
      <w:pPr>
        <w:spacing w:after="0" w:line="1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i w:val="1"/>
          <w:iCs w:val="1"/>
          <w:color w:val="auto"/>
        </w:rPr>
        <w:t>Net earnings attributable to noncontrolling interests</w:t>
      </w:r>
    </w:p>
    <w:p>
      <w:pPr>
        <w:spacing w:after="0" w:line="225" w:lineRule="exact"/>
        <w:rPr>
          <w:sz w:val="20"/>
          <w:szCs w:val="20"/>
          <w:color w:val="auto"/>
        </w:rPr>
      </w:pPr>
    </w:p>
    <w:p>
      <w:pPr>
        <w:ind w:firstLine="278"/>
        <w:spacing w:after="0" w:line="295" w:lineRule="auto"/>
        <w:rPr>
          <w:sz w:val="20"/>
          <w:szCs w:val="20"/>
          <w:color w:val="auto"/>
        </w:rPr>
      </w:pPr>
      <w:r>
        <w:rPr>
          <w:rFonts w:ascii="Times New Roman" w:cs="Times New Roman" w:eastAsia="Times New Roman" w:hAnsi="Times New Roman"/>
          <w:sz w:val="15"/>
          <w:szCs w:val="15"/>
          <w:color w:val="auto"/>
        </w:rPr>
        <w:t>Net earnings attributable to noncontrolling interests was $7.3 million and $23.2 million during the three months ended September 30, 2025 and 2024, respectively, and $40.4 million and $47.3 million during the nine months ended September 30, 2025 and 2024, respectively, attributable to certain noncontrolling interests at Telenet and Formula 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78" w:name="page79"/>
    <w:bookmarkEnd w:id="78"/>
    <w:p>
      <w:pPr>
        <w:ind w:left="7"/>
        <w:spacing w:after="0"/>
        <w:rPr>
          <w:sz w:val="20"/>
          <w:szCs w:val="20"/>
          <w:color w:val="auto"/>
        </w:rPr>
      </w:pPr>
      <w:r>
        <w:rPr>
          <w:rFonts w:ascii="Times New Roman" w:cs="Times New Roman" w:eastAsia="Times New Roman" w:hAnsi="Times New Roman"/>
          <w:sz w:val="15"/>
          <w:szCs w:val="15"/>
          <w:b w:val="1"/>
          <w:bCs w:val="1"/>
          <w:color w:val="auto"/>
        </w:rPr>
        <w:t>Material Changes in Financial Condition</w:t>
      </w:r>
    </w:p>
    <w:p>
      <w:pPr>
        <w:spacing w:after="0" w:line="221"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Sources and Uses of Cash</w:t>
      </w:r>
    </w:p>
    <w:p>
      <w:pPr>
        <w:spacing w:after="0" w:line="225" w:lineRule="exact"/>
        <w:rPr>
          <w:sz w:val="20"/>
          <w:szCs w:val="20"/>
          <w:color w:val="auto"/>
        </w:rPr>
      </w:pPr>
    </w:p>
    <w:p>
      <w:pPr>
        <w:jc w:val="both"/>
        <w:ind w:left="7" w:firstLine="278"/>
        <w:spacing w:after="0" w:line="267" w:lineRule="auto"/>
        <w:rPr>
          <w:sz w:val="20"/>
          <w:szCs w:val="20"/>
          <w:color w:val="auto"/>
        </w:rPr>
      </w:pPr>
      <w:r>
        <w:rPr>
          <w:rFonts w:ascii="Times New Roman" w:cs="Times New Roman" w:eastAsia="Times New Roman" w:hAnsi="Times New Roman"/>
          <w:sz w:val="15"/>
          <w:szCs w:val="15"/>
          <w:color w:val="auto"/>
        </w:rPr>
        <w:t>We are a holding company that is dependent on the capital resources of our subsidiaries to satisfy our liquidity requirements at the corporate level. Each of our significant operating subsidiaries is separately financed within one of our two subsidiary “borrowing groups.” These borrowing groups include the respective restricted parent and subsidiary entities within Telenet and VM Ireland.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w:t>
      </w:r>
    </w:p>
    <w:p>
      <w:pPr>
        <w:spacing w:after="0" w:line="171"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i w:val="1"/>
          <w:iCs w:val="1"/>
          <w:color w:val="auto"/>
        </w:rPr>
        <w:t>Cash, cash equivalents and SMAs</w:t>
      </w:r>
    </w:p>
    <w:p>
      <w:pPr>
        <w:spacing w:after="0" w:line="225" w:lineRule="exact"/>
        <w:rPr>
          <w:sz w:val="20"/>
          <w:szCs w:val="20"/>
          <w:color w:val="auto"/>
        </w:rPr>
      </w:pPr>
    </w:p>
    <w:p>
      <w:pPr>
        <w:jc w:val="both"/>
        <w:ind w:left="7" w:firstLine="278"/>
        <w:spacing w:after="0" w:line="295" w:lineRule="auto"/>
        <w:rPr>
          <w:sz w:val="20"/>
          <w:szCs w:val="20"/>
          <w:color w:val="auto"/>
        </w:rPr>
      </w:pPr>
      <w:r>
        <w:rPr>
          <w:rFonts w:ascii="Times New Roman" w:cs="Times New Roman" w:eastAsia="Times New Roman" w:hAnsi="Times New Roman"/>
          <w:sz w:val="15"/>
          <w:szCs w:val="15"/>
          <w:color w:val="auto"/>
        </w:rPr>
        <w:t>The details of the U.S. dollar equivalent balances of our consolidated cash and cash equivalents and investments held under SMAs at September 30, 2025 are set forth in the following table (in millions):</w:t>
      </w:r>
    </w:p>
    <w:p>
      <w:pPr>
        <w:spacing w:after="0" w:line="65" w:lineRule="exact"/>
        <w:rPr>
          <w:sz w:val="20"/>
          <w:szCs w:val="20"/>
          <w:color w:val="auto"/>
        </w:rPr>
      </w:pPr>
    </w:p>
    <w:tbl>
      <w:tblPr>
        <w:tblLayout w:type="fixed"/>
        <w:tblInd w:w="7" w:type="dxa"/>
        <w:tblCellMar>
          <w:top w:w="0" w:type="dxa"/>
          <w:left w:w="0" w:type="dxa"/>
          <w:bottom w:w="0" w:type="dxa"/>
          <w:right w:w="0" w:type="dxa"/>
        </w:tblCellMar>
      </w:tblPr>
      <w:tr>
        <w:trPr>
          <w:trHeight w:val="197"/>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 held by:</w:t>
            </w: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7"/>
        </w:trPr>
        <w:tc>
          <w:tcPr>
            <w:tcW w:w="98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Liberty Global and unrestricted subsidiaries:</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7"/>
        </w:trPr>
        <w:tc>
          <w:tcPr>
            <w:tcW w:w="9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Liberty Global (a)</w:t>
            </w:r>
          </w:p>
        </w:tc>
        <w:tc>
          <w:tcPr>
            <w:tcW w:w="52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197"/>
        </w:trPr>
        <w:tc>
          <w:tcPr>
            <w:tcW w:w="9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Unrestricted subsidiaries (b)</w:t>
            </w: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513.3</w:t>
            </w:r>
          </w:p>
        </w:tc>
      </w:tr>
      <w:tr>
        <w:trPr>
          <w:trHeight w:val="188"/>
        </w:trPr>
        <w:tc>
          <w:tcPr>
            <w:tcW w:w="9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Liberty Global and unrestricted subsidiaries</w:t>
            </w:r>
          </w:p>
        </w:tc>
        <w:tc>
          <w:tcPr>
            <w:tcW w:w="5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513.4</w:t>
            </w:r>
          </w:p>
        </w:tc>
      </w:tr>
      <w:tr>
        <w:trPr>
          <w:trHeight w:val="177"/>
        </w:trPr>
        <w:tc>
          <w:tcPr>
            <w:tcW w:w="98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Borrowing groups (c):</w:t>
            </w: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7"/>
        </w:trPr>
        <w:tc>
          <w:tcPr>
            <w:tcW w:w="9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Telenet</w:t>
            </w: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1,146.5</w:t>
            </w:r>
          </w:p>
        </w:tc>
      </w:tr>
      <w:tr>
        <w:trPr>
          <w:trHeight w:val="197"/>
        </w:trPr>
        <w:tc>
          <w:tcPr>
            <w:tcW w:w="9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VM Ireland</w:t>
            </w: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14.3</w:t>
            </w:r>
          </w:p>
        </w:tc>
      </w:tr>
      <w:tr>
        <w:trPr>
          <w:trHeight w:val="188"/>
        </w:trPr>
        <w:tc>
          <w:tcPr>
            <w:tcW w:w="9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borrowing groups</w:t>
            </w:r>
          </w:p>
        </w:tc>
        <w:tc>
          <w:tcPr>
            <w:tcW w:w="5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1,160.8</w:t>
            </w:r>
          </w:p>
        </w:tc>
      </w:tr>
      <w:tr>
        <w:trPr>
          <w:trHeight w:val="188"/>
        </w:trPr>
        <w:tc>
          <w:tcPr>
            <w:tcW w:w="98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Total cash and cash equivalents (d)</w:t>
            </w: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1,674.2</w:t>
            </w:r>
          </w:p>
        </w:tc>
      </w:tr>
      <w:tr>
        <w:trPr>
          <w:trHeight w:val="197"/>
        </w:trPr>
        <w:tc>
          <w:tcPr>
            <w:tcW w:w="9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Investments held under SMAs (e)</w:t>
            </w:r>
          </w:p>
        </w:tc>
        <w:tc>
          <w:tcPr>
            <w:tcW w:w="5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85.9</w:t>
            </w:r>
          </w:p>
        </w:tc>
      </w:tr>
      <w:tr>
        <w:trPr>
          <w:trHeight w:val="188"/>
        </w:trPr>
        <w:tc>
          <w:tcPr>
            <w:tcW w:w="98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Total cash and cash equivalents and investments held under SMAs</w:t>
            </w:r>
          </w:p>
        </w:tc>
        <w:tc>
          <w:tcPr>
            <w:tcW w:w="5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1,760.1</w:t>
            </w:r>
          </w:p>
        </w:tc>
      </w:tr>
      <w:tr>
        <w:trPr>
          <w:trHeight w:val="20"/>
        </w:trPr>
        <w:tc>
          <w:tcPr>
            <w:tcW w:w="98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_______________</w:t>
      </w:r>
    </w:p>
    <w:p>
      <w:pPr>
        <w:spacing w:after="0" w:line="225" w:lineRule="exact"/>
        <w:rPr>
          <w:sz w:val="20"/>
          <w:szCs w:val="20"/>
          <w:color w:val="auto"/>
        </w:rPr>
      </w:pPr>
    </w:p>
    <w:p>
      <w:pPr>
        <w:ind w:left="407" w:hanging="407"/>
        <w:spacing w:after="0"/>
        <w:tabs>
          <w:tab w:leader="none" w:pos="407"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amount held by Liberty Global on a standalone basis.</w:t>
      </w:r>
    </w:p>
    <w:p>
      <w:pPr>
        <w:spacing w:after="0" w:line="221" w:lineRule="exact"/>
        <w:rPr>
          <w:rFonts w:ascii="Times New Roman" w:cs="Times New Roman" w:eastAsia="Times New Roman" w:hAnsi="Times New Roman"/>
          <w:sz w:val="15"/>
          <w:szCs w:val="15"/>
          <w:color w:val="auto"/>
        </w:rPr>
      </w:pPr>
    </w:p>
    <w:p>
      <w:pPr>
        <w:ind w:left="407" w:hanging="407"/>
        <w:spacing w:after="0"/>
        <w:tabs>
          <w:tab w:leader="none" w:pos="407"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aggregate amount held by subsidiaries that are outside of our borrowing groups.</w:t>
      </w:r>
    </w:p>
    <w:p>
      <w:pPr>
        <w:spacing w:after="0" w:line="221" w:lineRule="exact"/>
        <w:rPr>
          <w:rFonts w:ascii="Times New Roman" w:cs="Times New Roman" w:eastAsia="Times New Roman" w:hAnsi="Times New Roman"/>
          <w:sz w:val="15"/>
          <w:szCs w:val="15"/>
          <w:color w:val="auto"/>
        </w:rPr>
      </w:pPr>
    </w:p>
    <w:p>
      <w:pPr>
        <w:ind w:left="407" w:hanging="407"/>
        <w:spacing w:after="0"/>
        <w:tabs>
          <w:tab w:leader="none" w:pos="407"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aggregate amounts held by the parent entity and restricted subsidiaries of our borrowing groups.</w:t>
      </w:r>
    </w:p>
    <w:p>
      <w:pPr>
        <w:spacing w:after="0" w:line="26" w:lineRule="exact"/>
        <w:rPr>
          <w:rFonts w:ascii="Times New Roman" w:cs="Times New Roman" w:eastAsia="Times New Roman" w:hAnsi="Times New Roman"/>
          <w:sz w:val="15"/>
          <w:szCs w:val="15"/>
          <w:color w:val="auto"/>
        </w:rPr>
      </w:pPr>
    </w:p>
    <w:p>
      <w:pPr>
        <w:ind w:left="407" w:hanging="407"/>
        <w:spacing w:after="0"/>
        <w:tabs>
          <w:tab w:leader="none" w:pos="407"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total cash and cash equivalents balance includes $1,307.4 million or 78.1% and $327.5 million or 19.6% denominated in euros and U.S. dollars, respectively.</w:t>
      </w:r>
    </w:p>
    <w:p>
      <w:pPr>
        <w:spacing w:after="0" w:line="206" w:lineRule="exact"/>
        <w:rPr>
          <w:rFonts w:ascii="Times New Roman" w:cs="Times New Roman" w:eastAsia="Times New Roman" w:hAnsi="Times New Roman"/>
          <w:sz w:val="15"/>
          <w:szCs w:val="15"/>
          <w:color w:val="auto"/>
        </w:rPr>
      </w:pPr>
    </w:p>
    <w:p>
      <w:pPr>
        <w:ind w:left="407" w:hanging="407"/>
        <w:spacing w:after="0"/>
        <w:tabs>
          <w:tab w:leader="none" w:pos="407"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balance of our investments held under SMAs is held by unrestricted subsidiaries of Liberty Global and includes $76.0 million or 88.5% denominated in U.S. dollars.</w:t>
      </w:r>
    </w:p>
    <w:p>
      <w:pPr>
        <w:spacing w:after="0" w:line="27" w:lineRule="exact"/>
        <w:rPr>
          <w:sz w:val="20"/>
          <w:szCs w:val="20"/>
          <w:color w:val="auto"/>
        </w:rPr>
      </w:pPr>
    </w:p>
    <w:p>
      <w:pPr>
        <w:jc w:val="both"/>
        <w:ind w:left="7" w:firstLine="278"/>
        <w:spacing w:after="0" w:line="275" w:lineRule="auto"/>
        <w:rPr>
          <w:sz w:val="20"/>
          <w:szCs w:val="20"/>
          <w:color w:val="auto"/>
        </w:rPr>
      </w:pPr>
      <w:r>
        <w:rPr>
          <w:rFonts w:ascii="Times New Roman" w:cs="Times New Roman" w:eastAsia="Times New Roman" w:hAnsi="Times New Roman"/>
          <w:sz w:val="15"/>
          <w:szCs w:val="15"/>
          <w:color w:val="auto"/>
        </w:rPr>
        <w:t xml:space="preserve">For additional information regarding our cash and cash equivalents and investments held under SMAs, see the discussion under Part I, Item 3. </w:t>
      </w:r>
      <w:r>
        <w:rPr>
          <w:rFonts w:ascii="Times New Roman" w:cs="Times New Roman" w:eastAsia="Times New Roman" w:hAnsi="Times New Roman"/>
          <w:sz w:val="15"/>
          <w:szCs w:val="15"/>
          <w:i w:val="1"/>
          <w:iCs w:val="1"/>
          <w:color w:val="auto"/>
        </w:rPr>
        <w:t>Quantitative and Qualitative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Disclosures about Market Risk — Cash and Investments </w:t>
      </w:r>
      <w:r>
        <w:rPr>
          <w:rFonts w:ascii="Times New Roman" w:cs="Times New Roman" w:eastAsia="Times New Roman" w:hAnsi="Times New Roman"/>
          <w:sz w:val="15"/>
          <w:szCs w:val="15"/>
          <w:color w:val="auto"/>
        </w:rPr>
        <w:t>below.</w:t>
      </w:r>
    </w:p>
    <w:p>
      <w:pPr>
        <w:spacing w:after="0" w:line="165"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i w:val="1"/>
          <w:iCs w:val="1"/>
          <w:color w:val="auto"/>
        </w:rPr>
        <w:t>Liquidity of Liberty Global and its unrestricted subsidiaries</w:t>
      </w:r>
    </w:p>
    <w:p>
      <w:pPr>
        <w:spacing w:after="0" w:line="225" w:lineRule="exact"/>
        <w:rPr>
          <w:sz w:val="20"/>
          <w:szCs w:val="20"/>
          <w:color w:val="auto"/>
        </w:rPr>
      </w:pPr>
    </w:p>
    <w:p>
      <w:pPr>
        <w:jc w:val="both"/>
        <w:ind w:left="7" w:firstLine="278"/>
        <w:spacing w:after="0" w:line="267" w:lineRule="auto"/>
        <w:rPr>
          <w:sz w:val="20"/>
          <w:szCs w:val="20"/>
          <w:color w:val="auto"/>
        </w:rPr>
      </w:pPr>
      <w:r>
        <w:rPr>
          <w:rFonts w:ascii="Times New Roman" w:cs="Times New Roman" w:eastAsia="Times New Roman" w:hAnsi="Times New Roman"/>
          <w:sz w:val="15"/>
          <w:szCs w:val="15"/>
          <w:color w:val="auto"/>
        </w:rPr>
        <w:t>The $0.1 million of cash held by Liberty Global and, subject to certain tax and legal considerations, the $513.3 million of aggregate cash and cash equivalents held by unrestricted subsidiaries, together with the $85.9 million of investments held under SMAs, represented available liquidity at the corporate level at September 30, 2025. Our remaining cash and cash equivalents of $1,160.8 million at September 30, 2025 were held by our borrowing groups, as set forth in the table above. As noted above, various factors may limit our ability to access the cash of our borrowing groups. For information regarding certain limitations imposed by our subsidiaries’ debt instruments at September 30, 2025, see note 11 to the consolidated financial statements included in our 2024 10-K.</w:t>
      </w:r>
    </w:p>
    <w:p>
      <w:pPr>
        <w:spacing w:after="0" w:line="200" w:lineRule="exact"/>
        <w:rPr>
          <w:sz w:val="20"/>
          <w:szCs w:val="20"/>
          <w:color w:val="auto"/>
        </w:rPr>
      </w:pPr>
    </w:p>
    <w:p>
      <w:pPr>
        <w:spacing w:after="0" w:line="27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815" w:right="319" w:bottom="1440" w:gutter="0" w:footer="0" w:header="0"/>
        </w:sectPr>
      </w:pPr>
    </w:p>
    <w:bookmarkStart w:id="79" w:name="page80"/>
    <w:bookmarkEnd w:id="79"/>
    <w:p>
      <w:pPr>
        <w:jc w:val="both"/>
        <w:ind w:firstLine="278"/>
        <w:spacing w:after="0" w:line="267" w:lineRule="auto"/>
        <w:rPr>
          <w:sz w:val="20"/>
          <w:szCs w:val="20"/>
          <w:color w:val="auto"/>
        </w:rPr>
      </w:pPr>
      <w:r>
        <w:rPr>
          <w:rFonts w:ascii="Times New Roman" w:cs="Times New Roman" w:eastAsia="Times New Roman" w:hAnsi="Times New Roman"/>
          <w:sz w:val="15"/>
          <w:szCs w:val="15"/>
          <w:color w:val="auto"/>
        </w:rPr>
        <w:t>Our short-term sources of corporate liquidity include (i) readily available assets, such as (a) cash and cash equivalents held by Liberty Global and, subject to certain tax and legal considerations, Liberty Global’s unrestricted subsidiaries, and (b) investments held under SMAs, and (ii) funds derived from other items, such as (a) interest and dividend income received on our and, subject to certain tax and legal considerations, our unrestricted subsidiaries’ cash and cash equivalents and investments, including dividend distributions received from the VMO2 JV or the VodafoneZiggo JV, (b) cash received with respect to transitional and other services provided to various third parties and affiliates and (c) interest received with respect to the VodafoneZiggo JV Receivables.</w:t>
      </w:r>
    </w:p>
    <w:p>
      <w:pPr>
        <w:spacing w:after="0" w:line="175" w:lineRule="exact"/>
        <w:rPr>
          <w:sz w:val="20"/>
          <w:szCs w:val="20"/>
          <w:color w:val="auto"/>
        </w:rPr>
      </w:pPr>
    </w:p>
    <w:p>
      <w:pPr>
        <w:jc w:val="both"/>
        <w:ind w:firstLine="278"/>
        <w:spacing w:after="0" w:line="265" w:lineRule="auto"/>
        <w:rPr>
          <w:sz w:val="20"/>
          <w:szCs w:val="20"/>
          <w:color w:val="auto"/>
        </w:rPr>
      </w:pPr>
      <w:r>
        <w:rPr>
          <w:rFonts w:ascii="Times New Roman" w:cs="Times New Roman" w:eastAsia="Times New Roman" w:hAnsi="Times New Roman"/>
          <w:sz w:val="15"/>
          <w:szCs w:val="15"/>
          <w:color w:val="auto"/>
        </w:rPr>
        <w:t>From time to time, Liberty Global and its unrestricted subsidiaries may also receive (i) proceeds in the form of dividend distributions or loan repayments from Liberty Global’s borrowing groups or affiliates (including amounts from the VMO2 JV or the VodafoneZiggo JV) upon (a) the completion of recapitalizations, refinancings, asset sales or similar transactions by these entities or (b) the accumulation of excess cash from operations or other means, (ii) proceeds upon the disposition of investments and other assets of Liberty Global and its unrestricted subsidiaries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w:t>
      </w:r>
    </w:p>
    <w:p>
      <w:pPr>
        <w:spacing w:after="0" w:line="177" w:lineRule="exact"/>
        <w:rPr>
          <w:sz w:val="20"/>
          <w:szCs w:val="20"/>
          <w:color w:val="auto"/>
        </w:rPr>
      </w:pPr>
    </w:p>
    <w:p>
      <w:pPr>
        <w:jc w:val="both"/>
        <w:ind w:firstLine="278"/>
        <w:spacing w:after="0" w:line="270" w:lineRule="auto"/>
        <w:rPr>
          <w:sz w:val="20"/>
          <w:szCs w:val="20"/>
          <w:color w:val="auto"/>
        </w:rPr>
      </w:pPr>
      <w:r>
        <w:rPr>
          <w:rFonts w:ascii="Times New Roman" w:cs="Times New Roman" w:eastAsia="Times New Roman" w:hAnsi="Times New Roman"/>
          <w:sz w:val="15"/>
          <w:szCs w:val="15"/>
          <w:color w:val="auto"/>
        </w:rPr>
        <w:t>At September 30, 2025, our consolidated cash and cash equivalents included $1,674.1 million held by entities that are domiciled outside of Bermuda. Based on our assessment of our ability to access the liquidity of our subsidiaries on a tax efficient basis and our expectations with respect to our corporate liquidity requirements, we do not anticipate that tax considerations will adversely impact our corporate liquidity over the next 12 months. Our ability to access the liquidity of our subsidiaries on a tax efficient basis is a consideration in assessing the extent of our share repurchase program.</w:t>
      </w:r>
    </w:p>
    <w:p>
      <w:pPr>
        <w:spacing w:after="0" w:line="173" w:lineRule="exact"/>
        <w:rPr>
          <w:sz w:val="20"/>
          <w:szCs w:val="20"/>
          <w:color w:val="auto"/>
        </w:rPr>
      </w:pPr>
    </w:p>
    <w:p>
      <w:pPr>
        <w:jc w:val="both"/>
        <w:ind w:firstLine="278"/>
        <w:spacing w:after="0" w:line="270" w:lineRule="auto"/>
        <w:rPr>
          <w:sz w:val="20"/>
          <w:szCs w:val="20"/>
          <w:color w:val="auto"/>
        </w:rPr>
      </w:pPr>
      <w:r>
        <w:rPr>
          <w:rFonts w:ascii="Times New Roman" w:cs="Times New Roman" w:eastAsia="Times New Roman" w:hAnsi="Times New Roman"/>
          <w:sz w:val="15"/>
          <w:szCs w:val="15"/>
          <w:color w:val="auto"/>
        </w:rPr>
        <w:t>In addition, the amount of cash we receive from our subsidiaries and affiliates to satisfy U.S. dollar-denominated liquidity requirements is impacted by fluctuations in exchange rates, particularly with regard to the translation of euros and British pound sterling into U.S. dollars. In this regard, the strengthening (weakening) of the U.S. dollar against these currencies will result in decreases (increases) in the U.S. dollars received from the applicable subsidiaries and affiliates to fund the repurchase of our equity securities and other U.S. dollar-denominated liquidity requirements.</w:t>
      </w:r>
    </w:p>
    <w:p>
      <w:pPr>
        <w:spacing w:after="0" w:line="173" w:lineRule="exact"/>
        <w:rPr>
          <w:sz w:val="20"/>
          <w:szCs w:val="20"/>
          <w:color w:val="auto"/>
        </w:rPr>
      </w:pPr>
    </w:p>
    <w:p>
      <w:pPr>
        <w:jc w:val="both"/>
        <w:ind w:firstLine="278"/>
        <w:spacing w:after="0" w:line="276" w:lineRule="auto"/>
        <w:rPr>
          <w:sz w:val="20"/>
          <w:szCs w:val="20"/>
          <w:color w:val="auto"/>
        </w:rPr>
      </w:pPr>
      <w:r>
        <w:rPr>
          <w:rFonts w:ascii="Times New Roman" w:cs="Times New Roman" w:eastAsia="Times New Roman" w:hAnsi="Times New Roman"/>
          <w:sz w:val="15"/>
          <w:szCs w:val="15"/>
          <w:color w:val="auto"/>
        </w:rPr>
        <w:t>Our short- and long-term liquidity requirements include corporate general and administrative expenses and, from time to time, cash requirements in connection with (i) the repayment of third-party and intercompany debt, (ii) the satisfaction of contingent liabilities, (iii) acquisitions, (iv) the repurchase of equity and debt securities, (v) other investment opportunities, (vi) any funding requirements of our subsidiaries and affiliates or (vii) income tax payments.</w:t>
      </w:r>
    </w:p>
    <w:p>
      <w:pPr>
        <w:spacing w:after="0" w:line="169" w:lineRule="exact"/>
        <w:rPr>
          <w:sz w:val="20"/>
          <w:szCs w:val="20"/>
          <w:color w:val="auto"/>
        </w:rPr>
      </w:pPr>
    </w:p>
    <w:p>
      <w:pPr>
        <w:jc w:val="both"/>
        <w:ind w:right="20" w:firstLine="278"/>
        <w:spacing w:after="0" w:line="276" w:lineRule="auto"/>
        <w:rPr>
          <w:sz w:val="20"/>
          <w:szCs w:val="20"/>
          <w:color w:val="auto"/>
        </w:rPr>
      </w:pPr>
      <w:r>
        <w:rPr>
          <w:rFonts w:ascii="Times New Roman" w:cs="Times New Roman" w:eastAsia="Times New Roman" w:hAnsi="Times New Roman"/>
          <w:sz w:val="15"/>
          <w:szCs w:val="15"/>
          <w:color w:val="auto"/>
        </w:rPr>
        <w:t>During the nine months ended September 30, 2025, the aggregate amount of our share repurchases, including direct acquisition costs, was $158.8 million. Under our current share repurchase program, we are authorized during 2025 to repurchase up to 10% of our total outstanding shares as of December 31, 2024. For additional information regarding our share repurchase programs, see note 12 to our condensed consolidated financial statements.</w:t>
      </w:r>
    </w:p>
    <w:p>
      <w:pPr>
        <w:spacing w:after="0" w:line="1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i w:val="1"/>
          <w:iCs w:val="1"/>
          <w:color w:val="auto"/>
        </w:rPr>
        <w:t>Liquidity of borrowing groups</w:t>
      </w:r>
    </w:p>
    <w:p>
      <w:pPr>
        <w:spacing w:after="0" w:line="225" w:lineRule="exact"/>
        <w:rPr>
          <w:sz w:val="20"/>
          <w:szCs w:val="20"/>
          <w:color w:val="auto"/>
        </w:rPr>
      </w:pPr>
    </w:p>
    <w:p>
      <w:pPr>
        <w:jc w:val="both"/>
        <w:ind w:firstLine="278"/>
        <w:spacing w:after="0" w:line="270" w:lineRule="auto"/>
        <w:rPr>
          <w:sz w:val="20"/>
          <w:szCs w:val="20"/>
          <w:color w:val="auto"/>
        </w:rPr>
      </w:pPr>
      <w:r>
        <w:rPr>
          <w:rFonts w:ascii="Times New Roman" w:cs="Times New Roman" w:eastAsia="Times New Roman" w:hAnsi="Times New Roman"/>
          <w:sz w:val="15"/>
          <w:szCs w:val="15"/>
          <w:color w:val="auto"/>
        </w:rPr>
        <w:t>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our borrowing groups at September 30, 2025, see note 9 to our condensed consolidated financial statements. The aforementioned sources of liquidity may be supplemented in certain cases by contributions and/or loans from Liberty Global and its unrestricted subsidiaries.</w:t>
      </w:r>
    </w:p>
    <w:p>
      <w:pPr>
        <w:spacing w:after="0" w:line="173" w:lineRule="exact"/>
        <w:rPr>
          <w:sz w:val="20"/>
          <w:szCs w:val="20"/>
          <w:color w:val="auto"/>
        </w:rPr>
      </w:pPr>
    </w:p>
    <w:p>
      <w:pPr>
        <w:jc w:val="both"/>
        <w:ind w:right="20" w:firstLine="278"/>
        <w:spacing w:after="0" w:line="267" w:lineRule="auto"/>
        <w:rPr>
          <w:sz w:val="20"/>
          <w:szCs w:val="20"/>
          <w:color w:val="auto"/>
        </w:rPr>
      </w:pPr>
      <w:r>
        <w:rPr>
          <w:rFonts w:ascii="Times New Roman" w:cs="Times New Roman" w:eastAsia="Times New Roman" w:hAnsi="Times New Roman"/>
          <w:sz w:val="15"/>
          <w:szCs w:val="15"/>
          <w:color w:val="auto"/>
        </w:rPr>
        <w:t>The liquidity of our borrowing groups generally is used to fund (i) property and equipment additions, (ii) debt service requirements and (iii) income tax payments, as well as to settle certain obligations that are not included on our September 30, 2025 condensed consolidated balance sheet. In this regard, we have significant commitments related to (a) purchase obligations associated with CPE and certain service-related commitments, (b) programming, studio output and sports rights contracts and (c) certain operating costs associated with our networks. These obligations are expected to represent a significant liquidity requirement of our borrowing groups, a significant portion of which is due over the next 12 to 24 months. For additional information regarding our commitments, see note 15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28" w:right="319" w:bottom="1440" w:gutter="0" w:footer="0" w:header="0"/>
        </w:sectPr>
      </w:pPr>
    </w:p>
    <w:bookmarkStart w:id="80" w:name="page81"/>
    <w:bookmarkEnd w:id="80"/>
    <w:p>
      <w:pPr>
        <w:jc w:val="both"/>
        <w:ind w:firstLine="278"/>
        <w:spacing w:after="0" w:line="276" w:lineRule="auto"/>
        <w:rPr>
          <w:sz w:val="20"/>
          <w:szCs w:val="20"/>
          <w:color w:val="auto"/>
        </w:rPr>
      </w:pPr>
      <w:r>
        <w:rPr>
          <w:rFonts w:ascii="Times New Roman" w:cs="Times New Roman" w:eastAsia="Times New Roman" w:hAnsi="Times New Roman"/>
          <w:sz w:val="15"/>
          <w:szCs w:val="15"/>
          <w:color w:val="auto"/>
        </w:rPr>
        <w:t>From time to time, our borrowing groups may also require liquidity in connection with (i) acquisitions and other investment opportunities, (ii) loans to Liberty Global or its unrestricted subsidiaries, (iii) capital distributions to Liberty Global and other equity owners or (iv) the satisfaction of contingent liabilities. No assurance can be given that any external funding would be available to our borrowing groups on favorable terms, or at all.</w:t>
      </w:r>
    </w:p>
    <w:p>
      <w:pPr>
        <w:spacing w:after="0" w:line="1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 xml:space="preserve">For additional information regarding our consolidated cash flows, see the discussion under </w:t>
      </w:r>
      <w:r>
        <w:rPr>
          <w:rFonts w:ascii="Times New Roman" w:cs="Times New Roman" w:eastAsia="Times New Roman" w:hAnsi="Times New Roman"/>
          <w:sz w:val="15"/>
          <w:szCs w:val="15"/>
          <w:i w:val="1"/>
          <w:iCs w:val="1"/>
          <w:color w:val="auto"/>
        </w:rPr>
        <w:t>Condensed Consolidated Statements of Cash Flows</w:t>
      </w:r>
      <w:r>
        <w:rPr>
          <w:rFonts w:ascii="Times New Roman" w:cs="Times New Roman" w:eastAsia="Times New Roman" w:hAnsi="Times New Roman"/>
          <w:sz w:val="15"/>
          <w:szCs w:val="15"/>
          <w:color w:val="auto"/>
        </w:rPr>
        <w:t xml:space="preserve"> below.</w:t>
      </w:r>
    </w:p>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i w:val="1"/>
          <w:iCs w:val="1"/>
          <w:color w:val="auto"/>
        </w:rPr>
        <w:t>Capitalization</w:t>
      </w:r>
    </w:p>
    <w:p>
      <w:pPr>
        <w:spacing w:after="0" w:line="225" w:lineRule="exact"/>
        <w:rPr>
          <w:sz w:val="20"/>
          <w:szCs w:val="20"/>
          <w:color w:val="auto"/>
        </w:rPr>
      </w:pPr>
    </w:p>
    <w:p>
      <w:pPr>
        <w:jc w:val="both"/>
        <w:ind w:firstLine="278"/>
        <w:spacing w:after="0" w:line="267" w:lineRule="auto"/>
        <w:rPr>
          <w:sz w:val="20"/>
          <w:szCs w:val="20"/>
          <w:color w:val="auto"/>
        </w:rPr>
      </w:pPr>
      <w:r>
        <w:rPr>
          <w:rFonts w:ascii="Times New Roman" w:cs="Times New Roman" w:eastAsia="Times New Roman" w:hAnsi="Times New Roman"/>
          <w:sz w:val="15"/>
          <w:szCs w:val="15"/>
          <w:color w:val="auto"/>
        </w:rPr>
        <w:t>We seek to maintain our debt at levels that provide for attractive equity returns without assuming undue risk. In this regard, we generally seek to cause our operating subsidiaries to maintain their debt at levels that result in a consolidated debt balance (measured using subsidiary debt figures at swapped foreign currency exchange rates, consistent with the covenant calculation requirements of our subsidiary debt agreements) that is between four and five times our consolidated Adjusted EBITDA, although the timing of our acquisitions and financing transactions and the interplay of average and spot foreign currency rates may impact this ratio. Consolidated Adjusted EBITDA is a non-GAAP measure, which investors should view as a supplement to, and not a substitute for, GAAP measures of performance included in our condensed consolidated statements of operations.</w:t>
      </w:r>
    </w:p>
    <w:p>
      <w:pPr>
        <w:spacing w:after="0" w:line="175" w:lineRule="exact"/>
        <w:rPr>
          <w:sz w:val="20"/>
          <w:szCs w:val="20"/>
          <w:color w:val="auto"/>
        </w:rPr>
      </w:pPr>
    </w:p>
    <w:p>
      <w:pPr>
        <w:jc w:val="both"/>
        <w:ind w:firstLine="278"/>
        <w:spacing w:after="0" w:line="261" w:lineRule="auto"/>
        <w:rPr>
          <w:sz w:val="20"/>
          <w:szCs w:val="20"/>
          <w:color w:val="auto"/>
        </w:rPr>
      </w:pPr>
      <w:r>
        <w:rPr>
          <w:rFonts w:ascii="Times New Roman" w:cs="Times New Roman" w:eastAsia="Times New Roman" w:hAnsi="Times New Roman"/>
          <w:sz w:val="15"/>
          <w:szCs w:val="15"/>
          <w:color w:val="auto"/>
        </w:rPr>
        <w:t>Our ability to service or refinance our debt and to maintain compliance with the leverage covenants in the credit agreements and indentures of our borrowing groups is dependent primarily on our ability to maintain or increase the Adjusted EBITDA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EBITDA of one of our borrowing groups were to decline, our ability to obtain additional debt could be limited. Under our credit facilities and senior secured notes there is no cross-default risk between subsidiary borrowing groups in the event that one or more of our borrowing groups were to experience significant declines in their Adjusted EBITDA to the extent they were no longer able to service their debt obligations. Any mandatory prepayment events or events of default that may occur would only impact the relevant borrowing group in which these events occur and do not allow for any recourse to other borrowing groups or Liberty Global Ltd. Our credit facilities and senior secured notes require that certain members of the relevant borrowing group guarantee the payment of all sums payable thereunder and such group members are required to grant first-ranking security over their shares or, in certain borrowing groups, over substantially all of their assets to secure the payment of all sums payable thereunder. At September 30, 2025, each of our borrowing groups was in compliance with its debt covenants. In addition, we do not anticipate any instances of non-compliance with respect to the debt covenants of our borrowing groups that would have a material adverse impact on our liquidity during the next 12 months.</w:t>
      </w:r>
    </w:p>
    <w:p>
      <w:pPr>
        <w:spacing w:after="0" w:line="182" w:lineRule="exact"/>
        <w:rPr>
          <w:sz w:val="20"/>
          <w:szCs w:val="20"/>
          <w:color w:val="auto"/>
        </w:rPr>
      </w:pPr>
    </w:p>
    <w:p>
      <w:pPr>
        <w:jc w:val="both"/>
        <w:ind w:right="20" w:firstLine="278"/>
        <w:spacing w:after="0" w:line="276" w:lineRule="auto"/>
        <w:rPr>
          <w:sz w:val="20"/>
          <w:szCs w:val="20"/>
          <w:color w:val="auto"/>
        </w:rPr>
      </w:pPr>
      <w:r>
        <w:rPr>
          <w:rFonts w:ascii="Times New Roman" w:cs="Times New Roman" w:eastAsia="Times New Roman" w:hAnsi="Times New Roman"/>
          <w:sz w:val="15"/>
          <w:szCs w:val="15"/>
          <w:color w:val="auto"/>
        </w:rPr>
        <w:t>At September 30, 2025, the outstanding principal amount of our consolidated debt, together with our finance lease obligations, aggregated $8.5 billion, including $0.7 billion that is classified as current on our condensed consolidated balance sheet and $3.3 billion that is not due until 2029 or thereafter. All of our consolidated debt and finance lease obligations have been borrowed or incurred by our subsidiaries at September 30, 2025.</w:t>
      </w:r>
    </w:p>
    <w:p>
      <w:pPr>
        <w:spacing w:after="0" w:line="169" w:lineRule="exact"/>
        <w:rPr>
          <w:sz w:val="20"/>
          <w:szCs w:val="20"/>
          <w:color w:val="auto"/>
        </w:rPr>
      </w:pPr>
    </w:p>
    <w:p>
      <w:pPr>
        <w:jc w:val="both"/>
        <w:ind w:firstLine="278"/>
        <w:spacing w:after="0" w:line="262" w:lineRule="auto"/>
        <w:rPr>
          <w:sz w:val="20"/>
          <w:szCs w:val="20"/>
          <w:color w:val="auto"/>
        </w:rPr>
      </w:pPr>
      <w:r>
        <w:rPr>
          <w:rFonts w:ascii="Times New Roman" w:cs="Times New Roman" w:eastAsia="Times New Roman" w:hAnsi="Times New Roman"/>
          <w:sz w:val="15"/>
          <w:szCs w:val="15"/>
          <w:color w:val="auto"/>
        </w:rPr>
        <w:t>Notwithstanding our negative working capital position at September 30, 2025, we believe we have sufficient resources to repay or refinance the current portion of our debt and finance lease obligations and to fund our foreseeable liquidity requirements during the next 12 months. However, as our maturing debt grows in later years, we anticipate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 of the credit markets. In addition,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spacing w:after="0" w:line="18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For additional information concerning our debt and finance lease obligations, see notes 9 and 10, respectively,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81" w:name="page82"/>
    <w:bookmarkEnd w:id="81"/>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Condensed Consolidated Statements of Cash Flows</w:t>
      </w:r>
    </w:p>
    <w:p>
      <w:pPr>
        <w:spacing w:after="0" w:line="221"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i w:val="1"/>
          <w:iCs w:val="1"/>
          <w:color w:val="auto"/>
        </w:rPr>
        <w:t xml:space="preserve">General. </w:t>
      </w:r>
      <w:r>
        <w:rPr>
          <w:rFonts w:ascii="Times New Roman" w:cs="Times New Roman" w:eastAsia="Times New Roman" w:hAnsi="Times New Roman"/>
          <w:sz w:val="15"/>
          <w:szCs w:val="15"/>
          <w:color w:val="auto"/>
        </w:rPr>
        <w:t>Our cash flows are subject to significant variations due to FX.</w:t>
      </w:r>
    </w:p>
    <w:p>
      <w:pPr>
        <w:spacing w:after="0" w:line="221" w:lineRule="exact"/>
        <w:rPr>
          <w:sz w:val="20"/>
          <w:szCs w:val="20"/>
          <w:color w:val="auto"/>
        </w:rPr>
      </w:pPr>
    </w:p>
    <w:p>
      <w:pPr>
        <w:jc w:val="both"/>
        <w:ind w:left="7" w:firstLine="278"/>
        <w:spacing w:after="0" w:line="270" w:lineRule="auto"/>
        <w:rPr>
          <w:sz w:val="20"/>
          <w:szCs w:val="20"/>
          <w:color w:val="auto"/>
        </w:rPr>
      </w:pPr>
      <w:r>
        <w:rPr>
          <w:rFonts w:ascii="Times New Roman" w:cs="Times New Roman" w:eastAsia="Times New Roman" w:hAnsi="Times New Roman"/>
          <w:sz w:val="15"/>
          <w:szCs w:val="15"/>
          <w:i w:val="1"/>
          <w:iCs w:val="1"/>
          <w:color w:val="auto"/>
        </w:rPr>
        <w:t xml:space="preserve">Summary. </w:t>
      </w:r>
      <w:r>
        <w:rPr>
          <w:rFonts w:ascii="Times New Roman" w:cs="Times New Roman" w:eastAsia="Times New Roman" w:hAnsi="Times New Roman"/>
          <w:sz w:val="15"/>
          <w:szCs w:val="15"/>
          <w:color w:val="auto"/>
        </w:rPr>
        <w:t>The condensed consolidated statements of cash flows of our continuing operations for the nine months ended September 30, 2025 and 2024 are summarized 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follows:</w:t>
      </w:r>
    </w:p>
    <w:p>
      <w:pPr>
        <w:spacing w:after="0" w:line="277"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84"/>
        </w:trPr>
        <w:tc>
          <w:tcPr>
            <w:tcW w:w="7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8"/>
        </w:trPr>
        <w:tc>
          <w:tcPr>
            <w:tcW w:w="748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6"/>
        </w:trPr>
        <w:tc>
          <w:tcPr>
            <w:tcW w:w="7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40"/>
        </w:trPr>
        <w:tc>
          <w:tcPr>
            <w:tcW w:w="7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97"/>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center"/>
              <w:ind w:left="366"/>
              <w:spacing w:after="0"/>
              <w:rPr>
                <w:sz w:val="20"/>
                <w:szCs w:val="20"/>
                <w:color w:val="auto"/>
              </w:rPr>
            </w:pPr>
            <w:r>
              <w:rPr>
                <w:rFonts w:ascii="Times New Roman" w:cs="Times New Roman" w:eastAsia="Times New Roman" w:hAnsi="Times New Roman"/>
                <w:sz w:val="15"/>
                <w:szCs w:val="15"/>
                <w:color w:val="auto"/>
              </w:rPr>
              <w:t>580.2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664.1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(83.9)</w:t>
            </w:r>
          </w:p>
        </w:tc>
      </w:tr>
      <w:tr>
        <w:trPr>
          <w:trHeight w:val="197"/>
        </w:trPr>
        <w:tc>
          <w:tcPr>
            <w:tcW w:w="7480" w:type="dxa"/>
            <w:vAlign w:val="bottom"/>
          </w:tcPr>
          <w:p>
            <w:pPr>
              <w:spacing w:after="0"/>
              <w:rPr>
                <w:sz w:val="20"/>
                <w:szCs w:val="20"/>
                <w:color w:val="auto"/>
              </w:rPr>
            </w:pPr>
            <w:r>
              <w:rPr>
                <w:rFonts w:ascii="Times New Roman" w:cs="Times New Roman" w:eastAsia="Times New Roman" w:hAnsi="Times New Roman"/>
                <w:sz w:val="15"/>
                <w:szCs w:val="15"/>
                <w:color w:val="auto"/>
              </w:rPr>
              <w:t>Net cash provided (used) by investing activities</w:t>
            </w:r>
          </w:p>
        </w:tc>
        <w:tc>
          <w:tcPr>
            <w:tcW w:w="280" w:type="dxa"/>
            <w:vAlign w:val="bottom"/>
          </w:tcPr>
          <w:p>
            <w:pPr>
              <w:spacing w:after="0"/>
              <w:rPr>
                <w:sz w:val="17"/>
                <w:szCs w:val="17"/>
                <w:color w:val="auto"/>
              </w:rPr>
            </w:pPr>
          </w:p>
        </w:tc>
        <w:tc>
          <w:tcPr>
            <w:tcW w:w="900" w:type="dxa"/>
            <w:vAlign w:val="bottom"/>
          </w:tcPr>
          <w:p>
            <w:pPr>
              <w:jc w:val="center"/>
              <w:ind w:left="326"/>
              <w:spacing w:after="0"/>
              <w:rPr>
                <w:sz w:val="20"/>
                <w:szCs w:val="20"/>
                <w:color w:val="auto"/>
              </w:rPr>
            </w:pPr>
            <w:r>
              <w:rPr>
                <w:rFonts w:ascii="Times New Roman" w:cs="Times New Roman" w:eastAsia="Times New Roman" w:hAnsi="Times New Roman"/>
                <w:sz w:val="15"/>
                <w:szCs w:val="15"/>
                <w:color w:val="auto"/>
              </w:rPr>
              <w:t>(607.8)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719.9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(1,327.7)</w:t>
            </w:r>
          </w:p>
        </w:tc>
      </w:tr>
      <w:tr>
        <w:trPr>
          <w:trHeight w:val="197"/>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used by financing activities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326"/>
              <w:spacing w:after="0"/>
              <w:rPr>
                <w:sz w:val="20"/>
                <w:szCs w:val="20"/>
                <w:color w:val="auto"/>
              </w:rPr>
            </w:pPr>
            <w:r>
              <w:rPr>
                <w:rFonts w:ascii="Times New Roman" w:cs="Times New Roman" w:eastAsia="Times New Roman" w:hAnsi="Times New Roman"/>
                <w:sz w:val="15"/>
                <w:szCs w:val="15"/>
                <w:color w:val="auto"/>
              </w:rPr>
              <w:t>(273.4)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(643.5)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370.1</w:t>
            </w:r>
          </w:p>
        </w:tc>
      </w:tr>
      <w:tr>
        <w:trPr>
          <w:trHeight w:val="197"/>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Effect of exchange rate changes on cash and cash equivalents and restricted cash</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left="366"/>
              <w:spacing w:after="0"/>
              <w:rPr>
                <w:sz w:val="20"/>
                <w:szCs w:val="20"/>
                <w:color w:val="auto"/>
              </w:rPr>
            </w:pPr>
            <w:r>
              <w:rPr>
                <w:rFonts w:ascii="Times New Roman" w:cs="Times New Roman" w:eastAsia="Times New Roman" w:hAnsi="Times New Roman"/>
                <w:sz w:val="15"/>
                <w:szCs w:val="15"/>
                <w:color w:val="auto"/>
              </w:rPr>
              <w:t>158.8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142.7</w:t>
            </w:r>
          </w:p>
        </w:tc>
      </w:tr>
      <w:tr>
        <w:trPr>
          <w:trHeight w:val="213"/>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increase (decrease) in cash and cash equivalents and restricted cash</w:t>
            </w: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CCEEFF"/>
          </w:tcPr>
          <w:p>
            <w:pPr>
              <w:jc w:val="center"/>
              <w:ind w:left="326"/>
              <w:spacing w:after="0"/>
              <w:rPr>
                <w:sz w:val="20"/>
                <w:szCs w:val="20"/>
                <w:color w:val="auto"/>
              </w:rPr>
            </w:pPr>
            <w:r>
              <w:rPr>
                <w:rFonts w:ascii="Times New Roman" w:cs="Times New Roman" w:eastAsia="Times New Roman" w:hAnsi="Times New Roman"/>
                <w:sz w:val="15"/>
                <w:szCs w:val="15"/>
                <w:color w:val="auto"/>
              </w:rPr>
              <w:t>(142.2)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756.6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(898.8)</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jc w:val="both"/>
        <w:ind w:left="7" w:firstLine="278"/>
        <w:spacing w:after="0" w:line="266" w:lineRule="auto"/>
        <w:rPr>
          <w:sz w:val="20"/>
          <w:szCs w:val="20"/>
          <w:color w:val="auto"/>
        </w:rPr>
      </w:pPr>
      <w:r>
        <w:rPr>
          <w:rFonts w:ascii="Times New Roman" w:cs="Times New Roman" w:eastAsia="Times New Roman" w:hAnsi="Times New Roman"/>
          <w:sz w:val="15"/>
          <w:szCs w:val="15"/>
          <w:i w:val="1"/>
          <w:iCs w:val="1"/>
          <w:color w:val="auto"/>
        </w:rPr>
        <w:t xml:space="preserve">Operating Activities. </w:t>
      </w:r>
      <w:r>
        <w:rPr>
          <w:rFonts w:ascii="Times New Roman" w:cs="Times New Roman" w:eastAsia="Times New Roman" w:hAnsi="Times New Roman"/>
          <w:sz w:val="15"/>
          <w:szCs w:val="15"/>
          <w:color w:val="auto"/>
        </w:rPr>
        <w:t>The decrease in net cash provided by operating activities is primarily attributable to the net effect of (i) a decrease in cash provided due to lower receipts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interest, (ii) a decrease in cash provided due to lower net cash receipts related to derivative instruments, (iii) an increase in cash provided due to lower payments of interest, net of €5.4 million ($6.2 million at the applicable rate) cash paid related to the partial settlement of the Vodafone Collar Loan during the second quarter of 2025, (iv) an increase due to FX,</w:t>
      </w:r>
    </w:p>
    <w:p>
      <w:pPr>
        <w:jc w:val="both"/>
        <w:ind w:left="7" w:hanging="7"/>
        <w:spacing w:after="0" w:line="263" w:lineRule="auto"/>
        <w:tabs>
          <w:tab w:leader="none" w:pos="24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increase in cash provided by our Adjusted EBITDA and related working capital items and (vi) a decrease in cash provided due to lower dividend distributions. As further described in note 5, the Vodafone Collar and Vodafone Collar Loan were settled in full through a non-cash transaction during the third quarter of 2025. For additional information regarding the Vodafone Collar and Vodafone Collar Loan, see notes 5 and 9, respectively, to our condensed consolidated financial statements. Consolidated Adjusted EBITDA is a non-GAAP measure, which investors should view as a supplement to, and not a substitute for, GAAP measures of performance included in our consolidated statements of operations.</w:t>
      </w:r>
    </w:p>
    <w:p>
      <w:pPr>
        <w:spacing w:after="0" w:line="175" w:lineRule="exact"/>
        <w:rPr>
          <w:sz w:val="20"/>
          <w:szCs w:val="20"/>
          <w:color w:val="auto"/>
        </w:rPr>
      </w:pPr>
    </w:p>
    <w:p>
      <w:pPr>
        <w:jc w:val="both"/>
        <w:ind w:left="7" w:firstLine="278"/>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Investing Activities. </w:t>
      </w:r>
      <w:r>
        <w:rPr>
          <w:rFonts w:ascii="Times New Roman" w:cs="Times New Roman" w:eastAsia="Times New Roman" w:hAnsi="Times New Roman"/>
          <w:sz w:val="15"/>
          <w:szCs w:val="15"/>
          <w:color w:val="auto"/>
        </w:rPr>
        <w:t>The change in net cash provided (used) by investing activities is primarily attributable to (i) a decrease in cash of $656.8 million associated with lower net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cash received from the sale of our investments primarily related to the net effect of (a) lower net cash received from the sale of our investments held under SMAs and (b) €82.8 million ($95.5 million at the applicable rate) of net proceeds from the partial sale of our investment in Vodafone during the second quarter of 2025, (ii) a decrease in cash of $411.7 million in connection with the sale of our investment in All3Media during the second quarter of 2024 and (iii) a decrease in cash of $293.6 million due to higher capital expenditures. Capital expenditures increased from $611.9 million during the nine months ended September 30, 2024 to $905.5 million during the nine months ended September 30, 2025, primarily due to (a) an increase in our net local currency capital expenditures and related working capital movements, including the impact of higher capital-related vendor financing, and (b) an increase due to FX.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815" w:right="319" w:bottom="1440" w:gutter="0" w:footer="0" w:header="0"/>
        </w:sectPr>
      </w:pPr>
    </w:p>
    <w:bookmarkStart w:id="82" w:name="page83"/>
    <w:bookmarkEnd w:id="82"/>
    <w:p>
      <w:pPr>
        <w:jc w:val="both"/>
        <w:ind w:firstLine="278"/>
        <w:spacing w:after="0" w:line="263" w:lineRule="auto"/>
        <w:rPr>
          <w:sz w:val="20"/>
          <w:szCs w:val="20"/>
          <w:color w:val="auto"/>
        </w:rPr>
      </w:pPr>
      <w:r>
        <w:rPr>
          <w:rFonts w:ascii="Times New Roman" w:cs="Times New Roman" w:eastAsia="Times New Roman" w:hAnsi="Times New Roman"/>
          <w:sz w:val="15"/>
          <w:szCs w:val="15"/>
          <w:color w:val="auto"/>
        </w:rPr>
        <w:t>The capital expenditures we report in our condensed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 In this discussion, we refer to (i) our capital expenditures as reported in our condensed consolidated statements of cash flows, which exclude amounts financed under capital-related vendor financing or finance lease arrangements, and (ii) our total consolidated property and equipment additions, which include our capital expenditures on an accrual basis and amounts financed under capital-related vendor financing or finance lease arrangements. For further details regarding our property and equipment additions, see note 16 to our condensed consolidated financial statements. A reconciliation of our consolidated property and equipment additions to our consolidated capital expenditures, as reported in our condensed consolidated statements of cash flows, is set forth below:</w:t>
      </w:r>
    </w:p>
    <w:p>
      <w:pPr>
        <w:spacing w:after="0" w:line="85"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46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5"/>
        </w:trPr>
        <w:tc>
          <w:tcPr>
            <w:tcW w:w="8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gridSpan w:val="3"/>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5"/>
                <w:szCs w:val="15"/>
                <w:color w:val="auto"/>
              </w:rPr>
            </w:pPr>
          </w:p>
        </w:tc>
      </w:tr>
      <w:tr>
        <w:trPr>
          <w:trHeight w:val="140"/>
        </w:trPr>
        <w:tc>
          <w:tcPr>
            <w:tcW w:w="8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97"/>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and equipment additions</w:t>
            </w:r>
          </w:p>
        </w:tc>
        <w:tc>
          <w:tcPr>
            <w:tcW w:w="88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938.4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724.3</w:t>
            </w:r>
          </w:p>
        </w:tc>
      </w:tr>
      <w:tr>
        <w:trPr>
          <w:trHeight w:val="197"/>
        </w:trPr>
        <w:tc>
          <w:tcPr>
            <w:tcW w:w="8460" w:type="dxa"/>
            <w:vAlign w:val="bottom"/>
          </w:tcPr>
          <w:p>
            <w:pPr>
              <w:spacing w:after="0"/>
              <w:rPr>
                <w:sz w:val="20"/>
                <w:szCs w:val="20"/>
                <w:color w:val="auto"/>
              </w:rPr>
            </w:pPr>
            <w:r>
              <w:rPr>
                <w:rFonts w:ascii="Times New Roman" w:cs="Times New Roman" w:eastAsia="Times New Roman" w:hAnsi="Times New Roman"/>
                <w:sz w:val="15"/>
                <w:szCs w:val="15"/>
                <w:color w:val="auto"/>
              </w:rPr>
              <w:t>Assets acquired under capital-related vendor financing arrangements</w:t>
            </w:r>
          </w:p>
        </w:tc>
        <w:tc>
          <w:tcPr>
            <w:tcW w:w="8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(59.3)</w:t>
            </w:r>
          </w:p>
        </w:tc>
      </w:tr>
      <w:tr>
        <w:trPr>
          <w:trHeight w:val="197"/>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Assets acquired under finance leases</w:t>
            </w:r>
          </w:p>
        </w:tc>
        <w:tc>
          <w:tcPr>
            <w:tcW w:w="8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r>
      <w:tr>
        <w:trPr>
          <w:trHeight w:val="197"/>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Changes in current liabilities related to capital expenditures</w:t>
            </w: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39.8</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(52.5)</w:t>
            </w:r>
          </w:p>
        </w:tc>
      </w:tr>
      <w:tr>
        <w:trPr>
          <w:trHeight w:val="213"/>
        </w:trPr>
        <w:tc>
          <w:tcPr>
            <w:tcW w:w="8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Capital expenditures, net</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905.5</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611.9</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jc w:val="both"/>
        <w:ind w:firstLine="278"/>
        <w:spacing w:after="0" w:line="270" w:lineRule="auto"/>
        <w:rPr>
          <w:sz w:val="20"/>
          <w:szCs w:val="20"/>
          <w:color w:val="auto"/>
        </w:rPr>
      </w:pPr>
      <w:r>
        <w:rPr>
          <w:rFonts w:ascii="Times New Roman" w:cs="Times New Roman" w:eastAsia="Times New Roman" w:hAnsi="Times New Roman"/>
          <w:sz w:val="15"/>
          <w:szCs w:val="15"/>
          <w:color w:val="auto"/>
        </w:rPr>
        <w:t>The increase in our property and equipment additions during the nine months ended September 30, 2025, as compared to the corresponding period in 2024, is primarily due to (i) an increase in local currency expenditures of our subsidiaries primarily due to the net effect of (a) an increase in expenditures for new build and upgrade projects, (b) a decrease in expenditures to support new customer products and operational efficiency initiatives and (c) an increase in expenditures for the purchase and installation of CPE, and (ii) an increase due to FX.</w:t>
      </w:r>
    </w:p>
    <w:p>
      <w:pPr>
        <w:spacing w:after="0" w:line="169" w:lineRule="exact"/>
        <w:rPr>
          <w:sz w:val="20"/>
          <w:szCs w:val="20"/>
          <w:color w:val="auto"/>
        </w:rPr>
      </w:pPr>
    </w:p>
    <w:p>
      <w:pPr>
        <w:jc w:val="both"/>
        <w:ind w:firstLine="278"/>
        <w:spacing w:after="0" w:line="268" w:lineRule="auto"/>
        <w:rPr>
          <w:sz w:val="20"/>
          <w:szCs w:val="20"/>
          <w:color w:val="auto"/>
        </w:rPr>
      </w:pPr>
      <w:r>
        <w:rPr>
          <w:rFonts w:ascii="Times New Roman" w:cs="Times New Roman" w:eastAsia="Times New Roman" w:hAnsi="Times New Roman"/>
          <w:sz w:val="15"/>
          <w:szCs w:val="15"/>
          <w:i w:val="1"/>
          <w:iCs w:val="1"/>
          <w:color w:val="auto"/>
        </w:rPr>
        <w:t xml:space="preserve">Financing Activities. </w:t>
      </w:r>
      <w:r>
        <w:rPr>
          <w:rFonts w:ascii="Times New Roman" w:cs="Times New Roman" w:eastAsia="Times New Roman" w:hAnsi="Times New Roman"/>
          <w:sz w:val="15"/>
          <w:szCs w:val="15"/>
          <w:color w:val="auto"/>
        </w:rPr>
        <w:t>The decrease in net cash used by financing activities is primarily attributable to the net effect of (i) a decrease in cash used of $353.7 million due to lower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repurchases of Liberty Global common shares, (ii) a decrease in cash used of $84.1 million due to higher net cash receipts related to derivatives, including €71.7 million ($82.7 million at the applicable rate) associated with the partial unwind and restructure of the Vodafone Collar during the second quarter of 2025 and (iii) an increase in cash used of $53.4 million due to higher net repayments of debt, including €78.2 million ($90.2 million at the applicable rate) associated with the partial settlement of the Vodafone Collar Loan during the second quarter of 2025.</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83" w:name="page84"/>
    <w:bookmarkEnd w:id="83"/>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Adjusted Free Cash Flow</w:t>
      </w:r>
    </w:p>
    <w:p>
      <w:pPr>
        <w:spacing w:after="0" w:line="225" w:lineRule="exact"/>
        <w:rPr>
          <w:sz w:val="20"/>
          <w:szCs w:val="20"/>
          <w:color w:val="auto"/>
        </w:rPr>
      </w:pPr>
    </w:p>
    <w:p>
      <w:pPr>
        <w:jc w:val="both"/>
        <w:ind w:left="7" w:firstLine="278"/>
        <w:spacing w:after="0" w:line="263" w:lineRule="auto"/>
        <w:rPr>
          <w:sz w:val="20"/>
          <w:szCs w:val="20"/>
          <w:color w:val="auto"/>
        </w:rPr>
      </w:pPr>
      <w:r>
        <w:rPr>
          <w:rFonts w:ascii="Times New Roman" w:cs="Times New Roman" w:eastAsia="Times New Roman" w:hAnsi="Times New Roman"/>
          <w:sz w:val="15"/>
          <w:szCs w:val="15"/>
          <w:color w:val="auto"/>
        </w:rPr>
        <w:t>We define adjusted free cash flow as net cash provided by operating activities of our continuing operations, plus operating-related vendor financed expenses (which represents an increase in the period to our actual cash available as a result of extending vendor payment terms beyond normal payment terms, which are typically 90 days or less, through non-cash financing activities), less (i) cash payments in the period for capital expenditures, (ii) principal payments on operating- and capital-related amounts financed by vendors and intermediaries (which represents a decrease in the period to our actual cash available as a result of paying amounts to vendors and intermediaries where we previously had extended vendor payments beyond the normal payment terms) and (iii) principal payments on finance leases (which represents a decrease in the period to our actual cash available), each as reported in our condensed consolidated statements of cash flows, with each item excluding any cash provided or used by our discontinued operations. Net cash provided by operating activities of our continuing operations includes cash paid for third-party costs directly associated with successful and unsuccessful acquisitions and dispositions of $2.2 million and $7.6 million during the nine months ended September 30, 2025 and 2024, respectively.</w:t>
      </w:r>
    </w:p>
    <w:p>
      <w:pPr>
        <w:spacing w:after="0" w:line="178" w:lineRule="exact"/>
        <w:rPr>
          <w:sz w:val="20"/>
          <w:szCs w:val="20"/>
          <w:color w:val="auto"/>
        </w:rPr>
      </w:pPr>
    </w:p>
    <w:p>
      <w:pPr>
        <w:jc w:val="both"/>
        <w:ind w:left="7" w:firstLine="278"/>
        <w:spacing w:after="0" w:line="264" w:lineRule="auto"/>
        <w:rPr>
          <w:sz w:val="20"/>
          <w:szCs w:val="20"/>
          <w:color w:val="auto"/>
        </w:rPr>
      </w:pPr>
      <w:r>
        <w:rPr>
          <w:rFonts w:ascii="Times New Roman" w:cs="Times New Roman" w:eastAsia="Times New Roman" w:hAnsi="Times New Roman"/>
          <w:sz w:val="15"/>
          <w:szCs w:val="15"/>
          <w:color w:val="auto"/>
        </w:rPr>
        <w:t>We believe our presentation of adjusted free cash flow, which is a non-GAAP measure, provides useful information to our investors because this measure can be used to gauge our ability to (i) service debt and (ii) fund new investment opportunities after consideration of all actual cash payments related to our working capital activities and expenses that are capital in nature whether paid inside normal vendor payment terms or paid later outside normal vendor payment terms (in which case we typically pay in less than 365 days). Adjusted free cash flow should not be understood to represent our ability to fund discretionary amounts, as we have various mandatory and contractual obligations, including debt repayments, that are not deducted to arrive at these amounts. Investors should view adjusted free cash flow as a supplement to, and not a substitute for, GAAP measures of liquidity included in our condensed consolidated statements of cash flows. Further, our adjusted free cash flow may differ from how other companies define and apply their definition of adjusted free cash flow.</w:t>
      </w:r>
    </w:p>
    <w:p>
      <w:pPr>
        <w:spacing w:after="0" w:line="366"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color w:val="auto"/>
        </w:rPr>
        <w:t>The following table provides the details of our adjusted free cash flow:</w:t>
      </w:r>
    </w:p>
    <w:p>
      <w:pPr>
        <w:spacing w:after="0" w:line="125"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5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81"/>
        </w:trPr>
        <w:tc>
          <w:tcPr>
            <w:tcW w:w="852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5"/>
        </w:trPr>
        <w:tc>
          <w:tcPr>
            <w:tcW w:w="8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gridSpan w:val="3"/>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spacing w:after="0"/>
              <w:rPr>
                <w:sz w:val="15"/>
                <w:szCs w:val="15"/>
                <w:color w:val="auto"/>
              </w:rPr>
            </w:pPr>
          </w:p>
        </w:tc>
      </w:tr>
      <w:tr>
        <w:trPr>
          <w:trHeight w:val="175"/>
        </w:trPr>
        <w:tc>
          <w:tcPr>
            <w:tcW w:w="8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7"/>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provided by operating activities of our continuing operations</w:t>
            </w:r>
          </w:p>
        </w:tc>
        <w:tc>
          <w:tcPr>
            <w:tcW w:w="820" w:type="dxa"/>
            <w:vAlign w:val="bottom"/>
            <w:shd w:val="clear" w:color="auto" w:fill="CCEEFF"/>
          </w:tcPr>
          <w:p>
            <w:pPr>
              <w:jc w:val="right"/>
              <w:ind w:right="665"/>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580.2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664.1</w:t>
            </w:r>
          </w:p>
        </w:tc>
      </w:tr>
      <w:tr>
        <w:trPr>
          <w:trHeight w:val="197"/>
        </w:trPr>
        <w:tc>
          <w:tcPr>
            <w:tcW w:w="8520" w:type="dxa"/>
            <w:vAlign w:val="bottom"/>
          </w:tcPr>
          <w:p>
            <w:pPr>
              <w:spacing w:after="0"/>
              <w:rPr>
                <w:sz w:val="20"/>
                <w:szCs w:val="20"/>
                <w:color w:val="auto"/>
              </w:rPr>
            </w:pPr>
            <w:r>
              <w:rPr>
                <w:rFonts w:ascii="Times New Roman" w:cs="Times New Roman" w:eastAsia="Times New Roman" w:hAnsi="Times New Roman"/>
                <w:sz w:val="15"/>
                <w:szCs w:val="15"/>
                <w:color w:val="auto"/>
              </w:rPr>
              <w:t>Operating-related vendor financing additions (a)</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291.9</w:t>
            </w:r>
          </w:p>
        </w:tc>
      </w:tr>
      <w:tr>
        <w:trPr>
          <w:trHeight w:val="197"/>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capital expenditures, net</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(905.5)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(611.9)</w:t>
            </w:r>
          </w:p>
        </w:tc>
      </w:tr>
      <w:tr>
        <w:trPr>
          <w:trHeight w:val="197"/>
        </w:trPr>
        <w:tc>
          <w:tcPr>
            <w:tcW w:w="8520" w:type="dxa"/>
            <w:vAlign w:val="bottom"/>
          </w:tcPr>
          <w:p>
            <w:pPr>
              <w:spacing w:after="0"/>
              <w:rPr>
                <w:sz w:val="20"/>
                <w:szCs w:val="20"/>
                <w:color w:val="auto"/>
              </w:rPr>
            </w:pPr>
            <w:r>
              <w:rPr>
                <w:rFonts w:ascii="Times New Roman" w:cs="Times New Roman" w:eastAsia="Times New Roman" w:hAnsi="Times New Roman"/>
                <w:sz w:val="15"/>
                <w:szCs w:val="15"/>
                <w:color w:val="auto"/>
              </w:rPr>
              <w:t>Principal payments on operating-related vendor financing</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(283.2)</w:t>
            </w:r>
          </w:p>
        </w:tc>
      </w:tr>
      <w:tr>
        <w:trPr>
          <w:trHeight w:val="197"/>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Principal payments on capital-related vendor financing</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(71.0)</w:t>
            </w:r>
          </w:p>
        </w:tc>
      </w:tr>
      <w:tr>
        <w:trPr>
          <w:trHeight w:val="197"/>
        </w:trPr>
        <w:tc>
          <w:tcPr>
            <w:tcW w:w="8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Principal payments on finance leases</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213"/>
        </w:trPr>
        <w:tc>
          <w:tcPr>
            <w:tcW w:w="8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Adjusted free cash flow</w:t>
            </w:r>
          </w:p>
        </w:tc>
        <w:tc>
          <w:tcPr>
            <w:tcW w:w="820" w:type="dxa"/>
            <w:vAlign w:val="bottom"/>
            <w:tcBorders>
              <w:bottom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(426.9)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_______________</w:t>
      </w:r>
    </w:p>
    <w:p>
      <w:pPr>
        <w:spacing w:after="0" w:line="225" w:lineRule="exact"/>
        <w:rPr>
          <w:sz w:val="20"/>
          <w:szCs w:val="20"/>
          <w:color w:val="auto"/>
        </w:rPr>
      </w:pPr>
    </w:p>
    <w:p>
      <w:pPr>
        <w:jc w:val="both"/>
        <w:ind w:left="407" w:right="20" w:hanging="407"/>
        <w:spacing w:after="0" w:line="264" w:lineRule="auto"/>
        <w:tabs>
          <w:tab w:leader="none" w:pos="405"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our condensed consolidated statements of cash flows, operating-related vendor financing additions represent operating-related expenses financed by an intermediary that are treated as constructive operating cash outflows and constructive financing cash inflows when the intermediary settles the liability with the vendor. When we pay the financing intermediary, we record financing cash outflows in our consolidated statements of cash flows. For purposes of our adjusted free cash flow definition, we</w:t>
      </w:r>
    </w:p>
    <w:p>
      <w:pPr>
        <w:jc w:val="both"/>
        <w:ind w:left="407"/>
        <w:spacing w:after="0" w:line="26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add in the constructive financing cash inflow when the intermediary settles the liability with the vendor as our actual net cash available at that time is not affected and (ii) subsequently deduct the related financing cash outflow when we actually pay the financing intermediary, reflecting the actual reduction to our cash available to service debt or fund new investment opportunities.</w:t>
      </w:r>
    </w:p>
    <w:p>
      <w:pPr>
        <w:spacing w:after="0" w:line="200" w:lineRule="exact"/>
        <w:rPr>
          <w:sz w:val="20"/>
          <w:szCs w:val="20"/>
          <w:color w:val="auto"/>
        </w:rPr>
      </w:pPr>
    </w:p>
    <w:p>
      <w:pPr>
        <w:spacing w:after="0" w:line="27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815"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5"/>
          <w:szCs w:val="15"/>
          <w:b w:val="1"/>
          <w:bCs w:val="1"/>
          <w:color w:val="auto"/>
        </w:rPr>
        <w:t>Item 3. QUANTITATIVE AND QUALITATIVE DISCLOSURES ABOUT MARKET RISK</w:t>
      </w:r>
    </w:p>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i w:val="1"/>
          <w:iCs w:val="1"/>
          <w:color w:val="auto"/>
        </w:rPr>
        <w:t>General</w:t>
      </w:r>
    </w:p>
    <w:p>
      <w:pPr>
        <w:spacing w:after="0" w:line="225" w:lineRule="exact"/>
        <w:rPr>
          <w:sz w:val="20"/>
          <w:szCs w:val="20"/>
          <w:color w:val="auto"/>
        </w:rPr>
      </w:pPr>
    </w:p>
    <w:p>
      <w:pPr>
        <w:jc w:val="both"/>
        <w:ind w:firstLine="278"/>
        <w:spacing w:after="0" w:line="295" w:lineRule="auto"/>
        <w:rPr>
          <w:sz w:val="20"/>
          <w:szCs w:val="20"/>
          <w:color w:val="auto"/>
        </w:rPr>
      </w:pPr>
      <w:r>
        <w:rPr>
          <w:rFonts w:ascii="Times New Roman" w:cs="Times New Roman" w:eastAsia="Times New Roman" w:hAnsi="Times New Roman"/>
          <w:sz w:val="15"/>
          <w:szCs w:val="15"/>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55" w:lineRule="exact"/>
        <w:rPr>
          <w:sz w:val="20"/>
          <w:szCs w:val="20"/>
          <w:color w:val="auto"/>
        </w:rPr>
      </w:pPr>
    </w:p>
    <w:p>
      <w:pPr>
        <w:jc w:val="both"/>
        <w:ind w:firstLine="278"/>
        <w:spacing w:after="0" w:line="270" w:lineRule="auto"/>
        <w:rPr>
          <w:sz w:val="20"/>
          <w:szCs w:val="20"/>
          <w:color w:val="auto"/>
        </w:rPr>
      </w:pPr>
      <w:r>
        <w:rPr>
          <w:rFonts w:ascii="Times New Roman" w:cs="Times New Roman" w:eastAsia="Times New Roman" w:hAnsi="Times New Roman"/>
          <w:sz w:val="15"/>
          <w:szCs w:val="15"/>
          <w:color w:val="auto"/>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spacing w:after="0" w:line="169" w:lineRule="exact"/>
        <w:rPr>
          <w:sz w:val="20"/>
          <w:szCs w:val="20"/>
          <w:color w:val="auto"/>
        </w:rPr>
      </w:pPr>
    </w:p>
    <w:p>
      <w:pPr>
        <w:jc w:val="both"/>
        <w:ind w:right="20" w:firstLine="278"/>
        <w:spacing w:after="0" w:line="300" w:lineRule="auto"/>
        <w:rPr>
          <w:sz w:val="20"/>
          <w:szCs w:val="20"/>
          <w:color w:val="auto"/>
        </w:rPr>
      </w:pPr>
      <w:r>
        <w:rPr>
          <w:rFonts w:ascii="Times New Roman" w:cs="Times New Roman" w:eastAsia="Times New Roman" w:hAnsi="Times New Roman"/>
          <w:sz w:val="15"/>
          <w:szCs w:val="15"/>
          <w:color w:val="auto"/>
        </w:rPr>
        <w:t xml:space="preserve">The information in this section should be read in conjunction with the more complete discussion that appears under Part II, Item 7A. </w:t>
      </w:r>
      <w:r>
        <w:rPr>
          <w:rFonts w:ascii="Times New Roman" w:cs="Times New Roman" w:eastAsia="Times New Roman" w:hAnsi="Times New Roman"/>
          <w:sz w:val="15"/>
          <w:szCs w:val="15"/>
          <w:i w:val="1"/>
          <w:iCs w:val="1"/>
          <w:color w:val="auto"/>
        </w:rPr>
        <w:t>Quantitative and Qualitative Disclosures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About Market Risk </w:t>
      </w:r>
      <w:r>
        <w:rPr>
          <w:rFonts w:ascii="Times New Roman" w:cs="Times New Roman" w:eastAsia="Times New Roman" w:hAnsi="Times New Roman"/>
          <w:sz w:val="15"/>
          <w:szCs w:val="15"/>
          <w:color w:val="auto"/>
        </w:rPr>
        <w:t>in our 2024 10-K. The following discussion updates selected numerical information to September 30, 2025.</w:t>
      </w:r>
    </w:p>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Unless otherwise indicated, convenience translations into U.S. dollars are calculated as of September 30, 2025.</w:t>
      </w:r>
    </w:p>
    <w:p>
      <w:pPr>
        <w:spacing w:after="0" w:line="2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i w:val="1"/>
          <w:iCs w:val="1"/>
          <w:color w:val="auto"/>
        </w:rPr>
        <w:t>Cash</w:t>
      </w:r>
    </w:p>
    <w:p>
      <w:pPr>
        <w:spacing w:after="0" w:line="225" w:lineRule="exact"/>
        <w:rPr>
          <w:sz w:val="20"/>
          <w:szCs w:val="20"/>
          <w:color w:val="auto"/>
        </w:rPr>
      </w:pPr>
    </w:p>
    <w:p>
      <w:pPr>
        <w:jc w:val="both"/>
        <w:ind w:firstLine="278"/>
        <w:spacing w:after="0" w:line="267" w:lineRule="auto"/>
        <w:rPr>
          <w:sz w:val="20"/>
          <w:szCs w:val="20"/>
          <w:color w:val="auto"/>
        </w:rPr>
      </w:pPr>
      <w:r>
        <w:rPr>
          <w:rFonts w:ascii="Times New Roman" w:cs="Times New Roman" w:eastAsia="Times New Roman" w:hAnsi="Times New Roman"/>
          <w:sz w:val="15"/>
          <w:szCs w:val="15"/>
          <w:color w:val="auto"/>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September 30, 2025, $1,307.4 million or 78.1% and $327.5 million or 19.6% of our consolidated cash balance was denominated in euros and U.S. dollars, respectively, and $76.0 million or 88.5% of our consolidated balance of investments held under SMAs was denominated in U.S. dollars.</w:t>
      </w:r>
    </w:p>
    <w:p>
      <w:pPr>
        <w:spacing w:after="0" w:line="1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i w:val="1"/>
          <w:iCs w:val="1"/>
          <w:color w:val="auto"/>
        </w:rPr>
        <w:t>Foreign Currency Risk</w:t>
      </w:r>
    </w:p>
    <w:p>
      <w:pPr>
        <w:spacing w:after="0" w:line="225" w:lineRule="exact"/>
        <w:rPr>
          <w:sz w:val="20"/>
          <w:szCs w:val="20"/>
          <w:color w:val="auto"/>
        </w:rPr>
      </w:pPr>
    </w:p>
    <w:p>
      <w:pPr>
        <w:jc w:val="both"/>
        <w:ind w:firstLine="278"/>
        <w:spacing w:after="0" w:line="276" w:lineRule="auto"/>
        <w:rPr>
          <w:sz w:val="20"/>
          <w:szCs w:val="20"/>
          <w:color w:val="auto"/>
        </w:rPr>
      </w:pPr>
      <w:r>
        <w:rPr>
          <w:rFonts w:ascii="Times New Roman" w:cs="Times New Roman" w:eastAsia="Times New Roman" w:hAnsi="Times New Roman"/>
          <w:sz w:val="15"/>
          <w:szCs w:val="15"/>
          <w:color w:val="auto"/>
        </w:rPr>
        <w:t>We are exposed to foreign currency exchange rate risk with respect to our consolidated debt in situations where our debt is denominated in a currency other than the functional currency of the operations whose cash flows support our ability to repay or refinance such debt. For information regarding our use of derivative instruments to manage our foreign currency exchange rate risk, see note 6 to our condensed consolidated financial statements.</w:t>
      </w:r>
    </w:p>
    <w:p>
      <w:pPr>
        <w:spacing w:after="0" w:line="16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relationships between the primary currencies of the countries in which we operate and the U.S. dollar, which is our reporting currency, are shown below, per one U.S. dollar:</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3"/>
                <w:szCs w:val="13"/>
                <w:color w:val="auto"/>
              </w:rPr>
            </w:pPr>
          </w:p>
        </w:tc>
        <w:tc>
          <w:tcPr>
            <w:tcW w:w="12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4"/>
        </w:trPr>
        <w:tc>
          <w:tcPr>
            <w:tcW w:w="5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Borders>
              <w:bottom w:val="single" w:sz="8" w:color="auto"/>
            </w:tcBorders>
            <w:gridSpan w:val="3"/>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tcBorders>
              <w:bottom w:val="single" w:sz="8" w:color="auto"/>
            </w:tcBorders>
            <w:gridSpan w:val="2"/>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54"/>
        </w:trPr>
        <w:tc>
          <w:tcPr>
            <w:tcW w:w="5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85"/>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Spot rates:</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97"/>
        </w:trPr>
        <w:tc>
          <w:tcPr>
            <w:tcW w:w="66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Euro</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0.8506</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0.9663</w:t>
            </w:r>
          </w:p>
        </w:tc>
      </w:tr>
      <w:tr>
        <w:trPr>
          <w:trHeight w:val="197"/>
        </w:trPr>
        <w:tc>
          <w:tcPr>
            <w:tcW w:w="6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British pound sterling</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0.7430</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0.7988</w:t>
            </w:r>
          </w:p>
        </w:tc>
      </w:tr>
      <w:tr>
        <w:trPr>
          <w:trHeight w:val="440"/>
        </w:trPr>
        <w:tc>
          <w:tcPr>
            <w:tcW w:w="5900" w:type="dxa"/>
            <w:vAlign w:val="bottom"/>
          </w:tcPr>
          <w:p>
            <w:pPr>
              <w:spacing w:after="0"/>
              <w:rPr>
                <w:sz w:val="24"/>
                <w:szCs w:val="24"/>
                <w:color w:val="auto"/>
              </w:rPr>
            </w:pPr>
          </w:p>
        </w:tc>
        <w:tc>
          <w:tcPr>
            <w:tcW w:w="2140" w:type="dxa"/>
            <w:vAlign w:val="bottom"/>
            <w:gridSpan w:val="4"/>
          </w:tcPr>
          <w:p>
            <w:pPr>
              <w:jc w:val="center"/>
              <w:ind w:left="411"/>
              <w:spacing w:after="0"/>
              <w:rPr>
                <w:sz w:val="20"/>
                <w:szCs w:val="20"/>
                <w:color w:val="auto"/>
              </w:rPr>
            </w:pPr>
            <w:r>
              <w:rPr>
                <w:rFonts w:ascii="Times New Roman" w:cs="Times New Roman" w:eastAsia="Times New Roman" w:hAnsi="Times New Roman"/>
                <w:sz w:val="14"/>
                <w:szCs w:val="14"/>
                <w:b w:val="1"/>
                <w:bCs w:val="1"/>
                <w:color w:val="auto"/>
                <w:w w:val="99"/>
              </w:rPr>
              <w:t>Three months ended</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5"/>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4"/>
        </w:trPr>
        <w:tc>
          <w:tcPr>
            <w:tcW w:w="59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Borders>
              <w:bottom w:val="single" w:sz="8" w:color="auto"/>
            </w:tcBorders>
            <w:gridSpan w:val="5"/>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7"/>
        </w:trPr>
        <w:tc>
          <w:tcPr>
            <w:tcW w:w="59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gridSpan w:val="2"/>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20"/>
        </w:trPr>
        <w:tc>
          <w:tcPr>
            <w:tcW w:w="59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r>
      <w:tr>
        <w:trPr>
          <w:trHeight w:val="185"/>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Average rates:</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97"/>
        </w:trPr>
        <w:tc>
          <w:tcPr>
            <w:tcW w:w="66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Euro</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0.8558</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0.9101</w:t>
            </w:r>
          </w:p>
        </w:tc>
        <w:tc>
          <w:tcPr>
            <w:tcW w:w="1400" w:type="dxa"/>
            <w:vAlign w:val="bottom"/>
            <w:gridSpan w:val="4"/>
          </w:tcPr>
          <w:p>
            <w:pPr>
              <w:jc w:val="right"/>
              <w:ind w:right="60"/>
              <w:spacing w:after="0"/>
              <w:rPr>
                <w:sz w:val="20"/>
                <w:szCs w:val="20"/>
                <w:color w:val="auto"/>
              </w:rPr>
            </w:pPr>
            <w:r>
              <w:rPr>
                <w:rFonts w:ascii="Times New Roman" w:cs="Times New Roman" w:eastAsia="Times New Roman" w:hAnsi="Times New Roman"/>
                <w:sz w:val="15"/>
                <w:szCs w:val="15"/>
                <w:color w:val="auto"/>
              </w:rPr>
              <w:t>0.8958</w:t>
            </w:r>
          </w:p>
        </w:tc>
        <w:tc>
          <w:tcPr>
            <w:tcW w:w="4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0.9200</w:t>
            </w:r>
          </w:p>
        </w:tc>
      </w:tr>
      <w:tr>
        <w:trPr>
          <w:trHeight w:val="197"/>
        </w:trPr>
        <w:tc>
          <w:tcPr>
            <w:tcW w:w="6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British pound sterling</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0.7416</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0.7689</w:t>
            </w:r>
          </w:p>
        </w:tc>
        <w:tc>
          <w:tcPr>
            <w:tcW w:w="14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0.7613</w:t>
            </w:r>
          </w:p>
        </w:tc>
        <w:tc>
          <w:tcPr>
            <w:tcW w:w="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0.7832</w:t>
            </w: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85" w:name="page86"/>
    <w:bookmarkEnd w:id="85"/>
    <w:p>
      <w:pPr>
        <w:ind w:left="140"/>
        <w:spacing w:after="0"/>
        <w:rPr>
          <w:sz w:val="20"/>
          <w:szCs w:val="20"/>
          <w:color w:val="auto"/>
        </w:rPr>
      </w:pPr>
      <w:r>
        <w:rPr>
          <w:rFonts w:ascii="Times New Roman" w:cs="Times New Roman" w:eastAsia="Times New Roman" w:hAnsi="Times New Roman"/>
          <w:sz w:val="15"/>
          <w:szCs w:val="15"/>
          <w:b w:val="1"/>
          <w:bCs w:val="1"/>
          <w:i w:val="1"/>
          <w:iCs w:val="1"/>
          <w:color w:val="auto"/>
        </w:rPr>
        <w:t>Inflation and Foreign Investment Risk</w:t>
      </w:r>
    </w:p>
    <w:p>
      <w:pPr>
        <w:spacing w:after="0" w:line="225" w:lineRule="exact"/>
        <w:rPr>
          <w:sz w:val="20"/>
          <w:szCs w:val="20"/>
          <w:color w:val="auto"/>
        </w:rPr>
      </w:pPr>
    </w:p>
    <w:p>
      <w:pPr>
        <w:jc w:val="both"/>
        <w:ind w:firstLine="278"/>
        <w:spacing w:after="0" w:line="267" w:lineRule="auto"/>
        <w:rPr>
          <w:sz w:val="20"/>
          <w:szCs w:val="20"/>
          <w:color w:val="auto"/>
        </w:rPr>
      </w:pPr>
      <w:r>
        <w:rPr>
          <w:rFonts w:ascii="Times New Roman" w:cs="Times New Roman" w:eastAsia="Times New Roman" w:hAnsi="Times New Roman"/>
          <w:sz w:val="15"/>
          <w:szCs w:val="15"/>
          <w:color w:val="auto"/>
        </w:rPr>
        <w:t>We are subject to inflationary pressures with respect to labor, programming and other costs. While we attempt to increase our revenue to offset increases in costs, there is no assurance that we will be able to do so. Therefore, costs could rise faster than associated revenue, thereby resulting in a negative impact on our operating results, cash flows and liquidity. The economic environment in the respective countries in which we operate is a function of government, economic, fiscal and monetary policies and various other factors beyond our control that could lead to inflation. We are unable to predict the extent that price levels might be impacted in future periods by the current state of the economies in the countries in which we operate.</w:t>
      </w:r>
    </w:p>
    <w:p>
      <w:pPr>
        <w:spacing w:after="0" w:line="1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i w:val="1"/>
          <w:iCs w:val="1"/>
          <w:color w:val="auto"/>
        </w:rPr>
        <w:t>Interest Rate Risks</w:t>
      </w:r>
    </w:p>
    <w:p>
      <w:pPr>
        <w:spacing w:after="0" w:line="225" w:lineRule="exact"/>
        <w:rPr>
          <w:sz w:val="20"/>
          <w:szCs w:val="20"/>
          <w:color w:val="auto"/>
        </w:rPr>
      </w:pPr>
    </w:p>
    <w:p>
      <w:pPr>
        <w:jc w:val="both"/>
        <w:ind w:firstLine="278"/>
        <w:spacing w:after="0" w:line="276" w:lineRule="auto"/>
        <w:rPr>
          <w:sz w:val="20"/>
          <w:szCs w:val="20"/>
          <w:color w:val="auto"/>
        </w:rPr>
      </w:pPr>
      <w:r>
        <w:rPr>
          <w:rFonts w:ascii="Times New Roman" w:cs="Times New Roman" w:eastAsia="Times New Roman" w:hAnsi="Times New Roman"/>
          <w:sz w:val="15"/>
          <w:szCs w:val="15"/>
          <w:color w:val="auto"/>
        </w:rPr>
        <w:t>We are exposed to changes in interest rates primarily as a result of our borrowing activities, which include fixed-rate and variable-rate borrowings by our borrowing groups. Our primary exposure to variable-rate debt is through the EURIBOR-indexed and Term SOFR-indexed debt of our borrowing groups and the variable-rate debt of certain of our other subsidiaries.</w:t>
      </w:r>
    </w:p>
    <w:p>
      <w:pPr>
        <w:spacing w:after="0" w:line="169" w:lineRule="exact"/>
        <w:rPr>
          <w:sz w:val="20"/>
          <w:szCs w:val="20"/>
          <w:color w:val="auto"/>
        </w:rPr>
      </w:pPr>
    </w:p>
    <w:p>
      <w:pPr>
        <w:jc w:val="both"/>
        <w:ind w:firstLine="278"/>
        <w:spacing w:after="0" w:line="262" w:lineRule="auto"/>
        <w:rPr>
          <w:sz w:val="20"/>
          <w:szCs w:val="20"/>
          <w:color w:val="auto"/>
        </w:rPr>
      </w:pPr>
      <w:r>
        <w:rPr>
          <w:rFonts w:ascii="Times New Roman" w:cs="Times New Roman" w:eastAsia="Times New Roman" w:hAnsi="Times New Roman"/>
          <w:sz w:val="15"/>
          <w:szCs w:val="15"/>
          <w:color w:val="auto"/>
        </w:rPr>
        <w:t>In general, we enter into derivative instruments to protect against increases in the interest rates on our variable-rate debt. Accordingly, we have entered into various derivative transactions to manage exposure to increases in interest rates. We use interest rate derivative contracts to exchange, at specified intervals, the difference between fixed and variable interest rates calculated by reference to an agreed upon notional principal amount. From time to time, we also use interest rate cap, floor and collar agreements and swaptions that lock in a maximum interest rate if variable rates rise, but also allow our company to benefit, to a limited extent in the case of collars, from declines in market rates. Under our current guidelines, we use various interest rate derivative instruments to mitigate interest rate risk. The final maturity dates of our various portfolios of interest rate derivative instruments might, in some instances, fall short of, or extend further than, the respective maturities of the underlying variable-rate debt. In this regard, we use judgment to determine the appropriate composition and maturity dates of our portfolios of interest rate derivative instruments, taking into account the relative costs and benefits of different maturity profiles in light of current and expected future market conditions, liquidity issues and other factors. For additional information concerning the impacts of these interest rate derivative instruments, see note 6 to our condensed consolidated financial statements.</w:t>
      </w:r>
    </w:p>
    <w:p>
      <w:pPr>
        <w:spacing w:after="0" w:line="180" w:lineRule="exact"/>
        <w:rPr>
          <w:sz w:val="20"/>
          <w:szCs w:val="20"/>
          <w:color w:val="auto"/>
        </w:rPr>
      </w:pPr>
    </w:p>
    <w:p>
      <w:pPr>
        <w:jc w:val="both"/>
        <w:ind w:firstLine="278"/>
        <w:spacing w:after="0" w:line="276" w:lineRule="auto"/>
        <w:rPr>
          <w:sz w:val="20"/>
          <w:szCs w:val="20"/>
          <w:color w:val="auto"/>
        </w:rPr>
      </w:pPr>
      <w:r>
        <w:rPr>
          <w:rFonts w:ascii="Times New Roman" w:cs="Times New Roman" w:eastAsia="Times New Roman" w:hAnsi="Times New Roman"/>
          <w:sz w:val="15"/>
          <w:szCs w:val="15"/>
          <w:color w:val="auto"/>
        </w:rPr>
        <w:t>We use benchmark interest rates to set floating rates on our debt and derivative instruments. For USD, these reference the Secured Overnight Financing Rate administered by the Federal Reserve Bank of New York or Term SOFR administered by CME Group Benchmark Administration Limited. For EUR, these reference EURIBOR administered by the European Money Markets Institute. For GBP, these reference the Sterling Overnight Index Average administered by the Bank of England.</w:t>
      </w:r>
    </w:p>
    <w:p>
      <w:pPr>
        <w:spacing w:after="0" w:line="165" w:lineRule="exact"/>
        <w:rPr>
          <w:sz w:val="20"/>
          <w:szCs w:val="20"/>
          <w:color w:val="auto"/>
        </w:rPr>
      </w:pPr>
    </w:p>
    <w:p>
      <w:pPr>
        <w:jc w:val="both"/>
        <w:ind w:firstLine="278"/>
        <w:spacing w:after="0" w:line="263" w:lineRule="auto"/>
        <w:rPr>
          <w:sz w:val="20"/>
          <w:szCs w:val="20"/>
          <w:color w:val="auto"/>
        </w:rPr>
      </w:pPr>
      <w:r>
        <w:rPr>
          <w:rFonts w:ascii="Times New Roman" w:cs="Times New Roman" w:eastAsia="Times New Roman" w:hAnsi="Times New Roman"/>
          <w:sz w:val="15"/>
          <w:szCs w:val="15"/>
          <w:i w:val="1"/>
          <w:iCs w:val="1"/>
          <w:color w:val="auto"/>
        </w:rPr>
        <w:t xml:space="preserve">Weighted Average Variable Interest Rate. </w:t>
      </w:r>
      <w:r>
        <w:rPr>
          <w:rFonts w:ascii="Times New Roman" w:cs="Times New Roman" w:eastAsia="Times New Roman" w:hAnsi="Times New Roman"/>
          <w:sz w:val="15"/>
          <w:szCs w:val="15"/>
          <w:color w:val="auto"/>
        </w:rPr>
        <w:t>At September 30, 2025, the outstanding principal amount of our variable-rate indebtedness aggregated $6.8 billion, and the weighted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average interest rate (including margin) on such variable-rate indebtedness was approximately 5.3%, excluding the effects of interest rate derivative contracts, deferred financing costs, original issue premiums or discounts and commitment fees, all of which affect our overall cost of borrowing. Assuming no change in the amount outstanding,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 $34.0 million. As discussed above and in note 6 to our condensed consolidated financial statements, we use interest rate derivative contracts to manage our exposure to increases in variable interest rates. In this regard, increases in the fair value of these contracts generally would be expected to offset most of the economic impact of increases in the variable interest rates applicable to our indebtedness to the extent and during the period that principal amounts are matched with interest rate derivative contracts.</w:t>
      </w:r>
    </w:p>
    <w:p>
      <w:pPr>
        <w:spacing w:after="0" w:line="1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i w:val="1"/>
          <w:iCs w:val="1"/>
          <w:color w:val="auto"/>
        </w:rPr>
        <w:t>Sensitivity Information</w:t>
      </w:r>
    </w:p>
    <w:p>
      <w:pPr>
        <w:spacing w:after="0" w:line="225" w:lineRule="exact"/>
        <w:rPr>
          <w:sz w:val="20"/>
          <w:szCs w:val="20"/>
          <w:color w:val="auto"/>
        </w:rPr>
      </w:pPr>
    </w:p>
    <w:p>
      <w:pPr>
        <w:jc w:val="both"/>
        <w:ind w:firstLine="278"/>
        <w:spacing w:after="0" w:line="276" w:lineRule="auto"/>
        <w:rPr>
          <w:sz w:val="20"/>
          <w:szCs w:val="20"/>
          <w:color w:val="auto"/>
        </w:rPr>
      </w:pPr>
      <w:r>
        <w:rPr>
          <w:rFonts w:ascii="Times New Roman" w:cs="Times New Roman" w:eastAsia="Times New Roman" w:hAnsi="Times New Roman"/>
          <w:sz w:val="15"/>
          <w:szCs w:val="15"/>
          <w:color w:val="auto"/>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or the impact of market moves on our credit and debit valuation adjustments. For additional information, see notes 6 and 7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86" w:name="page87"/>
    <w:bookmarkEnd w:id="86"/>
    <w:p>
      <w:pPr>
        <w:ind w:left="287"/>
        <w:spacing w:after="0"/>
        <w:rPr>
          <w:sz w:val="20"/>
          <w:szCs w:val="20"/>
          <w:color w:val="auto"/>
        </w:rPr>
      </w:pPr>
      <w:r>
        <w:rPr>
          <w:rFonts w:ascii="Times New Roman" w:cs="Times New Roman" w:eastAsia="Times New Roman" w:hAnsi="Times New Roman"/>
          <w:sz w:val="15"/>
          <w:szCs w:val="15"/>
          <w:i w:val="1"/>
          <w:iCs w:val="1"/>
          <w:color w:val="auto"/>
        </w:rPr>
        <w:t>Telenet Cross-currency and Interest Rate Derivative Contracts</w:t>
      </w:r>
    </w:p>
    <w:p>
      <w:pPr>
        <w:spacing w:after="0" w:line="225"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5"/>
          <w:szCs w:val="15"/>
          <w:color w:val="auto"/>
        </w:rPr>
        <w:t>Holding all other factors constant, at September 30, 2025:</w:t>
      </w:r>
    </w:p>
    <w:p>
      <w:pPr>
        <w:spacing w:after="0" w:line="221" w:lineRule="exact"/>
        <w:rPr>
          <w:sz w:val="20"/>
          <w:szCs w:val="20"/>
          <w:color w:val="auto"/>
        </w:rPr>
      </w:pPr>
    </w:p>
    <w:p>
      <w:pPr>
        <w:ind w:left="687" w:hanging="410"/>
        <w:spacing w:after="0" w:line="295" w:lineRule="auto"/>
        <w:tabs>
          <w:tab w:leader="none" w:pos="682"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instantaneous increase (decrease) of 10% in the value of the euro relative to the U.S. dollar would have decreased (increased) the aggregate fair value of the Telenet cross-currency and interest rate derivative contracts by approximately €303 million ($357 million); and</w:t>
      </w:r>
    </w:p>
    <w:p>
      <w:pPr>
        <w:spacing w:after="0" w:line="154" w:lineRule="exact"/>
        <w:rPr>
          <w:rFonts w:ascii="Times New Roman" w:cs="Times New Roman" w:eastAsia="Times New Roman" w:hAnsi="Times New Roman"/>
          <w:sz w:val="15"/>
          <w:szCs w:val="15"/>
          <w:color w:val="auto"/>
        </w:rPr>
      </w:pPr>
    </w:p>
    <w:p>
      <w:pPr>
        <w:jc w:val="both"/>
        <w:ind w:left="687" w:right="20" w:hanging="410"/>
        <w:spacing w:after="0" w:line="276" w:lineRule="auto"/>
        <w:tabs>
          <w:tab w:leader="none" w:pos="679"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instantaneous increase in the relevant base rate of 50 basis points (0.50%) would have increased the aggregate fair value of the Telenet cross-currency and interest rate derivative contracts by approximately €66 million ($77 million) and, conversely, a decrease of 50 basis points would have decreased the aggregate fair value by approximately €68 million ($79 million).</w:t>
      </w:r>
    </w:p>
    <w:p>
      <w:pPr>
        <w:spacing w:after="0" w:line="165"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Projected Cash Flows Associated with Derivative Instruments</w:t>
      </w:r>
    </w:p>
    <w:p>
      <w:pPr>
        <w:spacing w:after="0" w:line="225" w:lineRule="exact"/>
        <w:rPr>
          <w:sz w:val="20"/>
          <w:szCs w:val="20"/>
          <w:color w:val="auto"/>
        </w:rPr>
      </w:pPr>
    </w:p>
    <w:p>
      <w:pPr>
        <w:jc w:val="both"/>
        <w:ind w:left="7" w:firstLine="278"/>
        <w:spacing w:after="0" w:line="276" w:lineRule="auto"/>
        <w:rPr>
          <w:sz w:val="20"/>
          <w:szCs w:val="20"/>
          <w:color w:val="auto"/>
        </w:rPr>
      </w:pPr>
      <w:r>
        <w:rPr>
          <w:rFonts w:ascii="Times New Roman" w:cs="Times New Roman" w:eastAsia="Times New Roman" w:hAnsi="Times New Roman"/>
          <w:sz w:val="15"/>
          <w:szCs w:val="15"/>
          <w:color w:val="auto"/>
        </w:rPr>
        <w:t>The following table provides information regarding the projected cash flows associated with our derivative instruments. The U.S. dollar equivalents presented below are based on interest rate projections and exchange rates as of September 30, 2025. These amounts are presented for illustrative purposes only and will likely differ from the actual cash payments or receipts required in future periods. For additional information regarding our derivative instruments, see note 6 to our condensed consolidated financial statements.</w:t>
      </w:r>
    </w:p>
    <w:p>
      <w:pPr>
        <w:spacing w:after="0" w:line="111"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2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Payments (receipts) due during:</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Remainder</w:t>
            </w:r>
          </w:p>
        </w:tc>
        <w:tc>
          <w:tcPr>
            <w:tcW w:w="220" w:type="dxa"/>
            <w:vAlign w:val="bottom"/>
          </w:tcPr>
          <w:p>
            <w:pPr>
              <w:spacing w:after="0"/>
              <w:rPr>
                <w:sz w:val="16"/>
                <w:szCs w:val="16"/>
                <w:color w:val="auto"/>
              </w:rPr>
            </w:pPr>
          </w:p>
        </w:tc>
        <w:tc>
          <w:tcPr>
            <w:tcW w:w="700" w:type="dxa"/>
            <w:vAlign w:val="bottom"/>
            <w:vMerge w:val="restart"/>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Pr>
          <w:p>
            <w:pPr>
              <w:spacing w:after="0"/>
              <w:rPr>
                <w:sz w:val="16"/>
                <w:szCs w:val="16"/>
                <w:color w:val="auto"/>
              </w:rPr>
            </w:pPr>
          </w:p>
        </w:tc>
        <w:tc>
          <w:tcPr>
            <w:tcW w:w="860" w:type="dxa"/>
            <w:vAlign w:val="bottom"/>
            <w:vMerge w:val="restart"/>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of 2025</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in millions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76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Projected derivative cash payments</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7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(receipts), net:</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Interest-related (a)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center"/>
              <w:ind w:right="4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(261.9)</w:t>
            </w:r>
          </w:p>
        </w:tc>
        <w:tc>
          <w:tcPr>
            <w:tcW w:w="0" w:type="dxa"/>
            <w:vAlign w:val="bottom"/>
          </w:tcPr>
          <w:p>
            <w:pPr>
              <w:spacing w:after="0"/>
              <w:rPr>
                <w:sz w:val="1"/>
                <w:szCs w:val="1"/>
                <w:color w:val="auto"/>
              </w:rPr>
            </w:pPr>
          </w:p>
        </w:tc>
      </w:tr>
      <w:tr>
        <w:trPr>
          <w:trHeight w:val="197"/>
        </w:trPr>
        <w:tc>
          <w:tcPr>
            <w:tcW w:w="27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Principal-related (b)</w:t>
            </w: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143.0</w:t>
            </w:r>
          </w:p>
        </w:tc>
        <w:tc>
          <w:tcPr>
            <w:tcW w:w="0" w:type="dxa"/>
            <w:vAlign w:val="bottom"/>
          </w:tcPr>
          <w:p>
            <w:pPr>
              <w:spacing w:after="0"/>
              <w:rPr>
                <w:sz w:val="1"/>
                <w:szCs w:val="1"/>
                <w:color w:val="auto"/>
              </w:rPr>
            </w:pPr>
          </w:p>
        </w:tc>
      </w:tr>
      <w:tr>
        <w:trPr>
          <w:trHeight w:val="197"/>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Other (c)</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0" w:type="dxa"/>
            <w:vAlign w:val="bottom"/>
          </w:tcPr>
          <w:p>
            <w:pPr>
              <w:spacing w:after="0"/>
              <w:rPr>
                <w:sz w:val="1"/>
                <w:szCs w:val="1"/>
                <w:color w:val="auto"/>
              </w:rPr>
            </w:pPr>
          </w:p>
        </w:tc>
      </w:tr>
      <w:tr>
        <w:trPr>
          <w:trHeight w:val="188"/>
        </w:trPr>
        <w:tc>
          <w:tcPr>
            <w:tcW w:w="27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(61.0)</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0.3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(107.2)</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67.9</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(17.7)</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(115.5)</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_______________</w:t>
      </w:r>
    </w:p>
    <w:p>
      <w:pPr>
        <w:spacing w:after="0" w:line="221" w:lineRule="exact"/>
        <w:rPr>
          <w:sz w:val="20"/>
          <w:szCs w:val="20"/>
          <w:color w:val="auto"/>
        </w:rPr>
      </w:pPr>
    </w:p>
    <w:p>
      <w:pPr>
        <w:ind w:left="407" w:right="20" w:hanging="407"/>
        <w:spacing w:after="0" w:line="267" w:lineRule="auto"/>
        <w:tabs>
          <w:tab w:leader="none" w:pos="405"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 the cash flows of our interest rate cap, swaption, floor and swap contracts and (ii) the interest-related cash flows of our cross-currency and interest rate swap contracts.</w:t>
      </w:r>
    </w:p>
    <w:p>
      <w:pPr>
        <w:spacing w:after="0" w:line="386" w:lineRule="exact"/>
        <w:rPr>
          <w:rFonts w:ascii="Times New Roman" w:cs="Times New Roman" w:eastAsia="Times New Roman" w:hAnsi="Times New Roman"/>
          <w:sz w:val="15"/>
          <w:szCs w:val="15"/>
          <w:color w:val="auto"/>
        </w:rPr>
      </w:pPr>
    </w:p>
    <w:p>
      <w:pPr>
        <w:ind w:left="407" w:hanging="407"/>
        <w:spacing w:after="0"/>
        <w:tabs>
          <w:tab w:leader="none" w:pos="407"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the principal-related cash flows of our cross-currency swap contracts.</w:t>
      </w:r>
    </w:p>
    <w:p>
      <w:pPr>
        <w:spacing w:after="0" w:line="221" w:lineRule="exact"/>
        <w:rPr>
          <w:rFonts w:ascii="Times New Roman" w:cs="Times New Roman" w:eastAsia="Times New Roman" w:hAnsi="Times New Roman"/>
          <w:sz w:val="15"/>
          <w:szCs w:val="15"/>
          <w:color w:val="auto"/>
        </w:rPr>
      </w:pPr>
    </w:p>
    <w:p>
      <w:pPr>
        <w:ind w:left="407" w:hanging="407"/>
        <w:spacing w:after="0"/>
        <w:tabs>
          <w:tab w:leader="none" w:pos="407"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amounts related to our foreign currency forward contracts.</w:t>
      </w:r>
    </w:p>
    <w:p>
      <w:pPr>
        <w:spacing w:after="0" w:line="21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Item 4. CONTROLS AND PROCEDURES</w:t>
      </w:r>
    </w:p>
    <w:p>
      <w:pPr>
        <w:spacing w:after="0" w:line="221"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Evaluation of Disclosure Controls and Procedures</w:t>
      </w:r>
    </w:p>
    <w:p>
      <w:pPr>
        <w:spacing w:after="0" w:line="221" w:lineRule="exact"/>
        <w:rPr>
          <w:sz w:val="20"/>
          <w:szCs w:val="20"/>
          <w:color w:val="auto"/>
        </w:rPr>
      </w:pPr>
    </w:p>
    <w:p>
      <w:pPr>
        <w:jc w:val="both"/>
        <w:ind w:left="7" w:firstLine="278"/>
        <w:spacing w:after="0" w:line="264" w:lineRule="auto"/>
        <w:rPr>
          <w:sz w:val="20"/>
          <w:szCs w:val="20"/>
          <w:color w:val="auto"/>
        </w:rPr>
      </w:pPr>
      <w:r>
        <w:rPr>
          <w:rFonts w:ascii="Times New Roman" w:cs="Times New Roman" w:eastAsia="Times New Roman" w:hAnsi="Times New Roman"/>
          <w:sz w:val="15"/>
          <w:szCs w:val="15"/>
          <w:color w:val="auto"/>
        </w:rPr>
        <w:t xml:space="preserve">In accordance with Rule 13a-15 of the Securities Exchange Act of 1934, as amended (the </w:t>
      </w:r>
      <w:r>
        <w:rPr>
          <w:rFonts w:ascii="Times New Roman" w:cs="Times New Roman" w:eastAsia="Times New Roman" w:hAnsi="Times New Roman"/>
          <w:sz w:val="15"/>
          <w:szCs w:val="15"/>
          <w:b w:val="1"/>
          <w:bCs w:val="1"/>
          <w:color w:val="auto"/>
        </w:rPr>
        <w:t>Exchange Act</w:t>
      </w:r>
      <w:r>
        <w:rPr>
          <w:rFonts w:ascii="Times New Roman" w:cs="Times New Roman" w:eastAsia="Times New Roman" w:hAnsi="Times New Roman"/>
          <w:sz w:val="15"/>
          <w:szCs w:val="15"/>
          <w:color w:val="auto"/>
        </w:rPr>
        <w:t xml:space="preserve">), we carried out an evaluation, under the supervision and with the participation of management, including our chief executive officer and chief financial officer (the </w:t>
      </w:r>
      <w:r>
        <w:rPr>
          <w:rFonts w:ascii="Times New Roman" w:cs="Times New Roman" w:eastAsia="Times New Roman" w:hAnsi="Times New Roman"/>
          <w:sz w:val="15"/>
          <w:szCs w:val="15"/>
          <w:b w:val="1"/>
          <w:bCs w:val="1"/>
          <w:color w:val="auto"/>
        </w:rPr>
        <w:t>Executives</w:t>
      </w:r>
      <w:r>
        <w:rPr>
          <w:rFonts w:ascii="Times New Roman" w:cs="Times New Roman" w:eastAsia="Times New Roman" w:hAnsi="Times New Roman"/>
          <w:sz w:val="15"/>
          <w:szCs w:val="15"/>
          <w:color w:val="auto"/>
        </w:rPr>
        <w:t>), of the effectiveness of our disclosure controls and procedures as of September 30, 2025.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as of September 30, 2025 effectively provide reasonable assurance that information required to be disclosed in our reports filed or submitted under the Exchange Act is recorded, processed, summarized and reported within the time periods specified in the Securities and Exchange Commission’s rules and forms.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815" w:right="319" w:bottom="1440" w:gutter="0" w:footer="0" w:header="0"/>
        </w:sectPr>
      </w:pPr>
    </w:p>
    <w:bookmarkStart w:id="87" w:name="page88"/>
    <w:bookmarkEnd w:id="87"/>
    <w:p>
      <w:pPr>
        <w:ind w:left="140"/>
        <w:spacing w:after="0"/>
        <w:rPr>
          <w:sz w:val="20"/>
          <w:szCs w:val="20"/>
          <w:color w:val="auto"/>
        </w:rPr>
      </w:pPr>
      <w:r>
        <w:rPr>
          <w:rFonts w:ascii="Times New Roman" w:cs="Times New Roman" w:eastAsia="Times New Roman" w:hAnsi="Times New Roman"/>
          <w:sz w:val="15"/>
          <w:szCs w:val="15"/>
          <w:b w:val="1"/>
          <w:bCs w:val="1"/>
          <w:i w:val="1"/>
          <w:iCs w:val="1"/>
          <w:color w:val="auto"/>
        </w:rPr>
        <w:t>Changes in Internal Controls over Financial Reporting</w:t>
      </w:r>
    </w:p>
    <w:p>
      <w:pPr>
        <w:spacing w:after="0" w:line="225" w:lineRule="exact"/>
        <w:rPr>
          <w:sz w:val="20"/>
          <w:szCs w:val="20"/>
          <w:color w:val="auto"/>
        </w:rPr>
      </w:pPr>
    </w:p>
    <w:p>
      <w:pPr>
        <w:ind w:firstLine="278"/>
        <w:spacing w:after="0" w:line="295" w:lineRule="auto"/>
        <w:rPr>
          <w:sz w:val="20"/>
          <w:szCs w:val="20"/>
          <w:color w:val="auto"/>
        </w:rPr>
      </w:pPr>
      <w:r>
        <w:rPr>
          <w:rFonts w:ascii="Times New Roman" w:cs="Times New Roman" w:eastAsia="Times New Roman" w:hAnsi="Times New Roman"/>
          <w:sz w:val="15"/>
          <w:szCs w:val="15"/>
          <w:color w:val="auto"/>
        </w:rPr>
        <w:t>There have been no changes in our internal controls over financial reporting identified in connection with the evaluation described above that occurred during the fiscal quarter covered by this Quarterly Report on Form 10-Q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88" w:name="page89"/>
    <w:bookmarkEnd w:id="88"/>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PART II — OTHER INFORMATION</w:t>
      </w:r>
    </w:p>
    <w:p>
      <w:pPr>
        <w:spacing w:after="0" w:line="22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Item 1. LEGAL PROCEEDINGS</w:t>
      </w:r>
    </w:p>
    <w:p>
      <w:pPr>
        <w:spacing w:after="0" w:line="225" w:lineRule="exact"/>
        <w:rPr>
          <w:sz w:val="20"/>
          <w:szCs w:val="20"/>
          <w:color w:val="auto"/>
        </w:rPr>
      </w:pPr>
    </w:p>
    <w:p>
      <w:pPr>
        <w:ind w:left="7" w:right="20" w:firstLine="278"/>
        <w:spacing w:after="0" w:line="295" w:lineRule="auto"/>
        <w:rPr>
          <w:sz w:val="20"/>
          <w:szCs w:val="20"/>
          <w:color w:val="auto"/>
        </w:rPr>
      </w:pPr>
      <w:r>
        <w:rPr>
          <w:rFonts w:ascii="Times New Roman" w:cs="Times New Roman" w:eastAsia="Times New Roman" w:hAnsi="Times New Roman"/>
          <w:sz w:val="15"/>
          <w:szCs w:val="15"/>
          <w:color w:val="auto"/>
        </w:rPr>
        <w:t>From time to time, our subsidiaries and affiliates have become involved in litigation relating to claims arising out of their operations in the normal course of business. For additional information, see note 15 to our condensed consolidated financial statements in Part I of this Quarterly Report on Form 10-Q.</w:t>
      </w:r>
    </w:p>
    <w:p>
      <w:pPr>
        <w:spacing w:after="0" w:line="15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Item 2. UNREGISTERED SALES OF EQUITY SECURITIES AND USE OF PROCEEDS</w:t>
      </w:r>
    </w:p>
    <w:p>
      <w:pPr>
        <w:spacing w:after="0" w:line="221" w:lineRule="exact"/>
        <w:rPr>
          <w:sz w:val="20"/>
          <w:szCs w:val="20"/>
          <w:color w:val="auto"/>
        </w:rPr>
      </w:pPr>
    </w:p>
    <w:p>
      <w:pPr>
        <w:ind w:left="287"/>
        <w:spacing w:after="0"/>
        <w:tabs>
          <w:tab w:leader="none" w:pos="587" w:val="left"/>
        </w:tabs>
        <w:rPr>
          <w:sz w:val="20"/>
          <w:szCs w:val="20"/>
          <w:color w:val="auto"/>
        </w:rPr>
      </w:pPr>
      <w:r>
        <w:rPr>
          <w:rFonts w:ascii="Times New Roman" w:cs="Times New Roman" w:eastAsia="Times New Roman" w:hAnsi="Times New Roman"/>
          <w:sz w:val="15"/>
          <w:szCs w:val="15"/>
          <w:b w:val="1"/>
          <w:bCs w:val="1"/>
          <w:color w:val="auto"/>
        </w:rPr>
        <w:t>(c)</w:t>
      </w:r>
      <w:r>
        <w:rPr>
          <w:sz w:val="20"/>
          <w:szCs w:val="20"/>
          <w:color w:val="auto"/>
        </w:rPr>
        <w:tab/>
      </w:r>
      <w:r>
        <w:rPr>
          <w:rFonts w:ascii="Times New Roman" w:cs="Times New Roman" w:eastAsia="Times New Roman" w:hAnsi="Times New Roman"/>
          <w:sz w:val="15"/>
          <w:szCs w:val="15"/>
          <w:b w:val="1"/>
          <w:bCs w:val="1"/>
          <w:i w:val="1"/>
          <w:iCs w:val="1"/>
          <w:color w:val="auto"/>
        </w:rPr>
        <w:t>Issuer Purchases of Equity Securities</w:t>
      </w:r>
    </w:p>
    <w:p>
      <w:pPr>
        <w:spacing w:after="0" w:line="241"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Total number of shares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Approximate dollar value</w:t>
            </w:r>
          </w:p>
        </w:tc>
        <w:tc>
          <w:tcPr>
            <w:tcW w:w="0" w:type="dxa"/>
            <w:vAlign w:val="bottom"/>
          </w:tcPr>
          <w:p>
            <w:pPr>
              <w:spacing w:after="0"/>
              <w:rPr>
                <w:sz w:val="1"/>
                <w:szCs w:val="1"/>
                <w:color w:val="auto"/>
              </w:rPr>
            </w:pPr>
          </w:p>
        </w:tc>
      </w:tr>
      <w:tr>
        <w:trPr>
          <w:trHeight w:val="139"/>
        </w:trPr>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5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8"/>
              </w:rPr>
              <w:t>of shares that may yet be</w:t>
            </w:r>
          </w:p>
        </w:tc>
        <w:tc>
          <w:tcPr>
            <w:tcW w:w="0" w:type="dxa"/>
            <w:vAlign w:val="bottom"/>
          </w:tcPr>
          <w:p>
            <w:pPr>
              <w:spacing w:after="0"/>
              <w:rPr>
                <w:sz w:val="1"/>
                <w:szCs w:val="1"/>
                <w:color w:val="auto"/>
              </w:rPr>
            </w:pPr>
          </w:p>
        </w:tc>
      </w:tr>
      <w:tr>
        <w:trPr>
          <w:trHeight w:val="139"/>
        </w:trPr>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Total number</w:t>
            </w:r>
          </w:p>
        </w:tc>
        <w:tc>
          <w:tcPr>
            <w:tcW w:w="120" w:type="dxa"/>
            <w:vAlign w:val="bottom"/>
          </w:tcPr>
          <w:p>
            <w:pPr>
              <w:spacing w:after="0"/>
              <w:rPr>
                <w:sz w:val="12"/>
                <w:szCs w:val="12"/>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Average price</w:t>
            </w:r>
          </w:p>
        </w:tc>
        <w:tc>
          <w:tcPr>
            <w:tcW w:w="174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4"/>
                <w:szCs w:val="14"/>
                <w:b w:val="1"/>
                <w:bCs w:val="1"/>
                <w:color w:val="auto"/>
                <w:w w:val="99"/>
              </w:rPr>
              <w:t>purchased as part of</w:t>
            </w:r>
          </w:p>
        </w:tc>
        <w:tc>
          <w:tcPr>
            <w:tcW w:w="15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9"/>
              </w:rPr>
              <w:t>purchased</w:t>
            </w:r>
          </w:p>
        </w:tc>
        <w:tc>
          <w:tcPr>
            <w:tcW w:w="0" w:type="dxa"/>
            <w:vAlign w:val="bottom"/>
          </w:tcPr>
          <w:p>
            <w:pPr>
              <w:spacing w:after="0"/>
              <w:rPr>
                <w:sz w:val="1"/>
                <w:szCs w:val="1"/>
                <w:color w:val="auto"/>
              </w:rPr>
            </w:pPr>
          </w:p>
        </w:tc>
      </w:tr>
      <w:tr>
        <w:trPr>
          <w:trHeight w:val="139"/>
        </w:trPr>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74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b w:val="1"/>
                <w:bCs w:val="1"/>
                <w:color w:val="auto"/>
                <w:w w:val="99"/>
              </w:rPr>
              <w:t>publicly announced plans</w:t>
            </w:r>
          </w:p>
        </w:tc>
        <w:tc>
          <w:tcPr>
            <w:tcW w:w="15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9"/>
              </w:rPr>
              <w:t>under the plans or</w:t>
            </w:r>
          </w:p>
        </w:tc>
        <w:tc>
          <w:tcPr>
            <w:tcW w:w="0" w:type="dxa"/>
            <w:vAlign w:val="bottom"/>
          </w:tcPr>
          <w:p>
            <w:pPr>
              <w:spacing w:after="0"/>
              <w:rPr>
                <w:sz w:val="1"/>
                <w:szCs w:val="1"/>
                <w:color w:val="auto"/>
              </w:rPr>
            </w:pPr>
          </w:p>
        </w:tc>
      </w:tr>
      <w:tr>
        <w:trPr>
          <w:trHeight w:val="184"/>
        </w:trPr>
        <w:tc>
          <w:tcPr>
            <w:tcW w:w="4860" w:type="dxa"/>
            <w:vAlign w:val="bottom"/>
            <w:gridSpan w:val="2"/>
            <w:vMerge w:val="continue"/>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shares purchased</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 per share (a)</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or programs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programs</w:t>
            </w:r>
          </w:p>
        </w:tc>
        <w:tc>
          <w:tcPr>
            <w:tcW w:w="0" w:type="dxa"/>
            <w:vAlign w:val="bottom"/>
          </w:tcPr>
          <w:p>
            <w:pPr>
              <w:spacing w:after="0"/>
              <w:rPr>
                <w:sz w:val="1"/>
                <w:szCs w:val="1"/>
                <w:color w:val="auto"/>
              </w:rPr>
            </w:pPr>
          </w:p>
        </w:tc>
      </w:tr>
      <w:tr>
        <w:trPr>
          <w:trHeight w:val="108"/>
        </w:trPr>
        <w:tc>
          <w:tcPr>
            <w:tcW w:w="47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July 1, 2025 through July 31, 2025:</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Class A</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(b)</w:t>
            </w:r>
          </w:p>
        </w:tc>
        <w:tc>
          <w:tcPr>
            <w:tcW w:w="0" w:type="dxa"/>
            <w:vAlign w:val="bottom"/>
          </w:tcPr>
          <w:p>
            <w:pPr>
              <w:spacing w:after="0"/>
              <w:rPr>
                <w:sz w:val="1"/>
                <w:szCs w:val="1"/>
                <w:color w:val="auto"/>
              </w:rPr>
            </w:pPr>
          </w:p>
        </w:tc>
      </w:tr>
      <w:tr>
        <w:trPr>
          <w:trHeight w:val="197"/>
        </w:trPr>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Class C</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2,139,046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10.32</w:t>
            </w: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2,139,046</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(b)</w:t>
            </w:r>
          </w:p>
        </w:tc>
        <w:tc>
          <w:tcPr>
            <w:tcW w:w="0" w:type="dxa"/>
            <w:vAlign w:val="bottom"/>
          </w:tcPr>
          <w:p>
            <w:pPr>
              <w:spacing w:after="0"/>
              <w:rPr>
                <w:sz w:val="1"/>
                <w:szCs w:val="1"/>
                <w:color w:val="auto"/>
              </w:rPr>
            </w:pPr>
          </w:p>
        </w:tc>
      </w:tr>
      <w:tr>
        <w:trPr>
          <w:trHeight w:val="197"/>
        </w:trPr>
        <w:tc>
          <w:tcPr>
            <w:tcW w:w="4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August 1, 2025 through August 31, 2025:</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Class A</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(b)</w:t>
            </w:r>
          </w:p>
        </w:tc>
        <w:tc>
          <w:tcPr>
            <w:tcW w:w="0" w:type="dxa"/>
            <w:vAlign w:val="bottom"/>
          </w:tcPr>
          <w:p>
            <w:pPr>
              <w:spacing w:after="0"/>
              <w:rPr>
                <w:sz w:val="1"/>
                <w:szCs w:val="1"/>
                <w:color w:val="auto"/>
              </w:rPr>
            </w:pPr>
          </w:p>
        </w:tc>
      </w:tr>
      <w:tr>
        <w:trPr>
          <w:trHeight w:val="197"/>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Class C</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1,746,582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11.45</w:t>
            </w:r>
          </w:p>
        </w:tc>
        <w:tc>
          <w:tcPr>
            <w:tcW w:w="1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1,746,582</w:t>
            </w:r>
          </w:p>
        </w:tc>
        <w:tc>
          <w:tcPr>
            <w:tcW w:w="1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(b)</w:t>
            </w:r>
          </w:p>
        </w:tc>
        <w:tc>
          <w:tcPr>
            <w:tcW w:w="0" w:type="dxa"/>
            <w:vAlign w:val="bottom"/>
          </w:tcPr>
          <w:p>
            <w:pPr>
              <w:spacing w:after="0"/>
              <w:rPr>
                <w:sz w:val="1"/>
                <w:szCs w:val="1"/>
                <w:color w:val="auto"/>
              </w:rPr>
            </w:pPr>
          </w:p>
        </w:tc>
      </w:tr>
      <w:tr>
        <w:trPr>
          <w:trHeight w:val="197"/>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1, 2025 through September 30, 2025:</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Class A</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(b)</w:t>
            </w:r>
          </w:p>
        </w:tc>
        <w:tc>
          <w:tcPr>
            <w:tcW w:w="0" w:type="dxa"/>
            <w:vAlign w:val="bottom"/>
          </w:tcPr>
          <w:p>
            <w:pPr>
              <w:spacing w:after="0"/>
              <w:rPr>
                <w:sz w:val="1"/>
                <w:szCs w:val="1"/>
                <w:color w:val="auto"/>
              </w:rPr>
            </w:pPr>
          </w:p>
        </w:tc>
      </w:tr>
      <w:tr>
        <w:trPr>
          <w:trHeight w:val="197"/>
        </w:trPr>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Class C</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1,151,453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11.90</w:t>
            </w: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1,151,453</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(b)</w:t>
            </w:r>
          </w:p>
        </w:tc>
        <w:tc>
          <w:tcPr>
            <w:tcW w:w="0" w:type="dxa"/>
            <w:vAlign w:val="bottom"/>
          </w:tcPr>
          <w:p>
            <w:pPr>
              <w:spacing w:after="0"/>
              <w:rPr>
                <w:sz w:val="1"/>
                <w:szCs w:val="1"/>
                <w:color w:val="auto"/>
              </w:rPr>
            </w:pPr>
          </w:p>
        </w:tc>
      </w:tr>
      <w:tr>
        <w:trPr>
          <w:trHeight w:val="197"/>
        </w:trPr>
        <w:tc>
          <w:tcPr>
            <w:tcW w:w="4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 — July 1, 2025 through September 30, 2025:</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Class A</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(b)</w:t>
            </w:r>
          </w:p>
        </w:tc>
        <w:tc>
          <w:tcPr>
            <w:tcW w:w="0" w:type="dxa"/>
            <w:vAlign w:val="bottom"/>
          </w:tcPr>
          <w:p>
            <w:pPr>
              <w:spacing w:after="0"/>
              <w:rPr>
                <w:sz w:val="1"/>
                <w:szCs w:val="1"/>
                <w:color w:val="auto"/>
              </w:rPr>
            </w:pPr>
          </w:p>
        </w:tc>
      </w:tr>
      <w:tr>
        <w:trPr>
          <w:trHeight w:val="199"/>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Class C</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5,037,081</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11.07</w:t>
            </w:r>
          </w:p>
        </w:tc>
        <w:tc>
          <w:tcPr>
            <w:tcW w:w="1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5,037,081</w:t>
            </w:r>
          </w:p>
        </w:tc>
        <w:tc>
          <w:tcPr>
            <w:tcW w:w="1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(b)</w:t>
            </w:r>
          </w:p>
        </w:tc>
        <w:tc>
          <w:tcPr>
            <w:tcW w:w="0" w:type="dxa"/>
            <w:vAlign w:val="bottom"/>
          </w:tcPr>
          <w:p>
            <w:pPr>
              <w:spacing w:after="0"/>
              <w:rPr>
                <w:sz w:val="1"/>
                <w:szCs w:val="1"/>
                <w:color w:val="auto"/>
              </w:rPr>
            </w:pPr>
          </w:p>
        </w:tc>
      </w:tr>
      <w:tr>
        <w:trPr>
          <w:trHeight w:val="263"/>
        </w:trPr>
        <w:tc>
          <w:tcPr>
            <w:tcW w:w="47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_____________</w:t>
            </w: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07" w:hanging="407"/>
        <w:spacing w:after="0"/>
        <w:tabs>
          <w:tab w:leader="none" w:pos="407"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Average price paid per share includes direct acquisition costs.</w:t>
      </w:r>
    </w:p>
    <w:p>
      <w:pPr>
        <w:spacing w:after="0" w:line="221" w:lineRule="exact"/>
        <w:rPr>
          <w:rFonts w:ascii="Times New Roman" w:cs="Times New Roman" w:eastAsia="Times New Roman" w:hAnsi="Times New Roman"/>
          <w:sz w:val="15"/>
          <w:szCs w:val="15"/>
          <w:color w:val="auto"/>
        </w:rPr>
      </w:pPr>
    </w:p>
    <w:p>
      <w:pPr>
        <w:jc w:val="both"/>
        <w:ind w:left="407" w:hanging="407"/>
        <w:spacing w:after="0" w:line="265" w:lineRule="auto"/>
        <w:tabs>
          <w:tab w:leader="none" w:pos="402"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 our current share repurchase program, we are authorized during 2025 to repurchase up to 10% of our total outstanding shares as of December 31, 2024. As of September 30, 2025, the remaining number of our Class A and/or Class C common shares that we are authorized to repurchase during 2025 was 20.4 million. Based on the average of the respective closing share prices as of September 30, 2025, this would equate to additional share repurchases during the remainder of 2025 of approximately $236.7 million. However, the actual U.S. dollar amount of our share repurchases during the remainder of 2025 will be determined by the actual transaction date share prices during the year and could differ significantly from this amount. For additional information, see note 12 to our condensed consolidated financial statements in Part I of this Quarterly Report on Form 10-Q.</w:t>
      </w:r>
    </w:p>
    <w:p>
      <w:pPr>
        <w:spacing w:after="0" w:line="17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Item 5. OTHER INFORMATION</w:t>
      </w:r>
    </w:p>
    <w:p>
      <w:pPr>
        <w:spacing w:after="0" w:line="225" w:lineRule="exact"/>
        <w:rPr>
          <w:sz w:val="20"/>
          <w:szCs w:val="20"/>
          <w:color w:val="auto"/>
        </w:rPr>
      </w:pPr>
    </w:p>
    <w:p>
      <w:pPr>
        <w:ind w:left="7" w:right="20" w:firstLine="278"/>
        <w:spacing w:after="0" w:line="295" w:lineRule="auto"/>
        <w:rPr>
          <w:sz w:val="20"/>
          <w:szCs w:val="20"/>
          <w:color w:val="auto"/>
        </w:rPr>
      </w:pPr>
      <w:r>
        <w:rPr>
          <w:rFonts w:ascii="Times New Roman" w:cs="Times New Roman" w:eastAsia="Times New Roman" w:hAnsi="Times New Roman"/>
          <w:sz w:val="15"/>
          <w:szCs w:val="15"/>
          <w:color w:val="auto"/>
        </w:rPr>
        <w:t>During the quarter ended September 30, 2025,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815"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5"/>
          <w:szCs w:val="15"/>
          <w:b w:val="1"/>
          <w:bCs w:val="1"/>
          <w:color w:val="auto"/>
        </w:rPr>
        <w:t>Item 6. EXHIBITS</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Listed below are the exhibits filed as part of this Quarterly Report (according to the number assigned to them in Item 601 of Regulation 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10 — Material Contracts:</w:t>
      </w:r>
    </w:p>
    <w:p>
      <w:pPr>
        <w:spacing w:after="0" w:line="27" w:lineRule="exact"/>
        <w:rPr>
          <w:sz w:val="20"/>
          <w:szCs w:val="20"/>
          <w:color w:val="auto"/>
        </w:rPr>
      </w:pPr>
    </w:p>
    <w:p>
      <w:pPr>
        <w:ind w:left="1540" w:hanging="1081"/>
        <w:spacing w:after="0" w:line="243" w:lineRule="auto"/>
        <w:tabs>
          <w:tab w:leader="none" w:pos="1520" w:val="left"/>
        </w:tabs>
        <w:rPr>
          <w:sz w:val="20"/>
          <w:szCs w:val="20"/>
          <w:color w:val="auto"/>
        </w:rPr>
      </w:pPr>
      <w:r>
        <w:rPr>
          <w:rFonts w:ascii="Times New Roman" w:cs="Times New Roman" w:eastAsia="Times New Roman" w:hAnsi="Times New Roman"/>
          <w:sz w:val="15"/>
          <w:szCs w:val="15"/>
          <w:color w:val="auto"/>
        </w:rPr>
        <w:t>10.1</w:t>
      </w:r>
      <w:r>
        <w:rPr>
          <w:sz w:val="20"/>
          <w:szCs w:val="20"/>
          <w:color w:val="auto"/>
        </w:rPr>
        <w:tab/>
      </w:r>
      <w:r>
        <w:rPr>
          <w:rFonts w:ascii="Times New Roman" w:cs="Times New Roman" w:eastAsia="Times New Roman" w:hAnsi="Times New Roman"/>
          <w:sz w:val="15"/>
          <w:szCs w:val="15"/>
          <w:u w:val="single" w:color="auto"/>
          <w:color w:val="0000FF"/>
        </w:rPr>
        <w:t>Amended and Restated Shareholders’ Agreement, dated August 1, 2025, by and among Liberty Global Holdings Limited, Liberty Global Europe 2 Limited, Liberty Global Holdco Limited, Telefonica, S.A. and Telefonica O2 Holdings Limited (File No. 001-35961).*</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31 — Rule 13a-14(a)/15d-14(a) Certification: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4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31.1</w:t>
            </w:r>
          </w:p>
        </w:tc>
        <w:tc>
          <w:tcPr>
            <w:tcW w:w="3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5"/>
                <w:szCs w:val="15"/>
                <w:color w:val="0000FF"/>
              </w:rPr>
              <w:t>Certification of President and Chief Executive Officer*</w:t>
            </w:r>
          </w:p>
        </w:tc>
        <w:tc>
          <w:tcPr>
            <w:tcW w:w="2260" w:type="dxa"/>
            <w:vAlign w:val="bottom"/>
            <w:gridSpan w:val="2"/>
          </w:tcPr>
          <w:p>
            <w:pPr>
              <w:spacing w:after="0"/>
              <w:rPr>
                <w:sz w:val="15"/>
                <w:szCs w:val="15"/>
                <w:color w:val="auto"/>
              </w:rPr>
            </w:pPr>
          </w:p>
        </w:tc>
      </w:tr>
      <w:tr>
        <w:trPr>
          <w:trHeight w:val="223"/>
        </w:trPr>
        <w:tc>
          <w:tcPr>
            <w:tcW w:w="154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31.2</w:t>
            </w:r>
          </w:p>
        </w:tc>
        <w:tc>
          <w:tcPr>
            <w:tcW w:w="568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Certification of Executive Vice President and Chief Financial Officer*</w:t>
            </w:r>
          </w:p>
        </w:tc>
      </w:tr>
      <w:tr>
        <w:trPr>
          <w:trHeight w:val="20"/>
        </w:trPr>
        <w:tc>
          <w:tcPr>
            <w:tcW w:w="1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700" w:type="dxa"/>
            <w:vAlign w:val="bottom"/>
            <w:gridSpan w:val="2"/>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23"/>
        </w:trPr>
        <w:tc>
          <w:tcPr>
            <w:tcW w:w="2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5"/>
                <w:szCs w:val="15"/>
                <w:color w:val="0000FF"/>
              </w:rPr>
              <w:t>32 — Section 1350 Certification**</w:t>
            </w:r>
          </w:p>
        </w:tc>
        <w:tc>
          <w:tcPr>
            <w:tcW w:w="5040" w:type="dxa"/>
            <w:vAlign w:val="bottom"/>
            <w:gridSpan w:val="3"/>
          </w:tcPr>
          <w:p>
            <w:pPr>
              <w:spacing w:after="0"/>
              <w:rPr>
                <w:sz w:val="19"/>
                <w:szCs w:val="19"/>
                <w:color w:val="auto"/>
              </w:rPr>
            </w:pPr>
          </w:p>
        </w:tc>
      </w:tr>
      <w:tr>
        <w:trPr>
          <w:trHeight w:val="258"/>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101.SCH</w:t>
            </w:r>
          </w:p>
        </w:tc>
        <w:tc>
          <w:tcPr>
            <w:tcW w:w="568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Inline XBRL Taxonomy Extension Schema Document*</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101.CAL</w:t>
            </w:r>
          </w:p>
        </w:tc>
        <w:tc>
          <w:tcPr>
            <w:tcW w:w="568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Inline XBRL Taxonomy Extension Calculation Linkbase Document*</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101.DEF</w:t>
            </w:r>
          </w:p>
        </w:tc>
        <w:tc>
          <w:tcPr>
            <w:tcW w:w="568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Inline XBRL Taxonomy Extension Definition Linkbase*</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101.LAB</w:t>
            </w:r>
          </w:p>
        </w:tc>
        <w:tc>
          <w:tcPr>
            <w:tcW w:w="568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Inline XBRL Taxonomy Extension Label Linkbase Document*</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101.PRE</w:t>
            </w:r>
          </w:p>
        </w:tc>
        <w:tc>
          <w:tcPr>
            <w:tcW w:w="568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Inline XBRL Taxonomy Extension Presentation Linkbase Document*</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568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Cover Page Interactive Data File (formatted as Inline XBRL and contained in Exhibit 101)*</w:t>
            </w:r>
          </w:p>
        </w:tc>
      </w:tr>
      <w:tr>
        <w:trPr>
          <w:trHeight w:val="255"/>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_______________</w:t>
            </w:r>
          </w:p>
        </w:tc>
        <w:tc>
          <w:tcPr>
            <w:tcW w:w="64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40" w:type="dxa"/>
            <w:vAlign w:val="bottom"/>
          </w:tcPr>
          <w:p>
            <w:pPr>
              <w:spacing w:after="0"/>
              <w:rPr>
                <w:sz w:val="22"/>
                <w:szCs w:val="22"/>
                <w:color w:val="auto"/>
              </w:rPr>
            </w:pPr>
          </w:p>
        </w:tc>
      </w:tr>
    </w:tbl>
    <w:p>
      <w:pPr>
        <w:spacing w:after="0" w:line="159"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Filed herewith</w:t>
      </w:r>
    </w:p>
    <w:p>
      <w:pPr>
        <w:spacing w:after="0" w:line="27" w:lineRule="exact"/>
        <w:rPr>
          <w:sz w:val="20"/>
          <w:szCs w:val="20"/>
          <w:color w:val="auto"/>
        </w:rPr>
      </w:pPr>
    </w:p>
    <w:p>
      <w:pPr>
        <w:ind w:left="660" w:hanging="652"/>
        <w:spacing w:after="0"/>
        <w:tabs>
          <w:tab w:leader="none" w:pos="66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180"/>
          </w:cols>
          <w:pgMar w:left="320" w:top="815" w:right="39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56" w:lineRule="exact"/>
        <w:rPr>
          <w:sz w:val="20"/>
          <w:szCs w:val="20"/>
          <w:color w:val="auto"/>
        </w:rPr>
      </w:pPr>
    </w:p>
    <w:p>
      <w:pPr>
        <w:ind w:firstLine="382"/>
        <w:spacing w:after="0" w:line="295"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thereunto duly authorized.</w:t>
      </w:r>
    </w:p>
    <w:p>
      <w:pPr>
        <w:spacing w:after="0" w:line="24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5"/>
          <w:szCs w:val="15"/>
          <w:color w:val="auto"/>
        </w:rPr>
        <w:t>LIBERTY GLOBAL LTD.</w:t>
      </w:r>
    </w:p>
    <w:p>
      <w:pPr>
        <w:spacing w:after="0" w:line="256" w:lineRule="exact"/>
        <w:rPr>
          <w:sz w:val="20"/>
          <w:szCs w:val="20"/>
          <w:color w:val="auto"/>
        </w:rPr>
      </w:pPr>
    </w:p>
    <w:p>
      <w:pPr>
        <w:spacing w:after="0"/>
        <w:tabs>
          <w:tab w:leader="none" w:pos="880" w:val="left"/>
          <w:tab w:leader="none" w:pos="7200" w:val="left"/>
          <w:tab w:leader="none" w:pos="7500" w:val="left"/>
        </w:tabs>
        <w:rPr>
          <w:sz w:val="20"/>
          <w:szCs w:val="20"/>
          <w:color w:val="auto"/>
        </w:rPr>
      </w:pPr>
      <w:r>
        <w:rPr>
          <w:rFonts w:ascii="Times New Roman" w:cs="Times New Roman" w:eastAsia="Times New Roman" w:hAnsi="Times New Roman"/>
          <w:sz w:val="15"/>
          <w:szCs w:val="15"/>
          <w:color w:val="auto"/>
        </w:rPr>
        <w:t>Dated:</w:t>
      </w:r>
      <w:r>
        <w:rPr>
          <w:sz w:val="20"/>
          <w:szCs w:val="20"/>
          <w:color w:val="auto"/>
        </w:rPr>
        <w:tab/>
      </w:r>
      <w:r>
        <w:rPr>
          <w:rFonts w:ascii="Times New Roman" w:cs="Times New Roman" w:eastAsia="Times New Roman" w:hAnsi="Times New Roman"/>
          <w:sz w:val="15"/>
          <w:szCs w:val="15"/>
          <w:color w:val="auto"/>
        </w:rPr>
        <w:t>October 30, 2025</w:t>
      </w:r>
      <w:r>
        <w:rPr>
          <w:sz w:val="20"/>
          <w:szCs w:val="20"/>
          <w:color w:val="auto"/>
        </w:rPr>
        <w:tab/>
      </w:r>
      <w:r>
        <w:rPr>
          <w:rFonts w:ascii="Times New Roman" w:cs="Times New Roman" w:eastAsia="Times New Roman" w:hAnsi="Times New Roman"/>
          <w:sz w:val="15"/>
          <w:szCs w:val="15"/>
          <w:color w:val="auto"/>
        </w:rPr>
        <w:t>/s/</w:t>
        <w:tab/>
        <w:t>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5"/>
          <w:szCs w:val="15"/>
          <w:color w:val="auto"/>
        </w:rPr>
        <w:t xml:space="preserve"> T. F</w:t>
      </w:r>
      <w:r>
        <w:rPr>
          <w:rFonts w:ascii="Times New Roman" w:cs="Times New Roman" w:eastAsia="Times New Roman" w:hAnsi="Times New Roman"/>
          <w:sz w:val="12"/>
          <w:szCs w:val="12"/>
          <w:color w:val="auto"/>
        </w:rPr>
        <w: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3104515</wp:posOffset>
            </wp:positionH>
            <wp:positionV relativeFrom="paragraph">
              <wp:posOffset>31750</wp:posOffset>
            </wp:positionV>
            <wp:extent cx="404241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042410" cy="7620"/>
                    </a:xfrm>
                    <a:prstGeom prst="rect">
                      <a:avLst/>
                    </a:prstGeom>
                    <a:noFill/>
                  </pic:spPr>
                </pic:pic>
              </a:graphicData>
            </a:graphic>
          </wp:anchor>
        </w:drawing>
      </w:r>
    </w:p>
    <w:p>
      <w:pPr>
        <w:spacing w:after="0" w:line="33" w:lineRule="exact"/>
        <w:rPr>
          <w:sz w:val="20"/>
          <w:szCs w:val="20"/>
          <w:color w:val="auto"/>
        </w:rPr>
      </w:pPr>
    </w:p>
    <w:p>
      <w:pPr>
        <w:jc w:val="center"/>
        <w:ind w:left="4900"/>
        <w:spacing w:after="0"/>
        <w:rPr>
          <w:sz w:val="20"/>
          <w:szCs w:val="20"/>
          <w:color w:val="auto"/>
        </w:rPr>
      </w:pPr>
      <w:r>
        <w:rPr>
          <w:rFonts w:ascii="Times New Roman" w:cs="Times New Roman" w:eastAsia="Times New Roman" w:hAnsi="Times New Roman"/>
          <w:sz w:val="15"/>
          <w:szCs w:val="15"/>
          <w:color w:val="auto"/>
        </w:rPr>
        <w:t>Michael T. Fries</w:t>
      </w:r>
    </w:p>
    <w:p>
      <w:pPr>
        <w:jc w:val="center"/>
        <w:ind w:left="4900"/>
        <w:spacing w:after="0"/>
        <w:rPr>
          <w:sz w:val="20"/>
          <w:szCs w:val="20"/>
          <w:color w:val="auto"/>
        </w:rPr>
      </w:pPr>
      <w:r>
        <w:rPr>
          <w:rFonts w:ascii="Times New Roman" w:cs="Times New Roman" w:eastAsia="Times New Roman" w:hAnsi="Times New Roman"/>
          <w:sz w:val="15"/>
          <w:szCs w:val="15"/>
          <w:i w:val="1"/>
          <w:iCs w:val="1"/>
          <w:color w:val="auto"/>
        </w:rPr>
        <w:t>President and Chief Executive Officer</w:t>
      </w:r>
    </w:p>
    <w:p>
      <w:pPr>
        <w:spacing w:after="0" w:line="263" w:lineRule="exact"/>
        <w:rPr>
          <w:sz w:val="20"/>
          <w:szCs w:val="20"/>
          <w:color w:val="auto"/>
        </w:rPr>
      </w:pPr>
    </w:p>
    <w:p>
      <w:pPr>
        <w:spacing w:after="0"/>
        <w:tabs>
          <w:tab w:leader="none" w:pos="880" w:val="left"/>
          <w:tab w:leader="none" w:pos="7000" w:val="left"/>
          <w:tab w:leader="none" w:pos="7300" w:val="left"/>
        </w:tabs>
        <w:rPr>
          <w:sz w:val="20"/>
          <w:szCs w:val="20"/>
          <w:color w:val="auto"/>
        </w:rPr>
      </w:pPr>
      <w:r>
        <w:rPr>
          <w:rFonts w:ascii="Times New Roman" w:cs="Times New Roman" w:eastAsia="Times New Roman" w:hAnsi="Times New Roman"/>
          <w:sz w:val="15"/>
          <w:szCs w:val="15"/>
          <w:color w:val="auto"/>
        </w:rPr>
        <w:t>Dated:</w:t>
      </w:r>
      <w:r>
        <w:rPr>
          <w:sz w:val="20"/>
          <w:szCs w:val="20"/>
          <w:color w:val="auto"/>
        </w:rPr>
        <w:tab/>
      </w:r>
      <w:r>
        <w:rPr>
          <w:rFonts w:ascii="Times New Roman" w:cs="Times New Roman" w:eastAsia="Times New Roman" w:hAnsi="Times New Roman"/>
          <w:sz w:val="15"/>
          <w:szCs w:val="15"/>
          <w:color w:val="auto"/>
        </w:rPr>
        <w:t>October 30, 2025</w:t>
      </w:r>
      <w:r>
        <w:rPr>
          <w:sz w:val="20"/>
          <w:szCs w:val="20"/>
          <w:color w:val="auto"/>
        </w:rPr>
        <w:tab/>
      </w:r>
      <w:r>
        <w:rPr>
          <w:rFonts w:ascii="Times New Roman" w:cs="Times New Roman" w:eastAsia="Times New Roman" w:hAnsi="Times New Roman"/>
          <w:sz w:val="15"/>
          <w:szCs w:val="15"/>
          <w:color w:val="auto"/>
        </w:rPr>
        <w:t>/s/</w:t>
        <w:tab/>
        <w:t>C</w:t>
      </w:r>
      <w:r>
        <w:rPr>
          <w:rFonts w:ascii="Times New Roman" w:cs="Times New Roman" w:eastAsia="Times New Roman" w:hAnsi="Times New Roman"/>
          <w:sz w:val="12"/>
          <w:szCs w:val="12"/>
          <w:color w:val="auto"/>
        </w:rPr>
        <w:t>HARLES</w:t>
      </w:r>
      <w:r>
        <w:rPr>
          <w:rFonts w:ascii="Times New Roman" w:cs="Times New Roman" w:eastAsia="Times New Roman" w:hAnsi="Times New Roman"/>
          <w:sz w:val="15"/>
          <w:szCs w:val="15"/>
          <w:color w:val="auto"/>
        </w:rPr>
        <w:t xml:space="preserve"> H.R. B</w:t>
      </w:r>
      <w:r>
        <w:rPr>
          <w:rFonts w:ascii="Times New Roman" w:cs="Times New Roman" w:eastAsia="Times New Roman" w:hAnsi="Times New Roman"/>
          <w:sz w:val="12"/>
          <w:szCs w:val="12"/>
          <w:color w:val="auto"/>
        </w:rPr>
        <w:t>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3104515</wp:posOffset>
            </wp:positionH>
            <wp:positionV relativeFrom="paragraph">
              <wp:posOffset>31750</wp:posOffset>
            </wp:positionV>
            <wp:extent cx="404241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042410" cy="7620"/>
                    </a:xfrm>
                    <a:prstGeom prst="rect">
                      <a:avLst/>
                    </a:prstGeom>
                    <a:noFill/>
                  </pic:spPr>
                </pic:pic>
              </a:graphicData>
            </a:graphic>
          </wp:anchor>
        </w:drawing>
      </w:r>
    </w:p>
    <w:p>
      <w:pPr>
        <w:spacing w:after="0" w:line="33" w:lineRule="exact"/>
        <w:rPr>
          <w:sz w:val="20"/>
          <w:szCs w:val="20"/>
          <w:color w:val="auto"/>
        </w:rPr>
      </w:pPr>
    </w:p>
    <w:p>
      <w:pPr>
        <w:jc w:val="center"/>
        <w:ind w:left="4900"/>
        <w:spacing w:after="0"/>
        <w:rPr>
          <w:sz w:val="20"/>
          <w:szCs w:val="20"/>
          <w:color w:val="auto"/>
        </w:rPr>
      </w:pPr>
      <w:r>
        <w:rPr>
          <w:rFonts w:ascii="Times New Roman" w:cs="Times New Roman" w:eastAsia="Times New Roman" w:hAnsi="Times New Roman"/>
          <w:sz w:val="15"/>
          <w:szCs w:val="15"/>
          <w:color w:val="auto"/>
        </w:rPr>
        <w:t>Charles H.R. Bracken</w:t>
      </w:r>
    </w:p>
    <w:p>
      <w:pPr>
        <w:jc w:val="center"/>
        <w:ind w:left="4900"/>
        <w:spacing w:after="0" w:line="209" w:lineRule="auto"/>
        <w:rPr>
          <w:sz w:val="20"/>
          <w:szCs w:val="20"/>
          <w:color w:val="auto"/>
        </w:rPr>
      </w:pPr>
      <w:r>
        <w:rPr>
          <w:rFonts w:ascii="Times New Roman" w:cs="Times New Roman" w:eastAsia="Times New Roman" w:hAnsi="Times New Roman"/>
          <w:sz w:val="15"/>
          <w:szCs w:val="15"/>
          <w:i w:val="1"/>
          <w:iCs w:val="1"/>
          <w:color w:val="auto"/>
        </w:rPr>
        <w:t>Executive Vice President and Chief</w:t>
      </w:r>
    </w:p>
    <w:p>
      <w:pPr>
        <w:jc w:val="center"/>
        <w:ind w:left="4900"/>
        <w:spacing w:after="0"/>
        <w:rPr>
          <w:sz w:val="20"/>
          <w:szCs w:val="20"/>
          <w:color w:val="auto"/>
        </w:rPr>
      </w:pPr>
      <w:r>
        <w:rPr>
          <w:rFonts w:ascii="Times New Roman" w:cs="Times New Roman" w:eastAsia="Times New Roman" w:hAnsi="Times New Roman"/>
          <w:sz w:val="15"/>
          <w:szCs w:val="15"/>
          <w:i w:val="1"/>
          <w:iCs w:val="1"/>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89</w:t>
      </w:r>
    </w:p>
    <w:p>
      <w:pPr>
        <w:sectPr>
          <w:pgSz w:w="11900" w:h="16838" w:orient="portrait"/>
          <w:cols w:equalWidth="0" w:num="1">
            <w:col w:w="11260"/>
          </w:cols>
          <w:pgMar w:left="320" w:top="815" w:right="319" w:bottom="1440"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323850</wp:posOffset>
            </wp:positionV>
            <wp:extent cx="7087870" cy="102806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2806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89408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90410" cy="8940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0874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90410" cy="9087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0874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90410" cy="9087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0874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90410" cy="9087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0874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90410" cy="9087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0874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90410" cy="9087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0874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90410" cy="9087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0874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90410" cy="9087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0874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90410" cy="9087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0874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90410" cy="9087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0874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90410" cy="9087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0951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090410" cy="9095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0874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090410" cy="9087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1020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090410" cy="9102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0951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090410" cy="9095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1027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09041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1027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09041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1020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090410" cy="9102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1027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09041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1097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090410" cy="9109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1097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090410" cy="9109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1097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090410" cy="9109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1020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090410" cy="9102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1027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09041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1020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090410" cy="9102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1027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09041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1027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09041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1020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090410" cy="9102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1027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09041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1020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090410" cy="9102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1027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09041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1027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09041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1020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090410" cy="9102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1097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090410" cy="9109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1097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090410" cy="9109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1027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09041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1020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090410" cy="9102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0951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090410" cy="9095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1027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09041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0874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090410" cy="9087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0874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090410" cy="9087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0874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090410" cy="9087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0951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090410" cy="9095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1027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09041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88900</wp:posOffset>
            </wp:positionV>
            <wp:extent cx="7087870" cy="105156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0" w:name="page271"/>
    <w:bookmarkEnd w:id="2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90658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090410" cy="9065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1479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147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00507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090410" cy="10050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19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5"/>
          <w:szCs w:val="15"/>
          <w:b w:val="1"/>
          <w:bCs w:val="1"/>
          <w:color w:val="auto"/>
        </w:rPr>
        <w:t>CERTIFICATION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Michael T. Fries, certify that:</w:t>
      </w:r>
    </w:p>
    <w:p>
      <w:pPr>
        <w:spacing w:after="0" w:line="82" w:lineRule="exact"/>
        <w:rPr>
          <w:sz w:val="20"/>
          <w:szCs w:val="20"/>
          <w:color w:val="auto"/>
        </w:rPr>
      </w:pPr>
    </w:p>
    <w:p>
      <w:pPr>
        <w:ind w:left="540" w:hanging="270"/>
        <w:spacing w:after="0"/>
        <w:tabs>
          <w:tab w:leader="none" w:pos="54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of Liberty Global Ltd.;</w:t>
      </w:r>
    </w:p>
    <w:p>
      <w:pPr>
        <w:spacing w:after="0" w:line="93" w:lineRule="exact"/>
        <w:rPr>
          <w:rFonts w:ascii="Times New Roman" w:cs="Times New Roman" w:eastAsia="Times New Roman" w:hAnsi="Times New Roman"/>
          <w:sz w:val="15"/>
          <w:szCs w:val="15"/>
          <w:color w:val="auto"/>
        </w:rPr>
      </w:pPr>
    </w:p>
    <w:p>
      <w:pPr>
        <w:ind w:left="540" w:hanging="270"/>
        <w:spacing w:after="0" w:line="295" w:lineRule="auto"/>
        <w:tabs>
          <w:tab w:leader="none" w:pos="54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7" w:lineRule="exact"/>
        <w:rPr>
          <w:rFonts w:ascii="Times New Roman" w:cs="Times New Roman" w:eastAsia="Times New Roman" w:hAnsi="Times New Roman"/>
          <w:sz w:val="15"/>
          <w:szCs w:val="15"/>
          <w:color w:val="auto"/>
        </w:rPr>
      </w:pPr>
    </w:p>
    <w:p>
      <w:pPr>
        <w:ind w:left="540" w:right="20" w:hanging="270"/>
        <w:spacing w:after="0" w:line="295" w:lineRule="auto"/>
        <w:tabs>
          <w:tab w:leader="none" w:pos="54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Times New Roman" w:cs="Times New Roman" w:eastAsia="Times New Roman" w:hAnsi="Times New Roman"/>
          <w:sz w:val="15"/>
          <w:szCs w:val="15"/>
          <w:color w:val="auto"/>
        </w:rPr>
      </w:pPr>
    </w:p>
    <w:p>
      <w:pPr>
        <w:ind w:left="540" w:right="20" w:hanging="270"/>
        <w:spacing w:after="0" w:line="295" w:lineRule="auto"/>
        <w:tabs>
          <w:tab w:leader="none" w:pos="54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7" w:lineRule="exact"/>
        <w:rPr>
          <w:rFonts w:ascii="Times New Roman" w:cs="Times New Roman" w:eastAsia="Times New Roman" w:hAnsi="Times New Roman"/>
          <w:sz w:val="15"/>
          <w:szCs w:val="15"/>
          <w:color w:val="auto"/>
        </w:rPr>
      </w:pPr>
    </w:p>
    <w:p>
      <w:pPr>
        <w:jc w:val="both"/>
        <w:ind w:left="1100" w:hanging="274"/>
        <w:spacing w:after="0" w:line="276" w:lineRule="auto"/>
        <w:tabs>
          <w:tab w:leader="none" w:pos="1092" w:val="left"/>
        </w:tabs>
        <w:numPr>
          <w:ilvl w:val="1"/>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41" w:lineRule="exact"/>
        <w:rPr>
          <w:rFonts w:ascii="Times New Roman" w:cs="Times New Roman" w:eastAsia="Times New Roman" w:hAnsi="Times New Roman"/>
          <w:sz w:val="15"/>
          <w:szCs w:val="15"/>
          <w:color w:val="auto"/>
        </w:rPr>
      </w:pPr>
    </w:p>
    <w:p>
      <w:pPr>
        <w:jc w:val="both"/>
        <w:ind w:left="1100" w:hanging="274"/>
        <w:spacing w:after="0" w:line="276" w:lineRule="auto"/>
        <w:tabs>
          <w:tab w:leader="none" w:pos="1090" w:val="left"/>
        </w:tabs>
        <w:numPr>
          <w:ilvl w:val="1"/>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 w:lineRule="exact"/>
        <w:rPr>
          <w:rFonts w:ascii="Times New Roman" w:cs="Times New Roman" w:eastAsia="Times New Roman" w:hAnsi="Times New Roman"/>
          <w:sz w:val="15"/>
          <w:szCs w:val="15"/>
          <w:color w:val="auto"/>
        </w:rPr>
      </w:pPr>
    </w:p>
    <w:p>
      <w:pPr>
        <w:ind w:left="1100" w:hanging="274"/>
        <w:spacing w:after="0" w:line="295" w:lineRule="auto"/>
        <w:tabs>
          <w:tab w:leader="none" w:pos="1092" w:val="left"/>
        </w:tabs>
        <w:numPr>
          <w:ilvl w:val="1"/>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7" w:lineRule="exact"/>
        <w:rPr>
          <w:rFonts w:ascii="Times New Roman" w:cs="Times New Roman" w:eastAsia="Times New Roman" w:hAnsi="Times New Roman"/>
          <w:sz w:val="15"/>
          <w:szCs w:val="15"/>
          <w:color w:val="auto"/>
        </w:rPr>
      </w:pPr>
    </w:p>
    <w:p>
      <w:pPr>
        <w:jc w:val="both"/>
        <w:ind w:left="1100" w:hanging="274"/>
        <w:spacing w:after="0" w:line="276" w:lineRule="auto"/>
        <w:tabs>
          <w:tab w:leader="none" w:pos="1090" w:val="left"/>
        </w:tabs>
        <w:numPr>
          <w:ilvl w:val="1"/>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5"/>
          <w:szCs w:val="15"/>
          <w:color w:val="auto"/>
        </w:rPr>
      </w:pPr>
    </w:p>
    <w:p>
      <w:pPr>
        <w:ind w:left="540" w:hanging="270"/>
        <w:spacing w:after="0" w:line="295" w:lineRule="auto"/>
        <w:tabs>
          <w:tab w:leader="none" w:pos="54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5" w:lineRule="exact"/>
        <w:rPr>
          <w:rFonts w:ascii="Times New Roman" w:cs="Times New Roman" w:eastAsia="Times New Roman" w:hAnsi="Times New Roman"/>
          <w:sz w:val="15"/>
          <w:szCs w:val="15"/>
          <w:color w:val="auto"/>
        </w:rPr>
      </w:pPr>
    </w:p>
    <w:p>
      <w:pPr>
        <w:ind w:left="1100" w:hanging="274"/>
        <w:spacing w:after="0" w:line="295" w:lineRule="auto"/>
        <w:tabs>
          <w:tab w:leader="none" w:pos="1092" w:val="left"/>
        </w:tabs>
        <w:numPr>
          <w:ilvl w:val="1"/>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Times New Roman" w:cs="Times New Roman" w:eastAsia="Times New Roman" w:hAnsi="Times New Roman"/>
          <w:sz w:val="15"/>
          <w:szCs w:val="15"/>
          <w:color w:val="auto"/>
        </w:rPr>
      </w:pPr>
    </w:p>
    <w:p>
      <w:pPr>
        <w:ind w:left="1100" w:right="20" w:hanging="274"/>
        <w:spacing w:after="0" w:line="267" w:lineRule="auto"/>
        <w:tabs>
          <w:tab w:leader="none" w:pos="1090" w:val="left"/>
        </w:tabs>
        <w:numPr>
          <w:ilvl w:val="1"/>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October 30, 2025</w:t>
      </w:r>
    </w:p>
    <w:p>
      <w:pPr>
        <w:spacing w:after="0" w:line="163" w:lineRule="exact"/>
        <w:rPr>
          <w:sz w:val="20"/>
          <w:szCs w:val="20"/>
          <w:color w:val="auto"/>
        </w:rPr>
      </w:pPr>
    </w:p>
    <w:p>
      <w:pPr>
        <w:jc w:val="center"/>
        <w:ind w:right="4200"/>
        <w:spacing w:after="0"/>
        <w:rPr>
          <w:sz w:val="20"/>
          <w:szCs w:val="20"/>
          <w:color w:val="auto"/>
        </w:rPr>
      </w:pPr>
      <w:r>
        <w:rPr>
          <w:rFonts w:ascii="Times New Roman" w:cs="Times New Roman" w:eastAsia="Times New Roman" w:hAnsi="Times New Roman"/>
          <w:sz w:val="15"/>
          <w:szCs w:val="15"/>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17145</wp:posOffset>
            </wp:positionV>
            <wp:extent cx="235204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352040" cy="7620"/>
                    </a:xfrm>
                    <a:prstGeom prst="rect">
                      <a:avLst/>
                    </a:prstGeom>
                    <a:noFill/>
                  </pic:spPr>
                </pic:pic>
              </a:graphicData>
            </a:graphic>
          </wp:anchor>
        </w:drawing>
      </w:r>
    </w:p>
    <w:p>
      <w:pPr>
        <w:spacing w:after="0" w:line="39" w:lineRule="exact"/>
        <w:rPr>
          <w:sz w:val="20"/>
          <w:szCs w:val="20"/>
          <w:color w:val="auto"/>
        </w:rPr>
      </w:pPr>
    </w:p>
    <w:p>
      <w:pPr>
        <w:jc w:val="center"/>
        <w:ind w:right="4200"/>
        <w:spacing w:after="0"/>
        <w:rPr>
          <w:sz w:val="20"/>
          <w:szCs w:val="20"/>
          <w:color w:val="auto"/>
        </w:rPr>
      </w:pPr>
      <w:r>
        <w:rPr>
          <w:rFonts w:ascii="Times New Roman" w:cs="Times New Roman" w:eastAsia="Times New Roman" w:hAnsi="Times New Roman"/>
          <w:sz w:val="15"/>
          <w:szCs w:val="15"/>
          <w:color w:val="auto"/>
        </w:rPr>
        <w:t>Michael T. Fries</w:t>
      </w:r>
    </w:p>
    <w:p>
      <w:pPr>
        <w:spacing w:after="0" w:line="59" w:lineRule="exact"/>
        <w:rPr>
          <w:sz w:val="20"/>
          <w:szCs w:val="20"/>
          <w:color w:val="auto"/>
        </w:rPr>
      </w:pPr>
    </w:p>
    <w:p>
      <w:pPr>
        <w:jc w:val="center"/>
        <w:ind w:right="4200"/>
        <w:spacing w:after="0"/>
        <w:rPr>
          <w:sz w:val="20"/>
          <w:szCs w:val="20"/>
          <w:color w:val="auto"/>
        </w:rPr>
      </w:pPr>
      <w:r>
        <w:rPr>
          <w:rFonts w:ascii="Times New Roman" w:cs="Times New Roman" w:eastAsia="Times New Roman" w:hAnsi="Times New Roman"/>
          <w:sz w:val="15"/>
          <w:szCs w:val="15"/>
          <w:color w:val="auto"/>
        </w:rPr>
        <w:t>President and Chief Executive Officer</w:t>
      </w:r>
    </w:p>
    <w:p>
      <w:pPr>
        <w:sectPr>
          <w:pgSz w:w="11900" w:h="16838" w:orient="portrait"/>
          <w:cols w:equalWidth="0" w:num="1">
            <w:col w:w="11260"/>
          </w:cols>
          <w:pgMar w:left="320" w:top="781" w:right="319" w:bottom="1440" w:gutter="0" w:footer="0" w:header="0"/>
        </w:sectPr>
      </w:pPr>
    </w:p>
    <w:bookmarkStart w:id="275" w:name="page276"/>
    <w:bookmarkEnd w:id="275"/>
    <w:p>
      <w:pPr>
        <w:jc w:val="right"/>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19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5"/>
          <w:szCs w:val="15"/>
          <w:b w:val="1"/>
          <w:bCs w:val="1"/>
          <w:color w:val="auto"/>
        </w:rPr>
        <w:t>CERTIFICATION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Charles H.R. Bracken, certify that:</w:t>
      </w:r>
    </w:p>
    <w:p>
      <w:pPr>
        <w:spacing w:after="0" w:line="82" w:lineRule="exact"/>
        <w:rPr>
          <w:sz w:val="20"/>
          <w:szCs w:val="20"/>
          <w:color w:val="auto"/>
        </w:rPr>
      </w:pPr>
    </w:p>
    <w:p>
      <w:pPr>
        <w:ind w:left="540" w:hanging="270"/>
        <w:spacing w:after="0"/>
        <w:tabs>
          <w:tab w:leader="none" w:pos="5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of Liberty Global Ltd.;</w:t>
      </w:r>
    </w:p>
    <w:p>
      <w:pPr>
        <w:spacing w:after="0" w:line="93" w:lineRule="exact"/>
        <w:rPr>
          <w:rFonts w:ascii="Times New Roman" w:cs="Times New Roman" w:eastAsia="Times New Roman" w:hAnsi="Times New Roman"/>
          <w:sz w:val="15"/>
          <w:szCs w:val="15"/>
          <w:color w:val="auto"/>
        </w:rPr>
      </w:pPr>
    </w:p>
    <w:p>
      <w:pPr>
        <w:ind w:left="540" w:hanging="270"/>
        <w:spacing w:after="0" w:line="295" w:lineRule="auto"/>
        <w:tabs>
          <w:tab w:leader="none" w:pos="5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7" w:lineRule="exact"/>
        <w:rPr>
          <w:rFonts w:ascii="Times New Roman" w:cs="Times New Roman" w:eastAsia="Times New Roman" w:hAnsi="Times New Roman"/>
          <w:sz w:val="15"/>
          <w:szCs w:val="15"/>
          <w:color w:val="auto"/>
        </w:rPr>
      </w:pPr>
    </w:p>
    <w:p>
      <w:pPr>
        <w:ind w:left="540" w:right="20" w:hanging="270"/>
        <w:spacing w:after="0" w:line="295" w:lineRule="auto"/>
        <w:tabs>
          <w:tab w:leader="none" w:pos="5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Times New Roman" w:cs="Times New Roman" w:eastAsia="Times New Roman" w:hAnsi="Times New Roman"/>
          <w:sz w:val="15"/>
          <w:szCs w:val="15"/>
          <w:color w:val="auto"/>
        </w:rPr>
      </w:pPr>
    </w:p>
    <w:p>
      <w:pPr>
        <w:ind w:left="540" w:right="20" w:hanging="270"/>
        <w:spacing w:after="0" w:line="295" w:lineRule="auto"/>
        <w:tabs>
          <w:tab w:leader="none" w:pos="5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7" w:lineRule="exact"/>
        <w:rPr>
          <w:rFonts w:ascii="Times New Roman" w:cs="Times New Roman" w:eastAsia="Times New Roman" w:hAnsi="Times New Roman"/>
          <w:sz w:val="15"/>
          <w:szCs w:val="15"/>
          <w:color w:val="auto"/>
        </w:rPr>
      </w:pPr>
    </w:p>
    <w:p>
      <w:pPr>
        <w:jc w:val="both"/>
        <w:ind w:left="1100" w:hanging="274"/>
        <w:spacing w:after="0" w:line="276" w:lineRule="auto"/>
        <w:tabs>
          <w:tab w:leader="none" w:pos="1092"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41" w:lineRule="exact"/>
        <w:rPr>
          <w:rFonts w:ascii="Times New Roman" w:cs="Times New Roman" w:eastAsia="Times New Roman" w:hAnsi="Times New Roman"/>
          <w:sz w:val="15"/>
          <w:szCs w:val="15"/>
          <w:color w:val="auto"/>
        </w:rPr>
      </w:pPr>
    </w:p>
    <w:p>
      <w:pPr>
        <w:jc w:val="both"/>
        <w:ind w:left="1100" w:hanging="274"/>
        <w:spacing w:after="0" w:line="276" w:lineRule="auto"/>
        <w:tabs>
          <w:tab w:leader="none" w:pos="1090"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 w:lineRule="exact"/>
        <w:rPr>
          <w:rFonts w:ascii="Times New Roman" w:cs="Times New Roman" w:eastAsia="Times New Roman" w:hAnsi="Times New Roman"/>
          <w:sz w:val="15"/>
          <w:szCs w:val="15"/>
          <w:color w:val="auto"/>
        </w:rPr>
      </w:pPr>
    </w:p>
    <w:p>
      <w:pPr>
        <w:ind w:left="1100" w:hanging="274"/>
        <w:spacing w:after="0" w:line="295" w:lineRule="auto"/>
        <w:tabs>
          <w:tab w:leader="none" w:pos="1092"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7" w:lineRule="exact"/>
        <w:rPr>
          <w:rFonts w:ascii="Times New Roman" w:cs="Times New Roman" w:eastAsia="Times New Roman" w:hAnsi="Times New Roman"/>
          <w:sz w:val="15"/>
          <w:szCs w:val="15"/>
          <w:color w:val="auto"/>
        </w:rPr>
      </w:pPr>
    </w:p>
    <w:p>
      <w:pPr>
        <w:jc w:val="both"/>
        <w:ind w:left="1100" w:hanging="274"/>
        <w:spacing w:after="0" w:line="276" w:lineRule="auto"/>
        <w:tabs>
          <w:tab w:leader="none" w:pos="1090"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5"/>
          <w:szCs w:val="15"/>
          <w:color w:val="auto"/>
        </w:rPr>
      </w:pPr>
    </w:p>
    <w:p>
      <w:pPr>
        <w:ind w:left="540" w:hanging="270"/>
        <w:spacing w:after="0" w:line="295" w:lineRule="auto"/>
        <w:tabs>
          <w:tab w:leader="none" w:pos="5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5" w:lineRule="exact"/>
        <w:rPr>
          <w:rFonts w:ascii="Times New Roman" w:cs="Times New Roman" w:eastAsia="Times New Roman" w:hAnsi="Times New Roman"/>
          <w:sz w:val="15"/>
          <w:szCs w:val="15"/>
          <w:color w:val="auto"/>
        </w:rPr>
      </w:pPr>
    </w:p>
    <w:p>
      <w:pPr>
        <w:ind w:left="1100" w:hanging="274"/>
        <w:spacing w:after="0" w:line="295" w:lineRule="auto"/>
        <w:tabs>
          <w:tab w:leader="none" w:pos="1092"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Times New Roman" w:cs="Times New Roman" w:eastAsia="Times New Roman" w:hAnsi="Times New Roman"/>
          <w:sz w:val="15"/>
          <w:szCs w:val="15"/>
          <w:color w:val="auto"/>
        </w:rPr>
      </w:pPr>
    </w:p>
    <w:p>
      <w:pPr>
        <w:ind w:left="1100" w:right="20" w:hanging="274"/>
        <w:spacing w:after="0" w:line="267" w:lineRule="auto"/>
        <w:tabs>
          <w:tab w:leader="none" w:pos="1090"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October 30, 2025</w:t>
      </w:r>
    </w:p>
    <w:p>
      <w:pPr>
        <w:spacing w:after="0" w:line="16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17145</wp:posOffset>
            </wp:positionV>
            <wp:extent cx="2352040"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352040" cy="7620"/>
                    </a:xfrm>
                    <a:prstGeom prst="rect">
                      <a:avLst/>
                    </a:prstGeom>
                    <a:noFill/>
                  </pic:spPr>
                </pic:pic>
              </a:graphicData>
            </a:graphic>
          </wp:anchor>
        </w:drawing>
      </w:r>
    </w:p>
    <w:p>
      <w:pPr>
        <w:spacing w:after="0" w:line="3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5"/>
          <w:szCs w:val="15"/>
          <w:color w:val="auto"/>
        </w:rPr>
        <w:t>Charles H.R. Bracken</w:t>
      </w:r>
    </w:p>
    <w:p>
      <w:pPr>
        <w:spacing w:after="0" w:line="5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5"/>
          <w:szCs w:val="15"/>
          <w:color w:val="auto"/>
        </w:rPr>
        <w:t>Executive Vice President and Chief Financial Officer</w:t>
      </w:r>
    </w:p>
    <w:p>
      <w:pPr>
        <w:sectPr>
          <w:pgSz w:w="11900" w:h="16838" w:orient="portrait"/>
          <w:cols w:equalWidth="0" w:num="1">
            <w:col w:w="11260"/>
          </w:cols>
          <w:pgMar w:left="320" w:top="781" w:right="319" w:bottom="1440" w:gutter="0" w:footer="0" w:header="0"/>
        </w:sectPr>
      </w:pPr>
    </w:p>
    <w:bookmarkStart w:id="276" w:name="page277"/>
    <w:bookmarkEnd w:id="276"/>
    <w:p>
      <w:pPr>
        <w:jc w:val="right"/>
        <w:spacing w:after="0"/>
        <w:rPr>
          <w:sz w:val="20"/>
          <w:szCs w:val="20"/>
          <w:color w:val="auto"/>
        </w:rPr>
      </w:pPr>
      <w:r>
        <w:rPr>
          <w:rFonts w:ascii="Times New Roman" w:cs="Times New Roman" w:eastAsia="Times New Roman" w:hAnsi="Times New Roman"/>
          <w:sz w:val="15"/>
          <w:szCs w:val="15"/>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906 of the Sarbanes-Oxley Act of 2002</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(Subsections (a) and (b) of Section 1350, Chapter 63 of Title 18, United States Code)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Pursuant to section 906 of the Sarbanes-Oxley Act of 2002 (subsections (a) and (b) of section 1350, chapter 63 of title 18, United States Code), each of the undersigned officers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Liberty Global Ltd. (the "Company"), does hereby certify, to such officer's knowledge, that:</w:t>
      </w:r>
    </w:p>
    <w:p>
      <w:pPr>
        <w:spacing w:after="0" w:line="20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The Quarterly Report on Form 10-Q for the period ended September 30, 2025 (the "Form 10-Q") of the Company fully complies with the requirements of section 13(a) or 15(d) of the Securities Exchange Act of 1934 and information contained in the Form 10-Q fairly presents, in all material respects, the financial condition and results of operations of the Company as of September 30, 2025 and December 31, 2024, and for the three and nine months ended September 30, 2025 and 2024.</w:t>
      </w:r>
    </w:p>
    <w:p>
      <w:pPr>
        <w:spacing w:after="0" w:line="389" w:lineRule="exact"/>
        <w:rPr>
          <w:sz w:val="20"/>
          <w:szCs w:val="20"/>
          <w:color w:val="auto"/>
        </w:rPr>
      </w:pPr>
    </w:p>
    <w:p>
      <w:pPr>
        <w:ind w:left="2440"/>
        <w:spacing w:after="0"/>
        <w:tabs>
          <w:tab w:leader="none" w:pos="6120" w:val="left"/>
        </w:tabs>
        <w:rPr>
          <w:sz w:val="20"/>
          <w:szCs w:val="20"/>
          <w:color w:val="auto"/>
        </w:rPr>
      </w:pPr>
      <w:r>
        <w:rPr>
          <w:rFonts w:ascii="Times New Roman" w:cs="Times New Roman" w:eastAsia="Times New Roman" w:hAnsi="Times New Roman"/>
          <w:sz w:val="15"/>
          <w:szCs w:val="15"/>
          <w:color w:val="auto"/>
        </w:rPr>
        <w:t>Dated: October 30, 2025</w:t>
      </w:r>
      <w:r>
        <w:rPr>
          <w:sz w:val="20"/>
          <w:szCs w:val="20"/>
          <w:color w:val="auto"/>
        </w:rPr>
        <w:tab/>
      </w:r>
      <w:r>
        <w:rPr>
          <w:rFonts w:ascii="Times New Roman" w:cs="Times New Roman" w:eastAsia="Times New Roman" w:hAnsi="Times New Roman"/>
          <w:sz w:val="15"/>
          <w:szCs w:val="15"/>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17145</wp:posOffset>
            </wp:positionV>
            <wp:extent cx="2653665"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653665" cy="7620"/>
                    </a:xfrm>
                    <a:prstGeom prst="rect">
                      <a:avLst/>
                    </a:prstGeom>
                    <a:noFill/>
                  </pic:spPr>
                </pic:pic>
              </a:graphicData>
            </a:graphic>
          </wp:anchor>
        </w:drawing>
      </w:r>
    </w:p>
    <w:p>
      <w:pPr>
        <w:spacing w:after="0" w:line="39"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5"/>
          <w:szCs w:val="15"/>
          <w:color w:val="auto"/>
        </w:rPr>
        <w:t>Michael T. Fries</w:t>
      </w:r>
    </w:p>
    <w:p>
      <w:pPr>
        <w:spacing w:after="0" w:line="59"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5"/>
          <w:szCs w:val="15"/>
          <w:color w:val="auto"/>
        </w:rPr>
        <w:t>President and Chief Executive Officer</w:t>
      </w:r>
    </w:p>
    <w:p>
      <w:pPr>
        <w:spacing w:after="0" w:line="200" w:lineRule="exact"/>
        <w:rPr>
          <w:sz w:val="20"/>
          <w:szCs w:val="20"/>
          <w:color w:val="auto"/>
        </w:rPr>
      </w:pPr>
    </w:p>
    <w:p>
      <w:pPr>
        <w:spacing w:after="0" w:line="322" w:lineRule="exact"/>
        <w:rPr>
          <w:sz w:val="20"/>
          <w:szCs w:val="20"/>
          <w:color w:val="auto"/>
        </w:rPr>
      </w:pPr>
    </w:p>
    <w:p>
      <w:pPr>
        <w:ind w:left="2440"/>
        <w:spacing w:after="0"/>
        <w:tabs>
          <w:tab w:leader="none" w:pos="5960" w:val="left"/>
        </w:tabs>
        <w:rPr>
          <w:sz w:val="20"/>
          <w:szCs w:val="20"/>
          <w:color w:val="auto"/>
        </w:rPr>
      </w:pPr>
      <w:r>
        <w:rPr>
          <w:rFonts w:ascii="Times New Roman" w:cs="Times New Roman" w:eastAsia="Times New Roman" w:hAnsi="Times New Roman"/>
          <w:sz w:val="15"/>
          <w:szCs w:val="15"/>
          <w:color w:val="auto"/>
        </w:rPr>
        <w:t>Dated: October 30, 2025</w:t>
      </w:r>
      <w:r>
        <w:rPr>
          <w:sz w:val="20"/>
          <w:szCs w:val="20"/>
          <w:color w:val="auto"/>
        </w:rPr>
        <w:tab/>
      </w:r>
      <w:r>
        <w:rPr>
          <w:rFonts w:ascii="Times New Roman" w:cs="Times New Roman" w:eastAsia="Times New Roman" w:hAnsi="Times New Roman"/>
          <w:sz w:val="15"/>
          <w:szCs w:val="15"/>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17145</wp:posOffset>
            </wp:positionV>
            <wp:extent cx="2653665"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653665" cy="7620"/>
                    </a:xfrm>
                    <a:prstGeom prst="rect">
                      <a:avLst/>
                    </a:prstGeom>
                    <a:noFill/>
                  </pic:spPr>
                </pic:pic>
              </a:graphicData>
            </a:graphic>
          </wp:anchor>
        </w:drawing>
      </w:r>
    </w:p>
    <w:p>
      <w:pPr>
        <w:spacing w:after="0" w:line="39"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5"/>
          <w:szCs w:val="15"/>
          <w:color w:val="auto"/>
        </w:rPr>
        <w:t>Charles H.R. Bracken</w:t>
      </w:r>
    </w:p>
    <w:p>
      <w:pPr>
        <w:spacing w:after="0" w:line="59"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5"/>
          <w:szCs w:val="15"/>
          <w:color w:val="auto"/>
        </w:rPr>
        <w:t>Executive Vice President and Chief Financial Officer</w:t>
      </w:r>
    </w:p>
    <w:p>
      <w:pPr>
        <w:spacing w:after="0" w:line="30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260"/>
      </w:cols>
      <w:pgMar w:left="320" w:top="1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1)"/>
      <w:numFmt w:val="decimal"/>
      <w:start w:val="1"/>
    </w:lvl>
  </w:abstractNum>
  <w:abstractNum w:abstractNumId="3">
    <w:nsid w:val="2CD89A32"/>
    <w:multiLevelType w:val="hybridMultilevel"/>
    <w:lvl w:ilvl="0">
      <w:lvlJc w:val="left"/>
      <w:lvlText w:val="(%1)"/>
      <w:numFmt w:val="decimal"/>
      <w:start w:val="2"/>
    </w:lvl>
  </w:abstractNum>
  <w:abstractNum w:abstractNumId="4">
    <w:nsid w:val="57E4CCAF"/>
    <w:multiLevelType w:val="hybridMultilevel"/>
    <w:lvl w:ilvl="0">
      <w:lvlJc w:val="left"/>
      <w:lvlText w:val="(%1)"/>
      <w:numFmt w:val="decimal"/>
      <w:start w:val="3"/>
    </w:lvl>
  </w:abstractNum>
  <w:abstractNum w:abstractNumId="5">
    <w:nsid w:val="7A6D8D3C"/>
    <w:multiLevelType w:val="hybridMultilevel"/>
    <w:lvl w:ilvl="0">
      <w:lvlJc w:val="left"/>
      <w:lvlText w:val="(%1)"/>
      <w:numFmt w:val="decimal"/>
      <w:start w:val="4"/>
    </w:lvl>
  </w:abstractNum>
  <w:abstractNum w:abstractNumId="6">
    <w:nsid w:val="4B588F54"/>
    <w:multiLevelType w:val="hybridMultilevel"/>
    <w:lvl w:ilvl="0">
      <w:lvlJc w:val="left"/>
      <w:lvlText w:val="(%1)"/>
      <w:numFmt w:val="lowerLetter"/>
      <w:start w:val="1"/>
    </w:lvl>
  </w:abstractNum>
  <w:abstractNum w:abstractNumId="7">
    <w:nsid w:val="542289EC"/>
    <w:multiLevelType w:val="hybridMultilevel"/>
    <w:lvl w:ilvl="0">
      <w:lvlJc w:val="left"/>
      <w:lvlText w:val="(%1)"/>
      <w:numFmt w:val="lowerLetter"/>
      <w:start w:val="1"/>
    </w:lvl>
  </w:abstractNum>
  <w:abstractNum w:abstractNumId="8">
    <w:nsid w:val="6DE91B18"/>
    <w:multiLevelType w:val="hybridMultilevel"/>
    <w:lvl w:ilvl="0">
      <w:lvlJc w:val="left"/>
      <w:lvlText w:val="(%1)"/>
      <w:numFmt w:val="lowerLetter"/>
      <w:start w:val="1"/>
    </w:lvl>
  </w:abstractNum>
  <w:abstractNum w:abstractNumId="9">
    <w:nsid w:val="38437FDB"/>
    <w:multiLevelType w:val="hybridMultilevel"/>
    <w:lvl w:ilvl="0">
      <w:lvlJc w:val="left"/>
      <w:lvlText w:val="(%1)"/>
      <w:numFmt w:val="lowerLetter"/>
      <w:start w:val="3"/>
    </w:lvl>
  </w:abstractNum>
  <w:abstractNum w:abstractNumId="10">
    <w:nsid w:val="7644A45C"/>
    <w:multiLevelType w:val="hybridMultilevel"/>
    <w:lvl w:ilvl="0">
      <w:lvlJc w:val="left"/>
      <w:lvlText w:val="(%1)"/>
      <w:numFmt w:val="lowerLetter"/>
      <w:start w:val="12"/>
    </w:lvl>
  </w:abstractNum>
  <w:abstractNum w:abstractNumId="11">
    <w:nsid w:val="32FFF902"/>
    <w:multiLevelType w:val="hybridMultilevel"/>
    <w:lvl w:ilvl="0">
      <w:lvlJc w:val="left"/>
      <w:lvlText w:val="(%1)"/>
      <w:numFmt w:val="lowerLetter"/>
      <w:start w:val="1"/>
    </w:lvl>
  </w:abstractNum>
  <w:abstractNum w:abstractNumId="12">
    <w:nsid w:val="684A481A"/>
    <w:multiLevelType w:val="hybridMultilevel"/>
    <w:lvl w:ilvl="0">
      <w:lvlJc w:val="left"/>
      <w:lvlText w:val="(%1)"/>
      <w:numFmt w:val="lowerLetter"/>
      <w:start w:val="1"/>
    </w:lvl>
  </w:abstractNum>
  <w:abstractNum w:abstractNumId="13">
    <w:nsid w:val="579478FE"/>
    <w:multiLevelType w:val="hybridMultilevel"/>
    <w:lvl w:ilvl="0">
      <w:lvlJc w:val="left"/>
      <w:lvlText w:val="(%1)"/>
      <w:numFmt w:val="lowerLetter"/>
      <w:start w:val="1"/>
    </w:lvl>
  </w:abstractNum>
  <w:abstractNum w:abstractNumId="14">
    <w:nsid w:val="749ABB43"/>
    <w:multiLevelType w:val="hybridMultilevel"/>
    <w:lvl w:ilvl="0">
      <w:lvlJc w:val="left"/>
      <w:lvlText w:val="(%1)"/>
      <w:numFmt w:val="decimal"/>
      <w:start w:val="1"/>
    </w:lvl>
  </w:abstractNum>
  <w:abstractNum w:abstractNumId="15">
    <w:nsid w:val="3DC240FB"/>
    <w:multiLevelType w:val="hybridMultilevel"/>
    <w:lvl w:ilvl="0">
      <w:lvlJc w:val="left"/>
      <w:lvlText w:val="(%1)"/>
      <w:numFmt w:val="decimal"/>
      <w:start w:val="6"/>
    </w:lvl>
  </w:abstractNum>
  <w:abstractNum w:abstractNumId="16">
    <w:nsid w:val="1BA026FA"/>
    <w:multiLevelType w:val="hybridMultilevel"/>
    <w:lvl w:ilvl="0">
      <w:lvlJc w:val="left"/>
      <w:lvlText w:val="(%1)"/>
      <w:numFmt w:val="lowerLetter"/>
      <w:start w:val="1"/>
    </w:lvl>
  </w:abstractNum>
  <w:abstractNum w:abstractNumId="17">
    <w:nsid w:val="79A1DEAA"/>
    <w:multiLevelType w:val="hybridMultilevel"/>
    <w:lvl w:ilvl="0">
      <w:lvlJc w:val="left"/>
      <w:lvlText w:val="(%1)"/>
      <w:numFmt w:val="lowerLetter"/>
      <w:start w:val="3"/>
    </w:lvl>
  </w:abstractNum>
  <w:abstractNum w:abstractNumId="18">
    <w:nsid w:val="75C6C33A"/>
    <w:multiLevelType w:val="hybridMultilevel"/>
    <w:lvl w:ilvl="0">
      <w:lvlJc w:val="left"/>
      <w:lvlText w:val="(%1)"/>
      <w:numFmt w:val="lowerLetter"/>
      <w:start w:val="1"/>
    </w:lvl>
  </w:abstractNum>
  <w:abstractNum w:abstractNumId="19">
    <w:nsid w:val="12E685FB"/>
    <w:multiLevelType w:val="hybridMultilevel"/>
    <w:lvl w:ilvl="0">
      <w:lvlJc w:val="left"/>
      <w:lvlText w:val="(%1)"/>
      <w:numFmt w:val="lowerLetter"/>
      <w:start w:val="1"/>
    </w:lvl>
  </w:abstractNum>
  <w:abstractNum w:abstractNumId="20">
    <w:nsid w:val="70C6A529"/>
    <w:multiLevelType w:val="hybridMultilevel"/>
    <w:lvl w:ilvl="0">
      <w:lvlJc w:val="left"/>
      <w:lvlText w:val="(%1)"/>
      <w:numFmt w:val="lowerLetter"/>
      <w:start w:val="1"/>
    </w:lvl>
  </w:abstractNum>
  <w:abstractNum w:abstractNumId="21">
    <w:nsid w:val="520EEDD1"/>
    <w:multiLevelType w:val="hybridMultilevel"/>
    <w:lvl w:ilvl="0">
      <w:lvlJc w:val="left"/>
      <w:lvlText w:val="(%1)"/>
      <w:numFmt w:val="lowerLetter"/>
      <w:start w:val="1"/>
    </w:lvl>
  </w:abstractNum>
  <w:abstractNum w:abstractNumId="22">
    <w:nsid w:val="374A3FE6"/>
    <w:multiLevelType w:val="hybridMultilevel"/>
    <w:lvl w:ilvl="0">
      <w:lvlJc w:val="left"/>
      <w:lvlText w:val="(%1)"/>
      <w:numFmt w:val="decimal"/>
      <w:start w:val="7"/>
    </w:lvl>
  </w:abstractNum>
  <w:abstractNum w:abstractNumId="23">
    <w:nsid w:val="4F4EF005"/>
    <w:multiLevelType w:val="hybridMultilevel"/>
    <w:lvl w:ilvl="0">
      <w:lvlJc w:val="left"/>
      <w:lvlText w:val="(%1)"/>
      <w:numFmt w:val="lowerLetter"/>
      <w:start w:val="1"/>
    </w:lvl>
  </w:abstractNum>
  <w:abstractNum w:abstractNumId="24">
    <w:nsid w:val="23F9C13C"/>
    <w:multiLevelType w:val="hybridMultilevel"/>
    <w:lvl w:ilvl="0">
      <w:lvlJc w:val="left"/>
      <w:lvlText w:val="(%1)"/>
      <w:numFmt w:val="lowerLetter"/>
      <w:start w:val="2"/>
    </w:lvl>
  </w:abstractNum>
  <w:abstractNum w:abstractNumId="25">
    <w:nsid w:val="649BB77C"/>
    <w:multiLevelType w:val="hybridMultilevel"/>
    <w:lvl w:ilvl="0">
      <w:lvlJc w:val="left"/>
      <w:lvlText w:val="(%1)"/>
      <w:numFmt w:val="lowerLetter"/>
      <w:start w:val="1"/>
    </w:lvl>
  </w:abstractNum>
  <w:abstractNum w:abstractNumId="26">
    <w:nsid w:val="275AC794"/>
    <w:multiLevelType w:val="hybridMultilevel"/>
    <w:lvl w:ilvl="0">
      <w:lvlJc w:val="left"/>
      <w:lvlText w:val="(%1)"/>
      <w:numFmt w:val="decimal"/>
      <w:start w:val="9"/>
    </w:lvl>
  </w:abstractNum>
  <w:abstractNum w:abstractNumId="27">
    <w:nsid w:val="39386575"/>
    <w:multiLevelType w:val="hybridMultilevel"/>
    <w:lvl w:ilvl="0">
      <w:lvlJc w:val="left"/>
      <w:lvlText w:val="(%1)"/>
      <w:numFmt w:val="lowerLetter"/>
      <w:start w:val="1"/>
    </w:lvl>
  </w:abstractNum>
  <w:abstractNum w:abstractNumId="28">
    <w:nsid w:val="1CF10FD8"/>
    <w:multiLevelType w:val="hybridMultilevel"/>
    <w:lvl w:ilvl="0">
      <w:lvlJc w:val="left"/>
      <w:lvlText w:val="(%1)"/>
      <w:numFmt w:val="lowerLetter"/>
      <w:start w:val="3"/>
    </w:lvl>
  </w:abstractNum>
  <w:abstractNum w:abstractNumId="29">
    <w:nsid w:val="180115BE"/>
    <w:multiLevelType w:val="hybridMultilevel"/>
    <w:lvl w:ilvl="0">
      <w:lvlJc w:val="left"/>
      <w:lvlText w:val="(%1)"/>
      <w:numFmt w:val="lowerLetter"/>
      <w:start w:val="8"/>
    </w:lvl>
  </w:abstractNum>
  <w:abstractNum w:abstractNumId="30">
    <w:nsid w:val="235BA861"/>
    <w:multiLevelType w:val="hybridMultilevel"/>
    <w:lvl w:ilvl="0">
      <w:lvlJc w:val="left"/>
      <w:lvlText w:val="(%1)"/>
      <w:numFmt w:val="lowerLetter"/>
      <w:start w:val="1"/>
    </w:lvl>
  </w:abstractNum>
  <w:abstractNum w:abstractNumId="31">
    <w:nsid w:val="47398C89"/>
    <w:multiLevelType w:val="hybridMultilevel"/>
    <w:lvl w:ilvl="0">
      <w:lvlJc w:val="left"/>
      <w:lvlText w:val="(%1)"/>
      <w:numFmt w:val="decimal"/>
      <w:start w:val="10"/>
    </w:lvl>
  </w:abstractNum>
  <w:abstractNum w:abstractNumId="32">
    <w:nsid w:val="354FE9F9"/>
    <w:multiLevelType w:val="hybridMultilevel"/>
    <w:lvl w:ilvl="0">
      <w:lvlJc w:val="left"/>
      <w:lvlText w:val="(%1)"/>
      <w:numFmt w:val="lowerLetter"/>
      <w:start w:val="1"/>
    </w:lvl>
  </w:abstractNum>
  <w:abstractNum w:abstractNumId="33">
    <w:nsid w:val="15B5AF5C"/>
    <w:multiLevelType w:val="hybridMultilevel"/>
    <w:lvl w:ilvl="0">
      <w:lvlJc w:val="left"/>
      <w:lvlText w:val="(%1)"/>
      <w:numFmt w:val="lowerLetter"/>
      <w:start w:val="3"/>
    </w:lvl>
  </w:abstractNum>
  <w:abstractNum w:abstractNumId="34">
    <w:nsid w:val="741226BB"/>
    <w:multiLevelType w:val="hybridMultilevel"/>
    <w:lvl w:ilvl="0">
      <w:lvlJc w:val="left"/>
      <w:lvlText w:val="(%1)"/>
      <w:numFmt w:val="lowerLetter"/>
      <w:start w:val="1"/>
    </w:lvl>
  </w:abstractNum>
  <w:abstractNum w:abstractNumId="35">
    <w:nsid w:val="D34B6A8"/>
    <w:multiLevelType w:val="hybridMultilevel"/>
    <w:lvl w:ilvl="0">
      <w:lvlJc w:val="left"/>
      <w:lvlText w:val="(%1)"/>
      <w:numFmt w:val="lowerLetter"/>
      <w:start w:val="1"/>
    </w:lvl>
  </w:abstractNum>
  <w:abstractNum w:abstractNumId="36">
    <w:nsid w:val="10233C99"/>
    <w:multiLevelType w:val="hybridMultilevel"/>
    <w:lvl w:ilvl="0">
      <w:lvlJc w:val="left"/>
      <w:lvlText w:val="(%1)"/>
      <w:numFmt w:val="decimal"/>
      <w:start w:val="11"/>
    </w:lvl>
  </w:abstractNum>
  <w:abstractNum w:abstractNumId="37">
    <w:nsid w:val="3F6AB60F"/>
    <w:multiLevelType w:val="hybridMultilevel"/>
    <w:lvl w:ilvl="0">
      <w:lvlJc w:val="left"/>
      <w:lvlText w:val="(%1)"/>
      <w:numFmt w:val="decimal"/>
      <w:start w:val="12"/>
    </w:lvl>
  </w:abstractNum>
  <w:abstractNum w:abstractNumId="38">
    <w:nsid w:val="61574095"/>
    <w:multiLevelType w:val="hybridMultilevel"/>
    <w:lvl w:ilvl="0">
      <w:lvlJc w:val="left"/>
      <w:lvlText w:val="(%1)"/>
      <w:numFmt w:val="decimal"/>
      <w:start w:val="13"/>
    </w:lvl>
  </w:abstractNum>
  <w:abstractNum w:abstractNumId="39">
    <w:nsid w:val="7E0C57B1"/>
    <w:multiLevelType w:val="hybridMultilevel"/>
    <w:lvl w:ilvl="0">
      <w:lvlJc w:val="left"/>
      <w:lvlText w:val="(%1)"/>
      <w:numFmt w:val="lowerLetter"/>
      <w:start w:val="1"/>
    </w:lvl>
  </w:abstractNum>
  <w:abstractNum w:abstractNumId="40">
    <w:nsid w:val="77AE35EB"/>
    <w:multiLevelType w:val="hybridMultilevel"/>
    <w:lvl w:ilvl="0">
      <w:lvlJc w:val="left"/>
      <w:lvlText w:val="(%1)"/>
      <w:numFmt w:val="lowerLetter"/>
      <w:start w:val="1"/>
    </w:lvl>
  </w:abstractNum>
  <w:abstractNum w:abstractNumId="41">
    <w:nsid w:val="579BE4F1"/>
    <w:multiLevelType w:val="hybridMultilevel"/>
    <w:lvl w:ilvl="0">
      <w:lvlJc w:val="left"/>
      <w:lvlText w:val="(%1)"/>
      <w:numFmt w:val="lowerLetter"/>
      <w:start w:val="1"/>
    </w:lvl>
  </w:abstractNum>
  <w:abstractNum w:abstractNumId="42">
    <w:nsid w:val="310C50B3"/>
    <w:multiLevelType w:val="hybridMultilevel"/>
    <w:lvl w:ilvl="0">
      <w:lvlJc w:val="left"/>
      <w:lvlText w:val="(%1)"/>
      <w:numFmt w:val="decimal"/>
      <w:start w:val="14"/>
    </w:lvl>
  </w:abstractNum>
  <w:abstractNum w:abstractNumId="43">
    <w:nsid w:val="5FF87E05"/>
    <w:multiLevelType w:val="hybridMultilevel"/>
    <w:lvl w:ilvl="0">
      <w:lvlJc w:val="left"/>
      <w:lvlText w:val="(%1)"/>
      <w:numFmt w:val="lowerLetter"/>
      <w:start w:val="1"/>
    </w:lvl>
  </w:abstractNum>
  <w:abstractNum w:abstractNumId="44">
    <w:nsid w:val="2F305DEF"/>
    <w:multiLevelType w:val="hybridMultilevel"/>
    <w:lvl w:ilvl="0">
      <w:lvlJc w:val="left"/>
      <w:lvlText w:val="(%1)"/>
      <w:numFmt w:val="decimal"/>
      <w:start w:val="15"/>
    </w:lvl>
  </w:abstractNum>
  <w:abstractNum w:abstractNumId="45">
    <w:nsid w:val="25A70BF7"/>
    <w:multiLevelType w:val="hybridMultilevel"/>
    <w:lvl w:ilvl="0">
      <w:lvlJc w:val="left"/>
      <w:lvlText w:val="(%1)"/>
      <w:numFmt w:val="decimal"/>
      <w:start w:val="16"/>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1)"/>
      <w:numFmt w:val="lowerRoman"/>
      <w:start w:val="1"/>
    </w:lvl>
  </w:abstractNum>
  <w:abstractNum w:abstractNumId="49">
    <w:nsid w:val="1381823A"/>
    <w:multiLevelType w:val="hybridMultilevel"/>
    <w:lvl w:ilvl="0">
      <w:lvlJc w:val="left"/>
      <w:lvlText w:val="(%1)"/>
      <w:numFmt w:val="lowerLetter"/>
      <w:start w:val="2"/>
    </w:lvl>
  </w:abstractNum>
  <w:abstractNum w:abstractNumId="50">
    <w:nsid w:val="5DB70AE5"/>
    <w:multiLevelType w:val="hybridMultilevel"/>
    <w:lvl w:ilvl="0">
      <w:lvlJc w:val="left"/>
      <w:lvlText w:val="(%1)"/>
      <w:numFmt w:val="lowerLetter"/>
      <w:start w:val="1"/>
    </w:lvl>
  </w:abstractNum>
  <w:abstractNum w:abstractNumId="51">
    <w:nsid w:val="100F8FCA"/>
    <w:multiLevelType w:val="hybridMultilevel"/>
    <w:lvl w:ilvl="0">
      <w:lvlJc w:val="left"/>
      <w:lvlText w:val="(%1)"/>
      <w:numFmt w:val="lowerLetter"/>
      <w:start w:val="1"/>
    </w:lvl>
  </w:abstractNum>
  <w:abstractNum w:abstractNumId="52">
    <w:nsid w:val="6590700B"/>
    <w:multiLevelType w:val="hybridMultilevel"/>
    <w:lvl w:ilvl="0">
      <w:lvlJc w:val="left"/>
      <w:lvlText w:val="(%1)"/>
      <w:numFmt w:val="lowerLetter"/>
      <w:start w:val="1"/>
    </w:lvl>
  </w:abstractNum>
  <w:abstractNum w:abstractNumId="53">
    <w:nsid w:val="15014ACB"/>
    <w:multiLevelType w:val="hybridMultilevel"/>
    <w:lvl w:ilvl="0">
      <w:lvlJc w:val="left"/>
      <w:lvlText w:val="(%1)"/>
      <w:numFmt w:val="lowerLetter"/>
      <w:start w:val="5"/>
    </w:lvl>
  </w:abstractNum>
  <w:abstractNum w:abstractNumId="54">
    <w:nsid w:val="5F5E7FD0"/>
    <w:multiLevelType w:val="hybridMultilevel"/>
    <w:lvl w:ilvl="0">
      <w:lvlJc w:val="left"/>
      <w:lvlText w:val="•"/>
      <w:numFmt w:val="bullet"/>
      <w:start w:val="1"/>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
      <w:numFmt w:val="bullet"/>
      <w:start w:val="1"/>
    </w:lvl>
  </w:abstractNum>
  <w:abstractNum w:abstractNumId="58">
    <w:nsid w:val="42C296BD"/>
    <w:multiLevelType w:val="hybridMultilevel"/>
    <w:lvl w:ilvl="0">
      <w:lvlJc w:val="left"/>
      <w:lvlText w:val="(%1)"/>
      <w:numFmt w:val="lowerLetter"/>
      <w:start w:val="1"/>
    </w:lvl>
  </w:abstractNum>
  <w:abstractNum w:abstractNumId="59">
    <w:nsid w:val="168E121F"/>
    <w:multiLevelType w:val="hybridMultilevel"/>
    <w:lvl w:ilvl="0">
      <w:lvlJc w:val="left"/>
      <w:lvlText w:val="(%1)"/>
      <w:numFmt w:val="lowerLetter"/>
      <w:start w:val="1"/>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
      <w:numFmt w:val="bullet"/>
      <w:start w:val="1"/>
    </w:lvl>
  </w:abstractNum>
  <w:abstractNum w:abstractNumId="63">
    <w:nsid w:val="540A471C"/>
    <w:multiLevelType w:val="hybridMultilevel"/>
    <w:lvl w:ilvl="0">
      <w:lvlJc w:val="left"/>
      <w:lvlText w:val="(%1)"/>
      <w:numFmt w:val="lowerLetter"/>
      <w:start w:val="1"/>
    </w:lvl>
  </w:abstractNum>
  <w:abstractNum w:abstractNumId="64">
    <w:nsid w:val="7BD3EE7B"/>
    <w:multiLevelType w:val="hybridMultilevel"/>
    <w:lvl w:ilvl="0">
      <w:lvlJc w:val="left"/>
      <w:lvlText w:val="•"/>
      <w:numFmt w:val="bullet"/>
      <w:start w:val="1"/>
    </w:lvl>
  </w:abstractNum>
  <w:abstractNum w:abstractNumId="65">
    <w:nsid w:val="51D9C564"/>
    <w:multiLevelType w:val="hybridMultilevel"/>
    <w:lvl w:ilvl="0">
      <w:lvlJc w:val="left"/>
      <w:lvlText w:val="(%1)"/>
      <w:numFmt w:val="lowerLetter"/>
      <w:start w:val="1"/>
    </w:lvl>
  </w:abstractNum>
  <w:abstractNum w:abstractNumId="66">
    <w:nsid w:val="613EFDC5"/>
    <w:multiLevelType w:val="hybridMultilevel"/>
    <w:lvl w:ilvl="0">
      <w:lvlJc w:val="left"/>
      <w:lvlText w:val="(%1)"/>
      <w:numFmt w:val="lowerLetter"/>
      <w:start w:val="1"/>
    </w:lvl>
  </w:abstractNum>
  <w:abstractNum w:abstractNumId="67">
    <w:nsid w:val="BF72B14"/>
    <w:multiLevelType w:val="hybridMultilevel"/>
    <w:lvl w:ilvl="0">
      <w:lvlJc w:val="left"/>
      <w:lvlText w:val="(%1)"/>
      <w:numFmt w:val="lowerLetter"/>
      <w:start w:val="2"/>
    </w:lvl>
  </w:abstractNum>
  <w:abstractNum w:abstractNumId="68">
    <w:nsid w:val="11447B73"/>
    <w:multiLevelType w:val="hybridMultilevel"/>
    <w:lvl w:ilvl="0">
      <w:lvlJc w:val="left"/>
      <w:lvlText w:val="(%1)"/>
      <w:numFmt w:val="lowerLetter"/>
      <w:start w:val="1"/>
    </w:lvl>
  </w:abstractNum>
  <w:abstractNum w:abstractNumId="69">
    <w:nsid w:val="42963E5A"/>
    <w:multiLevelType w:val="hybridMultilevel"/>
    <w:lvl w:ilvl="0">
      <w:lvlJc w:val="left"/>
      <w:lvlText w:val="(%1)"/>
      <w:numFmt w:val="lowerLetter"/>
      <w:start w:val="1"/>
    </w:lvl>
  </w:abstractNum>
  <w:abstractNum w:abstractNumId="70">
    <w:nsid w:val="A0382C5"/>
    <w:multiLevelType w:val="hybridMultilevel"/>
    <w:lvl w:ilvl="0">
      <w:lvlJc w:val="left"/>
      <w:lvlText w:val="(%1)"/>
      <w:numFmt w:val="lowerLetter"/>
      <w:start w:val="1"/>
    </w:lvl>
  </w:abstractNum>
  <w:abstractNum w:abstractNumId="71">
    <w:nsid w:val="8F2B15E"/>
    <w:multiLevelType w:val="hybridMultilevel"/>
    <w:lvl w:ilvl="0">
      <w:lvlJc w:val="left"/>
      <w:lvlText w:val="(%1)"/>
      <w:numFmt w:val="decimal"/>
      <w:start w:val="1"/>
    </w:lvl>
  </w:abstractNum>
  <w:abstractNum w:abstractNumId="72">
    <w:nsid w:val="1A32234B"/>
    <w:multiLevelType w:val="hybridMultilevel"/>
    <w:lvl w:ilvl="0">
      <w:lvlJc w:val="left"/>
      <w:lvlText w:val="(%1)"/>
      <w:numFmt w:val="lowerLetter"/>
      <w:start w:val="2"/>
    </w:lvl>
  </w:abstractNum>
  <w:abstractNum w:abstractNumId="73">
    <w:nsid w:val="3B0FD379"/>
    <w:multiLevelType w:val="hybridMultilevel"/>
    <w:lvl w:ilvl="0">
      <w:lvlJc w:val="left"/>
      <w:lvlText w:val="(%1)"/>
      <w:numFmt w:val="decimal"/>
      <w:start w:val="1"/>
    </w:lvl>
  </w:abstractNum>
  <w:abstractNum w:abstractNumId="74">
    <w:nsid w:val="68EB2F63"/>
    <w:multiLevelType w:val="hybridMultilevel"/>
    <w:lvl w:ilvl="0">
      <w:lvlJc w:val="left"/>
      <w:lvlText w:val="(%1)"/>
      <w:numFmt w:val="lowerLetter"/>
      <w:start w:val="3"/>
    </w:lvl>
  </w:abstractNum>
  <w:abstractNum w:abstractNumId="75">
    <w:nsid w:val="4962813B"/>
    <w:multiLevelType w:val="hybridMultilevel"/>
    <w:lvl w:ilvl="0">
      <w:lvlJc w:val="left"/>
      <w:lvlText w:val="(%1)"/>
      <w:numFmt w:val="lowerLetter"/>
      <w:start w:val="1"/>
    </w:lvl>
  </w:abstractNum>
  <w:abstractNum w:abstractNumId="76">
    <w:nsid w:val="60B6DF70"/>
    <w:multiLevelType w:val="hybridMultilevel"/>
    <w:lvl w:ilvl="0">
      <w:lvlJc w:val="left"/>
      <w:lvlText w:val="(%1)"/>
      <w:numFmt w:val="lowerRoman"/>
      <w:start w:val="5"/>
    </w:lvl>
  </w:abstractNum>
  <w:abstractNum w:abstractNumId="77">
    <w:nsid w:val="6A5EE64"/>
    <w:multiLevelType w:val="hybridMultilevel"/>
    <w:lvl w:ilvl="0">
      <w:lvlJc w:val="left"/>
      <w:lvlText w:val="(%1)"/>
      <w:numFmt w:val="lowerLetter"/>
      <w:start w:val="1"/>
    </w:lvl>
  </w:abstractNum>
  <w:abstractNum w:abstractNumId="78">
    <w:nsid w:val="14330624"/>
    <w:multiLevelType w:val="hybridMultilevel"/>
    <w:lvl w:ilvl="0">
      <w:lvlJc w:val="left"/>
      <w:lvlText w:val="(%1)"/>
      <w:numFmt w:val="lowerRoman"/>
      <w:start w:val="1"/>
    </w:lvl>
  </w:abstractNum>
  <w:abstractNum w:abstractNumId="79">
    <w:nsid w:val="7FFFCA11"/>
    <w:multiLevelType w:val="hybridMultilevel"/>
    <w:lvl w:ilvl="0">
      <w:lvlJc w:val="left"/>
      <w:lvlText w:val="(%1)"/>
      <w:numFmt w:val="lowerLetter"/>
      <w:start w:val="1"/>
    </w:lvl>
  </w:abstractNum>
  <w:abstractNum w:abstractNumId="80">
    <w:nsid w:val="1A27709E"/>
    <w:multiLevelType w:val="hybridMultilevel"/>
    <w:lvl w:ilvl="0">
      <w:lvlJc w:val="left"/>
      <w:lvlText w:val="(%1)"/>
      <w:numFmt w:val="lowerLetter"/>
      <w:start w:val="1"/>
    </w:lvl>
  </w:abstractNum>
  <w:abstractNum w:abstractNumId="81">
    <w:nsid w:val="71EA1109"/>
    <w:multiLevelType w:val="hybridMultilevel"/>
    <w:lvl w:ilvl="0">
      <w:lvlJc w:val="left"/>
      <w:lvlText w:val="*"/>
      <w:numFmt w:val="bullet"/>
      <w:start w:val="1"/>
    </w:lvl>
  </w:abstractNum>
  <w:abstractNum w:abstractNumId="82">
    <w:nsid w:val="100F59DC"/>
    <w:multiLevelType w:val="hybridMultilevel"/>
    <w:lvl w:ilvl="0">
      <w:lvlJc w:val="left"/>
      <w:lvlText w:val="**"/>
      <w:numFmt w:val="bullet"/>
      <w:start w:val="1"/>
    </w:lvl>
  </w:abstractNum>
  <w:abstractNum w:abstractNumId="83">
    <w:nsid w:val="7FB7E0AA"/>
    <w:multiLevelType w:val="hybridMultilevel"/>
    <w:lvl w:ilvl="0">
      <w:lvlJc w:val="left"/>
      <w:lvlText w:val="%1."/>
      <w:numFmt w:val="decimal"/>
      <w:start w:val="1"/>
    </w:lvl>
    <w:lvl w:ilvl="1">
      <w:lvlJc w:val="left"/>
      <w:lvlText w:val="%2)"/>
      <w:numFmt w:val="lowerLetter"/>
      <w:start w:val="1"/>
    </w:lvl>
  </w:abstractNum>
  <w:abstractNum w:abstractNumId="84">
    <w:nsid w:val="6EB5B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2025-10-30T07:21:34Z</dcterms:created>
  <dcterms:modified xsi:type="dcterms:W3CDTF">2025-10-30T07:21:34Z</dcterms:modified>
</cp:coreProperties>
</file>