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276860</wp:posOffset>
            </wp:positionH>
            <wp:positionV relativeFrom="page">
              <wp:posOffset>706120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662940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 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103" w:lineRule="exact"/>
        <w:rPr>
          <w:sz w:val="24"/>
          <w:szCs w:val="24"/>
          <w:color w:val="auto"/>
        </w:rPr>
      </w:pPr>
    </w:p>
    <w:p>
      <w:pPr>
        <w:ind w:left="880" w:hanging="854"/>
        <w:spacing w:after="0"/>
        <w:tabs>
          <w:tab w:leader="none" w:pos="880" w:val="left"/>
        </w:tabs>
        <w:numPr>
          <w:ilvl w:val="0"/>
          <w:numId w:val="1"/>
        </w:numPr>
        <w:rPr>
          <w:rFonts w:ascii="MS PGothic" w:cs="MS PGothic" w:eastAsia="MS PGothic" w:hAnsi="MS PGothic"/>
          <w:sz w:val="24"/>
          <w:szCs w:val="24"/>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54" w:lineRule="exact"/>
        <w:rPr>
          <w:sz w:val="24"/>
          <w:szCs w:val="24"/>
          <w:color w:val="auto"/>
        </w:rPr>
      </w:pPr>
    </w:p>
    <w:p>
      <w:pPr>
        <w:ind w:left="1400"/>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91" w:lineRule="exact"/>
        <w:rPr>
          <w:sz w:val="24"/>
          <w:szCs w:val="24"/>
          <w:color w:val="auto"/>
        </w:rPr>
      </w:pPr>
    </w:p>
    <w:p>
      <w:pPr>
        <w:ind w:left="880" w:hanging="854"/>
        <w:spacing w:after="0"/>
        <w:tabs>
          <w:tab w:leader="none" w:pos="880" w:val="left"/>
        </w:tabs>
        <w:numPr>
          <w:ilvl w:val="0"/>
          <w:numId w:val="2"/>
        </w:numPr>
        <w:rPr>
          <w:rFonts w:ascii="MS PGothic" w:cs="MS PGothic" w:eastAsia="MS PGothic" w:hAnsi="MS PGothic"/>
          <w:sz w:val="24"/>
          <w:szCs w:val="24"/>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54" w:lineRule="exact"/>
        <w:rPr>
          <w:sz w:val="24"/>
          <w:szCs w:val="24"/>
          <w:color w:val="auto"/>
        </w:rPr>
      </w:pPr>
    </w:p>
    <w:p>
      <w:pPr>
        <w:ind w:left="880"/>
        <w:spacing w:after="0"/>
        <w:tabs>
          <w:tab w:leader="none" w:pos="38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3228340</wp:posOffset>
            </wp:positionH>
            <wp:positionV relativeFrom="paragraph">
              <wp:posOffset>12065</wp:posOffset>
            </wp:positionV>
            <wp:extent cx="694055"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Liberty Global plc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1246" w:right="339" w:bottom="1440" w:gutter="0" w:footer="0" w:header="0"/>
        </w:sectPr>
      </w:pPr>
    </w:p>
    <w:p>
      <w:pPr>
        <w:spacing w:after="0" w:line="132" w:lineRule="exact"/>
        <w:rPr>
          <w:sz w:val="24"/>
          <w:szCs w:val="24"/>
          <w:color w:val="auto"/>
        </w:rPr>
      </w:pPr>
    </w:p>
    <w:p>
      <w:pPr>
        <w:ind w:left="3260"/>
        <w:spacing w:after="0"/>
        <w:rPr>
          <w:sz w:val="20"/>
          <w:szCs w:val="20"/>
          <w:color w:val="auto"/>
        </w:rPr>
      </w:pPr>
      <w:r>
        <w:rPr>
          <w:rFonts w:ascii="Arial" w:cs="Arial" w:eastAsia="Arial" w:hAnsi="Arial"/>
          <w:sz w:val="13"/>
          <w:szCs w:val="13"/>
          <w:b w:val="1"/>
          <w:bCs w:val="1"/>
          <w:color w:val="auto"/>
        </w:rPr>
        <w:t>England and Wales</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98-1112770</w:t>
      </w:r>
    </w:p>
    <w:p>
      <w:pPr>
        <w:spacing w:after="0" w:line="41" w:lineRule="exact"/>
        <w:rPr>
          <w:sz w:val="24"/>
          <w:szCs w:val="24"/>
          <w:color w:val="auto"/>
        </w:rPr>
      </w:pPr>
    </w:p>
    <w:p>
      <w:pPr>
        <w:sectPr>
          <w:pgSz w:w="11900" w:h="16838" w:orient="portrait"/>
          <w:cols w:equalWidth="0" w:num="2">
            <w:col w:w="6320" w:space="720"/>
            <w:col w:w="4200"/>
          </w:cols>
          <w:pgMar w:left="320" w:top="1246" w:right="339" w:bottom="1440" w:gutter="0" w:footer="0" w:header="0"/>
          <w:type w:val="continuous"/>
        </w:sectPr>
      </w:pPr>
    </w:p>
    <w:p>
      <w:pPr>
        <w:spacing w:after="0" w:line="11" w:lineRule="exact"/>
        <w:rPr>
          <w:sz w:val="24"/>
          <w:szCs w:val="24"/>
          <w:color w:val="auto"/>
        </w:rPr>
      </w:pPr>
    </w:p>
    <w:p>
      <w:pPr>
        <w:ind w:left="3020"/>
        <w:spacing w:after="0"/>
        <w:rPr>
          <w:sz w:val="20"/>
          <w:szCs w:val="20"/>
          <w:color w:val="auto"/>
        </w:rPr>
      </w:pPr>
      <w:r>
        <w:rPr>
          <w:rFonts w:ascii="Arial" w:cs="Arial" w:eastAsia="Arial" w:hAnsi="Arial"/>
          <w:sz w:val="13"/>
          <w:szCs w:val="13"/>
          <w:i w:val="1"/>
          <w:iCs w:val="1"/>
          <w:color w:val="auto"/>
        </w:rPr>
        <w:t>(State or other jurisdiction of</w:t>
      </w:r>
    </w:p>
    <w:p>
      <w:pPr>
        <w:ind w:left="296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320"/>
        <w:spacing w:after="0"/>
        <w:rPr>
          <w:sz w:val="20"/>
          <w:szCs w:val="20"/>
          <w:color w:val="auto"/>
        </w:rPr>
      </w:pPr>
      <w:r>
        <w:rPr>
          <w:rFonts w:ascii="Arial" w:cs="Arial" w:eastAsia="Arial" w:hAnsi="Arial"/>
          <w:sz w:val="14"/>
          <w:szCs w:val="14"/>
          <w:i w:val="1"/>
          <w:iCs w:val="1"/>
          <w:color w:val="auto"/>
        </w:rPr>
        <w:t>(I.R.S. Employer</w:t>
      </w:r>
    </w:p>
    <w:p>
      <w:pPr>
        <w:jc w:val="center"/>
        <w:ind w:right="3320"/>
        <w:spacing w:after="0"/>
        <w:rPr>
          <w:sz w:val="20"/>
          <w:szCs w:val="20"/>
          <w:color w:val="auto"/>
        </w:rPr>
      </w:pPr>
      <w:r>
        <w:rPr>
          <w:rFonts w:ascii="Arial" w:cs="Arial" w:eastAsia="Arial" w:hAnsi="Arial"/>
          <w:sz w:val="13"/>
          <w:szCs w:val="13"/>
          <w:i w:val="1"/>
          <w:iCs w:val="1"/>
          <w:color w:val="auto"/>
        </w:rPr>
        <w:t>Identification No.)</w:t>
      </w:r>
    </w:p>
    <w:p>
      <w:pPr>
        <w:spacing w:after="0" w:line="78" w:lineRule="exact"/>
        <w:rPr>
          <w:sz w:val="24"/>
          <w:szCs w:val="24"/>
          <w:color w:val="auto"/>
        </w:rPr>
      </w:pPr>
    </w:p>
    <w:p>
      <w:pPr>
        <w:sectPr>
          <w:pgSz w:w="11900" w:h="16838" w:orient="portrait"/>
          <w:cols w:equalWidth="0" w:num="2">
            <w:col w:w="6140" w:space="720"/>
            <w:col w:w="4380"/>
          </w:cols>
          <w:pgMar w:left="320" w:top="1246" w:right="339" w:bottom="1440" w:gutter="0" w:footer="0" w:header="0"/>
          <w:type w:val="continuous"/>
        </w:sectPr>
      </w:pPr>
    </w:p>
    <w:p>
      <w:pPr>
        <w:jc w:val="center"/>
        <w:ind w:left="1360"/>
        <w:spacing w:after="0"/>
        <w:rPr>
          <w:sz w:val="20"/>
          <w:szCs w:val="20"/>
          <w:color w:val="auto"/>
        </w:rPr>
      </w:pPr>
      <w:r>
        <w:rPr>
          <w:rFonts w:ascii="Arial" w:cs="Arial" w:eastAsia="Arial" w:hAnsi="Arial"/>
          <w:sz w:val="14"/>
          <w:szCs w:val="14"/>
          <w:b w:val="1"/>
          <w:bCs w:val="1"/>
          <w:color w:val="auto"/>
        </w:rPr>
        <w:t>Griffin House</w:t>
      </w:r>
    </w:p>
    <w:p>
      <w:pPr>
        <w:spacing w:after="0" w:line="217" w:lineRule="exact"/>
        <w:rPr>
          <w:sz w:val="24"/>
          <w:szCs w:val="24"/>
          <w:color w:val="auto"/>
        </w:rPr>
      </w:pPr>
    </w:p>
    <w:p>
      <w:pPr>
        <w:jc w:val="center"/>
        <w:ind w:left="1360"/>
        <w:spacing w:after="0"/>
        <w:rPr>
          <w:sz w:val="20"/>
          <w:szCs w:val="20"/>
          <w:color w:val="auto"/>
        </w:rPr>
      </w:pPr>
      <w:r>
        <w:rPr>
          <w:rFonts w:ascii="Arial" w:cs="Arial" w:eastAsia="Arial" w:hAnsi="Arial"/>
          <w:sz w:val="14"/>
          <w:szCs w:val="14"/>
          <w:b w:val="1"/>
          <w:bCs w:val="1"/>
          <w:color w:val="auto"/>
        </w:rPr>
        <w:t>London</w:t>
      </w:r>
    </w:p>
    <w:p>
      <w:pPr>
        <w:spacing w:after="0" w:line="28" w:lineRule="exact"/>
        <w:rPr>
          <w:sz w:val="24"/>
          <w:szCs w:val="24"/>
          <w:color w:val="auto"/>
        </w:rPr>
      </w:pPr>
    </w:p>
    <w:p>
      <w:pPr>
        <w:jc w:val="center"/>
        <w:ind w:left="1360"/>
        <w:spacing w:after="0"/>
        <w:rPr>
          <w:sz w:val="20"/>
          <w:szCs w:val="20"/>
          <w:color w:val="auto"/>
        </w:rPr>
      </w:pPr>
      <w:r>
        <w:rPr>
          <w:rFonts w:ascii="Arial" w:cs="Arial" w:eastAsia="Arial" w:hAnsi="Arial"/>
          <w:sz w:val="14"/>
          <w:szCs w:val="14"/>
          <w:b w:val="1"/>
          <w:bCs w:val="1"/>
          <w:color w:val="auto"/>
        </w:rPr>
        <w:t>United Kingdom</w:t>
      </w:r>
    </w:p>
    <w:p>
      <w:pPr>
        <w:spacing w:after="0" w:line="32" w:lineRule="exact"/>
        <w:rPr>
          <w:sz w:val="24"/>
          <w:szCs w:val="24"/>
          <w:color w:val="auto"/>
        </w:rPr>
      </w:pPr>
    </w:p>
    <w:p>
      <w:pPr>
        <w:jc w:val="center"/>
        <w:ind w:left="1360"/>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7" w:lineRule="exact"/>
        <w:rPr>
          <w:sz w:val="24"/>
          <w:szCs w:val="24"/>
          <w:color w:val="auto"/>
        </w:rPr>
      </w:pPr>
    </w:p>
    <w:p>
      <w:pPr>
        <w:jc w:val="center"/>
        <w:ind w:right="3540"/>
        <w:spacing w:after="0"/>
        <w:rPr>
          <w:sz w:val="20"/>
          <w:szCs w:val="20"/>
          <w:color w:val="auto"/>
        </w:rPr>
      </w:pPr>
      <w:r>
        <w:rPr>
          <w:rFonts w:ascii="Arial" w:cs="Arial" w:eastAsia="Arial" w:hAnsi="Arial"/>
          <w:sz w:val="14"/>
          <w:szCs w:val="14"/>
          <w:b w:val="1"/>
          <w:bCs w:val="1"/>
          <w:color w:val="auto"/>
        </w:rPr>
        <w:t>W6 8BS</w:t>
      </w:r>
    </w:p>
    <w:p>
      <w:pPr>
        <w:spacing w:after="0" w:line="32" w:lineRule="exact"/>
        <w:rPr>
          <w:sz w:val="24"/>
          <w:szCs w:val="24"/>
          <w:color w:val="auto"/>
        </w:rPr>
      </w:pPr>
    </w:p>
    <w:p>
      <w:pPr>
        <w:jc w:val="center"/>
        <w:ind w:right="3540"/>
        <w:spacing w:after="0"/>
        <w:rPr>
          <w:sz w:val="20"/>
          <w:szCs w:val="20"/>
          <w:color w:val="auto"/>
        </w:rPr>
      </w:pPr>
      <w:r>
        <w:rPr>
          <w:rFonts w:ascii="Arial" w:cs="Arial" w:eastAsia="Arial" w:hAnsi="Arial"/>
          <w:sz w:val="13"/>
          <w:szCs w:val="13"/>
          <w:i w:val="1"/>
          <w:iCs w:val="1"/>
          <w:color w:val="auto"/>
        </w:rPr>
        <w:t>(Zip Code)</w:t>
      </w:r>
    </w:p>
    <w:p>
      <w:pPr>
        <w:spacing w:after="0" w:line="200" w:lineRule="exact"/>
        <w:rPr>
          <w:sz w:val="24"/>
          <w:szCs w:val="24"/>
          <w:color w:val="auto"/>
        </w:rPr>
      </w:pPr>
    </w:p>
    <w:p>
      <w:pPr>
        <w:sectPr>
          <w:pgSz w:w="11900" w:h="16838" w:orient="portrait"/>
          <w:cols w:equalWidth="0" w:num="2">
            <w:col w:w="6360" w:space="720"/>
            <w:col w:w="4160"/>
          </w:cols>
          <w:pgMar w:left="320" w:top="1246" w:right="339" w:bottom="1440" w:gutter="0" w:footer="0" w:header="0"/>
          <w:type w:val="continuous"/>
        </w:sectPr>
      </w:pP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+44.208.483.6449 or 303.220.6600</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1246" w:right="339" w:bottom="1440" w:gutter="0" w:footer="0" w:header="0"/>
          <w:type w:val="continuous"/>
        </w:sectPr>
      </w:pPr>
    </w:p>
    <w:p>
      <w:pPr>
        <w:spacing w:after="0" w:line="173"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13" w:lineRule="exact"/>
        <w:rPr>
          <w:sz w:val="24"/>
          <w:szCs w:val="24"/>
          <w:color w:val="auto"/>
        </w:rPr>
      </w:pPr>
    </w:p>
    <w:p>
      <w:pPr>
        <w:sectPr>
          <w:pgSz w:w="11900" w:h="16838" w:orient="portrait"/>
          <w:cols w:equalWidth="0" w:num="3">
            <w:col w:w="3880" w:space="720"/>
            <w:col w:w="1540" w:space="720"/>
            <w:col w:w="4380"/>
          </w:cols>
          <w:pgMar w:left="320" w:top="1246" w:right="339" w:bottom="1440" w:gutter="0" w:footer="0" w:header="0"/>
          <w:type w:val="continuous"/>
        </w:sectPr>
      </w:pPr>
    </w:p>
    <w:p>
      <w:pPr>
        <w:jc w:val="center"/>
        <w:ind w:left="760"/>
        <w:spacing w:after="0"/>
        <w:rPr>
          <w:sz w:val="20"/>
          <w:szCs w:val="20"/>
          <w:color w:val="auto"/>
        </w:rPr>
      </w:pPr>
      <w:r>
        <w:rPr>
          <w:rFonts w:ascii="Arial" w:cs="Arial" w:eastAsia="Arial" w:hAnsi="Arial"/>
          <w:sz w:val="14"/>
          <w:szCs w:val="14"/>
          <w:color w:val="auto"/>
        </w:rPr>
        <w:t>Class A ordinary shares</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6"/>
          <w:szCs w:val="16"/>
          <w:color w:val="auto"/>
        </w:rPr>
        <w:t>LBTYA</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4"/>
          <w:szCs w:val="14"/>
          <w:color w:val="auto"/>
        </w:rPr>
        <w:t>Nasdaq Global Select Market</w:t>
      </w:r>
    </w:p>
    <w:p>
      <w:pPr>
        <w:spacing w:after="0" w:line="54" w:lineRule="exact"/>
        <w:rPr>
          <w:sz w:val="24"/>
          <w:szCs w:val="24"/>
          <w:color w:val="auto"/>
        </w:rPr>
      </w:pPr>
    </w:p>
    <w:p>
      <w:pPr>
        <w:sectPr>
          <w:pgSz w:w="11900" w:h="16838" w:orient="portrait"/>
          <w:cols w:equalWidth="0" w:num="3">
            <w:col w:w="4280" w:space="720"/>
            <w:col w:w="1680" w:space="720"/>
            <w:col w:w="3840"/>
          </w:cols>
          <w:pgMar w:left="320" w:top="1246"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B ordinary shares</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6"/>
          <w:szCs w:val="16"/>
          <w:color w:val="auto"/>
        </w:rPr>
        <w:t>LBTYB</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4"/>
          <w:szCs w:val="14"/>
          <w:color w:val="auto"/>
        </w:rPr>
        <w:t>Nasdaq Global Select Market</w:t>
      </w:r>
    </w:p>
    <w:p>
      <w:pPr>
        <w:spacing w:after="0" w:line="54" w:lineRule="exact"/>
        <w:rPr>
          <w:sz w:val="24"/>
          <w:szCs w:val="24"/>
          <w:color w:val="auto"/>
        </w:rPr>
      </w:pPr>
    </w:p>
    <w:p>
      <w:pPr>
        <w:sectPr>
          <w:pgSz w:w="11900" w:h="16838" w:orient="portrait"/>
          <w:cols w:equalWidth="0" w:num="3">
            <w:col w:w="4260" w:space="720"/>
            <w:col w:w="1700" w:space="720"/>
            <w:col w:w="3840"/>
          </w:cols>
          <w:pgMar w:left="320" w:top="1246"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C ordinary shares</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6"/>
          <w:szCs w:val="16"/>
          <w:color w:val="auto"/>
        </w:rPr>
        <w:t>LBTYK</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4"/>
          <w:szCs w:val="14"/>
          <w:color w:val="auto"/>
        </w:rPr>
        <w:t>Nasdaq Global Select Market</w:t>
      </w:r>
    </w:p>
    <w:p>
      <w:pPr>
        <w:spacing w:after="0" w:line="222" w:lineRule="exact"/>
        <w:rPr>
          <w:sz w:val="24"/>
          <w:szCs w:val="24"/>
          <w:color w:val="auto"/>
        </w:rPr>
      </w:pPr>
    </w:p>
    <w:p>
      <w:pPr>
        <w:sectPr>
          <w:pgSz w:w="11900" w:h="16838" w:orient="portrait"/>
          <w:cols w:equalWidth="0" w:num="3">
            <w:col w:w="4260" w:space="720"/>
            <w:col w:w="1700" w:space="720"/>
            <w:col w:w="3840"/>
          </w:cols>
          <w:pgMar w:left="320" w:top="1246" w:right="339" w:bottom="1440" w:gutter="0" w:footer="0" w:header="0"/>
          <w:type w:val="continuous"/>
        </w:sectPr>
      </w:pPr>
    </w:p>
    <w:p>
      <w:pPr>
        <w:spacing w:after="0" w:line="75" w:lineRule="exact"/>
        <w:rPr>
          <w:sz w:val="24"/>
          <w:szCs w:val="24"/>
          <w:color w:val="auto"/>
        </w:rPr>
      </w:pPr>
    </w:p>
    <w:p>
      <w:pPr>
        <w:ind w:right="42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0"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p>
      <w:pPr>
        <w:ind w:left="3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72" w:lineRule="exact"/>
        <w:rPr>
          <w:sz w:val="24"/>
          <w:szCs w:val="24"/>
          <w:color w:val="auto"/>
        </w:rPr>
      </w:pPr>
    </w:p>
    <w:p>
      <w:pPr>
        <w:ind w:left="3520"/>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9"/>
          <w:szCs w:val="19"/>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number of outstanding ordinary shares of Liberty Global plc as of April 30, 2021 was: 180,357,228 class A ordinary shares, 12,561,294 class B ordinary shares and 371,438,801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type w:val="continuous"/>
        </w:sectPr>
      </w:pPr>
    </w:p>
    <w:bookmarkStart w:id="1" w:name="page2"/>
    <w:bookmarkEnd w:id="1"/>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10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11"/>
        </w:trPr>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0" w:type="dxa"/>
            <w:vAlign w:val="bottom"/>
            <w:gridSpan w:val="9"/>
          </w:tcPr>
          <w:p>
            <w:pPr>
              <w:jc w:val="center"/>
              <w:ind w:right="2620"/>
              <w:spacing w:after="0"/>
              <w:rPr>
                <w:sz w:val="20"/>
                <w:szCs w:val="20"/>
                <w:color w:val="auto"/>
              </w:rPr>
            </w:pPr>
            <w:r>
              <w:rPr>
                <w:rFonts w:ascii="Arial" w:cs="Arial" w:eastAsia="Arial" w:hAnsi="Arial"/>
                <w:sz w:val="18"/>
                <w:szCs w:val="18"/>
                <w:b w:val="1"/>
                <w:bCs w:val="1"/>
                <w:color w:val="auto"/>
              </w:rPr>
              <w:t>PART I — FINANCIAL INFORMATION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ITEM 1.</w:t>
            </w:r>
          </w:p>
        </w:tc>
        <w:tc>
          <w:tcPr>
            <w:tcW w:w="940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60" w:type="dxa"/>
            <w:vAlign w:val="bottom"/>
          </w:tcPr>
          <w:p>
            <w:pPr>
              <w:spacing w:after="0"/>
              <w:rPr>
                <w:sz w:val="16"/>
                <w:szCs w:val="16"/>
                <w:color w:val="auto"/>
              </w:rPr>
            </w:pPr>
          </w:p>
        </w:tc>
        <w:tc>
          <w:tcPr>
            <w:tcW w:w="7160" w:type="dxa"/>
            <w:vAlign w:val="bottom"/>
            <w:tcBorders>
              <w:bottom w:val="single" w:sz="8" w:color="0000FF"/>
            </w:tcBorders>
            <w:gridSpan w:val="8"/>
          </w:tcPr>
          <w:p>
            <w:pPr>
              <w:spacing w:after="0" w:line="190" w:lineRule="exact"/>
              <w:rPr>
                <w:rFonts w:ascii="Arial" w:cs="Arial" w:eastAsia="Arial" w:hAnsi="Arial"/>
                <w:sz w:val="18"/>
                <w:szCs w:val="18"/>
                <w:color w:val="0000FF"/>
                <w:w w:val="89"/>
              </w:rPr>
            </w:pPr>
            <w:hyperlink w:anchor="page2">
              <w:r>
                <w:rPr>
                  <w:rFonts w:ascii="Arial" w:cs="Arial" w:eastAsia="Arial" w:hAnsi="Arial"/>
                  <w:sz w:val="18"/>
                  <w:szCs w:val="18"/>
                  <w:color w:val="0000FF"/>
                  <w:w w:val="89"/>
                </w:rPr>
                <w:t xml:space="preserve">Condensed Consolidated Balance Sheets as of March </w:t>
              </w:r>
            </w:hyperlink>
            <w:r>
              <w:rPr>
                <w:rFonts w:ascii="Arial" w:cs="Arial" w:eastAsia="Arial" w:hAnsi="Arial"/>
                <w:sz w:val="18"/>
                <w:szCs w:val="18"/>
                <w:color w:val="0000FF"/>
                <w:w w:val="89"/>
              </w:rPr>
              <w:t xml:space="preserve">31, </w:t>
            </w:r>
            <w:hyperlink w:anchor="page2">
              <w:r>
                <w:rPr>
                  <w:rFonts w:ascii="Arial" w:cs="Arial" w:eastAsia="Arial" w:hAnsi="Arial"/>
                  <w:sz w:val="18"/>
                  <w:szCs w:val="18"/>
                  <w:color w:val="0000FF"/>
                  <w:w w:val="89"/>
                </w:rPr>
                <w:t xml:space="preserve">2021 and December 31, </w:t>
              </w:r>
            </w:hyperlink>
            <w:r>
              <w:rPr>
                <w:rFonts w:ascii="Arial" w:cs="Arial" w:eastAsia="Arial" w:hAnsi="Arial"/>
                <w:sz w:val="18"/>
                <w:szCs w:val="18"/>
                <w:color w:val="0000FF"/>
                <w:w w:val="89"/>
              </w:rPr>
              <w:t xml:space="preserve">2020 </w:t>
            </w:r>
            <w:hyperlink w:anchor="page2">
              <w:r>
                <w:rPr>
                  <w:rFonts w:ascii="Arial" w:cs="Arial" w:eastAsia="Arial" w:hAnsi="Arial"/>
                  <w:sz w:val="18"/>
                  <w:szCs w:val="18"/>
                  <w:color w:val="0000FF"/>
                  <w:w w:val="89"/>
                </w:rPr>
                <w:t>(unaudited)</w:t>
              </w:r>
            </w:hyperlink>
          </w:p>
        </w:tc>
        <w:tc>
          <w:tcPr>
            <w:tcW w:w="2240" w:type="dxa"/>
            <w:vAlign w:val="bottom"/>
            <w:gridSpan w:val="6"/>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90"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1</w:t>
              </w:r>
            </w:hyperlink>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852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Condensed Consolidated Statements of Operations for the Three Months Ended March 31, 2021 and </w:t>
              </w:r>
            </w:hyperlink>
            <w:r>
              <w:rPr>
                <w:rFonts w:ascii="Arial" w:cs="Arial" w:eastAsia="Arial" w:hAnsi="Arial"/>
                <w:sz w:val="18"/>
                <w:szCs w:val="18"/>
                <w:color w:val="0000FF"/>
                <w:w w:val="89"/>
              </w:rPr>
              <w:t xml:space="preserve">2020 </w:t>
            </w:r>
            <w:hyperlink w:anchor="page4">
              <w:r>
                <w:rPr>
                  <w:rFonts w:ascii="Arial" w:cs="Arial" w:eastAsia="Arial" w:hAnsi="Arial"/>
                  <w:sz w:val="18"/>
                  <w:szCs w:val="18"/>
                  <w:color w:val="0000FF"/>
                  <w:w w:val="89"/>
                </w:rPr>
                <w:t>(unaudited)</w:t>
              </w:r>
            </w:hyperlink>
          </w:p>
        </w:tc>
        <w:tc>
          <w:tcPr>
            <w:tcW w:w="880" w:type="dxa"/>
            <w:vAlign w:val="bottom"/>
            <w:gridSpan w:val="4"/>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9400" w:type="dxa"/>
            <w:vAlign w:val="bottom"/>
            <w:gridSpan w:val="14"/>
          </w:tcPr>
          <w:p>
            <w:pPr>
              <w:spacing w:after="0"/>
              <w:rPr>
                <w:rFonts w:ascii="Arial" w:cs="Arial" w:eastAsia="Arial" w:hAnsi="Arial"/>
                <w:sz w:val="18"/>
                <w:szCs w:val="18"/>
                <w:color w:val="0000FF"/>
                <w:w w:val="97"/>
              </w:rPr>
            </w:pPr>
            <w:hyperlink w:anchor="page5">
              <w:r>
                <w:rPr>
                  <w:rFonts w:ascii="Arial" w:cs="Arial" w:eastAsia="Arial" w:hAnsi="Arial"/>
                  <w:sz w:val="18"/>
                  <w:szCs w:val="18"/>
                  <w:color w:val="0000FF"/>
                  <w:w w:val="97"/>
                </w:rPr>
                <w:t xml:space="preserve">Condensed Consolidated Statements of Comprehensive Earnings for the Three Months Ended March </w:t>
              </w:r>
            </w:hyperlink>
            <w:r>
              <w:rPr>
                <w:rFonts w:ascii="Arial" w:cs="Arial" w:eastAsia="Arial" w:hAnsi="Arial"/>
                <w:sz w:val="18"/>
                <w:szCs w:val="18"/>
                <w:color w:val="0000FF"/>
                <w:w w:val="97"/>
              </w:rPr>
              <w:t xml:space="preserve">31, </w:t>
            </w:r>
            <w:hyperlink w:anchor="page5">
              <w:r>
                <w:rPr>
                  <w:rFonts w:ascii="Arial" w:cs="Arial" w:eastAsia="Arial" w:hAnsi="Arial"/>
                  <w:sz w:val="18"/>
                  <w:szCs w:val="18"/>
                  <w:color w:val="0000FF"/>
                  <w:w w:val="97"/>
                </w:rPr>
                <w:t xml:space="preserve">2021 and </w:t>
              </w:r>
            </w:hyperlink>
            <w:r>
              <w:rPr>
                <w:rFonts w:ascii="Arial" w:cs="Arial" w:eastAsia="Arial" w:hAnsi="Arial"/>
                <w:sz w:val="18"/>
                <w:szCs w:val="18"/>
                <w:color w:val="0000FF"/>
                <w:w w:val="97"/>
              </w:rPr>
              <w:t>2020</w:t>
            </w:r>
          </w:p>
        </w:tc>
        <w:tc>
          <w:tcPr>
            <w:tcW w:w="340" w:type="dxa"/>
            <w:vAlign w:val="bottom"/>
            <w:vMerge w:val="restart"/>
          </w:tcPr>
          <w:p>
            <w:pPr>
              <w:spacing w:after="0"/>
              <w:rPr>
                <w:sz w:val="18"/>
                <w:szCs w:val="18"/>
                <w:color w:val="auto"/>
              </w:rPr>
            </w:pPr>
          </w:p>
        </w:tc>
        <w:tc>
          <w:tcPr>
            <w:tcW w:w="100" w:type="dxa"/>
            <w:vAlign w:val="bottom"/>
            <w:vMerge w:val="restart"/>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4</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(unaudited)</w:t>
              </w:r>
            </w:hyperlink>
          </w:p>
        </w:tc>
        <w:tc>
          <w:tcPr>
            <w:tcW w:w="7660" w:type="dxa"/>
            <w:vAlign w:val="bottom"/>
            <w:tcBorders>
              <w:top w:val="single" w:sz="8" w:color="0000FF"/>
            </w:tcBorders>
            <w:gridSpan w:val="9"/>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9400" w:type="dxa"/>
            <w:vAlign w:val="bottom"/>
            <w:gridSpan w:val="14"/>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Equity for the Three Months Ended March </w:t>
              </w:r>
            </w:hyperlink>
            <w:r>
              <w:rPr>
                <w:rFonts w:ascii="Arial" w:cs="Arial" w:eastAsia="Arial" w:hAnsi="Arial"/>
                <w:sz w:val="18"/>
                <w:szCs w:val="18"/>
                <w:color w:val="0000FF"/>
              </w:rPr>
              <w:t xml:space="preserve">31, </w:t>
            </w:r>
            <w:hyperlink w:anchor="page6">
              <w:r>
                <w:rPr>
                  <w:rFonts w:ascii="Arial" w:cs="Arial" w:eastAsia="Arial" w:hAnsi="Arial"/>
                  <w:sz w:val="18"/>
                  <w:szCs w:val="18"/>
                  <w:color w:val="0000FF"/>
                </w:rPr>
                <w:t xml:space="preserve">2021 and </w:t>
              </w:r>
            </w:hyperlink>
            <w:r>
              <w:rPr>
                <w:rFonts w:ascii="Arial" w:cs="Arial" w:eastAsia="Arial" w:hAnsi="Arial"/>
                <w:sz w:val="18"/>
                <w:szCs w:val="18"/>
                <w:color w:val="0000FF"/>
              </w:rPr>
              <w:t xml:space="preserve">2020 </w:t>
            </w:r>
            <w:hyperlink w:anchor="page6">
              <w:r>
                <w:rPr>
                  <w:rFonts w:ascii="Arial" w:cs="Arial" w:eastAsia="Arial" w:hAnsi="Arial"/>
                  <w:sz w:val="18"/>
                  <w:szCs w:val="18"/>
                  <w:color w:val="0000FF"/>
                </w:rPr>
                <w:t>(unaudited)</w:t>
              </w:r>
            </w:hyperlink>
          </w:p>
        </w:tc>
        <w:tc>
          <w:tcPr>
            <w:tcW w:w="440" w:type="dxa"/>
            <w:vAlign w:val="bottom"/>
            <w:gridSpan w:val="2"/>
          </w:tcPr>
          <w:p>
            <w:pPr>
              <w:jc w:val="center"/>
              <w:ind w:left="254"/>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858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 xml:space="preserve">Condensed Consolidated Statements of Cash Flows for the Three Months Ended March </w:t>
              </w:r>
            </w:hyperlink>
            <w:r>
              <w:rPr>
                <w:rFonts w:ascii="Arial" w:cs="Arial" w:eastAsia="Arial" w:hAnsi="Arial"/>
                <w:sz w:val="18"/>
                <w:szCs w:val="18"/>
                <w:color w:val="0000FF"/>
                <w:w w:val="89"/>
              </w:rPr>
              <w:t xml:space="preserve">31, </w:t>
            </w:r>
            <w:hyperlink w:anchor="page8">
              <w:r>
                <w:rPr>
                  <w:rFonts w:ascii="Arial" w:cs="Arial" w:eastAsia="Arial" w:hAnsi="Arial"/>
                  <w:sz w:val="18"/>
                  <w:szCs w:val="18"/>
                  <w:color w:val="0000FF"/>
                  <w:w w:val="89"/>
                </w:rPr>
                <w:t xml:space="preserve">2021 and </w:t>
              </w:r>
            </w:hyperlink>
            <w:r>
              <w:rPr>
                <w:rFonts w:ascii="Arial" w:cs="Arial" w:eastAsia="Arial" w:hAnsi="Arial"/>
                <w:sz w:val="18"/>
                <w:szCs w:val="18"/>
                <w:color w:val="0000FF"/>
                <w:w w:val="89"/>
              </w:rPr>
              <w:t xml:space="preserve">2020 </w:t>
            </w:r>
            <w:hyperlink w:anchor="page8">
              <w:r>
                <w:rPr>
                  <w:rFonts w:ascii="Arial" w:cs="Arial" w:eastAsia="Arial" w:hAnsi="Arial"/>
                  <w:sz w:val="18"/>
                  <w:szCs w:val="18"/>
                  <w:color w:val="0000FF"/>
                  <w:w w:val="89"/>
                </w:rPr>
                <w:t>(unaudited)</w:t>
              </w:r>
            </w:hyperlink>
          </w:p>
        </w:tc>
        <w:tc>
          <w:tcPr>
            <w:tcW w:w="82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7</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488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Notes to Condensed Consolidated Financial Statements (unaudited)</w:t>
              </w:r>
            </w:hyperlink>
          </w:p>
        </w:tc>
        <w:tc>
          <w:tcPr>
            <w:tcW w:w="4520" w:type="dxa"/>
            <w:vAlign w:val="bottom"/>
            <w:gridSpan w:val="8"/>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9</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2.</w:t>
            </w:r>
          </w:p>
        </w:tc>
        <w:tc>
          <w:tcPr>
            <w:tcW w:w="8920" w:type="dxa"/>
            <w:vAlign w:val="bottom"/>
            <w:gridSpan w:val="13"/>
          </w:tcPr>
          <w:p>
            <w:pPr>
              <w:spacing w:after="0"/>
              <w:rPr>
                <w:rFonts w:ascii="Arial" w:cs="Arial" w:eastAsia="Arial" w:hAnsi="Arial"/>
                <w:sz w:val="18"/>
                <w:szCs w:val="18"/>
                <w:color w:val="0000FF"/>
                <w:w w:val="97"/>
              </w:rPr>
            </w:pPr>
            <w:hyperlink w:anchor="page45">
              <w:r>
                <w:rPr>
                  <w:rFonts w:ascii="Arial" w:cs="Arial" w:eastAsia="Arial" w:hAnsi="Arial"/>
                  <w:sz w:val="18"/>
                  <w:szCs w:val="18"/>
                  <w:color w:val="0000FF"/>
                  <w:w w:val="97"/>
                </w:rPr>
                <w:t>MANAGEMENT’S DISCUSSION AND ANALYSIS OF FINANCIAL CONDITION AND RESULTS OF OPERATIONS</w:t>
              </w:r>
            </w:hyperlink>
          </w:p>
        </w:tc>
        <w:tc>
          <w:tcPr>
            <w:tcW w:w="480" w:type="dxa"/>
            <w:vAlign w:val="bottom"/>
          </w:tcPr>
          <w:p>
            <w:pPr>
              <w:spacing w:after="0"/>
              <w:rPr>
                <w:sz w:val="18"/>
                <w:szCs w:val="18"/>
                <w:color w:val="auto"/>
              </w:rPr>
            </w:pPr>
          </w:p>
        </w:tc>
        <w:tc>
          <w:tcPr>
            <w:tcW w:w="780" w:type="dxa"/>
            <w:vAlign w:val="bottom"/>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2840" w:type="dxa"/>
            <w:vAlign w:val="bottom"/>
            <w:tcBorders>
              <w:left w:val="single" w:sz="8" w:color="0000FF"/>
            </w:tcBorders>
            <w:gridSpan w:val="6"/>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3.</w:t>
            </w:r>
          </w:p>
        </w:tc>
        <w:tc>
          <w:tcPr>
            <w:tcW w:w="8920" w:type="dxa"/>
            <w:vAlign w:val="bottom"/>
            <w:gridSpan w:val="13"/>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QUANTITATIVE AND QUALITATIVE DISCLOSURES ABOUT MARKET RISK</w:t>
              </w:r>
            </w:hyperlink>
          </w:p>
        </w:tc>
        <w:tc>
          <w:tcPr>
            <w:tcW w:w="480" w:type="dxa"/>
            <w:vAlign w:val="bottom"/>
          </w:tcPr>
          <w:p>
            <w:pPr>
              <w:spacing w:after="0"/>
              <w:rPr>
                <w:sz w:val="18"/>
                <w:szCs w:val="18"/>
                <w:color w:val="auto"/>
              </w:rPr>
            </w:pPr>
          </w:p>
        </w:tc>
        <w:tc>
          <w:tcPr>
            <w:tcW w:w="780" w:type="dxa"/>
            <w:vAlign w:val="bottom"/>
            <w:gridSpan w:val="3"/>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69</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3320" w:type="dxa"/>
            <w:vAlign w:val="bottom"/>
            <w:tcBorders>
              <w:left w:val="single" w:sz="8" w:color="0000FF"/>
            </w:tcBorders>
            <w:gridSpan w:val="7"/>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4.</w:t>
            </w:r>
          </w:p>
        </w:tc>
        <w:tc>
          <w:tcPr>
            <w:tcW w:w="6080" w:type="dxa"/>
            <w:vAlign w:val="bottom"/>
            <w:gridSpan w:val="7"/>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CONTROLS AND PROCEDURES</w:t>
              </w:r>
            </w:hyperlink>
          </w:p>
        </w:tc>
        <w:tc>
          <w:tcPr>
            <w:tcW w:w="3320" w:type="dxa"/>
            <w:vAlign w:val="bottom"/>
            <w:gridSpan w:val="7"/>
          </w:tcPr>
          <w:p>
            <w:pPr>
              <w:spacing w:after="0"/>
              <w:rPr>
                <w:sz w:val="18"/>
                <w:szCs w:val="18"/>
                <w:color w:val="auto"/>
              </w:rPr>
            </w:pPr>
          </w:p>
        </w:tc>
        <w:tc>
          <w:tcPr>
            <w:tcW w:w="780" w:type="dxa"/>
            <w:vAlign w:val="bottom"/>
            <w:gridSpan w:val="3"/>
          </w:tcPr>
          <w:p>
            <w:pPr>
              <w:jc w:val="cente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72</w:t>
              </w:r>
            </w:hyperlink>
          </w:p>
        </w:tc>
        <w:tc>
          <w:tcPr>
            <w:tcW w:w="0" w:type="dxa"/>
            <w:vAlign w:val="bottom"/>
          </w:tcPr>
          <w:p>
            <w:pPr>
              <w:spacing w:after="0"/>
              <w:rPr>
                <w:sz w:val="1"/>
                <w:szCs w:val="1"/>
                <w:color w:val="auto"/>
              </w:rPr>
            </w:pPr>
          </w:p>
        </w:tc>
      </w:tr>
      <w:tr>
        <w:trPr>
          <w:trHeight w:val="249"/>
        </w:trPr>
        <w:tc>
          <w:tcPr>
            <w:tcW w:w="106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88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6800" w:type="dxa"/>
            <w:vAlign w:val="bottom"/>
            <w:gridSpan w:val="9"/>
          </w:tcPr>
          <w:p>
            <w:pPr>
              <w:jc w:val="center"/>
              <w:ind w:right="2620"/>
              <w:spacing w:after="0"/>
              <w:rPr>
                <w:sz w:val="20"/>
                <w:szCs w:val="20"/>
                <w:color w:val="auto"/>
              </w:rPr>
            </w:pPr>
            <w:r>
              <w:rPr>
                <w:rFonts w:ascii="Arial" w:cs="Arial" w:eastAsia="Arial" w:hAnsi="Arial"/>
                <w:sz w:val="18"/>
                <w:szCs w:val="18"/>
                <w:b w:val="1"/>
                <w:bCs w:val="1"/>
                <w:color w:val="auto"/>
              </w:rPr>
              <w:t>PART II — OTHER INFORMATION</w:t>
            </w:r>
          </w:p>
        </w:tc>
        <w:tc>
          <w:tcPr>
            <w:tcW w:w="3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060" w:type="dxa"/>
            <w:vAlign w:val="bottom"/>
          </w:tcPr>
          <w:p>
            <w:pPr>
              <w:ind w:left="20"/>
              <w:spacing w:after="0" w:line="190" w:lineRule="exact"/>
              <w:rPr>
                <w:sz w:val="20"/>
                <w:szCs w:val="20"/>
                <w:color w:val="auto"/>
              </w:rPr>
            </w:pPr>
            <w:r>
              <w:rPr>
                <w:rFonts w:ascii="Arial" w:cs="Arial" w:eastAsia="Arial" w:hAnsi="Arial"/>
                <w:sz w:val="18"/>
                <w:szCs w:val="18"/>
                <w:color w:val="auto"/>
              </w:rPr>
              <w:t>ITEM 1.</w:t>
            </w:r>
          </w:p>
        </w:tc>
        <w:tc>
          <w:tcPr>
            <w:tcW w:w="1880" w:type="dxa"/>
            <w:vAlign w:val="bottom"/>
            <w:gridSpan w:val="4"/>
          </w:tcPr>
          <w:p>
            <w:pPr>
              <w:spacing w:after="0" w:line="190" w:lineRule="exact"/>
              <w:rPr>
                <w:rFonts w:ascii="Arial" w:cs="Arial" w:eastAsia="Arial" w:hAnsi="Arial"/>
                <w:sz w:val="18"/>
                <w:szCs w:val="18"/>
                <w:color w:val="0000FF"/>
                <w:w w:val="94"/>
              </w:rPr>
            </w:pPr>
            <w:hyperlink w:anchor="page75">
              <w:r>
                <w:rPr>
                  <w:rFonts w:ascii="Arial" w:cs="Arial" w:eastAsia="Arial" w:hAnsi="Arial"/>
                  <w:sz w:val="18"/>
                  <w:szCs w:val="18"/>
                  <w:color w:val="0000FF"/>
                  <w:w w:val="94"/>
                </w:rPr>
                <w:t>LEGAL PROCEEDINGS</w:t>
              </w:r>
            </w:hyperlink>
          </w:p>
        </w:tc>
        <w:tc>
          <w:tcPr>
            <w:tcW w:w="7520" w:type="dxa"/>
            <w:vAlign w:val="bottom"/>
            <w:gridSpan w:val="10"/>
          </w:tcPr>
          <w:p>
            <w:pPr>
              <w:spacing w:after="0"/>
              <w:rPr>
                <w:sz w:val="16"/>
                <w:szCs w:val="16"/>
                <w:color w:val="auto"/>
              </w:rPr>
            </w:pPr>
          </w:p>
        </w:tc>
        <w:tc>
          <w:tcPr>
            <w:tcW w:w="780" w:type="dxa"/>
            <w:vAlign w:val="bottom"/>
            <w:gridSpan w:val="3"/>
          </w:tcPr>
          <w:p>
            <w:pPr>
              <w:jc w:val="center"/>
              <w:spacing w:after="0" w:line="190"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2.</w:t>
            </w:r>
          </w:p>
        </w:tc>
        <w:tc>
          <w:tcPr>
            <w:tcW w:w="6080" w:type="dxa"/>
            <w:vAlign w:val="bottom"/>
            <w:gridSpan w:val="7"/>
          </w:tcPr>
          <w:p>
            <w:pPr>
              <w:spacing w:after="0"/>
              <w:rPr>
                <w:rFonts w:ascii="Arial" w:cs="Arial" w:eastAsia="Arial" w:hAnsi="Arial"/>
                <w:sz w:val="18"/>
                <w:szCs w:val="18"/>
                <w:color w:val="0000FF"/>
                <w:w w:val="94"/>
              </w:rPr>
            </w:pPr>
            <w:hyperlink w:anchor="page75">
              <w:r>
                <w:rPr>
                  <w:rFonts w:ascii="Arial" w:cs="Arial" w:eastAsia="Arial" w:hAnsi="Arial"/>
                  <w:sz w:val="18"/>
                  <w:szCs w:val="18"/>
                  <w:color w:val="0000FF"/>
                  <w:w w:val="94"/>
                </w:rPr>
                <w:t>UNREGISTERED SALES OF EQUITY SECURITIES AND USE OF PROCEEDS</w:t>
              </w:r>
            </w:hyperlink>
          </w:p>
        </w:tc>
        <w:tc>
          <w:tcPr>
            <w:tcW w:w="3320" w:type="dxa"/>
            <w:vAlign w:val="bottom"/>
            <w:gridSpan w:val="7"/>
          </w:tcPr>
          <w:p>
            <w:pPr>
              <w:spacing w:after="0"/>
              <w:rPr>
                <w:sz w:val="18"/>
                <w:szCs w:val="18"/>
                <w:color w:val="auto"/>
              </w:rPr>
            </w:pPr>
          </w:p>
        </w:tc>
        <w:tc>
          <w:tcPr>
            <w:tcW w:w="780" w:type="dxa"/>
            <w:vAlign w:val="bottom"/>
            <w:gridSpan w:val="3"/>
          </w:tcPr>
          <w:p>
            <w:pPr>
              <w:jc w:val="cente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6.</w:t>
            </w:r>
          </w:p>
        </w:tc>
        <w:tc>
          <w:tcPr>
            <w:tcW w:w="6080" w:type="dxa"/>
            <w:vAlign w:val="bottom"/>
            <w:gridSpan w:val="7"/>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EXHIBITS</w:t>
              </w:r>
            </w:hyperlink>
          </w:p>
        </w:tc>
        <w:tc>
          <w:tcPr>
            <w:tcW w:w="3320" w:type="dxa"/>
            <w:vAlign w:val="bottom"/>
            <w:gridSpan w:val="7"/>
          </w:tcPr>
          <w:p>
            <w:pPr>
              <w:spacing w:after="0"/>
              <w:rPr>
                <w:sz w:val="18"/>
                <w:szCs w:val="18"/>
                <w:color w:val="auto"/>
              </w:rPr>
            </w:pPr>
          </w:p>
        </w:tc>
        <w:tc>
          <w:tcPr>
            <w:tcW w:w="780" w:type="dxa"/>
            <w:vAlign w:val="bottom"/>
            <w:gridSpan w:val="3"/>
          </w:tcPr>
          <w:p>
            <w:pPr>
              <w:jc w:val="cente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1243"/>
        </w:trPr>
        <w:tc>
          <w:tcPr>
            <w:tcW w:w="106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240" w:type="dxa"/>
            <w:vAlign w:val="bottom"/>
          </w:tcPr>
          <w:p>
            <w:pPr>
              <w:jc w:val="right"/>
              <w:ind w:right="13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3"/>
        </w:trPr>
        <w:tc>
          <w:tcPr>
            <w:tcW w:w="8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4"/>
          </w:tcPr>
          <w:p>
            <w:pPr>
              <w:jc w:val="right"/>
              <w:ind w:right="101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86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1,327.2</w:t>
            </w: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Trade receivables, net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1,090.7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 (measured at fair value on a recurring basis) (note 5)</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1,600.2</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 (notes 3, 4, 5 and 6)</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831.0</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4,849.1</w:t>
            </w:r>
          </w:p>
        </w:tc>
        <w:tc>
          <w:tcPr>
            <w:tcW w:w="0" w:type="dxa"/>
            <w:vAlign w:val="bottom"/>
          </w:tcPr>
          <w:p>
            <w:pPr>
              <w:spacing w:after="0"/>
              <w:rPr>
                <w:sz w:val="1"/>
                <w:szCs w:val="1"/>
                <w:color w:val="auto"/>
              </w:rPr>
            </w:pPr>
          </w:p>
        </w:tc>
      </w:tr>
      <w:tr>
        <w:trPr>
          <w:trHeight w:val="175"/>
        </w:trPr>
        <w:tc>
          <w:tcPr>
            <w:tcW w:w="8320" w:type="dxa"/>
            <w:vAlign w:val="bottom"/>
          </w:tcPr>
          <w:p>
            <w:pPr>
              <w:ind w:left="20"/>
              <w:spacing w:after="0" w:line="176" w:lineRule="exact"/>
              <w:rPr>
                <w:sz w:val="20"/>
                <w:szCs w:val="20"/>
                <w:color w:val="auto"/>
              </w:rPr>
            </w:pPr>
            <w:r>
              <w:rPr>
                <w:rFonts w:ascii="Arial" w:cs="Arial" w:eastAsia="Arial" w:hAnsi="Arial"/>
                <w:sz w:val="18"/>
                <w:szCs w:val="18"/>
                <w:color w:val="auto"/>
                <w:w w:val="91"/>
              </w:rPr>
              <w:t>Investments and related notes receivable (including $2,057.3 million and $1,865.8 million, respectively, measured</w:t>
            </w:r>
          </w:p>
        </w:tc>
        <w:tc>
          <w:tcPr>
            <w:tcW w:w="2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5,425.0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5,354.5</w:t>
            </w:r>
          </w:p>
        </w:tc>
        <w:tc>
          <w:tcPr>
            <w:tcW w:w="0" w:type="dxa"/>
            <w:vAlign w:val="bottom"/>
          </w:tcPr>
          <w:p>
            <w:pPr>
              <w:spacing w:after="0"/>
              <w:rPr>
                <w:sz w:val="1"/>
                <w:szCs w:val="1"/>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at fair value on a recurring basis) (note 5)</w:t>
            </w:r>
          </w:p>
        </w:tc>
        <w:tc>
          <w:tcPr>
            <w:tcW w:w="2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(notes 8 and 10)</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8,054.1</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Goodwill (note 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9,906.4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10,466.7</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 net (note 8)</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2,886.0</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Assets held for sale (note 4)</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24,954.4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24,282.7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 (notes 3, 4, 6, 8 and 10)</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3,199.6</w:t>
            </w:r>
          </w:p>
        </w:tc>
        <w:tc>
          <w:tcPr>
            <w:tcW w:w="0" w:type="dxa"/>
            <w:vAlign w:val="bottom"/>
          </w:tcPr>
          <w:p>
            <w:pPr>
              <w:spacing w:after="0"/>
              <w:rPr>
                <w:sz w:val="1"/>
                <w:szCs w:val="1"/>
                <w:color w:val="auto"/>
              </w:rPr>
            </w:pP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57,447.4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59,092.7</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5"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22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3"/>
        </w:trPr>
        <w:tc>
          <w:tcPr>
            <w:tcW w:w="8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8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right"/>
              <w:ind w:right="97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316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Deferred revenue (note 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debt and finance lease obligations (notes 9 and 10)</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0" w:type="dxa"/>
            <w:vAlign w:val="bottom"/>
          </w:tcPr>
          <w:p>
            <w:pPr>
              <w:spacing w:after="0"/>
              <w:rPr>
                <w:sz w:val="1"/>
                <w:szCs w:val="1"/>
                <w:color w:val="auto"/>
              </w:rPr>
            </w:pP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Accrued income taxes (note 11)</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6)</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and current liabilities (note 10)</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1,781.2</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4,467.0</w:t>
            </w: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Long-term debt and finance lease obligations (notes 9 and 10)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13,245.4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13,867.3</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associated with assets held for sale (note 4)</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23,197.2</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 (notes 3, 6 and 10)</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4,262.8</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45,794.3</w:t>
            </w:r>
          </w:p>
        </w:tc>
        <w:tc>
          <w:tcPr>
            <w:tcW w:w="0" w:type="dxa"/>
            <w:vAlign w:val="bottom"/>
          </w:tcPr>
          <w:p>
            <w:pPr>
              <w:spacing w:after="0"/>
              <w:rPr>
                <w:sz w:val="1"/>
                <w:szCs w:val="1"/>
                <w:color w:val="auto"/>
              </w:rPr>
            </w:pPr>
          </w:p>
        </w:tc>
      </w:tr>
      <w:tr>
        <w:trPr>
          <w:trHeight w:val="142"/>
        </w:trPr>
        <w:tc>
          <w:tcPr>
            <w:tcW w:w="8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(notes 6, 9, 11 and 15)</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(note 12):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Liberty Global shareholders: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Class A ordinary shares, $0.01 nominal value. Issued and outstanding 180,988,130 shares and 181,348,114</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respectively</w:t>
            </w:r>
          </w:p>
        </w:tc>
        <w:tc>
          <w:tcPr>
            <w:tcW w:w="2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80" w:type="dxa"/>
            <w:vAlign w:val="bottom"/>
          </w:tcPr>
          <w:p>
            <w:pPr>
              <w:ind w:left="220"/>
              <w:spacing w:after="0" w:line="176" w:lineRule="exact"/>
              <w:rPr>
                <w:sz w:val="20"/>
                <w:szCs w:val="20"/>
                <w:color w:val="auto"/>
              </w:rPr>
            </w:pPr>
            <w:r>
              <w:rPr>
                <w:rFonts w:ascii="Arial" w:cs="Arial" w:eastAsia="Arial" w:hAnsi="Arial"/>
                <w:sz w:val="18"/>
                <w:szCs w:val="18"/>
                <w:color w:val="auto"/>
                <w:w w:val="89"/>
              </w:rPr>
              <w:t>Class B ordinary shares, $0.01 nominal value. Issued and outstanding 12,561,294 shares and 12,561,444 shares,</w:t>
            </w:r>
          </w:p>
        </w:tc>
        <w:tc>
          <w:tcPr>
            <w:tcW w:w="2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38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Class C ordinary shares, $0.01 nominal value. Issued and outstanding 374,982,853 shares and 386,588,921</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respectively</w:t>
            </w:r>
          </w:p>
        </w:tc>
        <w:tc>
          <w:tcPr>
            <w:tcW w:w="2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5,271.7</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earnings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4,692.1</w:t>
            </w:r>
          </w:p>
        </w:tc>
        <w:tc>
          <w:tcPr>
            <w:tcW w:w="0" w:type="dxa"/>
            <w:vAlign w:val="bottom"/>
          </w:tcPr>
          <w:p>
            <w:pPr>
              <w:spacing w:after="0"/>
              <w:rPr>
                <w:sz w:val="1"/>
                <w:szCs w:val="1"/>
                <w:color w:val="auto"/>
              </w:rPr>
            </w:pPr>
          </w:p>
        </w:tc>
      </w:tr>
      <w:tr>
        <w:trPr>
          <w:trHeight w:val="230"/>
        </w:trPr>
        <w:tc>
          <w:tcPr>
            <w:tcW w:w="8380" w:type="dxa"/>
            <w:vAlign w:val="bottom"/>
          </w:tcPr>
          <w:p>
            <w:pPr>
              <w:ind w:left="220"/>
              <w:spacing w:after="0"/>
              <w:rPr>
                <w:sz w:val="20"/>
                <w:szCs w:val="20"/>
                <w:color w:val="auto"/>
              </w:rPr>
            </w:pPr>
            <w:r>
              <w:rPr>
                <w:rFonts w:ascii="Arial" w:cs="Arial" w:eastAsia="Arial" w:hAnsi="Arial"/>
                <w:sz w:val="18"/>
                <w:szCs w:val="18"/>
                <w:color w:val="auto"/>
              </w:rPr>
              <w:t>Accumulated other comprehensive earnings, net of taxes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3,693.1</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shares, at cost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8380" w:type="dxa"/>
            <w:vAlign w:val="bottom"/>
          </w:tcPr>
          <w:p>
            <w:pPr>
              <w:ind w:left="480"/>
              <w:spacing w:after="0"/>
              <w:rPr>
                <w:sz w:val="20"/>
                <w:szCs w:val="20"/>
                <w:color w:val="auto"/>
              </w:rPr>
            </w:pPr>
            <w:r>
              <w:rPr>
                <w:rFonts w:ascii="Arial" w:cs="Arial" w:eastAsia="Arial" w:hAnsi="Arial"/>
                <w:sz w:val="18"/>
                <w:szCs w:val="18"/>
                <w:color w:val="auto"/>
              </w:rPr>
              <w:t>Total Liberty Global shareholders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13,662.6</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13,298.4</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59,092.7</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gridSpan w:val="4"/>
          </w:tcPr>
          <w:p>
            <w:pPr>
              <w:jc w:val="center"/>
              <w:ind w:right="150"/>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9"/>
        </w:trPr>
        <w:tc>
          <w:tcPr>
            <w:tcW w:w="7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ind w:left="811"/>
              <w:spacing w:after="0"/>
              <w:rPr>
                <w:sz w:val="20"/>
                <w:szCs w:val="20"/>
                <w:color w:val="auto"/>
              </w:rPr>
            </w:pPr>
            <w:r>
              <w:rPr>
                <w:rFonts w:ascii="Arial" w:cs="Arial" w:eastAsia="Arial" w:hAnsi="Arial"/>
                <w:sz w:val="16"/>
                <w:szCs w:val="16"/>
                <w:b w:val="1"/>
                <w:bCs w:val="1"/>
                <w:color w:val="auto"/>
                <w:w w:val="94"/>
              </w:rPr>
              <w:t>March 31,</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7"/>
        </w:trPr>
        <w:tc>
          <w:tcPr>
            <w:tcW w:w="7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00" w:type="dxa"/>
            <w:vAlign w:val="bottom"/>
            <w:gridSpan w:val="4"/>
          </w:tcPr>
          <w:p>
            <w:pPr>
              <w:jc w:val="center"/>
              <w:ind w:right="150"/>
              <w:spacing w:after="0"/>
              <w:rPr>
                <w:sz w:val="20"/>
                <w:szCs w:val="20"/>
                <w:color w:val="auto"/>
              </w:rPr>
            </w:pPr>
            <w:r>
              <w:rPr>
                <w:rFonts w:ascii="Arial" w:cs="Arial" w:eastAsia="Arial" w:hAnsi="Arial"/>
                <w:sz w:val="16"/>
                <w:szCs w:val="16"/>
                <w:b w:val="1"/>
                <w:bCs w:val="1"/>
                <w:color w:val="auto"/>
                <w:w w:val="90"/>
              </w:rPr>
              <w:t>in millions, except per share amounts</w:t>
            </w:r>
          </w:p>
        </w:tc>
        <w:tc>
          <w:tcPr>
            <w:tcW w:w="0" w:type="dxa"/>
            <w:vAlign w:val="bottom"/>
          </w:tcPr>
          <w:p>
            <w:pPr>
              <w:spacing w:after="0"/>
              <w:rPr>
                <w:sz w:val="1"/>
                <w:szCs w:val="1"/>
                <w:color w:val="auto"/>
              </w:rPr>
            </w:pPr>
          </w:p>
        </w:tc>
      </w:tr>
      <w:tr>
        <w:trPr>
          <w:trHeight w:val="208"/>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(notes 3, 4, 5 and 16)</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2,875.8</w:t>
            </w: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8"/>
                <w:szCs w:val="18"/>
                <w:color w:val="auto"/>
                <w:w w:val="97"/>
              </w:rPr>
              <w:t>Operating costs and expenses (exclusive of depreciation and amortization, shown separately below):</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Programming and other direct costs of services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0" w:type="dxa"/>
            <w:vAlign w:val="bottom"/>
          </w:tcPr>
          <w:p>
            <w:pPr>
              <w:spacing w:after="0"/>
              <w:rPr>
                <w:sz w:val="1"/>
                <w:szCs w:val="1"/>
                <w:color w:val="auto"/>
              </w:rPr>
            </w:pPr>
          </w:p>
        </w:tc>
      </w:tr>
      <w:tr>
        <w:trPr>
          <w:trHeight w:val="229"/>
        </w:trPr>
        <w:tc>
          <w:tcPr>
            <w:tcW w:w="7900" w:type="dxa"/>
            <w:vAlign w:val="bottom"/>
          </w:tcPr>
          <w:p>
            <w:pPr>
              <w:ind w:left="140"/>
              <w:spacing w:after="0"/>
              <w:rPr>
                <w:sz w:val="20"/>
                <w:szCs w:val="20"/>
                <w:color w:val="auto"/>
              </w:rPr>
            </w:pPr>
            <w:r>
              <w:rPr>
                <w:rFonts w:ascii="Arial" w:cs="Arial" w:eastAsia="Arial" w:hAnsi="Arial"/>
                <w:sz w:val="18"/>
                <w:szCs w:val="18"/>
                <w:color w:val="auto"/>
              </w:rPr>
              <w:t>Other operating (note 13)</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 13)</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783.5</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restructuring and other operating items, net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2,595.2</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29"/>
        </w:trPr>
        <w:tc>
          <w:tcPr>
            <w:tcW w:w="7900" w:type="dxa"/>
            <w:vAlign w:val="bottom"/>
          </w:tcPr>
          <w:p>
            <w:pPr>
              <w:ind w:left="140"/>
              <w:spacing w:after="0"/>
              <w:rPr>
                <w:sz w:val="20"/>
                <w:szCs w:val="20"/>
                <w:color w:val="auto"/>
              </w:rPr>
            </w:pPr>
            <w:r>
              <w:rPr>
                <w:rFonts w:ascii="Arial" w:cs="Arial" w:eastAsia="Arial" w:hAnsi="Arial"/>
                <w:sz w:val="18"/>
                <w:szCs w:val="18"/>
                <w:color w:val="auto"/>
              </w:rPr>
              <w:t>Realized and unrealized gains on derivative instruments, net (note 6)</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1,237.3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transaction gains, net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175"/>
        </w:trPr>
        <w:tc>
          <w:tcPr>
            <w:tcW w:w="7900" w:type="dxa"/>
            <w:vAlign w:val="bottom"/>
          </w:tcPr>
          <w:p>
            <w:pPr>
              <w:ind w:left="140"/>
              <w:spacing w:after="0" w:line="176" w:lineRule="exact"/>
              <w:rPr>
                <w:sz w:val="20"/>
                <w:szCs w:val="20"/>
                <w:color w:val="auto"/>
              </w:rPr>
            </w:pPr>
            <w:r>
              <w:rPr>
                <w:rFonts w:ascii="Arial" w:cs="Arial" w:eastAsia="Arial" w:hAnsi="Arial"/>
                <w:sz w:val="18"/>
                <w:szCs w:val="18"/>
                <w:color w:val="auto"/>
                <w:w w:val="92"/>
              </w:rPr>
              <w:t>Realized and unrealized gains (losses) due to changes in fair values of certain investments and debt, net</w:t>
            </w:r>
          </w:p>
        </w:tc>
        <w:tc>
          <w:tcPr>
            <w:tcW w:w="2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30"/>
        </w:trPr>
        <w:tc>
          <w:tcPr>
            <w:tcW w:w="7900" w:type="dxa"/>
            <w:vAlign w:val="bottom"/>
          </w:tcPr>
          <w:p>
            <w:pPr>
              <w:ind w:left="300"/>
              <w:spacing w:after="0"/>
              <w:rPr>
                <w:sz w:val="20"/>
                <w:szCs w:val="20"/>
                <w:color w:val="auto"/>
              </w:rPr>
            </w:pPr>
            <w:r>
              <w:rPr>
                <w:rFonts w:ascii="Arial" w:cs="Arial" w:eastAsia="Arial" w:hAnsi="Arial"/>
                <w:sz w:val="18"/>
                <w:szCs w:val="18"/>
                <w:color w:val="auto"/>
              </w:rPr>
              <w:t>(notes 5, 7 and 9)</w:t>
            </w: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on debt extinguishment, net (note 9)</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Share of results of affiliates, net (note 5)</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Earnings before income taxes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(note 11)</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1,017.7</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earnings attributable to Liberty Global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attributable to Liberty Global shareholders per share (note 14)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attributable to Liberty Global shareholders per share (note 14)</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3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Three months ended</w:t>
            </w:r>
          </w:p>
        </w:tc>
      </w:tr>
      <w:tr>
        <w:trPr>
          <w:trHeight w:val="219"/>
        </w:trPr>
        <w:tc>
          <w:tcPr>
            <w:tcW w:w="79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left="72"/>
              <w:spacing w:after="0"/>
              <w:rPr>
                <w:sz w:val="20"/>
                <w:szCs w:val="20"/>
                <w:color w:val="auto"/>
              </w:rPr>
            </w:pPr>
            <w:r>
              <w:rPr>
                <w:rFonts w:ascii="Arial" w:cs="Arial" w:eastAsia="Arial" w:hAnsi="Arial"/>
                <w:sz w:val="16"/>
                <w:szCs w:val="16"/>
                <w:b w:val="1"/>
                <w:bCs w:val="1"/>
                <w:color w:val="auto"/>
                <w:w w:val="94"/>
              </w:rPr>
              <w:t>March 31,</w:t>
            </w:r>
          </w:p>
        </w:tc>
        <w:tc>
          <w:tcPr>
            <w:tcW w:w="1140" w:type="dxa"/>
            <w:vAlign w:val="bottom"/>
            <w:tcBorders>
              <w:bottom w:val="single" w:sz="8" w:color="auto"/>
            </w:tcBorders>
          </w:tcPr>
          <w:p>
            <w:pPr>
              <w:spacing w:after="0"/>
              <w:rPr>
                <w:sz w:val="19"/>
                <w:szCs w:val="19"/>
                <w:color w:val="auto"/>
              </w:rPr>
            </w:pPr>
          </w:p>
        </w:tc>
      </w:tr>
      <w:tr>
        <w:trPr>
          <w:trHeight w:val="210"/>
        </w:trPr>
        <w:tc>
          <w:tcPr>
            <w:tcW w:w="79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r>
      <w:tr>
        <w:trPr>
          <w:trHeight w:val="207"/>
        </w:trPr>
        <w:tc>
          <w:tcPr>
            <w:tcW w:w="7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gridSpan w:val="3"/>
          </w:tcPr>
          <w:p>
            <w:pPr>
              <w:jc w:val="center"/>
              <w:ind w:left="52"/>
              <w:spacing w:after="0"/>
              <w:rPr>
                <w:sz w:val="20"/>
                <w:szCs w:val="20"/>
                <w:color w:val="auto"/>
              </w:rPr>
            </w:pPr>
            <w:r>
              <w:rPr>
                <w:rFonts w:ascii="Arial" w:cs="Arial" w:eastAsia="Arial" w:hAnsi="Arial"/>
                <w:sz w:val="16"/>
                <w:szCs w:val="16"/>
                <w:b w:val="1"/>
                <w:bCs w:val="1"/>
                <w:color w:val="auto"/>
                <w:w w:val="90"/>
              </w:rPr>
              <w:t>in millions</w:t>
            </w:r>
          </w:p>
        </w:tc>
        <w:tc>
          <w:tcPr>
            <w:tcW w:w="1140" w:type="dxa"/>
            <w:vAlign w:val="bottom"/>
          </w:tcPr>
          <w:p>
            <w:pPr>
              <w:spacing w:after="0"/>
              <w:rPr>
                <w:sz w:val="17"/>
                <w:szCs w:val="17"/>
                <w:color w:val="auto"/>
              </w:rPr>
            </w:pPr>
          </w:p>
        </w:tc>
      </w:tr>
      <w:tr>
        <w:trPr>
          <w:trHeight w:val="222"/>
        </w:trPr>
        <w:tc>
          <w:tcPr>
            <w:tcW w:w="7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1,440.3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1,017.7</w:t>
            </w:r>
          </w:p>
        </w:tc>
      </w:tr>
      <w:tr>
        <w:trPr>
          <w:trHeight w:val="209"/>
        </w:trPr>
        <w:tc>
          <w:tcPr>
            <w:tcW w:w="7900" w:type="dxa"/>
            <w:vAlign w:val="bottom"/>
          </w:tcPr>
          <w:p>
            <w:pPr>
              <w:jc w:val="right"/>
              <w:ind w:right="4950"/>
              <w:spacing w:after="0"/>
              <w:rPr>
                <w:sz w:val="20"/>
                <w:szCs w:val="20"/>
                <w:color w:val="auto"/>
              </w:rPr>
            </w:pPr>
            <w:r>
              <w:rPr>
                <w:rFonts w:ascii="Arial" w:cs="Arial" w:eastAsia="Arial" w:hAnsi="Arial"/>
                <w:sz w:val="18"/>
                <w:szCs w:val="18"/>
                <w:color w:val="auto"/>
                <w:w w:val="89"/>
              </w:rPr>
              <w:t>Other comprehensive loss, net of taxes:</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(1,070.9)</w:t>
            </w:r>
          </w:p>
        </w:tc>
      </w:tr>
      <w:tr>
        <w:trPr>
          <w:trHeight w:val="229"/>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Pension-related adjustments and other</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comprehensive loss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(1,073.2)</w:t>
            </w:r>
          </w:p>
        </w:tc>
      </w:tr>
      <w:tr>
        <w:trPr>
          <w:trHeight w:val="229"/>
        </w:trPr>
        <w:tc>
          <w:tcPr>
            <w:tcW w:w="7900" w:type="dxa"/>
            <w:vAlign w:val="bottom"/>
          </w:tcPr>
          <w:p>
            <w:pPr>
              <w:jc w:val="right"/>
              <w:ind w:right="4950"/>
              <w:spacing w:after="0"/>
              <w:rPr>
                <w:sz w:val="20"/>
                <w:szCs w:val="20"/>
                <w:color w:val="auto"/>
              </w:rPr>
            </w:pPr>
            <w:r>
              <w:rPr>
                <w:rFonts w:ascii="Arial" w:cs="Arial" w:eastAsia="Arial" w:hAnsi="Arial"/>
                <w:sz w:val="18"/>
                <w:szCs w:val="18"/>
                <w:color w:val="auto"/>
              </w:rPr>
              <w:t>Comprehensive earnings (loss)</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earnings attributable to noncontrolling interests</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23"/>
        </w:trPr>
        <w:tc>
          <w:tcPr>
            <w:tcW w:w="7900" w:type="dxa"/>
            <w:vAlign w:val="bottom"/>
          </w:tcPr>
          <w:p>
            <w:pPr>
              <w:ind w:left="520"/>
              <w:spacing w:after="0"/>
              <w:rPr>
                <w:sz w:val="20"/>
                <w:szCs w:val="20"/>
                <w:color w:val="auto"/>
              </w:rPr>
            </w:pPr>
            <w:r>
              <w:rPr>
                <w:rFonts w:ascii="Arial" w:cs="Arial" w:eastAsia="Arial" w:hAnsi="Arial"/>
                <w:sz w:val="18"/>
                <w:szCs w:val="18"/>
                <w:color w:val="auto"/>
              </w:rPr>
              <w:t>Comprehensive earnings (loss) attributable to Liberty Global shareholders</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r>
      <w:tr>
        <w:trPr>
          <w:trHeight w:val="21"/>
        </w:trPr>
        <w:tc>
          <w:tcPr>
            <w:tcW w:w="7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6"/>
                <w:szCs w:val="16"/>
                <w:b w:val="1"/>
                <w:bCs w:val="1"/>
                <w:color w:val="auto"/>
                <w:w w:val="91"/>
              </w:rPr>
              <w:t>Liberty Global shareholders</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89"/>
              </w:rPr>
              <w:t>Accumulated</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Total</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4"/>
              </w:rPr>
              <w:t>other</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Treasury</w:t>
            </w:r>
          </w:p>
        </w:tc>
        <w:tc>
          <w:tcPr>
            <w:tcW w:w="1020" w:type="dxa"/>
            <w:vAlign w:val="bottom"/>
            <w:gridSpan w:val="2"/>
            <w:vMerge w:val="continue"/>
          </w:tcPr>
          <w:p>
            <w:pPr>
              <w:spacing w:after="0"/>
              <w:rPr>
                <w:sz w:val="14"/>
                <w:szCs w:val="14"/>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3"/>
              </w:rPr>
              <w:t>Non-</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96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2"/>
              </w:rPr>
              <w:t>Ordinary shares</w:t>
            </w:r>
          </w:p>
        </w:tc>
        <w:tc>
          <w:tcPr>
            <w:tcW w:w="80" w:type="dxa"/>
            <w:vAlign w:val="bottom"/>
            <w:vMerge w:val="restart"/>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6"/>
              </w:rPr>
              <w:t>comprehensive</w:t>
            </w:r>
          </w:p>
        </w:tc>
        <w:tc>
          <w:tcPr>
            <w:tcW w:w="760" w:type="dxa"/>
            <w:vAlign w:val="bottom"/>
            <w:gridSpan w:val="2"/>
            <w:vMerge w:val="continue"/>
          </w:tcPr>
          <w:p>
            <w:pPr>
              <w:spacing w:after="0"/>
              <w:rPr>
                <w:sz w:val="14"/>
                <w:szCs w:val="14"/>
                <w:color w:val="auto"/>
              </w:rPr>
            </w:pPr>
          </w:p>
        </w:tc>
        <w:tc>
          <w:tcPr>
            <w:tcW w:w="10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7"/>
              </w:rPr>
              <w:t>Liberty</w:t>
            </w:r>
          </w:p>
        </w:tc>
        <w:tc>
          <w:tcPr>
            <w:tcW w:w="86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2"/>
                <w:szCs w:val="12"/>
                <w:color w:val="auto"/>
              </w:rPr>
            </w:pPr>
          </w:p>
        </w:tc>
        <w:tc>
          <w:tcPr>
            <w:tcW w:w="1960" w:type="dxa"/>
            <w:vAlign w:val="bottom"/>
            <w:tcBorders>
              <w:bottom w:val="single" w:sz="8" w:color="auto"/>
            </w:tcBorders>
            <w:gridSpan w:val="5"/>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gridSpan w:val="2"/>
          </w:tcPr>
          <w:p>
            <w:pPr>
              <w:jc w:val="center"/>
              <w:ind w:right="80"/>
              <w:spacing w:after="0" w:line="142" w:lineRule="exact"/>
              <w:rPr>
                <w:sz w:val="20"/>
                <w:szCs w:val="20"/>
                <w:color w:val="auto"/>
              </w:rPr>
            </w:pPr>
            <w:r>
              <w:rPr>
                <w:rFonts w:ascii="Arial" w:cs="Arial" w:eastAsia="Arial" w:hAnsi="Arial"/>
                <w:sz w:val="16"/>
                <w:szCs w:val="16"/>
                <w:b w:val="1"/>
                <w:bCs w:val="1"/>
                <w:color w:val="auto"/>
                <w:w w:val="95"/>
              </w:rPr>
              <w:t>paid-in</w:t>
            </w:r>
          </w:p>
        </w:tc>
        <w:tc>
          <w:tcPr>
            <w:tcW w:w="96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89"/>
              </w:rPr>
              <w:t>Accumulated</w:t>
            </w:r>
          </w:p>
        </w:tc>
        <w:tc>
          <w:tcPr>
            <w:tcW w:w="80" w:type="dxa"/>
            <w:vAlign w:val="bottom"/>
          </w:tcPr>
          <w:p>
            <w:pPr>
              <w:spacing w:after="0"/>
              <w:rPr>
                <w:sz w:val="12"/>
                <w:szCs w:val="12"/>
                <w:color w:val="auto"/>
              </w:rPr>
            </w:pPr>
          </w:p>
        </w:tc>
        <w:tc>
          <w:tcPr>
            <w:tcW w:w="118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90"/>
              </w:rPr>
              <w:t>earnings, net</w:t>
            </w:r>
          </w:p>
        </w:tc>
        <w:tc>
          <w:tcPr>
            <w:tcW w:w="760" w:type="dxa"/>
            <w:vAlign w:val="bottom"/>
            <w:gridSpan w:val="2"/>
          </w:tcPr>
          <w:p>
            <w:pPr>
              <w:jc w:val="center"/>
              <w:ind w:right="80"/>
              <w:spacing w:after="0" w:line="142" w:lineRule="exact"/>
              <w:rPr>
                <w:sz w:val="20"/>
                <w:szCs w:val="20"/>
                <w:color w:val="auto"/>
              </w:rPr>
            </w:pPr>
            <w:r>
              <w:rPr>
                <w:rFonts w:ascii="Arial" w:cs="Arial" w:eastAsia="Arial" w:hAnsi="Arial"/>
                <w:sz w:val="16"/>
                <w:szCs w:val="16"/>
                <w:b w:val="1"/>
                <w:bCs w:val="1"/>
                <w:color w:val="auto"/>
                <w:w w:val="85"/>
              </w:rPr>
              <w:t>shares,</w:t>
            </w:r>
          </w:p>
        </w:tc>
        <w:tc>
          <w:tcPr>
            <w:tcW w:w="1020" w:type="dxa"/>
            <w:vAlign w:val="bottom"/>
            <w:gridSpan w:val="2"/>
          </w:tcPr>
          <w:p>
            <w:pPr>
              <w:jc w:val="center"/>
              <w:ind w:right="80"/>
              <w:spacing w:after="0" w:line="142"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2"/>
          </w:tcPr>
          <w:p>
            <w:pPr>
              <w:jc w:val="center"/>
              <w:ind w:right="80"/>
              <w:spacing w:after="0" w:line="142" w:lineRule="exact"/>
              <w:rPr>
                <w:sz w:val="20"/>
                <w:szCs w:val="20"/>
                <w:color w:val="auto"/>
              </w:rPr>
            </w:pPr>
            <w:r>
              <w:rPr>
                <w:rFonts w:ascii="Arial" w:cs="Arial" w:eastAsia="Arial" w:hAnsi="Arial"/>
                <w:sz w:val="16"/>
                <w:szCs w:val="16"/>
                <w:b w:val="1"/>
                <w:bCs w:val="1"/>
                <w:color w:val="auto"/>
                <w:w w:val="89"/>
              </w:rPr>
              <w:t>controlling</w:t>
            </w:r>
          </w:p>
        </w:tc>
        <w:tc>
          <w:tcPr>
            <w:tcW w:w="820" w:type="dxa"/>
            <w:vAlign w:val="bottom"/>
          </w:tcPr>
          <w:p>
            <w:pPr>
              <w:jc w:val="right"/>
              <w:ind w:right="132"/>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660" w:type="dxa"/>
            <w:vAlign w:val="bottom"/>
          </w:tcPr>
          <w:p>
            <w:pPr>
              <w:spacing w:after="0"/>
              <w:rPr>
                <w:sz w:val="17"/>
                <w:szCs w:val="17"/>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Class A</w:t>
            </w:r>
          </w:p>
        </w:tc>
        <w:tc>
          <w:tcPr>
            <w:tcW w:w="6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88"/>
              </w:rPr>
              <w:t>Class B</w:t>
            </w: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Class C</w:t>
            </w:r>
          </w:p>
        </w:tc>
        <w:tc>
          <w:tcPr>
            <w:tcW w:w="8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6"/>
                <w:szCs w:val="16"/>
                <w:b w:val="1"/>
                <w:bCs w:val="1"/>
                <w:color w:val="auto"/>
                <w:w w:val="94"/>
              </w:rPr>
              <w:t>capital</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earnings</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9"/>
              </w:rPr>
              <w:t>of taxes</w:t>
            </w: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85"/>
              </w:rPr>
              <w:t>at cost</w:t>
            </w: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7"/>
              </w:rPr>
              <w:t>shareholders</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86"/>
              </w:rPr>
              <w:t>interests</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7"/>
        </w:trPr>
        <w:tc>
          <w:tcPr>
            <w:tcW w:w="2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gridSpan w:val="4"/>
          </w:tcPr>
          <w:p>
            <w:pPr>
              <w:ind w:left="80"/>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13,575.9</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13,168.5</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949.8</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1,017.7</w:t>
            </w: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Other comprehensive loss, net of</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(1,073.2)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68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140"/>
              <w:spacing w:after="0" w:line="176" w:lineRule="exact"/>
              <w:rPr>
                <w:sz w:val="20"/>
                <w:szCs w:val="20"/>
                <w:color w:val="auto"/>
              </w:rPr>
            </w:pPr>
            <w:r>
              <w:rPr>
                <w:rFonts w:ascii="Arial" w:cs="Arial" w:eastAsia="Arial" w:hAnsi="Arial"/>
                <w:sz w:val="18"/>
                <w:szCs w:val="18"/>
                <w:color w:val="auto"/>
                <w:w w:val="92"/>
              </w:rPr>
              <w:t>Repurchases and cancellations of</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300"/>
              <w:spacing w:after="0" w:line="176" w:lineRule="exact"/>
              <w:rPr>
                <w:sz w:val="20"/>
                <w:szCs w:val="20"/>
                <w:color w:val="auto"/>
              </w:rPr>
            </w:pPr>
            <w:r>
              <w:rPr>
                <w:rFonts w:ascii="Arial" w:cs="Arial" w:eastAsia="Arial" w:hAnsi="Arial"/>
                <w:sz w:val="18"/>
                <w:szCs w:val="18"/>
                <w:color w:val="auto"/>
                <w:w w:val="97"/>
              </w:rPr>
              <w:t>Liberty Global ordinary shares</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(224.3)</w:t>
            </w: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(224.4)</w:t>
            </w:r>
          </w:p>
        </w:tc>
        <w:tc>
          <w:tcPr>
            <w:tcW w:w="8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30"/>
        </w:trPr>
        <w:tc>
          <w:tcPr>
            <w:tcW w:w="2660" w:type="dxa"/>
            <w:vAlign w:val="bottom"/>
          </w:tcPr>
          <w:p>
            <w:pPr>
              <w:ind w:left="300"/>
              <w:spacing w:after="0"/>
              <w:rPr>
                <w:sz w:val="20"/>
                <w:szCs w:val="20"/>
                <w:color w:val="auto"/>
              </w:rPr>
            </w:pPr>
            <w:r>
              <w:rPr>
                <w:rFonts w:ascii="Arial" w:cs="Arial" w:eastAsia="Arial" w:hAnsi="Arial"/>
                <w:sz w:val="18"/>
                <w:szCs w:val="18"/>
                <w:color w:val="auto"/>
              </w:rPr>
              <w:t>(note 12)</w:t>
            </w:r>
          </w:p>
        </w:tc>
        <w:tc>
          <w:tcPr>
            <w:tcW w:w="68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Share-based compensation (note</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13)</w:t>
            </w:r>
          </w:p>
        </w:tc>
        <w:tc>
          <w:tcPr>
            <w:tcW w:w="68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140"/>
              <w:spacing w:after="0" w:line="176" w:lineRule="exact"/>
              <w:rPr>
                <w:sz w:val="20"/>
                <w:szCs w:val="20"/>
                <w:color w:val="auto"/>
              </w:rPr>
            </w:pPr>
            <w:r>
              <w:rPr>
                <w:rFonts w:ascii="Arial" w:cs="Arial" w:eastAsia="Arial" w:hAnsi="Arial"/>
                <w:sz w:val="18"/>
                <w:szCs w:val="18"/>
                <w:color w:val="auto"/>
              </w:rPr>
              <w:t>Repurchases by Telenet of its</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2660" w:type="dxa"/>
            <w:vAlign w:val="bottom"/>
          </w:tcPr>
          <w:p>
            <w:pPr>
              <w:ind w:left="300"/>
              <w:spacing w:after="0"/>
              <w:rPr>
                <w:sz w:val="20"/>
                <w:szCs w:val="20"/>
                <w:color w:val="auto"/>
              </w:rPr>
            </w:pPr>
            <w:r>
              <w:rPr>
                <w:rFonts w:ascii="Arial" w:cs="Arial" w:eastAsia="Arial" w:hAnsi="Arial"/>
                <w:sz w:val="18"/>
                <w:szCs w:val="18"/>
                <w:color w:val="auto"/>
              </w:rPr>
              <w:t>outstanding shares</w:t>
            </w:r>
          </w:p>
        </w:tc>
        <w:tc>
          <w:tcPr>
            <w:tcW w:w="68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Adjustments due to changes in</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8"/>
              </w:rPr>
              <w:t>subsidiaries’ equity and other,</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w:t>
            </w:r>
          </w:p>
        </w:tc>
        <w:tc>
          <w:tcPr>
            <w:tcW w:w="68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1.8</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0.1</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4.3</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$ 5,927.9</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7,269.9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(0.1)</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13,244.1</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(331.9)</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$12,912.2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8"/>
          </w:tcPr>
          <w:p>
            <w:pPr>
              <w:ind w:left="440"/>
              <w:spacing w:after="0"/>
              <w:rPr>
                <w:sz w:val="20"/>
                <w:szCs w:val="20"/>
                <w:color w:val="auto"/>
              </w:rPr>
            </w:pPr>
            <w:r>
              <w:rPr>
                <w:rFonts w:ascii="Arial" w:cs="Arial" w:eastAsia="Arial" w:hAnsi="Arial"/>
                <w:sz w:val="16"/>
                <w:szCs w:val="16"/>
                <w:b w:val="1"/>
                <w:bCs w:val="1"/>
                <w:color w:val="auto"/>
              </w:rPr>
              <w:t>Liberty Global shareholders</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other</w:t>
            </w: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w w:val="94"/>
              </w:rPr>
              <w:t>Treasury</w:t>
            </w:r>
          </w:p>
        </w:tc>
        <w:tc>
          <w:tcPr>
            <w:tcW w:w="1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Total Liberty</w:t>
            </w:r>
          </w:p>
        </w:tc>
        <w:tc>
          <w:tcPr>
            <w:tcW w:w="100" w:type="dxa"/>
            <w:vAlign w:val="bottom"/>
          </w:tcPr>
          <w:p>
            <w:pPr>
              <w:spacing w:after="0"/>
              <w:rPr>
                <w:sz w:val="14"/>
                <w:szCs w:val="14"/>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7"/>
            <w:vMerge w:val="restart"/>
          </w:tcPr>
          <w:p>
            <w:pPr>
              <w:jc w:val="right"/>
              <w:ind w:right="270"/>
              <w:spacing w:after="0"/>
              <w:rPr>
                <w:sz w:val="20"/>
                <w:szCs w:val="20"/>
                <w:color w:val="auto"/>
              </w:rPr>
            </w:pPr>
            <w:r>
              <w:rPr>
                <w:rFonts w:ascii="Arial" w:cs="Arial" w:eastAsia="Arial" w:hAnsi="Arial"/>
                <w:sz w:val="16"/>
                <w:szCs w:val="16"/>
                <w:b w:val="1"/>
                <w:bCs w:val="1"/>
                <w:color w:val="auto"/>
              </w:rPr>
              <w:t>Ordinary shares</w:t>
            </w:r>
          </w:p>
        </w:tc>
        <w:tc>
          <w:tcPr>
            <w:tcW w:w="80" w:type="dxa"/>
            <w:vAlign w:val="bottom"/>
            <w:vMerge w:val="restart"/>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780" w:type="dxa"/>
            <w:vAlign w:val="bottom"/>
            <w:gridSpan w:val="3"/>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7"/>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gridSpan w:val="2"/>
          </w:tcPr>
          <w:p>
            <w:pPr>
              <w:jc w:val="center"/>
              <w:ind w:right="80"/>
              <w:spacing w:after="0" w:line="142" w:lineRule="exact"/>
              <w:rPr>
                <w:sz w:val="20"/>
                <w:szCs w:val="20"/>
                <w:color w:val="auto"/>
              </w:rPr>
            </w:pPr>
            <w:r>
              <w:rPr>
                <w:rFonts w:ascii="Arial" w:cs="Arial" w:eastAsia="Arial" w:hAnsi="Arial"/>
                <w:sz w:val="16"/>
                <w:szCs w:val="16"/>
                <w:b w:val="1"/>
                <w:bCs w:val="1"/>
                <w:color w:val="auto"/>
                <w:w w:val="95"/>
              </w:rPr>
              <w:t>paid-in</w:t>
            </w:r>
          </w:p>
        </w:tc>
        <w:tc>
          <w:tcPr>
            <w:tcW w:w="104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w w:val="99"/>
              </w:rPr>
              <w:t>Accumulated</w:t>
            </w:r>
          </w:p>
        </w:tc>
        <w:tc>
          <w:tcPr>
            <w:tcW w:w="116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88"/>
              </w:rPr>
              <w:t>earnings, net</w:t>
            </w:r>
          </w:p>
        </w:tc>
        <w:tc>
          <w:tcPr>
            <w:tcW w:w="780" w:type="dxa"/>
            <w:vAlign w:val="bottom"/>
            <w:gridSpan w:val="3"/>
          </w:tcPr>
          <w:p>
            <w:pPr>
              <w:ind w:left="100"/>
              <w:spacing w:after="0" w:line="142" w:lineRule="exact"/>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2"/>
                <w:szCs w:val="12"/>
                <w:color w:val="auto"/>
              </w:rPr>
            </w:pPr>
          </w:p>
        </w:tc>
        <w:tc>
          <w:tcPr>
            <w:tcW w:w="880" w:type="dxa"/>
            <w:vAlign w:val="bottom"/>
            <w:gridSpan w:val="2"/>
          </w:tcPr>
          <w:p>
            <w:pPr>
              <w:ind w:left="80"/>
              <w:spacing w:after="0" w:line="142" w:lineRule="exact"/>
              <w:rPr>
                <w:sz w:val="20"/>
                <w:szCs w:val="20"/>
                <w:color w:val="auto"/>
              </w:rPr>
            </w:pPr>
            <w:r>
              <w:rPr>
                <w:rFonts w:ascii="Arial" w:cs="Arial" w:eastAsia="Arial" w:hAnsi="Arial"/>
                <w:sz w:val="16"/>
                <w:szCs w:val="16"/>
                <w:b w:val="1"/>
                <w:bCs w:val="1"/>
                <w:color w:val="auto"/>
              </w:rPr>
              <w:t>Global</w:t>
            </w:r>
          </w:p>
        </w:tc>
        <w:tc>
          <w:tcPr>
            <w:tcW w:w="86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w w:val="99"/>
              </w:rPr>
              <w:t>controlling</w:t>
            </w:r>
          </w:p>
        </w:tc>
        <w:tc>
          <w:tcPr>
            <w:tcW w:w="820" w:type="dxa"/>
            <w:vAlign w:val="bottom"/>
          </w:tcPr>
          <w:p>
            <w:pPr>
              <w:jc w:val="right"/>
              <w:ind w:right="132"/>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6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Class A</w:t>
            </w:r>
          </w:p>
        </w:tc>
        <w:tc>
          <w:tcPr>
            <w:tcW w:w="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Class B</w:t>
            </w:r>
          </w:p>
        </w:tc>
        <w:tc>
          <w:tcPr>
            <w:tcW w:w="6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Class C</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5"/>
              </w:rPr>
              <w:t>of taxes</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at cost</w:t>
            </w: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9"/>
              </w:rPr>
              <w:t>shareholders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6"/>
              </w:rPr>
              <w:t>interests</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$ 5,271.7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13,662.6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$13,298.4</w:t>
            </w:r>
          </w:p>
        </w:tc>
        <w:tc>
          <w:tcPr>
            <w:tcW w:w="0" w:type="dxa"/>
            <w:vAlign w:val="bottom"/>
          </w:tcPr>
          <w:p>
            <w:pPr>
              <w:spacing w:after="0"/>
              <w:rPr>
                <w:sz w:val="1"/>
                <w:szCs w:val="1"/>
                <w:color w:val="auto"/>
              </w:rPr>
            </w:pPr>
          </w:p>
        </w:tc>
      </w:tr>
      <w:tr>
        <w:trPr>
          <w:trHeight w:val="229"/>
        </w:trPr>
        <w:tc>
          <w:tcPr>
            <w:tcW w:w="274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1,440.3</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Other comprehensive loss, net of</w:t>
            </w:r>
          </w:p>
        </w:tc>
        <w:tc>
          <w:tcPr>
            <w:tcW w:w="18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140"/>
              <w:spacing w:after="0" w:line="176" w:lineRule="exact"/>
              <w:rPr>
                <w:sz w:val="20"/>
                <w:szCs w:val="20"/>
                <w:color w:val="auto"/>
              </w:rPr>
            </w:pPr>
            <w:r>
              <w:rPr>
                <w:rFonts w:ascii="Arial" w:cs="Arial" w:eastAsia="Arial" w:hAnsi="Arial"/>
                <w:sz w:val="18"/>
                <w:szCs w:val="18"/>
                <w:color w:val="auto"/>
                <w:w w:val="95"/>
              </w:rPr>
              <w:t>Repurchases and cancellations of</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300"/>
              <w:spacing w:after="0" w:line="176" w:lineRule="exact"/>
              <w:rPr>
                <w:sz w:val="20"/>
                <w:szCs w:val="20"/>
                <w:color w:val="auto"/>
              </w:rPr>
            </w:pPr>
            <w:r>
              <w:rPr>
                <w:rFonts w:ascii="Arial" w:cs="Arial" w:eastAsia="Arial" w:hAnsi="Arial"/>
                <w:sz w:val="18"/>
                <w:szCs w:val="18"/>
                <w:color w:val="auto"/>
              </w:rPr>
              <w:t>Liberty Global ordinary shares</w:t>
            </w:r>
          </w:p>
        </w:tc>
        <w:tc>
          <w:tcPr>
            <w:tcW w:w="180" w:type="dxa"/>
            <w:vAlign w:val="bottom"/>
          </w:tcPr>
          <w:p>
            <w:pPr>
              <w:spacing w:after="0"/>
              <w:rPr>
                <w:sz w:val="15"/>
                <w:szCs w:val="15"/>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(323.2)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(323.4)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30"/>
        </w:trPr>
        <w:tc>
          <w:tcPr>
            <w:tcW w:w="2740" w:type="dxa"/>
            <w:vAlign w:val="bottom"/>
          </w:tcPr>
          <w:p>
            <w:pPr>
              <w:ind w:left="300"/>
              <w:spacing w:after="0"/>
              <w:rPr>
                <w:sz w:val="20"/>
                <w:szCs w:val="20"/>
                <w:color w:val="auto"/>
              </w:rPr>
            </w:pPr>
            <w:r>
              <w:rPr>
                <w:rFonts w:ascii="Arial" w:cs="Arial" w:eastAsia="Arial" w:hAnsi="Arial"/>
                <w:sz w:val="18"/>
                <w:szCs w:val="18"/>
                <w:color w:val="auto"/>
              </w:rPr>
              <w:t>(note 12)</w:t>
            </w:r>
          </w:p>
        </w:tc>
        <w:tc>
          <w:tcPr>
            <w:tcW w:w="18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Share-based compensation (note</w:t>
            </w:r>
          </w:p>
        </w:tc>
        <w:tc>
          <w:tcPr>
            <w:tcW w:w="18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140"/>
              <w:spacing w:after="0" w:line="176" w:lineRule="exact"/>
              <w:rPr>
                <w:sz w:val="20"/>
                <w:szCs w:val="20"/>
                <w:color w:val="auto"/>
              </w:rPr>
            </w:pPr>
            <w:r>
              <w:rPr>
                <w:rFonts w:ascii="Arial" w:cs="Arial" w:eastAsia="Arial" w:hAnsi="Arial"/>
                <w:sz w:val="18"/>
                <w:szCs w:val="18"/>
                <w:color w:val="auto"/>
              </w:rPr>
              <w:t>Adjustments due to changes in</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300"/>
              <w:spacing w:after="0" w:line="176" w:lineRule="exact"/>
              <w:rPr>
                <w:sz w:val="20"/>
                <w:szCs w:val="20"/>
                <w:color w:val="auto"/>
              </w:rPr>
            </w:pPr>
            <w:r>
              <w:rPr>
                <w:rFonts w:ascii="Arial" w:cs="Arial" w:eastAsia="Arial" w:hAnsi="Arial"/>
                <w:sz w:val="18"/>
                <w:szCs w:val="18"/>
                <w:color w:val="auto"/>
              </w:rPr>
              <w:t>subsidiaries’ equity and other,</w:t>
            </w:r>
          </w:p>
        </w:tc>
        <w:tc>
          <w:tcPr>
            <w:tcW w:w="180" w:type="dxa"/>
            <w:vAlign w:val="bottom"/>
          </w:tcPr>
          <w:p>
            <w:pPr>
              <w:spacing w:after="0"/>
              <w:rPr>
                <w:sz w:val="15"/>
                <w:szCs w:val="15"/>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2740" w:type="dxa"/>
            <w:vAlign w:val="bottom"/>
          </w:tcPr>
          <w:p>
            <w:pPr>
              <w:ind w:left="300"/>
              <w:spacing w:after="0"/>
              <w:rPr>
                <w:sz w:val="20"/>
                <w:szCs w:val="20"/>
                <w:color w:val="auto"/>
              </w:rPr>
            </w:pPr>
            <w:r>
              <w:rPr>
                <w:rFonts w:ascii="Arial" w:cs="Arial" w:eastAsia="Arial" w:hAnsi="Arial"/>
                <w:sz w:val="18"/>
                <w:szCs w:val="18"/>
                <w:color w:val="auto"/>
              </w:rPr>
              <w:t>net</w:t>
            </w:r>
          </w:p>
        </w:tc>
        <w:tc>
          <w:tcPr>
            <w:tcW w:w="18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$ 5,016.7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13,796.0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$13,488.1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4"/>
          </w:tcPr>
          <w:p>
            <w:pPr>
              <w:jc w:val="center"/>
              <w:ind w:right="190"/>
              <w:spacing w:after="0"/>
              <w:rPr>
                <w:sz w:val="20"/>
                <w:szCs w:val="20"/>
                <w:color w:val="auto"/>
              </w:rPr>
            </w:pPr>
            <w:r>
              <w:rPr>
                <w:rFonts w:ascii="Arial" w:cs="Arial" w:eastAsia="Arial" w:hAnsi="Arial"/>
                <w:sz w:val="16"/>
                <w:szCs w:val="16"/>
                <w:b w:val="1"/>
                <w:bCs w:val="1"/>
                <w:color w:val="auto"/>
                <w:w w:val="90"/>
              </w:rPr>
              <w:t>Three months ended</w:t>
            </w:r>
          </w:p>
        </w:tc>
      </w:tr>
      <w:tr>
        <w:trPr>
          <w:trHeight w:val="219"/>
        </w:trPr>
        <w:tc>
          <w:tcPr>
            <w:tcW w:w="8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532"/>
              <w:spacing w:after="0"/>
              <w:rPr>
                <w:sz w:val="20"/>
                <w:szCs w:val="20"/>
                <w:color w:val="auto"/>
              </w:rPr>
            </w:pPr>
            <w:r>
              <w:rPr>
                <w:rFonts w:ascii="Arial" w:cs="Arial" w:eastAsia="Arial" w:hAnsi="Arial"/>
                <w:sz w:val="16"/>
                <w:szCs w:val="16"/>
                <w:b w:val="1"/>
                <w:bCs w:val="1"/>
                <w:color w:val="auto"/>
                <w:w w:val="97"/>
              </w:rPr>
              <w:t>March 31,</w:t>
            </w:r>
          </w:p>
        </w:tc>
        <w:tc>
          <w:tcPr>
            <w:tcW w:w="920" w:type="dxa"/>
            <w:vAlign w:val="bottom"/>
            <w:tcBorders>
              <w:bottom w:val="single" w:sz="8" w:color="auto"/>
            </w:tcBorders>
          </w:tcPr>
          <w:p>
            <w:pPr>
              <w:spacing w:after="0"/>
              <w:rPr>
                <w:sz w:val="19"/>
                <w:szCs w:val="19"/>
                <w:color w:val="auto"/>
              </w:rPr>
            </w:pPr>
          </w:p>
        </w:tc>
      </w:tr>
      <w:tr>
        <w:trPr>
          <w:trHeight w:val="210"/>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r>
      <w:tr>
        <w:trPr>
          <w:trHeight w:val="207"/>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left="532"/>
              <w:spacing w:after="0"/>
              <w:rPr>
                <w:sz w:val="20"/>
                <w:szCs w:val="20"/>
                <w:color w:val="auto"/>
              </w:rPr>
            </w:pPr>
            <w:r>
              <w:rPr>
                <w:rFonts w:ascii="Arial" w:cs="Arial" w:eastAsia="Arial" w:hAnsi="Arial"/>
                <w:sz w:val="16"/>
                <w:szCs w:val="16"/>
                <w:b w:val="1"/>
                <w:bCs w:val="1"/>
                <w:color w:val="auto"/>
                <w:w w:val="90"/>
              </w:rPr>
              <w:t>in millions</w:t>
            </w:r>
          </w:p>
        </w:tc>
        <w:tc>
          <w:tcPr>
            <w:tcW w:w="920" w:type="dxa"/>
            <w:vAlign w:val="bottom"/>
          </w:tcPr>
          <w:p>
            <w:pPr>
              <w:spacing w:after="0"/>
              <w:rPr>
                <w:sz w:val="17"/>
                <w:szCs w:val="17"/>
                <w:color w:val="auto"/>
              </w:rPr>
            </w:pPr>
          </w:p>
        </w:tc>
      </w:tr>
      <w:tr>
        <w:trPr>
          <w:trHeight w:val="208"/>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1,440.3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1,017.7</w:t>
            </w: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Impairment, restructuring and other operating items,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costs and non-cash interest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Realized and unrealized gains on derivative instruments,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(1,237.3)</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w w:val="97"/>
              </w:rPr>
              <w:t>Realized and unrealized losses (gains) due to changes in fair values of certain investments and debt,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529.8</w:t>
            </w: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Losses on debt extinguishment, net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Share of results of affiliates,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30"/>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Changes in operating assets and liabilities, net of the effects of acquisitions and dispositions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w:t>
            </w:r>
          </w:p>
        </w:tc>
      </w:tr>
      <w:tr>
        <w:trPr>
          <w:trHeight w:val="223"/>
        </w:trPr>
        <w:tc>
          <w:tcPr>
            <w:tcW w:w="8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w:t>
            </w:r>
          </w:p>
        </w:tc>
      </w:tr>
      <w:tr>
        <w:trPr>
          <w:trHeight w:val="183"/>
        </w:trPr>
        <w:tc>
          <w:tcPr>
            <w:tcW w:w="8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Cash paid for investments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(3,221.0)</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received from sale of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1,221.6</w:t>
            </w: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Capital expenditures,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(347.8)</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Net cash used by investing activities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4"/>
          </w:tcPr>
          <w:p>
            <w:pPr>
              <w:jc w:val="center"/>
              <w:ind w:right="190"/>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9"/>
        </w:trPr>
        <w:tc>
          <w:tcPr>
            <w:tcW w:w="8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532"/>
              <w:spacing w:after="0"/>
              <w:rPr>
                <w:sz w:val="20"/>
                <w:szCs w:val="20"/>
                <w:color w:val="auto"/>
              </w:rPr>
            </w:pPr>
            <w:r>
              <w:rPr>
                <w:rFonts w:ascii="Arial" w:cs="Arial" w:eastAsia="Arial" w:hAnsi="Arial"/>
                <w:sz w:val="16"/>
                <w:szCs w:val="16"/>
                <w:b w:val="1"/>
                <w:bCs w:val="1"/>
                <w:color w:val="auto"/>
                <w:w w:val="97"/>
              </w:rPr>
              <w:t>March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7"/>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left="532"/>
              <w:spacing w:after="0"/>
              <w:rPr>
                <w:sz w:val="20"/>
                <w:szCs w:val="20"/>
                <w:color w:val="auto"/>
              </w:rPr>
            </w:pPr>
            <w:r>
              <w:rPr>
                <w:rFonts w:ascii="Arial" w:cs="Arial" w:eastAsia="Arial" w:hAnsi="Arial"/>
                <w:sz w:val="16"/>
                <w:szCs w:val="16"/>
                <w:b w:val="1"/>
                <w:bCs w:val="1"/>
                <w:color w:val="auto"/>
                <w:w w:val="90"/>
              </w:rPr>
              <w:t>in millions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Repayments and repurchases of debt and finance lease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(1,365.1)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(2,441.3)</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of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0" w:type="dxa"/>
            <w:vAlign w:val="bottom"/>
          </w:tcPr>
          <w:p>
            <w:pPr>
              <w:spacing w:after="0"/>
              <w:rPr>
                <w:sz w:val="1"/>
                <w:szCs w:val="1"/>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Repurchases of Liberty Global ordinary shares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paid related to derivative instruments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Payment of financing costs and debt premiums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by Telenet of its outstanding shares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0" w:type="dxa"/>
            <w:vAlign w:val="bottom"/>
          </w:tcPr>
          <w:p>
            <w:pPr>
              <w:spacing w:after="0"/>
              <w:rPr>
                <w:sz w:val="1"/>
                <w:szCs w:val="1"/>
                <w:color w:val="auto"/>
              </w:rPr>
            </w:pPr>
          </w:p>
        </w:tc>
      </w:tr>
      <w:tr>
        <w:trPr>
          <w:trHeight w:val="250"/>
        </w:trPr>
        <w:tc>
          <w:tcPr>
            <w:tcW w:w="8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96"/>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 and restricted cash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(2,698.8)</w:t>
            </w:r>
          </w:p>
        </w:tc>
        <w:tc>
          <w:tcPr>
            <w:tcW w:w="0" w:type="dxa"/>
            <w:vAlign w:val="bottom"/>
          </w:tcPr>
          <w:p>
            <w:pPr>
              <w:spacing w:after="0"/>
              <w:rPr>
                <w:sz w:val="1"/>
                <w:szCs w:val="1"/>
                <w:color w:val="auto"/>
              </w:rPr>
            </w:pPr>
          </w:p>
        </w:tc>
      </w:tr>
      <w:tr>
        <w:trPr>
          <w:trHeight w:val="230"/>
        </w:trPr>
        <w:tc>
          <w:tcPr>
            <w:tcW w:w="8480" w:type="dxa"/>
            <w:vAlign w:val="bottom"/>
          </w:tcPr>
          <w:p>
            <w:pPr>
              <w:ind w:left="120"/>
              <w:spacing w:after="0"/>
              <w:rPr>
                <w:sz w:val="20"/>
                <w:szCs w:val="20"/>
                <w:color w:val="auto"/>
              </w:rPr>
            </w:pPr>
            <w:r>
              <w:rPr>
                <w:rFonts w:ascii="Arial" w:cs="Arial" w:eastAsia="Arial" w:hAnsi="Arial"/>
                <w:sz w:val="18"/>
                <w:szCs w:val="18"/>
                <w:color w:val="auto"/>
              </w:rPr>
              <w:t>Cash and cash equivalents and restricted cash:</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Beginning of period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decrease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(2,698.8)</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84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Cash paid for interest</w:t>
            </w:r>
          </w:p>
        </w:tc>
        <w:tc>
          <w:tcPr>
            <w:tcW w:w="3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405.3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cash received for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5,440.5</w:t>
            </w: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 and restricted cash included in assets held for sale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8480" w:type="dxa"/>
            <w:vAlign w:val="bottom"/>
          </w:tcPr>
          <w:p>
            <w:pPr>
              <w:ind w:left="480"/>
              <w:spacing w:after="0"/>
              <w:rPr>
                <w:sz w:val="20"/>
                <w:szCs w:val="20"/>
                <w:color w:val="auto"/>
              </w:rPr>
            </w:pPr>
            <w:r>
              <w:rPr>
                <w:rFonts w:ascii="Arial" w:cs="Arial" w:eastAsia="Arial" w:hAnsi="Arial"/>
                <w:sz w:val="18"/>
                <w:szCs w:val="18"/>
                <w:color w:val="auto"/>
              </w:rPr>
              <w:t>Total cash and cash equivalents and restricted cash</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5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Liberty Global plc (</w:t>
      </w:r>
      <w:r>
        <w:rPr>
          <w:rFonts w:ascii="Arial" w:cs="Arial" w:eastAsia="Arial" w:hAnsi="Arial"/>
          <w:sz w:val="18"/>
          <w:szCs w:val="18"/>
          <w:b w:val="1"/>
          <w:bCs w:val="1"/>
          <w:color w:val="auto"/>
        </w:rPr>
        <w:t>Liberty Global</w:t>
      </w:r>
      <w:r>
        <w:rPr>
          <w:rFonts w:ascii="Arial" w:cs="Arial" w:eastAsia="Arial" w:hAnsi="Arial"/>
          <w:sz w:val="18"/>
          <w:szCs w:val="18"/>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operations comprise businesses that provide residential and business-to-business (</w:t>
      </w:r>
      <w:r>
        <w:rPr>
          <w:rFonts w:ascii="Arial" w:cs="Arial" w:eastAsia="Arial" w:hAnsi="Arial"/>
          <w:sz w:val="18"/>
          <w:szCs w:val="18"/>
          <w:b w:val="1"/>
          <w:bCs w:val="1"/>
          <w:color w:val="auto"/>
        </w:rPr>
        <w:t>B2B</w:t>
      </w:r>
      <w:r>
        <w:rPr>
          <w:rFonts w:ascii="Arial" w:cs="Arial" w:eastAsia="Arial" w:hAnsi="Arial"/>
          <w:sz w:val="18"/>
          <w:szCs w:val="18"/>
          <w:color w:val="auto"/>
        </w:rPr>
        <w:t>) communications services in (i) the United Kingdom (</w:t>
      </w:r>
      <w:r>
        <w:rPr>
          <w:rFonts w:ascii="Arial" w:cs="Arial" w:eastAsia="Arial" w:hAnsi="Arial"/>
          <w:sz w:val="18"/>
          <w:szCs w:val="18"/>
          <w:b w:val="1"/>
          <w:bCs w:val="1"/>
          <w:color w:val="auto"/>
        </w:rPr>
        <w:t>U.K.</w:t>
      </w:r>
      <w:r>
        <w:rPr>
          <w:rFonts w:ascii="Arial" w:cs="Arial" w:eastAsia="Arial" w:hAnsi="Arial"/>
          <w:sz w:val="18"/>
          <w:szCs w:val="18"/>
          <w:color w:val="auto"/>
        </w:rPr>
        <w:t>) through Virgin Media Inc. (</w:t>
      </w:r>
      <w:r>
        <w:rPr>
          <w:rFonts w:ascii="Arial" w:cs="Arial" w:eastAsia="Arial" w:hAnsi="Arial"/>
          <w:sz w:val="18"/>
          <w:szCs w:val="18"/>
          <w:b w:val="1"/>
          <w:bCs w:val="1"/>
          <w:color w:val="auto"/>
        </w:rPr>
        <w:t>Virgin Media</w:t>
      </w:r>
      <w:r>
        <w:rPr>
          <w:rFonts w:ascii="Arial" w:cs="Arial" w:eastAsia="Arial" w:hAnsi="Arial"/>
          <w:sz w:val="18"/>
          <w:szCs w:val="18"/>
          <w:color w:val="auto"/>
        </w:rPr>
        <w:t>), a wholly-owned subsidiary of Liberty Global, (ii) Ireland through Newco Holdco 6 Limited, a wholly-owned subsidiary of Liberty Global, (iii) Belgium through Telenet Group Holding N.V. (</w:t>
      </w:r>
      <w:r>
        <w:rPr>
          <w:rFonts w:ascii="Arial" w:cs="Arial" w:eastAsia="Arial" w:hAnsi="Arial"/>
          <w:sz w:val="18"/>
          <w:szCs w:val="18"/>
          <w:b w:val="1"/>
          <w:bCs w:val="1"/>
          <w:color w:val="auto"/>
        </w:rPr>
        <w:t>Telenet</w:t>
      </w:r>
      <w:r>
        <w:rPr>
          <w:rFonts w:ascii="Arial" w:cs="Arial" w:eastAsia="Arial" w:hAnsi="Arial"/>
          <w:sz w:val="18"/>
          <w:szCs w:val="18"/>
          <w:color w:val="auto"/>
        </w:rPr>
        <w:t>), a 60.7%-owned subsidiary of Liberty Global, and (iv) Switzerland, Poland and Slovakia through various wholly-owned subsidiaries that we collectively refer to as “</w:t>
      </w:r>
      <w:r>
        <w:rPr>
          <w:rFonts w:ascii="Arial" w:cs="Arial" w:eastAsia="Arial" w:hAnsi="Arial"/>
          <w:sz w:val="18"/>
          <w:szCs w:val="18"/>
          <w:b w:val="1"/>
          <w:bCs w:val="1"/>
          <w:color w:val="auto"/>
        </w:rPr>
        <w:t>UPC Holding</w:t>
      </w:r>
      <w:r>
        <w:rPr>
          <w:rFonts w:ascii="Arial" w:cs="Arial" w:eastAsia="Arial" w:hAnsi="Arial"/>
          <w:sz w:val="18"/>
          <w:szCs w:val="18"/>
          <w:color w:val="auto"/>
        </w:rPr>
        <w:t>.” In addition, we own a 50% noncontrolling interest in a 50:50 joint venture between Vodafone Group plc (</w:t>
      </w:r>
      <w:r>
        <w:rPr>
          <w:rFonts w:ascii="Arial" w:cs="Arial" w:eastAsia="Arial" w:hAnsi="Arial"/>
          <w:sz w:val="18"/>
          <w:szCs w:val="18"/>
          <w:b w:val="1"/>
          <w:bCs w:val="1"/>
          <w:color w:val="auto"/>
        </w:rPr>
        <w:t>Vodafone</w:t>
      </w:r>
      <w:r>
        <w:rPr>
          <w:rFonts w:ascii="Arial" w:cs="Arial" w:eastAsia="Arial" w:hAnsi="Arial"/>
          <w:sz w:val="18"/>
          <w:szCs w:val="18"/>
          <w:color w:val="auto"/>
        </w:rPr>
        <w:t xml:space="preserve">) and Liberty Global (the </w:t>
      </w:r>
      <w:r>
        <w:rPr>
          <w:rFonts w:ascii="Arial" w:cs="Arial" w:eastAsia="Arial" w:hAnsi="Arial"/>
          <w:sz w:val="18"/>
          <w:szCs w:val="18"/>
          <w:b w:val="1"/>
          <w:bCs w:val="1"/>
          <w:color w:val="auto"/>
        </w:rPr>
        <w:t>VodafoneZiggo JV</w:t>
      </w:r>
      <w:r>
        <w:rPr>
          <w:rFonts w:ascii="Arial" w:cs="Arial" w:eastAsia="Arial" w:hAnsi="Arial"/>
          <w:sz w:val="18"/>
          <w:szCs w:val="18"/>
          <w:color w:val="auto"/>
        </w:rPr>
        <w:t>), which provides residential and B2B communication services in the Netherlands.</w:t>
      </w:r>
    </w:p>
    <w:p>
      <w:pPr>
        <w:spacing w:after="0" w:line="21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Effective May 7, 2020, in connection with the pending formation of the U.K. JV (as defined in note 4), we began accounting for the U.K. JV Entities (as defined in note 4) as held for sale. Accordingly, the assets and liabilities of the U.K. JV Entities are included in assets held for sale and liabilities associated with assets held for sale, respectively, on our March 31, 2021 condensed consolidated balance sheet. Consistent with the applicable guidance, we have not reflected similar reclassifications in our condensed consolidated statements of operations or cash flows. For additional information, see note 4.</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unaudited condensed consolidated financial statements have been prepared in accordance with accounting principles generally accepted in the United States (</w:t>
      </w:r>
      <w:r>
        <w:rPr>
          <w:rFonts w:ascii="Arial" w:cs="Arial" w:eastAsia="Arial" w:hAnsi="Arial"/>
          <w:sz w:val="16"/>
          <w:szCs w:val="16"/>
          <w:b w:val="1"/>
          <w:bCs w:val="1"/>
          <w:color w:val="auto"/>
        </w:rPr>
        <w:t>GAAP</w:t>
      </w:r>
      <w:r>
        <w:rPr>
          <w:rFonts w:ascii="Arial" w:cs="Arial" w:eastAsia="Arial" w:hAnsi="Arial"/>
          <w:sz w:val="16"/>
          <w:szCs w:val="16"/>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2020 consolidated financial statements and notes thereto included in our 2020 Annual Report on Form 10-K, as amended (our </w:t>
      </w:r>
      <w:r>
        <w:rPr>
          <w:rFonts w:ascii="Arial" w:cs="Arial" w:eastAsia="Arial" w:hAnsi="Arial"/>
          <w:sz w:val="16"/>
          <w:szCs w:val="16"/>
          <w:b w:val="1"/>
          <w:bCs w:val="1"/>
          <w:color w:val="auto"/>
        </w:rPr>
        <w:t>10-K</w:t>
      </w:r>
      <w:r>
        <w:rPr>
          <w:rFonts w:ascii="Arial" w:cs="Arial" w:eastAsia="Arial" w:hAnsi="Arial"/>
          <w:sz w:val="16"/>
          <w:szCs w:val="16"/>
          <w:color w:val="auto"/>
        </w:rPr>
        <w: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Unless otherwise indicated, ownership percentages and convenience translations into United States (</w:t>
      </w:r>
      <w:r>
        <w:rPr>
          <w:rFonts w:ascii="Arial" w:cs="Arial" w:eastAsia="Arial" w:hAnsi="Arial"/>
          <w:sz w:val="16"/>
          <w:szCs w:val="16"/>
          <w:b w:val="1"/>
          <w:bCs w:val="1"/>
          <w:color w:val="auto"/>
        </w:rPr>
        <w:t>U.S.</w:t>
      </w:r>
      <w:r>
        <w:rPr>
          <w:rFonts w:ascii="Arial" w:cs="Arial" w:eastAsia="Arial" w:hAnsi="Arial"/>
          <w:sz w:val="16"/>
          <w:szCs w:val="16"/>
          <w:color w:val="auto"/>
        </w:rPr>
        <w:t>) dollars are calculated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2019-12</w:t>
      </w:r>
    </w:p>
    <w:p>
      <w:pPr>
        <w:spacing w:after="0" w:line="2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December 2019, the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 issued Accounting Standards Update (</w:t>
      </w:r>
      <w:r>
        <w:rPr>
          <w:rFonts w:ascii="Arial" w:cs="Arial" w:eastAsia="Arial" w:hAnsi="Arial"/>
          <w:sz w:val="18"/>
          <w:szCs w:val="18"/>
          <w:b w:val="1"/>
          <w:bCs w:val="1"/>
          <w:color w:val="auto"/>
        </w:rPr>
        <w:t>ASU</w:t>
      </w:r>
      <w:r>
        <w:rPr>
          <w:rFonts w:ascii="Arial" w:cs="Arial" w:eastAsia="Arial" w:hAnsi="Arial"/>
          <w:sz w:val="18"/>
          <w:szCs w:val="18"/>
          <w:color w:val="auto"/>
        </w:rPr>
        <w:t xml:space="preserve">) No. 2019-12, </w:t>
      </w:r>
      <w:r>
        <w:rPr>
          <w:rFonts w:ascii="Arial" w:cs="Arial" w:eastAsia="Arial" w:hAnsi="Arial"/>
          <w:sz w:val="18"/>
          <w:szCs w:val="18"/>
          <w:i w:val="1"/>
          <w:iCs w:val="1"/>
          <w:color w:val="auto"/>
        </w:rPr>
        <w:t>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Income Taxes (</w:t>
      </w:r>
      <w:r>
        <w:rPr>
          <w:rFonts w:ascii="Arial" w:cs="Arial" w:eastAsia="Arial" w:hAnsi="Arial"/>
          <w:sz w:val="18"/>
          <w:szCs w:val="18"/>
          <w:b w:val="1"/>
          <w:bCs w:val="1"/>
          <w:color w:val="auto"/>
        </w:rPr>
        <w:t>ASU 2019-12</w:t>
      </w:r>
      <w:r>
        <w:rPr>
          <w:rFonts w:ascii="Arial" w:cs="Arial" w:eastAsia="Arial" w:hAnsi="Arial"/>
          <w:sz w:val="18"/>
          <w:szCs w:val="18"/>
          <w:color w:val="auto"/>
        </w:rPr>
        <w:t>), which is intended to improve consistency and simplify several areas of existing guidance. 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removes certain exceptions to the general principles related to the approach for intraperiod tax allocation, the methodology for calculating income taxes in an interim period and the recognition of deferred tax liabilities for outside basis differences. The new guidance also clarifies the accounting for transactions that result in a step-up in the tax basis of goodwill. We adopted ASU 2019-12 on January 1, 2021, and such adoption did not have a significant impact on our consolidated financial statements.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2018-15</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is a Service Contract </w:t>
      </w:r>
      <w:r>
        <w:rPr>
          <w:rFonts w:ascii="Arial" w:cs="Arial" w:eastAsia="Arial" w:hAnsi="Arial"/>
          <w:sz w:val="16"/>
          <w:szCs w:val="16"/>
          <w:color w:val="auto"/>
        </w:rPr>
        <w:t>(</w:t>
      </w:r>
      <w:r>
        <w:rPr>
          <w:rFonts w:ascii="Arial" w:cs="Arial" w:eastAsia="Arial" w:hAnsi="Arial"/>
          <w:sz w:val="16"/>
          <w:szCs w:val="16"/>
          <w:b w:val="1"/>
          <w:bCs w:val="1"/>
          <w:color w:val="auto"/>
        </w:rPr>
        <w:t>ASU 2018-15</w:t>
      </w:r>
      <w:r>
        <w:rPr>
          <w:rFonts w:ascii="Arial" w:cs="Arial" w:eastAsia="Arial" w:hAnsi="Arial"/>
          <w:sz w:val="16"/>
          <w:szCs w:val="16"/>
          <w:color w:val="auto"/>
        </w:rPr>
        <w:t>), which requires entities to defer implementation costs incurred that are related to the application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stage in a cloud computing arrangement that is a service contract. ASU 2018-15 requires deferred implementation costs to be amortized over the term of the cloud computing arrangement and presented in the same expense line item as the cloud computing arrangement. All other implementation costs are generally expensed as incurred. We adopted ASU 2018-15 on January 1, 2020 on a prospective basis. As a result of the adoption of ASU 2018-15, (i) certain implementation costs that were previously expensed as incurred are now deferred as prepaid expenses and amortized over the term of the cloud computing arrangement and (ii) certain costs associated with developing interfaces between a cloud computing arrangement and internal-use software that were previously capitalized as property and equipment are now deferred as prepaid expenses and amortized over the term of the cloud computing arrangement. The adoption of ASU 2018-15 did not have a significant impact on our consolidated financial statements.</w:t>
      </w:r>
    </w:p>
    <w:p>
      <w:pPr>
        <w:spacing w:after="0" w:line="189"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5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$51.8 million and $49.8 million at March 31, 2021 and December 31, 2020, respectively.</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$46.6 million and $44.3 million as of March 31, 2021 and December 31, 2020, respectively. The current and long-term portions of our contract asset balances are included within other current assets and other assets, net, respectively, on our condensed consolidated balance sheets.</w:t>
      </w:r>
    </w:p>
    <w:p>
      <w:pPr>
        <w:spacing w:after="0" w:line="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$393.6 million and $442.6 million as of March 31, 2021 and December 31, 2020, respectively. The decrease in deferred revenue for the three months ended March 31, 2021 is primarily due to the net effect of (a) the recognition of $176.2 million </w:t>
      </w:r>
      <w:r>
        <w:rPr>
          <w:rFonts w:ascii="Arial" w:cs="Arial" w:eastAsia="Arial" w:hAnsi="Arial"/>
          <w:sz w:val="18"/>
          <w:szCs w:val="18"/>
          <w:b w:val="1"/>
          <w:bCs w:val="1"/>
          <w:color w:val="auto"/>
        </w:rPr>
        <w:t>o</w:t>
      </w:r>
      <w:r>
        <w:rPr>
          <w:rFonts w:ascii="Arial" w:cs="Arial" w:eastAsia="Arial" w:hAnsi="Arial"/>
          <w:sz w:val="18"/>
          <w:szCs w:val="18"/>
          <w:color w:val="auto"/>
        </w:rPr>
        <w:t>f revenue that was included in our deferred revenue balance at December 31, 2020 and (b) advanced billings in certain markets. The long-term portions of our deferred revenue balances are included within other long-term liabilities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aggregate assets associated with incremental costs to obtain and fulfill our contracts were $49.5 million and $46.6 million at March 31, 2021 and December 31, 2020, respectively. The current and long-term portions of our assets related to contract costs are included within other current assets and other assets, net, respectively, on our condensed consolidated balance sheets. We amortized $49.8 million and $37.7 million during the three months ended March 31, 2021 and 2020, respectively, to operating costs and expenses related to these assets.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207"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and Dispositions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2020 Acquisition</w:t>
      </w:r>
    </w:p>
    <w:p>
      <w:pPr>
        <w:spacing w:after="0" w:line="2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Sunrise Acquisition. </w:t>
      </w:r>
      <w:r>
        <w:rPr>
          <w:rFonts w:ascii="Arial" w:cs="Arial" w:eastAsia="Arial" w:hAnsi="Arial"/>
          <w:sz w:val="18"/>
          <w:szCs w:val="18"/>
          <w:color w:val="auto"/>
        </w:rPr>
        <w:t>On November 11, 2020, Liberty Global completed the acquisition of Sunrise Communications Group AG (</w:t>
      </w:r>
      <w:r>
        <w:rPr>
          <w:rFonts w:ascii="Arial" w:cs="Arial" w:eastAsia="Arial" w:hAnsi="Arial"/>
          <w:sz w:val="18"/>
          <w:szCs w:val="18"/>
          <w:b w:val="1"/>
          <w:bCs w:val="1"/>
          <w:color w:val="auto"/>
        </w:rPr>
        <w:t>Sunrise</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Sunrise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Acquisition</w:t>
      </w:r>
      <w:r>
        <w:rPr>
          <w:rFonts w:ascii="Arial" w:cs="Arial" w:eastAsia="Arial" w:hAnsi="Arial"/>
          <w:sz w:val="18"/>
          <w:szCs w:val="18"/>
          <w:color w:val="auto"/>
        </w:rPr>
        <w:t>). The Sunrise Acquisition was effected through an all cash public tender offer of the outstanding shares of Sunrise (the</w:t>
      </w:r>
      <w:r>
        <w:rPr>
          <w:rFonts w:ascii="Arial" w:cs="Arial" w:eastAsia="Arial" w:hAnsi="Arial"/>
          <w:sz w:val="18"/>
          <w:szCs w:val="18"/>
          <w:b w:val="1"/>
          <w:bCs w:val="1"/>
          <w:color w:val="auto"/>
        </w:rPr>
        <w:t xml:space="preserve"> Sunrise Shares</w:t>
      </w:r>
      <w:r>
        <w:rPr>
          <w:rFonts w:ascii="Arial" w:cs="Arial" w:eastAsia="Arial" w:hAnsi="Arial"/>
          <w:sz w:val="18"/>
          <w:szCs w:val="18"/>
          <w:color w:val="auto"/>
        </w:rPr>
        <w:t>) for</w:t>
      </w:r>
      <w:r>
        <w:rPr>
          <w:rFonts w:ascii="Arial" w:cs="Arial" w:eastAsia="Arial" w:hAnsi="Arial"/>
          <w:sz w:val="18"/>
          <w:szCs w:val="18"/>
          <w:b w:val="1"/>
          <w:bCs w:val="1"/>
          <w:color w:val="auto"/>
        </w:rPr>
        <w:t xml:space="preserve"> </w:t>
      </w:r>
      <w:r>
        <w:rPr>
          <w:rFonts w:ascii="Arial" w:cs="Arial" w:eastAsia="Arial" w:hAnsi="Arial"/>
          <w:sz w:val="18"/>
          <w:szCs w:val="18"/>
          <w:color w:val="auto"/>
        </w:rPr>
        <w:t>CHF 110 ($120 at transaction date) per share, for a total purchase price of CHF 5.0 billion ($5.4 billion at the transaction date). As of March 31, 2021 Liberty Global held 99.2% of the share capital of Sunrise and, during April 2021, acquired the remaining 0.8% of Sunrise Shares through a statutory “squeeze-out” procedure according to applicable Swiss law. As of March 31, 2021, we have recorded a liability of $41.2 million associated with the Sunrise Shares that we acquired in April 2021.</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unaudited pro forma consolidated operating results give effect to the Sunrise Acquisition as if it had been completed as of January 1, 2019. These pro forma amounts are not necessarily indicative of the operating results that would have occurred if the Sunrise Acquisition had occurred on such date. The pro forma adjustments are based on certain assumptions that we believe are reasonable.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spacing w:after="0"/>
              <w:rPr>
                <w:sz w:val="16"/>
                <w:szCs w:val="16"/>
                <w:color w:val="auto"/>
              </w:rPr>
            </w:pPr>
          </w:p>
        </w:tc>
        <w:tc>
          <w:tcPr>
            <w:tcW w:w="198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Three months ended March</w:t>
            </w:r>
          </w:p>
        </w:tc>
      </w:tr>
      <w:tr>
        <w:trPr>
          <w:trHeight w:val="213"/>
        </w:trPr>
        <w:tc>
          <w:tcPr>
            <w:tcW w:w="9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9"/>
              </w:rPr>
              <w:t>31, 2020</w:t>
            </w:r>
          </w:p>
        </w:tc>
      </w:tr>
      <w:tr>
        <w:trPr>
          <w:trHeight w:val="207"/>
        </w:trPr>
        <w:tc>
          <w:tcPr>
            <w:tcW w:w="9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95"/>
              <w:spacing w:after="0"/>
              <w:rPr>
                <w:sz w:val="20"/>
                <w:szCs w:val="20"/>
                <w:color w:val="auto"/>
              </w:rPr>
            </w:pPr>
            <w:r>
              <w:rPr>
                <w:rFonts w:ascii="Arial" w:cs="Arial" w:eastAsia="Arial" w:hAnsi="Arial"/>
                <w:sz w:val="16"/>
                <w:szCs w:val="16"/>
                <w:b w:val="1"/>
                <w:bCs w:val="1"/>
                <w:color w:val="auto"/>
                <w:w w:val="94"/>
              </w:rPr>
              <w:t>(unaudited)</w:t>
            </w:r>
          </w:p>
        </w:tc>
      </w:tr>
      <w:tr>
        <w:trPr>
          <w:trHeight w:val="168"/>
        </w:trPr>
        <w:tc>
          <w:tcPr>
            <w:tcW w:w="9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jc w:val="center"/>
              <w:ind w:right="75"/>
              <w:spacing w:after="0" w:line="168" w:lineRule="exact"/>
              <w:rPr>
                <w:sz w:val="20"/>
                <w:szCs w:val="20"/>
                <w:color w:val="auto"/>
              </w:rPr>
            </w:pPr>
            <w:r>
              <w:rPr>
                <w:rFonts w:ascii="Arial" w:cs="Arial" w:eastAsia="Arial" w:hAnsi="Arial"/>
                <w:sz w:val="16"/>
                <w:szCs w:val="16"/>
                <w:b w:val="1"/>
                <w:bCs w:val="1"/>
                <w:color w:val="auto"/>
                <w:w w:val="90"/>
              </w:rPr>
              <w:t>in millions, except per</w:t>
            </w:r>
          </w:p>
        </w:tc>
      </w:tr>
      <w:tr>
        <w:trPr>
          <w:trHeight w:val="210"/>
        </w:trPr>
        <w:tc>
          <w:tcPr>
            <w:tcW w:w="9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center"/>
              <w:ind w:right="95"/>
              <w:spacing w:after="0"/>
              <w:rPr>
                <w:sz w:val="20"/>
                <w:szCs w:val="20"/>
                <w:color w:val="auto"/>
              </w:rPr>
            </w:pPr>
            <w:r>
              <w:rPr>
                <w:rFonts w:ascii="Arial" w:cs="Arial" w:eastAsia="Arial" w:hAnsi="Arial"/>
                <w:sz w:val="16"/>
                <w:szCs w:val="16"/>
                <w:b w:val="1"/>
                <w:bCs w:val="1"/>
                <w:color w:val="auto"/>
                <w:w w:val="89"/>
              </w:rPr>
              <w:t>share amount</w:t>
            </w:r>
          </w:p>
        </w:tc>
      </w:tr>
      <w:tr>
        <w:trPr>
          <w:trHeight w:val="276"/>
        </w:trPr>
        <w:tc>
          <w:tcPr>
            <w:tcW w:w="9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5"/>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3,350.4</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260" w:type="dxa"/>
            <w:vAlign w:val="bottom"/>
          </w:tcPr>
          <w:p>
            <w:pPr>
              <w:ind w:left="20"/>
              <w:spacing w:after="0" w:line="203" w:lineRule="exact"/>
              <w:rPr>
                <w:sz w:val="20"/>
                <w:szCs w:val="20"/>
                <w:color w:val="auto"/>
              </w:rPr>
            </w:pPr>
            <w:r>
              <w:rPr>
                <w:rFonts w:ascii="Arial" w:cs="Arial" w:eastAsia="Arial" w:hAnsi="Arial"/>
                <w:sz w:val="18"/>
                <w:szCs w:val="18"/>
                <w:color w:val="auto"/>
              </w:rPr>
              <w:t>Net earnings attributable to Liberty Global shareholders</w:t>
            </w:r>
          </w:p>
        </w:tc>
        <w:tc>
          <w:tcPr>
            <w:tcW w:w="1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895.9</w:t>
            </w:r>
          </w:p>
        </w:tc>
      </w:tr>
      <w:tr>
        <w:trPr>
          <w:trHeight w:val="20"/>
        </w:trPr>
        <w:tc>
          <w:tcPr>
            <w:tcW w:w="9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9"/>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earnings attributable to Liberty Global shareholders per share</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Pending Joint Venture Transactions</w:t>
      </w:r>
    </w:p>
    <w:p>
      <w:pPr>
        <w:spacing w:after="0" w:line="24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U.K. JV Transaction. </w:t>
      </w:r>
      <w:r>
        <w:rPr>
          <w:rFonts w:ascii="Arial" w:cs="Arial" w:eastAsia="Arial" w:hAnsi="Arial"/>
          <w:sz w:val="18"/>
          <w:szCs w:val="18"/>
          <w:color w:val="auto"/>
        </w:rPr>
        <w:t>On May 7, 2020, we entered into a Contribution Agreement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Contribution Agreement</w:t>
      </w:r>
      <w:r>
        <w:rPr>
          <w:rFonts w:ascii="Arial" w:cs="Arial" w:eastAsia="Arial" w:hAnsi="Arial"/>
          <w:sz w:val="18"/>
          <w:szCs w:val="18"/>
          <w:color w:val="auto"/>
        </w:rPr>
        <w:t>) with, among others, Telefonica SA</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Telefónica</w:t>
      </w:r>
      <w:r>
        <w:rPr>
          <w:rFonts w:ascii="Arial" w:cs="Arial" w:eastAsia="Arial" w:hAnsi="Arial"/>
          <w:sz w:val="18"/>
          <w:szCs w:val="18"/>
          <w:color w:val="auto"/>
        </w:rPr>
        <w:t xml:space="preserve">). Pursuant to the Contribution Agreement, Liberty Global and Telefónica agreed to form a 50:50 joint venture (the </w:t>
      </w:r>
      <w:r>
        <w:rPr>
          <w:rFonts w:ascii="Arial" w:cs="Arial" w:eastAsia="Arial" w:hAnsi="Arial"/>
          <w:sz w:val="18"/>
          <w:szCs w:val="18"/>
          <w:b w:val="1"/>
          <w:bCs w:val="1"/>
          <w:color w:val="auto"/>
        </w:rPr>
        <w:t>U.K. JV</w:t>
      </w:r>
      <w:r>
        <w:rPr>
          <w:rFonts w:ascii="Arial" w:cs="Arial" w:eastAsia="Arial" w:hAnsi="Arial"/>
          <w:sz w:val="18"/>
          <w:szCs w:val="18"/>
          <w:color w:val="auto"/>
        </w:rPr>
        <w:t xml:space="preserve">), which will combine Virgin Media’s operations in the U.K. along with certain other Liberty Global subsidiaries created as a result of the pending U.K. JV (together, the </w:t>
      </w:r>
      <w:r>
        <w:rPr>
          <w:rFonts w:ascii="Arial" w:cs="Arial" w:eastAsia="Arial" w:hAnsi="Arial"/>
          <w:sz w:val="18"/>
          <w:szCs w:val="18"/>
          <w:b w:val="1"/>
          <w:bCs w:val="1"/>
          <w:color w:val="auto"/>
        </w:rPr>
        <w:t>U.K. JV Entities</w:t>
      </w:r>
      <w:r>
        <w:rPr>
          <w:rFonts w:ascii="Arial" w:cs="Arial" w:eastAsia="Arial" w:hAnsi="Arial"/>
          <w:sz w:val="18"/>
          <w:szCs w:val="18"/>
          <w:color w:val="auto"/>
        </w:rPr>
        <w:t>) with Telefónica’s mobile business in the U.K. to create a nationwide integrated communications provider. In our segment 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U.K. JV Entities are included in our U.K./Ireland segment.</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consummation of the transaction contemplated by the Contribution Agreement is subject to certain conditions, including competition clearance by the applicable regulatory authorities. The Contribution Agreement also includes customary termination rights, including a right of the parties to terminate the agreement if the transaction has not closed within 24 months following the date of the Contribution Agreement, which may be extended by six months under certain circumstances. We currently expect the U.K. JV transaction to close in June 2021. Following completion of the transaction, we expect to account for our 50% interest in the U.K. JV as an equity method investment.</w:t>
      </w:r>
    </w:p>
    <w:p>
      <w:pPr>
        <w:spacing w:after="0" w:line="21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Effective with the signing of the Contribution Agreement, we began accounting for the U.K. JV Entities as held for sale. Accordingly, we ceased to depreciate or amortize the long-lived assets of the U.K. JV Entities. We have not presented the U.K. JV Entities as a discontinued operation as this transaction does not represent a strategic shift that will have a major effect on our financial results or operations. The carrying amounts of the major classes of assets and liabilities associated with the U.K. JV Entities that are classified as held for sale on our condensed consolidated balance sheets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2"/>
              </w:rPr>
              <w:t>December 31, 2020</w:t>
            </w:r>
          </w:p>
        </w:tc>
      </w:tr>
      <w:tr>
        <w:trPr>
          <w:trHeight w:val="210"/>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4"/>
          </w:tcPr>
          <w:p>
            <w:pPr>
              <w:jc w:val="right"/>
              <w:ind w:right="1351"/>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0"/>
        </w:trPr>
        <w:tc>
          <w:tcPr>
            <w:tcW w:w="7640" w:type="dxa"/>
            <w:vAlign w:val="bottom"/>
          </w:tcPr>
          <w:p>
            <w:pPr>
              <w:ind w:left="180"/>
              <w:spacing w:after="0"/>
              <w:rPr>
                <w:sz w:val="20"/>
                <w:szCs w:val="20"/>
                <w:color w:val="auto"/>
              </w:rPr>
            </w:pPr>
            <w:r>
              <w:rPr>
                <w:rFonts w:ascii="Arial" w:cs="Arial" w:eastAsia="Arial" w:hAnsi="Arial"/>
                <w:sz w:val="18"/>
                <w:szCs w:val="18"/>
                <w:color w:val="auto"/>
              </w:rPr>
              <w:t>Current assets (a)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4,676.0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4,519.8</w:t>
            </w:r>
          </w:p>
        </w:tc>
      </w:tr>
      <w:tr>
        <w:trPr>
          <w:trHeight w:val="229"/>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8,614.0</w:t>
            </w:r>
          </w:p>
        </w:tc>
      </w:tr>
      <w:tr>
        <w:trPr>
          <w:trHeight w:val="230"/>
        </w:trPr>
        <w:tc>
          <w:tcPr>
            <w:tcW w:w="7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8,005.2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7,918.5</w:t>
            </w:r>
          </w:p>
        </w:tc>
      </w:tr>
      <w:tr>
        <w:trPr>
          <w:trHeight w:val="229"/>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3,230.4</w:t>
            </w:r>
          </w:p>
        </w:tc>
      </w:tr>
      <w:tr>
        <w:trPr>
          <w:trHeight w:val="223"/>
        </w:trPr>
        <w:tc>
          <w:tcPr>
            <w:tcW w:w="764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24,282.7</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7"/>
        </w:trPr>
        <w:tc>
          <w:tcPr>
            <w:tcW w:w="7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debt and finance lease obligations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2,699.5</w:t>
            </w:r>
          </w:p>
        </w:tc>
      </w:tr>
      <w:tr>
        <w:trPr>
          <w:trHeight w:val="230"/>
        </w:trPr>
        <w:tc>
          <w:tcPr>
            <w:tcW w:w="7640" w:type="dxa"/>
            <w:vAlign w:val="bottom"/>
          </w:tcPr>
          <w:p>
            <w:pPr>
              <w:ind w:left="180"/>
              <w:spacing w:after="0"/>
              <w:rPr>
                <w:sz w:val="20"/>
                <w:szCs w:val="20"/>
                <w:color w:val="auto"/>
              </w:rPr>
            </w:pPr>
            <w:r>
              <w:rPr>
                <w:rFonts w:ascii="Arial" w:cs="Arial" w:eastAsia="Arial" w:hAnsi="Arial"/>
                <w:sz w:val="18"/>
                <w:szCs w:val="18"/>
                <w:color w:val="auto"/>
              </w:rPr>
              <w:t>Other accrued and current liabilities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2,207.3</w:t>
            </w:r>
          </w:p>
        </w:tc>
      </w:tr>
      <w:tr>
        <w:trPr>
          <w:trHeight w:val="23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and finance lease obligations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16,724.1</w:t>
            </w:r>
          </w:p>
        </w:tc>
      </w:tr>
      <w:tr>
        <w:trPr>
          <w:trHeight w:val="230"/>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1,566.3</w:t>
            </w:r>
          </w:p>
        </w:tc>
      </w:tr>
      <w:tr>
        <w:trPr>
          <w:trHeight w:val="248"/>
        </w:trPr>
        <w:tc>
          <w:tcPr>
            <w:tcW w:w="76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23,197.2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63" w:lineRule="auto"/>
        <w:tabs>
          <w:tab w:leader="none" w:pos="497"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include the restricted cash resulting from certain financing transactions completed in 2020, as such restricted cash will be contributed to the U.K. JV. Amounts exclude the cash and cash equivalents of the U.K. JV Entities, which will be retained by Liberty Global upon the formation of the U.K. JV and are therefore not classified as held for sale.</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In addition to the amounts presented above, our assets and liabilities that are classified as held for sale on our March 31, 2021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 include those associated with a less significant 50:50 joint venture agreement that we entered into in February 2021. Upon closing of the transaction, which we expect will occur during the second quarter of 2021, the associated held-for-sale assets and liabilities will be contributed to this joint venture, and we will account for our 50% interest in the joint venture as an equity method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u w:val="single" w:color="auto"/>
          <w:color w:val="auto"/>
        </w:rPr>
        <w:t>Investments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investments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Accounting Method</w:t>
            </w:r>
          </w:p>
        </w:tc>
        <w:tc>
          <w:tcPr>
            <w:tcW w:w="2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38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3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Ownership (a)</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2"/>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(b):</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Long-term:</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VodafoneZiggo JV (c)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3,052.3</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30"/>
        </w:trPr>
        <w:tc>
          <w:tcPr>
            <w:tcW w:w="6940" w:type="dxa"/>
            <w:vAlign w:val="bottom"/>
          </w:tcPr>
          <w:p>
            <w:pPr>
              <w:ind w:left="300"/>
              <w:spacing w:after="0"/>
              <w:rPr>
                <w:sz w:val="20"/>
                <w:szCs w:val="20"/>
                <w:color w:val="auto"/>
              </w:rPr>
            </w:pPr>
            <w:r>
              <w:rPr>
                <w:rFonts w:ascii="Arial" w:cs="Arial" w:eastAsia="Arial" w:hAnsi="Arial"/>
                <w:sz w:val="18"/>
                <w:szCs w:val="18"/>
                <w:color w:val="auto"/>
              </w:rPr>
              <w:t>All3Media Group (</w:t>
            </w:r>
            <w:r>
              <w:rPr>
                <w:rFonts w:ascii="Arial" w:cs="Arial" w:eastAsia="Arial" w:hAnsi="Arial"/>
                <w:sz w:val="18"/>
                <w:szCs w:val="18"/>
                <w:b w:val="1"/>
                <w:bCs w:val="1"/>
                <w:color w:val="auto"/>
              </w:rPr>
              <w:t>All3Media</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157.7</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Formula E Holdings Ltd (</w:t>
            </w:r>
            <w:r>
              <w:rPr>
                <w:rFonts w:ascii="Arial" w:cs="Arial" w:eastAsia="Arial" w:hAnsi="Arial"/>
                <w:sz w:val="18"/>
                <w:szCs w:val="18"/>
                <w:b w:val="1"/>
                <w:bCs w:val="1"/>
                <w:color w:val="auto"/>
              </w:rPr>
              <w:t>Formula E</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32.9</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 equity</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4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300"/>
              <w:spacing w:after="0"/>
              <w:rPr>
                <w:sz w:val="20"/>
                <w:szCs w:val="20"/>
                <w:color w:val="auto"/>
              </w:rPr>
            </w:pPr>
            <w:r>
              <w:rPr>
                <w:rFonts w:ascii="Arial" w:cs="Arial" w:eastAsia="Arial" w:hAnsi="Arial"/>
                <w:sz w:val="18"/>
                <w:szCs w:val="18"/>
                <w:color w:val="auto"/>
              </w:rPr>
              <w:t>Separately-managed accounts (</w:t>
            </w:r>
            <w:r>
              <w:rPr>
                <w:rFonts w:ascii="Arial" w:cs="Arial" w:eastAsia="Arial" w:hAnsi="Arial"/>
                <w:sz w:val="18"/>
                <w:szCs w:val="18"/>
                <w:b w:val="1"/>
                <w:bCs w:val="1"/>
                <w:color w:val="auto"/>
              </w:rPr>
              <w:t>SMAs</w:t>
            </w:r>
            <w:r>
              <w:rPr>
                <w:rFonts w:ascii="Arial" w:cs="Arial" w:eastAsia="Arial" w:hAnsi="Arial"/>
                <w:sz w:val="18"/>
                <w:szCs w:val="18"/>
                <w:color w:val="auto"/>
              </w:rPr>
              <w:t>) (d)</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1,600.2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30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 — subject to re-use rights (e)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581.0</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9.9</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SMAs (d)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300"/>
              <w:spacing w:after="0"/>
              <w:rPr>
                <w:sz w:val="20"/>
                <w:szCs w:val="20"/>
                <w:color w:val="auto"/>
              </w:rPr>
            </w:pPr>
            <w:r>
              <w:rPr>
                <w:rFonts w:ascii="Arial" w:cs="Arial" w:eastAsia="Arial" w:hAnsi="Arial"/>
                <w:sz w:val="18"/>
                <w:szCs w:val="18"/>
                <w:color w:val="auto"/>
              </w:rPr>
              <w:t>Skillz Inc.</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225.4</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Plume Design, Inc. (</w:t>
            </w:r>
            <w:r>
              <w:rPr>
                <w:rFonts w:ascii="Arial" w:cs="Arial" w:eastAsia="Arial" w:hAnsi="Arial"/>
                <w:sz w:val="18"/>
                <w:szCs w:val="18"/>
                <w:b w:val="1"/>
                <w:bCs w:val="1"/>
                <w:color w:val="auto"/>
              </w:rPr>
              <w:t>Plume</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12.1</w:t>
            </w:r>
          </w:p>
        </w:tc>
        <w:tc>
          <w:tcPr>
            <w:tcW w:w="0" w:type="dxa"/>
            <w:vAlign w:val="bottom"/>
          </w:tcPr>
          <w:p>
            <w:pPr>
              <w:spacing w:after="0"/>
              <w:rPr>
                <w:sz w:val="1"/>
                <w:szCs w:val="1"/>
                <w:color w:val="auto"/>
              </w:rPr>
            </w:pPr>
          </w:p>
        </w:tc>
      </w:tr>
      <w:tr>
        <w:trPr>
          <w:trHeight w:val="230"/>
        </w:trPr>
        <w:tc>
          <w:tcPr>
            <w:tcW w:w="6940" w:type="dxa"/>
            <w:vAlign w:val="bottom"/>
          </w:tcPr>
          <w:p>
            <w:pPr>
              <w:ind w:left="300"/>
              <w:spacing w:after="0"/>
              <w:rPr>
                <w:sz w:val="20"/>
                <w:szCs w:val="20"/>
                <w:color w:val="auto"/>
              </w:rPr>
            </w:pPr>
            <w:r>
              <w:rPr>
                <w:rFonts w:ascii="Arial" w:cs="Arial" w:eastAsia="Arial" w:hAnsi="Arial"/>
                <w:sz w:val="18"/>
                <w:szCs w:val="18"/>
                <w:color w:val="auto"/>
              </w:rPr>
              <w:t>Univision Holdings Inc.</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11.5</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29"/>
        </w:trPr>
        <w:tc>
          <w:tcPr>
            <w:tcW w:w="6940" w:type="dxa"/>
            <w:vAlign w:val="bottom"/>
          </w:tcPr>
          <w:p>
            <w:pPr>
              <w:ind w:left="300"/>
              <w:spacing w:after="0"/>
              <w:rPr>
                <w:sz w:val="20"/>
                <w:szCs w:val="20"/>
                <w:color w:val="auto"/>
              </w:rPr>
            </w:pPr>
            <w:r>
              <w:rPr>
                <w:rFonts w:ascii="Arial" w:cs="Arial" w:eastAsia="Arial" w:hAnsi="Arial"/>
                <w:sz w:val="18"/>
                <w:szCs w:val="18"/>
                <w:color w:val="auto"/>
              </w:rPr>
              <w:t>CANAL+ Polska S.A.</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17.0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EdgeConneX Inc. (</w:t>
            </w:r>
            <w:r>
              <w:rPr>
                <w:rFonts w:ascii="Arial" w:cs="Arial" w:eastAsia="Arial" w:hAnsi="Arial"/>
                <w:sz w:val="18"/>
                <w:szCs w:val="18"/>
                <w:b w:val="1"/>
                <w:bCs w:val="1"/>
                <w:color w:val="auto"/>
              </w:rPr>
              <w:t>EdgeConneX</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5.1</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(f)</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 fair value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480"/>
              <w:spacing w:after="0"/>
              <w:rPr>
                <w:sz w:val="20"/>
                <w:szCs w:val="20"/>
                <w:color w:val="auto"/>
              </w:rPr>
            </w:pPr>
            <w:r>
              <w:rPr>
                <w:rFonts w:ascii="Arial" w:cs="Arial" w:eastAsia="Arial" w:hAnsi="Arial"/>
                <w:sz w:val="18"/>
                <w:szCs w:val="18"/>
                <w:color w:val="auto"/>
              </w:rPr>
              <w:t>Total investments (g)</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6,996.7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6,954.7</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5,425.0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2"/>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5,354.5</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ownership percentages are determined based on our legal ownership as of the most recent balance sheet date or are estimated based on the number of shares we own and the most recent publicly-available information.</w:t>
      </w:r>
    </w:p>
    <w:p>
      <w:pPr>
        <w:spacing w:after="0" w:line="197" w:lineRule="exact"/>
        <w:rPr>
          <w:rFonts w:ascii="Arial" w:cs="Arial" w:eastAsia="Arial" w:hAnsi="Arial"/>
          <w:sz w:val="18"/>
          <w:szCs w:val="18"/>
          <w:color w:val="auto"/>
        </w:rPr>
      </w:pPr>
    </w:p>
    <w:p>
      <w:pPr>
        <w:jc w:val="both"/>
        <w:ind w:left="500" w:hanging="492"/>
        <w:spacing w:after="0" w:line="293" w:lineRule="auto"/>
        <w:tabs>
          <w:tab w:leader="none" w:pos="494"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equity method investments are originally recorded at cost and are adjusted to recognize our share of net earnings or losses of the affiliates as they occur rather than as dividends or other distributions are received, with our recognition of losses generally limited to the extent of our investment in, and advances and commitments to, the investee. Accordingly, the carrying values of our equity method investments may not equal the respective fair values. At March 31, 2021 and December 31, 2020, the aggregate carrying amounts of our equity method investments exceeded our proportionate share of the respective investee’s net assets by $1,154.9 million and $1,198.5 million, respectively, which include amounts associated with the VodafoneZiggo JV Receivables, as defined below, and amounts we are owed under a long-term note receivable from All3Media.</w:t>
      </w:r>
    </w:p>
    <w:p>
      <w:pPr>
        <w:spacing w:after="0" w:line="191" w:lineRule="exact"/>
        <w:rPr>
          <w:rFonts w:ascii="Arial" w:cs="Arial" w:eastAsia="Arial" w:hAnsi="Arial"/>
          <w:sz w:val="16"/>
          <w:szCs w:val="16"/>
          <w:color w:val="auto"/>
        </w:rPr>
      </w:pPr>
    </w:p>
    <w:p>
      <w:pPr>
        <w:jc w:val="both"/>
        <w:ind w:left="500" w:hanging="492"/>
        <w:spacing w:after="0" w:line="291" w:lineRule="auto"/>
        <w:tabs>
          <w:tab w:leader="none" w:pos="497"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Amounts include certain notes receivable due from a subsidiary of the VodafoneZiggo JV to a subsidiary of Liberty Global comprising (i) a euro-denominated note receivable with a principal amount of $822.5 million and $855.8 million, respectively (the </w:t>
      </w:r>
      <w:r>
        <w:rPr>
          <w:rFonts w:ascii="Arial" w:cs="Arial" w:eastAsia="Arial" w:hAnsi="Arial"/>
          <w:sz w:val="16"/>
          <w:szCs w:val="16"/>
          <w:b w:val="1"/>
          <w:bCs w:val="1"/>
          <w:color w:val="auto"/>
        </w:rPr>
        <w:t>VodafoneZiggo JV Receivable I</w:t>
      </w:r>
      <w:r>
        <w:rPr>
          <w:rFonts w:ascii="Arial" w:cs="Arial" w:eastAsia="Arial" w:hAnsi="Arial"/>
          <w:sz w:val="16"/>
          <w:szCs w:val="16"/>
          <w:color w:val="auto"/>
        </w:rPr>
        <w:t>), and</w:t>
      </w:r>
    </w:p>
    <w:p>
      <w:pPr>
        <w:ind w:left="500" w:hanging="6"/>
        <w:spacing w:after="0" w:line="260" w:lineRule="auto"/>
        <w:tabs>
          <w:tab w:leader="none" w:pos="802"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a euro-denominated note receivable with a principal amount of $122.1 million and $127.1 million, respectively (the </w:t>
      </w:r>
      <w:r>
        <w:rPr>
          <w:rFonts w:ascii="Arial" w:cs="Arial" w:eastAsia="Arial" w:hAnsi="Arial"/>
          <w:sz w:val="18"/>
          <w:szCs w:val="18"/>
          <w:b w:val="1"/>
          <w:bCs w:val="1"/>
          <w:color w:val="auto"/>
        </w:rPr>
        <w:t>VodafoneZiggo JV</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Receivable II </w:t>
      </w:r>
      <w:r>
        <w:rPr>
          <w:rFonts w:ascii="Arial" w:cs="Arial" w:eastAsia="Arial" w:hAnsi="Arial"/>
          <w:sz w:val="18"/>
          <w:szCs w:val="18"/>
          <w:color w:val="auto"/>
        </w:rPr>
        <w:t>and, together with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color w:val="auto"/>
        </w:rPr>
        <w:t xml:space="preserve">VodafoneZiggo JV Receivable I, the </w:t>
      </w:r>
      <w:r>
        <w:rPr>
          <w:rFonts w:ascii="Arial" w:cs="Arial" w:eastAsia="Arial" w:hAnsi="Arial"/>
          <w:sz w:val="18"/>
          <w:szCs w:val="18"/>
          <w:b w:val="1"/>
          <w:bCs w:val="1"/>
          <w:color w:val="auto"/>
        </w:rPr>
        <w:t>VodafoneZiggo JV Receivables</w:t>
      </w:r>
      <w:r>
        <w:rPr>
          <w:rFonts w:ascii="Arial" w:cs="Arial" w:eastAsia="Arial" w:hAnsi="Arial"/>
          <w:sz w:val="18"/>
          <w:szCs w:val="18"/>
          <w:color w:val="auto"/>
        </w:rPr>
        <w:t>). The VodafoneZiggo JV Receivables bear interest at 5.55% and have a final maturity date of December 31, 2030. During the three months ended March 31, 2021, interest accrued on the VodafoneZiggo JV Receivables was $13.4 million, all of which has been cash settled.</w:t>
      </w:r>
    </w:p>
    <w:p>
      <w:pPr>
        <w:spacing w:after="0" w:line="207" w:lineRule="exact"/>
        <w:rPr>
          <w:sz w:val="20"/>
          <w:szCs w:val="20"/>
          <w:color w:val="auto"/>
        </w:rPr>
      </w:pPr>
    </w:p>
    <w:p>
      <w:pPr>
        <w:jc w:val="both"/>
        <w:ind w:left="500" w:hanging="492"/>
        <w:spacing w:after="0" w:line="257" w:lineRule="auto"/>
        <w:tabs>
          <w:tab w:leader="none" w:pos="49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As of March 31, 2021, all of our investments held under SMAs were classified as available-for-sale debt securities. At March 31, 2021 and December 31, 2020, interest accrued on our debt securities, which is included in other current assets on our condensed consolidated balance sheets, was $6.2 million and $7.1 million, respectively.</w:t>
      </w:r>
    </w:p>
    <w:p>
      <w:pPr>
        <w:spacing w:after="0" w:line="210" w:lineRule="exact"/>
        <w:rPr>
          <w:rFonts w:ascii="Arial" w:cs="Arial" w:eastAsia="Arial" w:hAnsi="Arial"/>
          <w:sz w:val="18"/>
          <w:szCs w:val="18"/>
          <w:color w:val="auto"/>
        </w:rPr>
      </w:pPr>
    </w:p>
    <w:p>
      <w:pPr>
        <w:jc w:val="both"/>
        <w:ind w:left="500" w:hanging="492"/>
        <w:spacing w:after="0" w:line="272" w:lineRule="auto"/>
        <w:tabs>
          <w:tab w:leader="none" w:pos="497"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connection with our investment in ITV, we entered into a share collar (the </w:t>
      </w:r>
      <w:r>
        <w:rPr>
          <w:rFonts w:ascii="Arial" w:cs="Arial" w:eastAsia="Arial" w:hAnsi="Arial"/>
          <w:sz w:val="17"/>
          <w:szCs w:val="17"/>
          <w:b w:val="1"/>
          <w:bCs w:val="1"/>
          <w:color w:val="auto"/>
        </w:rPr>
        <w:t>ITV Collar</w:t>
      </w:r>
      <w:r>
        <w:rPr>
          <w:rFonts w:ascii="Arial" w:cs="Arial" w:eastAsia="Arial" w:hAnsi="Arial"/>
          <w:sz w:val="17"/>
          <w:szCs w:val="17"/>
          <w:color w:val="auto"/>
        </w:rPr>
        <w:t xml:space="preserve">) with respect to the ITV shares held by our company. The aggregate purchase price paid to acquire our investment in ITV was financed through borrowings under a secured borrowing agreement (the </w:t>
      </w:r>
      <w:r>
        <w:rPr>
          <w:rFonts w:ascii="Arial" w:cs="Arial" w:eastAsia="Arial" w:hAnsi="Arial"/>
          <w:sz w:val="17"/>
          <w:szCs w:val="17"/>
          <w:b w:val="1"/>
          <w:bCs w:val="1"/>
          <w:color w:val="auto"/>
        </w:rPr>
        <w:t>ITV</w:t>
      </w:r>
      <w:r>
        <w:rPr>
          <w:rFonts w:ascii="Arial" w:cs="Arial" w:eastAsia="Arial" w:hAnsi="Arial"/>
          <w:sz w:val="17"/>
          <w:szCs w:val="17"/>
          <w:color w:val="auto"/>
        </w:rPr>
        <w:t xml:space="preserve"> </w:t>
      </w:r>
      <w:r>
        <w:rPr>
          <w:rFonts w:ascii="Arial" w:cs="Arial" w:eastAsia="Arial" w:hAnsi="Arial"/>
          <w:sz w:val="17"/>
          <w:szCs w:val="17"/>
          <w:b w:val="1"/>
          <w:bCs w:val="1"/>
          <w:color w:val="auto"/>
        </w:rPr>
        <w:t>Collar Loan</w:t>
      </w:r>
      <w:r>
        <w:rPr>
          <w:rFonts w:ascii="Arial" w:cs="Arial" w:eastAsia="Arial" w:hAnsi="Arial"/>
          <w:sz w:val="17"/>
          <w:szCs w:val="17"/>
          <w:color w:val="auto"/>
        </w:rPr>
        <w:t>). Beginning in the third quarter of 2020 through March 31, 2021, we cash settled a portion of the ITV Collar Loan and unwound the</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portion of the ITV Collar. As of March 31, 2021, (i) certain of the ITV shares our company held remain subject to the ITV Collar and were pledged as collateral under the ITV Collar Loan and (ii) the fair value of the ITV Collar was a net asset of $77.1 million and principal borrowings outstanding under the ITV Collar Loan were $138.4 million. In April 2021, we cash settled all remaining amounts under the ITV Collar Loan and completed the unwind of the ITV Collar. Accordingly, we currently hold 398.5 million shares of ITV, and these shares are no longer subject to a share collar nor are they pledged as collateral under a secured borrowing arrangement.</w:t>
      </w:r>
    </w:p>
    <w:p>
      <w:pPr>
        <w:spacing w:after="0" w:line="202" w:lineRule="exact"/>
        <w:rPr>
          <w:rFonts w:ascii="Arial" w:cs="Arial" w:eastAsia="Arial" w:hAnsi="Arial"/>
          <w:sz w:val="17"/>
          <w:szCs w:val="17"/>
          <w:color w:val="auto"/>
        </w:rPr>
      </w:pPr>
    </w:p>
    <w:p>
      <w:pPr>
        <w:ind w:left="500" w:right="20" w:hanging="492"/>
        <w:spacing w:after="0" w:line="277" w:lineRule="auto"/>
        <w:tabs>
          <w:tab w:leader="none" w:pos="491"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March 31, 2021 and December 31, 2020, we held a noncontrolling junior interest in receivables we have securitized of $9.8 million and $9.7 million, respectively.</w:t>
      </w:r>
    </w:p>
    <w:p>
      <w:pPr>
        <w:spacing w:after="0" w:line="197" w:lineRule="exact"/>
        <w:rPr>
          <w:rFonts w:ascii="Arial" w:cs="Arial" w:eastAsia="Arial" w:hAnsi="Arial"/>
          <w:sz w:val="18"/>
          <w:szCs w:val="18"/>
          <w:color w:val="auto"/>
        </w:rPr>
      </w:pPr>
    </w:p>
    <w:p>
      <w:pPr>
        <w:ind w:left="500" w:hanging="492"/>
        <w:spacing w:after="0" w:line="277" w:lineRule="auto"/>
        <w:tabs>
          <w:tab w:leader="none" w:pos="49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and sale of investments are presented on a gross basis in our statement of cash flows, including those made by investment managers acting as agents on our behalf.</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45" w:lineRule="exact"/>
        <w:rPr>
          <w:sz w:val="20"/>
          <w:szCs w:val="20"/>
          <w:color w:val="auto"/>
        </w:rPr>
      </w:pPr>
    </w:p>
    <w:p>
      <w:pPr>
        <w:jc w:val="center"/>
        <w:ind w:left="9140"/>
        <w:spacing w:after="0"/>
        <w:rPr>
          <w:sz w:val="20"/>
          <w:szCs w:val="20"/>
          <w:color w:val="auto"/>
        </w:rPr>
      </w:pPr>
      <w:r>
        <w:rPr>
          <w:rFonts w:ascii="Arial" w:cs="Arial" w:eastAsia="Arial" w:hAnsi="Arial"/>
          <w:sz w:val="15"/>
          <w:szCs w:val="15"/>
          <w:b w:val="1"/>
          <w:bCs w:val="1"/>
          <w:color w:val="auto"/>
        </w:rPr>
        <w:t>Three months ended March</w:t>
      </w:r>
    </w:p>
    <w:p>
      <w:pPr>
        <w:spacing w:after="0" w:line="8" w:lineRule="exact"/>
        <w:rPr>
          <w:sz w:val="20"/>
          <w:szCs w:val="20"/>
          <w:color w:val="auto"/>
        </w:rPr>
      </w:pPr>
    </w:p>
    <w:p>
      <w:pPr>
        <w:jc w:val="center"/>
        <w:ind w:left="9140"/>
        <w:spacing w:after="0"/>
        <w:rPr>
          <w:sz w:val="20"/>
          <w:szCs w:val="20"/>
          <w:color w:val="auto"/>
        </w:rPr>
      </w:pPr>
      <w:r>
        <w:rPr>
          <w:rFonts w:ascii="Arial" w:cs="Arial" w:eastAsia="Arial" w:hAnsi="Arial"/>
          <w:sz w:val="16"/>
          <w:szCs w:val="16"/>
          <w:b w:val="1"/>
          <w:bCs w:val="1"/>
          <w:color w:val="auto"/>
        </w:rPr>
        <w:t>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84"/>
              </w:rPr>
              <w:t>2020</w:t>
            </w:r>
          </w:p>
        </w:tc>
      </w:tr>
      <w:tr>
        <w:trPr>
          <w:trHeight w:val="206"/>
        </w:trPr>
        <w:tc>
          <w:tcPr>
            <w:tcW w:w="9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660" w:type="dxa"/>
            <w:vAlign w:val="bottom"/>
          </w:tcPr>
          <w:p>
            <w:pPr>
              <w:spacing w:after="0"/>
              <w:rPr>
                <w:sz w:val="17"/>
                <w:szCs w:val="17"/>
                <w:color w:val="auto"/>
              </w:rPr>
            </w:pPr>
          </w:p>
        </w:tc>
      </w:tr>
      <w:tr>
        <w:trPr>
          <w:trHeight w:val="222"/>
        </w:trPr>
        <w:tc>
          <w:tcPr>
            <w:tcW w:w="9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All3Media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1"/>
              </w:rPr>
              <w:t>(9.0)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9160" w:type="dxa"/>
            <w:vAlign w:val="bottom"/>
          </w:tcPr>
          <w:p>
            <w:pPr>
              <w:ind w:left="20"/>
              <w:spacing w:after="0"/>
              <w:rPr>
                <w:sz w:val="20"/>
                <w:szCs w:val="20"/>
                <w:color w:val="auto"/>
              </w:rPr>
            </w:pPr>
            <w:r>
              <w:rPr>
                <w:rFonts w:ascii="Arial" w:cs="Arial" w:eastAsia="Arial" w:hAnsi="Arial"/>
                <w:sz w:val="18"/>
                <w:szCs w:val="18"/>
                <w:color w:val="auto"/>
              </w:rPr>
              <w:t>Formula E</w:t>
            </w:r>
          </w:p>
        </w:tc>
        <w:tc>
          <w:tcPr>
            <w:tcW w:w="220" w:type="dxa"/>
            <w:vAlign w:val="bottom"/>
          </w:tcPr>
          <w:p>
            <w:pPr>
              <w:spacing w:after="0"/>
              <w:rPr>
                <w:sz w:val="19"/>
                <w:szCs w:val="19"/>
                <w:color w:val="auto"/>
              </w:rPr>
            </w:pPr>
          </w:p>
        </w:tc>
        <w:tc>
          <w:tcPr>
            <w:tcW w:w="760" w:type="dxa"/>
            <w:vAlign w:val="bottom"/>
          </w:tcPr>
          <w:p>
            <w:pPr>
              <w:jc w:val="center"/>
              <w:ind w:left="313"/>
              <w:spacing w:after="0"/>
              <w:rPr>
                <w:sz w:val="20"/>
                <w:szCs w:val="20"/>
                <w:color w:val="auto"/>
              </w:rPr>
            </w:pPr>
            <w:r>
              <w:rPr>
                <w:rFonts w:ascii="Arial" w:cs="Arial" w:eastAsia="Arial" w:hAnsi="Arial"/>
                <w:sz w:val="18"/>
                <w:szCs w:val="18"/>
                <w:color w:val="auto"/>
                <w:w w:val="95"/>
              </w:rPr>
              <w:t>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VodafoneZiggo JV (a)</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5"/>
              </w:rPr>
              <w:t>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93"/>
              <w:spacing w:after="0"/>
              <w:rPr>
                <w:sz w:val="20"/>
                <w:szCs w:val="20"/>
                <w:color w:val="auto"/>
              </w:rPr>
            </w:pPr>
            <w:r>
              <w:rPr>
                <w:rFonts w:ascii="Arial" w:cs="Arial" w:eastAsia="Arial" w:hAnsi="Arial"/>
                <w:sz w:val="18"/>
                <w:szCs w:val="18"/>
                <w:color w:val="auto"/>
                <w:w w:val="91"/>
              </w:rPr>
              <w:t>(2.7)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9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313"/>
              <w:spacing w:after="0"/>
              <w:rPr>
                <w:sz w:val="20"/>
                <w:szCs w:val="20"/>
                <w:color w:val="auto"/>
              </w:rPr>
            </w:pPr>
            <w:r>
              <w:rPr>
                <w:rFonts w:ascii="Arial" w:cs="Arial" w:eastAsia="Arial" w:hAnsi="Arial"/>
                <w:sz w:val="18"/>
                <w:szCs w:val="18"/>
                <w:color w:val="auto"/>
                <w:w w:val="95"/>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include the net effect of (i) 100% of the interest income earned on the VodafoneZiggo JV Receivables and (ii) our 50% share of the results of operations of the VodafoneZiggo JV.</w:t>
      </w:r>
    </w:p>
    <w:p>
      <w:pPr>
        <w:spacing w:after="0" w:line="19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i w:val="1"/>
          <w:iCs w:val="1"/>
          <w:color w:val="auto"/>
        </w:rPr>
        <w:t xml:space="preserve">VodafoneZiggo JV. </w:t>
      </w:r>
      <w:r>
        <w:rPr>
          <w:rFonts w:ascii="Arial" w:cs="Arial" w:eastAsia="Arial" w:hAnsi="Arial"/>
          <w:sz w:val="16"/>
          <w:szCs w:val="16"/>
          <w:color w:val="auto"/>
        </w:rPr>
        <w:t>Pursuant to an agreement (the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Framework Agreement</w:t>
      </w:r>
      <w:r>
        <w:rPr>
          <w:rFonts w:ascii="Arial" w:cs="Arial" w:eastAsia="Arial" w:hAnsi="Arial"/>
          <w:sz w:val="16"/>
          <w:szCs w:val="16"/>
          <w:color w:val="auto"/>
        </w:rPr>
        <w:t>), Liberty Global provides certain services to the VodafoneZiggo JV</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(collectively, the </w:t>
      </w:r>
      <w:r>
        <w:rPr>
          <w:rFonts w:ascii="Arial" w:cs="Arial" w:eastAsia="Arial" w:hAnsi="Arial"/>
          <w:sz w:val="16"/>
          <w:szCs w:val="16"/>
          <w:b w:val="1"/>
          <w:bCs w:val="1"/>
          <w:color w:val="auto"/>
        </w:rPr>
        <w:t>JV Services</w:t>
      </w:r>
      <w:r>
        <w:rPr>
          <w:rFonts w:ascii="Arial" w:cs="Arial" w:eastAsia="Arial" w:hAnsi="Arial"/>
          <w:sz w:val="16"/>
          <w:szCs w:val="16"/>
          <w:color w:val="auto"/>
        </w:rPr>
        <w:t>). The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JV Services provided during the term of the Framework Agreement. We recorded revenue from the VodafoneZiggo JV of $50.7 million and $46.7 million during the three months ended March 31, 2021 and 2020, respectively, primarily related to (a) the JV Services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(b) sales of customer premises equipment at a mark-up. At March 31, 2021 and December 31, 2020, $34.8 million and $27.4 million, respectively, were due from the VodafoneZiggo JV related to the aforementioned transactions. The amounts due from the VodafoneZiggo JV, which are periodically cash settled, are included in other current assets on our condensed consolidated balance sheets.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6"/>
                <w:szCs w:val="16"/>
                <w:b w:val="1"/>
                <w:bCs w:val="1"/>
                <w:color w:val="auto"/>
                <w:w w:val="96"/>
              </w:rPr>
              <w:t>Three months ended March 31,</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7"/>
        </w:trPr>
        <w:tc>
          <w:tcPr>
            <w:tcW w:w="8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before income taxes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Investments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realized and unrealized gains (losses) due to changes in fair value, net: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2880" w:type="dxa"/>
            <w:vAlign w:val="bottom"/>
            <w:tcBorders>
              <w:bottom w:val="single" w:sz="8" w:color="auto"/>
            </w:tcBorders>
            <w:gridSpan w:val="5"/>
          </w:tcPr>
          <w:p>
            <w:pPr>
              <w:jc w:val="right"/>
              <w:ind w:right="271"/>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3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207"/>
        </w:trPr>
        <w:tc>
          <w:tcPr>
            <w:tcW w:w="8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7"/>
                <w:szCs w:val="17"/>
                <w:color w:val="auto"/>
              </w:rPr>
            </w:pPr>
          </w:p>
        </w:tc>
      </w:tr>
      <w:tr>
        <w:trPr>
          <w:trHeight w:val="168"/>
        </w:trPr>
        <w:tc>
          <w:tcPr>
            <w:tcW w:w="8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ITV</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Plume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Lionsgate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EdgeConneX</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194.6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w:t>
            </w:r>
          </w:p>
        </w:tc>
      </w:tr>
      <w:tr>
        <w:trPr>
          <w:trHeight w:val="20"/>
        </w:trPr>
        <w:tc>
          <w:tcPr>
            <w:tcW w:w="8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Debt Securities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31, 2021 and December 31, 2020, all of our SMAs are composed of debt securities, which are summarized in the following tables: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 2021</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Amortized cost</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4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unrealized gains</w:t>
            </w:r>
          </w:p>
        </w:tc>
        <w:tc>
          <w:tcPr>
            <w:tcW w:w="180" w:type="dxa"/>
            <w:vAlign w:val="bottom"/>
          </w:tcPr>
          <w:p>
            <w:pPr>
              <w:spacing w:after="0"/>
              <w:rPr>
                <w:sz w:val="14"/>
                <w:szCs w:val="14"/>
                <w:color w:val="auto"/>
              </w:rPr>
            </w:pPr>
          </w:p>
        </w:tc>
        <w:tc>
          <w:tcPr>
            <w:tcW w:w="106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82"/>
              </w:rPr>
              <w:t>basis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millions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6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380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securities</w:t>
            </w:r>
          </w:p>
        </w:tc>
        <w:tc>
          <w:tcPr>
            <w:tcW w:w="3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3680" w:type="dxa"/>
            <w:vAlign w:val="bottom"/>
          </w:tcPr>
          <w:p>
            <w:pPr>
              <w:ind w:left="140"/>
              <w:spacing w:after="0"/>
              <w:rPr>
                <w:sz w:val="20"/>
                <w:szCs w:val="20"/>
                <w:color w:val="auto"/>
              </w:rPr>
            </w:pPr>
            <w:r>
              <w:rPr>
                <w:rFonts w:ascii="Arial" w:cs="Arial" w:eastAsia="Arial" w:hAnsi="Arial"/>
                <w:sz w:val="18"/>
                <w:szCs w:val="18"/>
                <w:color w:val="auto"/>
              </w:rPr>
              <w:t>Total debt securities</w:t>
            </w:r>
          </w:p>
        </w:tc>
        <w:tc>
          <w:tcPr>
            <w:tcW w:w="35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520" w:type="dxa"/>
            <w:vAlign w:val="bottom"/>
            <w:vMerge w:val="restart"/>
          </w:tcPr>
          <w:p>
            <w:pPr>
              <w:jc w:val="right"/>
              <w:ind w:right="1390"/>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6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7300" w:type="dxa"/>
            <w:vAlign w:val="bottom"/>
          </w:tcPr>
          <w:p>
            <w:pPr>
              <w:spacing w:after="0"/>
              <w:rPr>
                <w:sz w:val="13"/>
                <w:szCs w:val="13"/>
                <w:color w:val="auto"/>
              </w:rPr>
            </w:pPr>
          </w:p>
        </w:tc>
        <w:tc>
          <w:tcPr>
            <w:tcW w:w="1240" w:type="dxa"/>
            <w:vAlign w:val="bottom"/>
            <w:gridSpan w:val="2"/>
          </w:tcPr>
          <w:p>
            <w:pPr>
              <w:jc w:val="right"/>
              <w:ind w:right="12"/>
              <w:spacing w:after="0" w:line="155" w:lineRule="exact"/>
              <w:rPr>
                <w:sz w:val="20"/>
                <w:szCs w:val="20"/>
                <w:color w:val="auto"/>
              </w:rPr>
            </w:pPr>
            <w:r>
              <w:rPr>
                <w:rFonts w:ascii="Arial" w:cs="Arial" w:eastAsia="Arial" w:hAnsi="Arial"/>
                <w:sz w:val="16"/>
                <w:szCs w:val="16"/>
                <w:b w:val="1"/>
                <w:bCs w:val="1"/>
                <w:color w:val="auto"/>
                <w:w w:val="96"/>
              </w:rPr>
              <w:t>Amortized cost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3"/>
                <w:szCs w:val="13"/>
                <w:color w:val="auto"/>
              </w:rPr>
            </w:pPr>
          </w:p>
        </w:tc>
        <w:tc>
          <w:tcPr>
            <w:tcW w:w="106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basis</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unrealized gains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 millions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3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48"/>
        </w:trPr>
        <w:tc>
          <w:tcPr>
            <w:tcW w:w="7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debt securities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1,965.9</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2021 and 2020, we received proceeds from the sale of debt securities of $1.5 billion and $1.2 billion, respectively, the majority of which were reinvested in new debt securities held under SMAs. The sale of debt securities during the three months ended March 31, 2021 and 2020 resulted in realized net losses of $1.3 million and nil,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9680" w:type="dxa"/>
            <w:vAlign w:val="bottom"/>
          </w:tcPr>
          <w:p>
            <w:pPr>
              <w:ind w:left="80"/>
              <w:spacing w:after="0"/>
              <w:rPr>
                <w:sz w:val="20"/>
                <w:szCs w:val="20"/>
                <w:color w:val="auto"/>
              </w:rPr>
            </w:pPr>
            <w:r>
              <w:rPr>
                <w:rFonts w:ascii="Arial" w:cs="Arial" w:eastAsia="Arial" w:hAnsi="Arial"/>
                <w:sz w:val="18"/>
                <w:szCs w:val="18"/>
                <w:color w:val="auto"/>
              </w:rPr>
              <w:t>The fair value of our debt securities as of March 31, 2021 by contractual maturity are shown below (in millions):</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9940" w:type="dxa"/>
            <w:vAlign w:val="bottom"/>
            <w:gridSpan w:val="2"/>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9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0" w:type="dxa"/>
            <w:vAlign w:val="bottom"/>
          </w:tcPr>
          <w:p>
            <w:pPr>
              <w:spacing w:after="0"/>
              <w:rPr>
                <w:sz w:val="1"/>
                <w:szCs w:val="1"/>
                <w:color w:val="auto"/>
              </w:rPr>
            </w:pPr>
          </w:p>
        </w:tc>
      </w:tr>
      <w:tr>
        <w:trPr>
          <w:trHeight w:val="230"/>
        </w:trPr>
        <w:tc>
          <w:tcPr>
            <w:tcW w:w="9940" w:type="dxa"/>
            <w:vAlign w:val="bottom"/>
            <w:gridSpan w:val="2"/>
          </w:tcPr>
          <w:p>
            <w:pPr>
              <w:ind w:left="20"/>
              <w:spacing w:after="0"/>
              <w:rPr>
                <w:sz w:val="20"/>
                <w:szCs w:val="20"/>
                <w:color w:val="auto"/>
              </w:rPr>
            </w:pPr>
            <w:r>
              <w:rPr>
                <w:rFonts w:ascii="Arial" w:cs="Arial" w:eastAsia="Arial" w:hAnsi="Arial"/>
                <w:sz w:val="18"/>
                <w:szCs w:val="18"/>
                <w:color w:val="auto"/>
              </w:rPr>
              <w:t>Due in one to five years</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29"/>
        </w:trPr>
        <w:tc>
          <w:tcPr>
            <w:tcW w:w="9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in five to ten years</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9940" w:type="dxa"/>
            <w:vAlign w:val="bottom"/>
            <w:gridSpan w:val="2"/>
          </w:tcPr>
          <w:p>
            <w:pPr>
              <w:ind w:left="140"/>
              <w:spacing w:after="0"/>
              <w:rPr>
                <w:sz w:val="20"/>
                <w:szCs w:val="20"/>
                <w:color w:val="auto"/>
              </w:rPr>
            </w:pPr>
            <w:r>
              <w:rPr>
                <w:rFonts w:ascii="Arial" w:cs="Arial" w:eastAsia="Arial" w:hAnsi="Arial"/>
                <w:sz w:val="18"/>
                <w:szCs w:val="18"/>
                <w:color w:val="auto"/>
              </w:rPr>
              <w:t>Total (a)</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1,961.2</w:t>
            </w:r>
          </w:p>
        </w:tc>
        <w:tc>
          <w:tcPr>
            <w:tcW w:w="0" w:type="dxa"/>
            <w:vAlign w:val="bottom"/>
          </w:tcPr>
          <w:p>
            <w:pPr>
              <w:spacing w:after="0"/>
              <w:rPr>
                <w:sz w:val="1"/>
                <w:szCs w:val="1"/>
                <w:color w:val="auto"/>
              </w:rPr>
            </w:pPr>
          </w:p>
        </w:tc>
      </w:tr>
      <w:tr>
        <w:trPr>
          <w:trHeight w:val="20"/>
        </w:trPr>
        <w:tc>
          <w:tcPr>
            <w:tcW w:w="994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99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rPr>
              <w:t>(a)</w:t>
            </w:r>
          </w:p>
        </w:tc>
        <w:tc>
          <w:tcPr>
            <w:tcW w:w="9680" w:type="dxa"/>
            <w:vAlign w:val="bottom"/>
          </w:tcPr>
          <w:p>
            <w:pPr>
              <w:ind w:left="240"/>
              <w:spacing w:after="0"/>
              <w:rPr>
                <w:sz w:val="20"/>
                <w:szCs w:val="20"/>
                <w:color w:val="auto"/>
              </w:rPr>
            </w:pPr>
            <w:r>
              <w:rPr>
                <w:rFonts w:ascii="Arial" w:cs="Arial" w:eastAsia="Arial" w:hAnsi="Arial"/>
                <w:sz w:val="18"/>
                <w:szCs w:val="18"/>
                <w:color w:val="auto"/>
              </w:rPr>
              <w:t>The weighted average life of our total debt securities was 0.6 years as of March 31, 2021.</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8"/>
          <w:szCs w:val="18"/>
          <w:b w:val="1"/>
          <w:bCs w:val="1"/>
          <w:color w:val="auto"/>
        </w:rPr>
        <w:t>$</w:t>
      </w:r>
      <w:r>
        <w:rPr>
          <w:rFonts w:ascii="Arial" w:cs="Arial" w:eastAsia="Arial" w:hAnsi="Arial"/>
          <w:sz w:val="18"/>
          <w:szCs w:val="18"/>
          <w:color w:val="auto"/>
        </w:rPr>
        <w:t>), the euro (</w:t>
      </w:r>
      <w:r>
        <w:rPr>
          <w:rFonts w:ascii="Arial" w:cs="Arial" w:eastAsia="Arial" w:hAnsi="Arial"/>
          <w:sz w:val="18"/>
          <w:szCs w:val="18"/>
          <w:b w:val="1"/>
          <w:bCs w:val="1"/>
          <w:color w:val="auto"/>
        </w:rPr>
        <w:t>€</w:t>
      </w:r>
      <w:r>
        <w:rPr>
          <w:rFonts w:ascii="Arial" w:cs="Arial" w:eastAsia="Arial" w:hAnsi="Arial"/>
          <w:sz w:val="18"/>
          <w:szCs w:val="18"/>
          <w:color w:val="auto"/>
        </w:rPr>
        <w:t>), the British pound sterling (</w:t>
      </w:r>
      <w:r>
        <w:rPr>
          <w:rFonts w:ascii="Arial" w:cs="Arial" w:eastAsia="Arial" w:hAnsi="Arial"/>
          <w:sz w:val="18"/>
          <w:szCs w:val="18"/>
          <w:b w:val="1"/>
          <w:bCs w:val="1"/>
          <w:color w:val="auto"/>
        </w:rPr>
        <w:t>£</w:t>
      </w:r>
      <w:r>
        <w:rPr>
          <w:rFonts w:ascii="Arial" w:cs="Arial" w:eastAsia="Arial" w:hAnsi="Arial"/>
          <w:sz w:val="18"/>
          <w:szCs w:val="18"/>
          <w:color w:val="auto"/>
        </w:rPr>
        <w:t>), the Swiss franc (</w:t>
      </w:r>
      <w:r>
        <w:rPr>
          <w:rFonts w:ascii="Arial" w:cs="Arial" w:eastAsia="Arial" w:hAnsi="Arial"/>
          <w:sz w:val="18"/>
          <w:szCs w:val="18"/>
          <w:b w:val="1"/>
          <w:bCs w:val="1"/>
          <w:color w:val="auto"/>
        </w:rPr>
        <w:t>CHF</w:t>
      </w:r>
      <w:r>
        <w:rPr>
          <w:rFonts w:ascii="Arial" w:cs="Arial" w:eastAsia="Arial" w:hAnsi="Arial"/>
          <w:sz w:val="18"/>
          <w:szCs w:val="18"/>
          <w:color w:val="auto"/>
        </w:rPr>
        <w:t>) and the Polish zloty (</w:t>
      </w:r>
      <w:r>
        <w:rPr>
          <w:rFonts w:ascii="Arial" w:cs="Arial" w:eastAsia="Arial" w:hAnsi="Arial"/>
          <w:sz w:val="18"/>
          <w:szCs w:val="18"/>
          <w:b w:val="1"/>
          <w:bCs w:val="1"/>
          <w:color w:val="auto"/>
        </w:rPr>
        <w:t>PLN</w:t>
      </w:r>
      <w:r>
        <w:rPr>
          <w:rFonts w:ascii="Arial" w:cs="Arial" w:eastAsia="Arial" w:hAnsi="Arial"/>
          <w:sz w:val="18"/>
          <w:szCs w:val="18"/>
          <w:color w:val="auto"/>
        </w:rPr>
        <w:t>). Generally,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March 31, 2021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Current</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Long-term</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Current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3"/>
              </w:rPr>
              <w:t>Long-term</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4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jc w:val="center"/>
              <w:ind w:right="3210"/>
              <w:spacing w:after="0"/>
              <w:rPr>
                <w:sz w:val="20"/>
                <w:szCs w:val="20"/>
                <w:color w:val="auto"/>
              </w:rPr>
            </w:pPr>
            <w:r>
              <w:rPr>
                <w:rFonts w:ascii="Arial" w:cs="Arial" w:eastAsia="Arial" w:hAnsi="Arial"/>
                <w:sz w:val="18"/>
                <w:szCs w:val="18"/>
                <w:color w:val="auto"/>
                <w:w w:val="90"/>
              </w:rPr>
              <w:t>Assets (a):</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140"/>
              <w:spacing w:after="0" w:line="176" w:lineRule="exact"/>
              <w:rPr>
                <w:sz w:val="20"/>
                <w:szCs w:val="20"/>
                <w:color w:val="auto"/>
              </w:rPr>
            </w:pPr>
            <w:r>
              <w:rPr>
                <w:rFonts w:ascii="Arial" w:cs="Arial" w:eastAsia="Arial" w:hAnsi="Arial"/>
                <w:sz w:val="18"/>
                <w:szCs w:val="18"/>
                <w:color w:val="auto"/>
                <w:w w:val="94"/>
              </w:rPr>
              <w:t>Cross-currency and interest rate derivative contracts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323.7</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425.2</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148.8</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418.4</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29"/>
        </w:trPr>
        <w:tc>
          <w:tcPr>
            <w:tcW w:w="4120" w:type="dxa"/>
            <w:vAlign w:val="bottom"/>
          </w:tcPr>
          <w:p>
            <w:pPr>
              <w:jc w:val="center"/>
              <w:ind w:right="3210"/>
              <w:spacing w:after="0"/>
              <w:rPr>
                <w:sz w:val="20"/>
                <w:szCs w:val="20"/>
                <w:color w:val="auto"/>
              </w:rPr>
            </w:pPr>
            <w:r>
              <w:rPr>
                <w:rFonts w:ascii="Arial" w:cs="Arial" w:eastAsia="Arial" w:hAnsi="Arial"/>
                <w:sz w:val="18"/>
                <w:szCs w:val="18"/>
                <w:color w:val="auto"/>
                <w:w w:val="99"/>
              </w:rPr>
              <w:t>(b)</w:t>
            </w:r>
          </w:p>
        </w:tc>
        <w:tc>
          <w:tcPr>
            <w:tcW w:w="1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Equity-related derivative instruments (c)</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96"/>
        </w:trPr>
        <w:tc>
          <w:tcPr>
            <w:tcW w:w="4120" w:type="dxa"/>
            <w:vAlign w:val="bottom"/>
          </w:tcPr>
          <w:p>
            <w:pPr>
              <w:jc w:val="center"/>
              <w:ind w:right="3210"/>
              <w:spacing w:after="0" w:line="196" w:lineRule="exact"/>
              <w:rPr>
                <w:sz w:val="20"/>
                <w:szCs w:val="20"/>
                <w:color w:val="auto"/>
              </w:rPr>
            </w:pPr>
            <w:r>
              <w:rPr>
                <w:rFonts w:ascii="Arial" w:cs="Arial" w:eastAsia="Arial" w:hAnsi="Arial"/>
                <w:sz w:val="18"/>
                <w:szCs w:val="18"/>
                <w:color w:val="auto"/>
                <w:w w:val="94"/>
              </w:rPr>
              <w:t>Total</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133.2</w:t>
            </w:r>
          </w:p>
        </w:tc>
        <w:tc>
          <w:tcPr>
            <w:tcW w:w="120" w:type="dxa"/>
            <w:vAlign w:val="bottom"/>
          </w:tcPr>
          <w:p>
            <w:pPr>
              <w:spacing w:after="0"/>
              <w:rPr>
                <w:sz w:val="17"/>
                <w:szCs w:val="17"/>
                <w:color w:val="auto"/>
              </w:rPr>
            </w:pPr>
          </w:p>
        </w:tc>
        <w:tc>
          <w:tcPr>
            <w:tcW w:w="1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439.3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572.5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234.6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650.2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 (a):</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140"/>
              <w:spacing w:after="0" w:line="176" w:lineRule="exact"/>
              <w:rPr>
                <w:sz w:val="20"/>
                <w:szCs w:val="20"/>
                <w:color w:val="auto"/>
              </w:rPr>
            </w:pPr>
            <w:r>
              <w:rPr>
                <w:rFonts w:ascii="Arial" w:cs="Arial" w:eastAsia="Arial" w:hAnsi="Arial"/>
                <w:sz w:val="18"/>
                <w:szCs w:val="18"/>
                <w:color w:val="auto"/>
                <w:w w:val="94"/>
              </w:rPr>
              <w:t>Cross-currency and interest rate derivative contracts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614.8</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773.8</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171.2</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1,364.1</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1,535.3</w:t>
            </w:r>
          </w:p>
        </w:tc>
        <w:tc>
          <w:tcPr>
            <w:tcW w:w="0" w:type="dxa"/>
            <w:vAlign w:val="bottom"/>
          </w:tcPr>
          <w:p>
            <w:pPr>
              <w:spacing w:after="0"/>
              <w:rPr>
                <w:sz w:val="1"/>
                <w:szCs w:val="1"/>
                <w:color w:val="auto"/>
              </w:rPr>
            </w:pPr>
          </w:p>
        </w:tc>
      </w:tr>
      <w:tr>
        <w:trPr>
          <w:trHeight w:val="229"/>
        </w:trPr>
        <w:tc>
          <w:tcPr>
            <w:tcW w:w="4120" w:type="dxa"/>
            <w:vAlign w:val="bottom"/>
          </w:tcPr>
          <w:p>
            <w:pPr>
              <w:jc w:val="center"/>
              <w:ind w:right="3210"/>
              <w:spacing w:after="0"/>
              <w:rPr>
                <w:sz w:val="20"/>
                <w:szCs w:val="20"/>
                <w:color w:val="auto"/>
              </w:rPr>
            </w:pPr>
            <w:r>
              <w:rPr>
                <w:rFonts w:ascii="Arial" w:cs="Arial" w:eastAsia="Arial" w:hAnsi="Arial"/>
                <w:sz w:val="18"/>
                <w:szCs w:val="18"/>
                <w:color w:val="auto"/>
                <w:w w:val="99"/>
              </w:rPr>
              <w:t>(b)</w:t>
            </w:r>
          </w:p>
        </w:tc>
        <w:tc>
          <w:tcPr>
            <w:tcW w:w="1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jc w:val="center"/>
              <w:ind w:right="3210"/>
              <w:spacing w:after="0"/>
              <w:rPr>
                <w:sz w:val="20"/>
                <w:szCs w:val="20"/>
                <w:color w:val="auto"/>
              </w:rPr>
            </w:pPr>
            <w:r>
              <w:rPr>
                <w:rFonts w:ascii="Arial" w:cs="Arial" w:eastAsia="Arial" w:hAnsi="Arial"/>
                <w:sz w:val="18"/>
                <w:szCs w:val="18"/>
                <w:color w:val="auto"/>
                <w:w w:val="94"/>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derivative assets, long-term derivative assets and long-term derivative liabilities are included in other current assets, other assets, net, and other long-term liabilities, respectively, on our condensed consolidated balance sheets.</w:t>
      </w:r>
    </w:p>
    <w:p>
      <w:pPr>
        <w:spacing w:after="0" w:line="197" w:lineRule="exact"/>
        <w:rPr>
          <w:rFonts w:ascii="Arial" w:cs="Arial" w:eastAsia="Arial" w:hAnsi="Arial"/>
          <w:sz w:val="18"/>
          <w:szCs w:val="18"/>
          <w:color w:val="auto"/>
        </w:rPr>
      </w:pPr>
    </w:p>
    <w:p>
      <w:pPr>
        <w:jc w:val="both"/>
        <w:ind w:left="500" w:hanging="492"/>
        <w:spacing w:after="0" w:line="255" w:lineRule="auto"/>
        <w:tabs>
          <w:tab w:leader="none" w:pos="4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a net gain (loss) of ($39.0 million) and $66.3 million during the three months ended March 31, 2021 and 2020, respectively. These amounts are included in realized and unrealized gains on derivative instruments, net, in our condensed consolidated statements of operations. For further information regarding our fair value measurements, see note 7.</w:t>
      </w:r>
    </w:p>
    <w:p>
      <w:pPr>
        <w:spacing w:after="0" w:line="219" w:lineRule="exact"/>
        <w:rPr>
          <w:rFonts w:ascii="Arial" w:cs="Arial" w:eastAsia="Arial" w:hAnsi="Arial"/>
          <w:sz w:val="18"/>
          <w:szCs w:val="18"/>
          <w:color w:val="auto"/>
        </w:rPr>
      </w:pPr>
    </w:p>
    <w:p>
      <w:pPr>
        <w:jc w:val="both"/>
        <w:ind w:left="500" w:hanging="492"/>
        <w:spacing w:after="0" w:line="259" w:lineRule="auto"/>
        <w:tabs>
          <w:tab w:leader="none" w:pos="4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equity-related derivative instruments include the ITV Collar. The fair value of the ITV Collar does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 As further described in note 5, the ITV Collar was fully unwound in April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realized and unrealized gains on derivative instruments, net,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6"/>
                <w:szCs w:val="16"/>
                <w:b w:val="1"/>
                <w:bCs w:val="1"/>
                <w:color w:val="auto"/>
                <w:w w:val="92"/>
              </w:rPr>
              <w:t>Three months ended March 31,</w:t>
            </w:r>
          </w:p>
        </w:tc>
      </w:tr>
      <w:tr>
        <w:trPr>
          <w:trHeight w:val="210"/>
        </w:trPr>
        <w:tc>
          <w:tcPr>
            <w:tcW w:w="8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r>
      <w:tr>
        <w:trPr>
          <w:trHeight w:val="207"/>
        </w:trPr>
        <w:tc>
          <w:tcPr>
            <w:tcW w:w="8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168"/>
        </w:trPr>
        <w:tc>
          <w:tcPr>
            <w:tcW w:w="8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w:t>
            </w:r>
          </w:p>
        </w:tc>
      </w:tr>
      <w:tr>
        <w:trPr>
          <w:trHeight w:val="210"/>
        </w:trPr>
        <w:tc>
          <w:tcPr>
            <w:tcW w:w="8760" w:type="dxa"/>
            <w:vAlign w:val="bottom"/>
          </w:tcPr>
          <w:p>
            <w:pPr>
              <w:ind w:left="20"/>
              <w:spacing w:after="0"/>
              <w:rPr>
                <w:sz w:val="20"/>
                <w:szCs w:val="20"/>
                <w:color w:val="auto"/>
              </w:rPr>
            </w:pPr>
            <w:r>
              <w:rPr>
                <w:rFonts w:ascii="Arial" w:cs="Arial" w:eastAsia="Arial" w:hAnsi="Arial"/>
                <w:sz w:val="18"/>
                <w:szCs w:val="18"/>
                <w:color w:val="auto"/>
              </w:rPr>
              <w:t>Equity-related derivative instruments: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ITV Collar</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r>
      <w:tr>
        <w:trPr>
          <w:trHeight w:val="229"/>
        </w:trPr>
        <w:tc>
          <w:tcPr>
            <w:tcW w:w="8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equity-related derivative instruments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r>
      <w:tr>
        <w:trPr>
          <w:trHeight w:val="223"/>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forward and option contracts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76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1,237.3</w:t>
            </w:r>
          </w:p>
        </w:tc>
      </w:tr>
      <w:tr>
        <w:trPr>
          <w:trHeight w:val="20"/>
        </w:trPr>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For derivative contracts that are terminated prior to maturity, the cash paid or received upon termination that relates to future periods is classified as a financing activity. The following table sets forth the classification of the net cash outflows of our derivative instruments:</w:t>
      </w:r>
    </w:p>
    <w:p>
      <w:pPr>
        <w:spacing w:after="0" w:line="87"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color w:val="auto"/>
        </w:rPr>
        <w:t>Three months ended</w:t>
      </w:r>
    </w:p>
    <w:p>
      <w:pPr>
        <w:jc w:val="center"/>
        <w:ind w:left="87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06"/>
        </w:trPr>
        <w:tc>
          <w:tcPr>
            <w:tcW w:w="8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168"/>
        </w:trPr>
        <w:tc>
          <w:tcPr>
            <w:tcW w:w="8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r>
      <w:tr>
        <w:trPr>
          <w:trHeight w:val="230"/>
        </w:trPr>
        <w:tc>
          <w:tcPr>
            <w:tcW w:w="876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876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r>
      <w:tr>
        <w:trPr>
          <w:trHeight w:val="20"/>
        </w:trPr>
        <w:tc>
          <w:tcPr>
            <w:tcW w:w="8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Collateral is generally not posted by either party under our derivative instruments. At March 31, 2021, our exposure to counterparty credit risk included derivative assets with an aggregate fair value of $130.5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March 31, 2021,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March 31, 2021: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40" w:type="dxa"/>
            <w:vAlign w:val="bottom"/>
          </w:tcPr>
          <w:p>
            <w:pPr>
              <w:jc w:val="right"/>
              <w:ind w:right="512"/>
              <w:spacing w:after="0"/>
              <w:rPr>
                <w:sz w:val="20"/>
                <w:szCs w:val="20"/>
                <w:color w:val="auto"/>
              </w:rPr>
            </w:pPr>
            <w:r>
              <w:rPr>
                <w:rFonts w:ascii="Arial" w:cs="Arial" w:eastAsia="Arial" w:hAnsi="Arial"/>
                <w:sz w:val="16"/>
                <w:szCs w:val="16"/>
                <w:b w:val="1"/>
                <w:bCs w:val="1"/>
                <w:color w:val="auto"/>
                <w:w w:val="96"/>
              </w:rPr>
              <w:t>Notional amount</w:t>
            </w:r>
          </w:p>
        </w:tc>
        <w:tc>
          <w:tcPr>
            <w:tcW w:w="560" w:type="dxa"/>
            <w:vAlign w:val="bottom"/>
          </w:tcPr>
          <w:p>
            <w:pPr>
              <w:spacing w:after="0"/>
              <w:rPr>
                <w:sz w:val="16"/>
                <w:szCs w:val="16"/>
                <w:color w:val="auto"/>
              </w:rPr>
            </w:pPr>
          </w:p>
        </w:tc>
        <w:tc>
          <w:tcPr>
            <w:tcW w:w="2160" w:type="dxa"/>
            <w:vAlign w:val="bottom"/>
            <w:gridSpan w:val="3"/>
          </w:tcPr>
          <w:p>
            <w:pPr>
              <w:jc w:val="center"/>
              <w:ind w:right="660"/>
              <w:spacing w:after="0"/>
              <w:rPr>
                <w:sz w:val="20"/>
                <w:szCs w:val="20"/>
                <w:color w:val="auto"/>
              </w:rPr>
            </w:pPr>
            <w:r>
              <w:rPr>
                <w:rFonts w:ascii="Arial" w:cs="Arial" w:eastAsia="Arial" w:hAnsi="Arial"/>
                <w:sz w:val="16"/>
                <w:szCs w:val="16"/>
                <w:b w:val="1"/>
                <w:bCs w:val="1"/>
                <w:color w:val="auto"/>
                <w:w w:val="93"/>
              </w:rPr>
              <w:t>Notional amount</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 average</w:t>
            </w:r>
          </w:p>
        </w:tc>
      </w:tr>
      <w:tr>
        <w:trPr>
          <w:trHeight w:val="213"/>
        </w:trPr>
        <w:tc>
          <w:tcPr>
            <w:tcW w:w="4540" w:type="dxa"/>
            <w:vAlign w:val="bottom"/>
          </w:tcPr>
          <w:p>
            <w:pPr>
              <w:spacing w:after="0"/>
              <w:rPr>
                <w:sz w:val="18"/>
                <w:szCs w:val="18"/>
                <w:color w:val="auto"/>
              </w:rPr>
            </w:pPr>
          </w:p>
        </w:tc>
        <w:tc>
          <w:tcPr>
            <w:tcW w:w="2280" w:type="dxa"/>
            <w:vAlign w:val="bottom"/>
            <w:gridSpan w:val="2"/>
          </w:tcPr>
          <w:p>
            <w:pPr>
              <w:jc w:val="right"/>
              <w:ind w:right="292"/>
              <w:spacing w:after="0"/>
              <w:rPr>
                <w:sz w:val="20"/>
                <w:szCs w:val="20"/>
                <w:color w:val="auto"/>
              </w:rPr>
            </w:pPr>
            <w:r>
              <w:rPr>
                <w:rFonts w:ascii="Arial" w:cs="Arial" w:eastAsia="Arial" w:hAnsi="Arial"/>
                <w:sz w:val="16"/>
                <w:szCs w:val="16"/>
                <w:b w:val="1"/>
                <w:bCs w:val="1"/>
                <w:color w:val="auto"/>
              </w:rPr>
              <w:t>due from counterparty</w:t>
            </w:r>
          </w:p>
        </w:tc>
        <w:tc>
          <w:tcPr>
            <w:tcW w:w="560" w:type="dxa"/>
            <w:vAlign w:val="bottom"/>
          </w:tcPr>
          <w:p>
            <w:pPr>
              <w:spacing w:after="0"/>
              <w:rPr>
                <w:sz w:val="18"/>
                <w:szCs w:val="18"/>
                <w:color w:val="auto"/>
              </w:rPr>
            </w:pPr>
          </w:p>
        </w:tc>
        <w:tc>
          <w:tcPr>
            <w:tcW w:w="216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w w:val="91"/>
              </w:rPr>
              <w:t>due to counterparty</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 life</w:t>
            </w:r>
          </w:p>
        </w:tc>
      </w:tr>
      <w:tr>
        <w:trPr>
          <w:trHeight w:val="207"/>
        </w:trPr>
        <w:tc>
          <w:tcPr>
            <w:tcW w:w="45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gridSpan w:val="2"/>
          </w:tcPr>
          <w:p>
            <w:pPr>
              <w:ind w:left="1240"/>
              <w:spacing w:after="0"/>
              <w:rPr>
                <w:sz w:val="20"/>
                <w:szCs w:val="20"/>
                <w:color w:val="auto"/>
              </w:rPr>
            </w:pPr>
            <w:r>
              <w:rPr>
                <w:rFonts w:ascii="Arial" w:cs="Arial" w:eastAsia="Arial" w:hAnsi="Arial"/>
                <w:sz w:val="16"/>
                <w:szCs w:val="16"/>
                <w:b w:val="1"/>
                <w:bCs w:val="1"/>
                <w:color w:val="auto"/>
              </w:rPr>
              <w:t>in millions</w:t>
            </w:r>
          </w:p>
        </w:tc>
        <w:tc>
          <w:tcPr>
            <w:tcW w:w="1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08"/>
        </w:trPr>
        <w:tc>
          <w:tcPr>
            <w:tcW w:w="4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360.0</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r>
      <w:tr>
        <w:trPr>
          <w:trHeight w:val="229"/>
        </w:trPr>
        <w:tc>
          <w:tcPr>
            <w:tcW w:w="454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4,200.0</w:t>
            </w:r>
          </w:p>
        </w:tc>
        <w:tc>
          <w:tcPr>
            <w:tcW w:w="560" w:type="dxa"/>
            <w:vAlign w:val="bottom"/>
          </w:tcPr>
          <w:p>
            <w:pPr>
              <w:ind w:left="120"/>
              <w:spacing w:after="0"/>
              <w:rPr>
                <w:sz w:val="20"/>
                <w:szCs w:val="20"/>
                <w:color w:val="auto"/>
              </w:rPr>
            </w:pPr>
            <w:r>
              <w:rPr>
                <w:rFonts w:ascii="Arial" w:cs="Arial" w:eastAsia="Arial" w:hAnsi="Arial"/>
                <w:sz w:val="18"/>
                <w:szCs w:val="18"/>
                <w:color w:val="auto"/>
              </w:rPr>
              <w:t>CHF</w:t>
            </w:r>
          </w:p>
        </w:tc>
        <w:tc>
          <w:tcPr>
            <w:tcW w:w="1240" w:type="dxa"/>
            <w:vAlign w:val="bottom"/>
          </w:tcPr>
          <w:p>
            <w:pPr>
              <w:jc w:val="right"/>
              <w:spacing w:after="0"/>
              <w:rPr>
                <w:sz w:val="20"/>
                <w:szCs w:val="20"/>
                <w:color w:val="auto"/>
              </w:rPr>
            </w:pPr>
            <w:r>
              <w:rPr>
                <w:rFonts w:ascii="Arial" w:cs="Arial" w:eastAsia="Arial" w:hAnsi="Arial"/>
                <w:sz w:val="18"/>
                <w:szCs w:val="18"/>
                <w:color w:val="auto"/>
              </w:rPr>
              <w:t>3,838.7</w:t>
            </w: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(a)(b)</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6.8</w:t>
            </w:r>
          </w:p>
        </w:tc>
      </w:tr>
      <w:tr>
        <w:trPr>
          <w:trHeight w:val="230"/>
        </w:trPr>
        <w:tc>
          <w:tcPr>
            <w:tcW w:w="4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3,233.3</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CHF</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3,602.9</w:t>
            </w: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w:t>
            </w:r>
          </w:p>
        </w:tc>
      </w:tr>
      <w:tr>
        <w:trPr>
          <w:trHeight w:val="229"/>
        </w:trPr>
        <w:tc>
          <w:tcPr>
            <w:tcW w:w="454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707.0</w:t>
            </w:r>
          </w:p>
        </w:tc>
        <w:tc>
          <w:tcPr>
            <w:tcW w:w="560" w:type="dxa"/>
            <w:vAlign w:val="bottom"/>
          </w:tcPr>
          <w:p>
            <w:pPr>
              <w:ind w:left="120"/>
              <w:spacing w:after="0"/>
              <w:rPr>
                <w:sz w:val="20"/>
                <w:szCs w:val="20"/>
                <w:color w:val="auto"/>
              </w:rPr>
            </w:pPr>
            <w:r>
              <w:rPr>
                <w:rFonts w:ascii="Arial" w:cs="Arial" w:eastAsia="Arial" w:hAnsi="Arial"/>
                <w:sz w:val="18"/>
                <w:szCs w:val="18"/>
                <w:color w:val="auto"/>
              </w:rPr>
              <w:t>PLN</w:t>
            </w:r>
          </w:p>
        </w:tc>
        <w:tc>
          <w:tcPr>
            <w:tcW w:w="1240" w:type="dxa"/>
            <w:vAlign w:val="bottom"/>
          </w:tcPr>
          <w:p>
            <w:pPr>
              <w:jc w:val="right"/>
              <w:spacing w:after="0"/>
              <w:rPr>
                <w:sz w:val="20"/>
                <w:szCs w:val="20"/>
                <w:color w:val="auto"/>
              </w:rPr>
            </w:pPr>
            <w:r>
              <w:rPr>
                <w:rFonts w:ascii="Arial" w:cs="Arial" w:eastAsia="Arial" w:hAnsi="Arial"/>
                <w:sz w:val="18"/>
                <w:szCs w:val="18"/>
                <w:color w:val="auto"/>
              </w:rPr>
              <w:t>2,999.5</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3.1</w:t>
            </w:r>
          </w:p>
        </w:tc>
      </w:tr>
      <w:tr>
        <w:trPr>
          <w:trHeight w:val="230"/>
        </w:trPr>
        <w:tc>
          <w:tcPr>
            <w:tcW w:w="4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CHF</w:t>
            </w:r>
          </w:p>
        </w:tc>
        <w:tc>
          <w:tcPr>
            <w:tcW w:w="1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740.0</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w:t>
            </w:r>
          </w:p>
        </w:tc>
      </w:tr>
      <w:tr>
        <w:trPr>
          <w:trHeight w:val="203"/>
        </w:trPr>
        <w:tc>
          <w:tcPr>
            <w:tcW w:w="4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3,940.0</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3,489.6</w:t>
            </w: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5.8</w:t>
            </w:r>
          </w:p>
        </w:tc>
      </w:tr>
      <w:tr>
        <w:trPr>
          <w:trHeight w:val="230"/>
        </w:trPr>
        <w:tc>
          <w:tcPr>
            <w:tcW w:w="454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45.2</w:t>
            </w:r>
          </w:p>
        </w:tc>
        <w:tc>
          <w:tcPr>
            <w:tcW w:w="560" w:type="dxa"/>
            <w:vAlign w:val="bottom"/>
          </w:tcPr>
          <w:p>
            <w:pPr>
              <w:ind w:lef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3.8</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certain derivative instruments that are “forward-starting,” such that the initial exchange occurs at a date subsequent to March 31, 2021. These instruments are typically entered into in order to extend existing hedges without the need to amend existing contracts.</w:t>
      </w:r>
    </w:p>
    <w:p>
      <w:pPr>
        <w:spacing w:after="0" w:line="197" w:lineRule="exact"/>
        <w:rPr>
          <w:rFonts w:ascii="Arial" w:cs="Arial" w:eastAsia="Arial" w:hAnsi="Arial"/>
          <w:sz w:val="18"/>
          <w:szCs w:val="18"/>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amounts subject to a 0.0% floor.</w:t>
      </w:r>
    </w:p>
    <w:p>
      <w:pPr>
        <w:spacing w:after="0" w:line="252" w:lineRule="exact"/>
        <w:rPr>
          <w:rFonts w:ascii="Arial" w:cs="Arial" w:eastAsia="Arial" w:hAnsi="Arial"/>
          <w:sz w:val="18"/>
          <w:szCs w:val="18"/>
          <w:color w:val="auto"/>
        </w:rPr>
      </w:pPr>
    </w:p>
    <w:p>
      <w:pPr>
        <w:jc w:val="both"/>
        <w:ind w:left="500" w:hanging="492"/>
        <w:spacing w:after="0" w:line="263" w:lineRule="auto"/>
        <w:tabs>
          <w:tab w:leader="none" w:pos="4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 At March 31, 2021, the total U.S. dollar equivalent of the notional amount of these derivative instruments was $53.1 million.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March 31,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gridSpan w:val="5"/>
          </w:tcPr>
          <w:p>
            <w:pPr>
              <w:ind w:left="1060"/>
              <w:spacing w:after="0"/>
              <w:rPr>
                <w:sz w:val="20"/>
                <w:szCs w:val="20"/>
                <w:color w:val="auto"/>
              </w:rPr>
            </w:pPr>
            <w:r>
              <w:rPr>
                <w:rFonts w:ascii="Arial" w:cs="Arial" w:eastAsia="Arial" w:hAnsi="Arial"/>
                <w:sz w:val="16"/>
                <w:szCs w:val="16"/>
                <w:b w:val="1"/>
                <w:bCs w:val="1"/>
                <w:color w:val="auto"/>
              </w:rPr>
              <w:t>Pays fixed rate</w:t>
            </w:r>
          </w:p>
        </w:tc>
        <w:tc>
          <w:tcPr>
            <w:tcW w:w="360" w:type="dxa"/>
            <w:vAlign w:val="bottom"/>
          </w:tcPr>
          <w:p>
            <w:pPr>
              <w:spacing w:after="0"/>
              <w:rPr>
                <w:sz w:val="18"/>
                <w:szCs w:val="18"/>
                <w:color w:val="auto"/>
              </w:rPr>
            </w:pPr>
          </w:p>
        </w:tc>
        <w:tc>
          <w:tcPr>
            <w:tcW w:w="3520" w:type="dxa"/>
            <w:vAlign w:val="bottom"/>
            <w:gridSpan w:val="3"/>
          </w:tcPr>
          <w:p>
            <w:pPr>
              <w:ind w:left="940"/>
              <w:spacing w:after="0"/>
              <w:rPr>
                <w:sz w:val="20"/>
                <w:szCs w:val="20"/>
                <w:color w:val="auto"/>
              </w:rPr>
            </w:pPr>
            <w:r>
              <w:rPr>
                <w:rFonts w:ascii="Arial" w:cs="Arial" w:eastAsia="Arial" w:hAnsi="Arial"/>
                <w:sz w:val="16"/>
                <w:szCs w:val="16"/>
                <w:b w:val="1"/>
                <w:bCs w:val="1"/>
                <w:color w:val="auto"/>
              </w:rPr>
              <w:t>Receives fixed rate</w:t>
            </w:r>
          </w:p>
        </w:tc>
      </w:tr>
      <w:tr>
        <w:trPr>
          <w:trHeight w:val="158"/>
        </w:trPr>
        <w:tc>
          <w:tcPr>
            <w:tcW w:w="33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3"/>
              </w:rPr>
              <w:t>Notional</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center"/>
              <w:ind w:right="460"/>
              <w:spacing w:after="0" w:line="158" w:lineRule="exact"/>
              <w:rPr>
                <w:sz w:val="20"/>
                <w:szCs w:val="20"/>
                <w:color w:val="auto"/>
              </w:rPr>
            </w:pPr>
            <w:r>
              <w:rPr>
                <w:rFonts w:ascii="Arial" w:cs="Arial" w:eastAsia="Arial" w:hAnsi="Arial"/>
                <w:sz w:val="16"/>
                <w:szCs w:val="16"/>
                <w:b w:val="1"/>
                <w:bCs w:val="1"/>
                <w:color w:val="auto"/>
                <w:w w:val="93"/>
              </w:rPr>
              <w:t>Notional</w:t>
            </w:r>
          </w:p>
        </w:tc>
        <w:tc>
          <w:tcPr>
            <w:tcW w:w="18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r>
      <w:tr>
        <w:trPr>
          <w:trHeight w:val="213"/>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amount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remaining life</w:t>
            </w:r>
          </w:p>
        </w:tc>
        <w:tc>
          <w:tcPr>
            <w:tcW w:w="36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amount</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207"/>
        </w:trPr>
        <w:tc>
          <w:tcPr>
            <w:tcW w:w="33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millions</w:t>
            </w: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276"/>
              <w:spacing w:after="0"/>
              <w:rPr>
                <w:sz w:val="20"/>
                <w:szCs w:val="20"/>
                <w:color w:val="auto"/>
              </w:rPr>
            </w:pPr>
            <w:r>
              <w:rPr>
                <w:rFonts w:ascii="Arial" w:cs="Arial" w:eastAsia="Arial" w:hAnsi="Arial"/>
                <w:sz w:val="16"/>
                <w:szCs w:val="16"/>
                <w:b w:val="1"/>
                <w:bCs w:val="1"/>
                <w:color w:val="auto"/>
                <w:w w:val="90"/>
              </w:rPr>
              <w:t>in millions</w:t>
            </w:r>
          </w:p>
        </w:tc>
        <w:tc>
          <w:tcPr>
            <w:tcW w:w="100" w:type="dxa"/>
            <w:vAlign w:val="bottom"/>
          </w:tcPr>
          <w:p>
            <w:pPr>
              <w:spacing w:after="0"/>
              <w:rPr>
                <w:sz w:val="17"/>
                <w:szCs w:val="17"/>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60"/>
        </w:trPr>
        <w:tc>
          <w:tcPr>
            <w:tcW w:w="3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Pr>
          <w:p>
            <w:pPr>
              <w:spacing w:after="0"/>
              <w:rPr>
                <w:sz w:val="5"/>
                <w:szCs w:val="5"/>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8,996.6</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4,713.8</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w:t>
            </w:r>
          </w:p>
        </w:tc>
      </w:tr>
      <w:tr>
        <w:trPr>
          <w:trHeight w:val="203"/>
        </w:trPr>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3,389.0</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1,676.7</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w:t>
            </w:r>
          </w:p>
        </w:tc>
      </w:tr>
      <w:tr>
        <w:trPr>
          <w:trHeight w:val="310"/>
        </w:trPr>
        <w:tc>
          <w:tcPr>
            <w:tcW w:w="3340" w:type="dxa"/>
            <w:vAlign w:val="bottom"/>
          </w:tcPr>
          <w:p>
            <w:pPr>
              <w:spacing w:after="0"/>
              <w:rPr>
                <w:sz w:val="20"/>
                <w:szCs w:val="20"/>
                <w:color w:val="auto"/>
              </w:rPr>
            </w:pPr>
            <w:r>
              <w:rPr>
                <w:rFonts w:ascii="Arial" w:cs="Arial" w:eastAsia="Arial" w:hAnsi="Arial"/>
                <w:sz w:val="18"/>
                <w:szCs w:val="18"/>
                <w:color w:val="auto"/>
              </w:rPr>
              <w:t>_______________</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29"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Options</w:t>
      </w:r>
    </w:p>
    <w:p>
      <w:pPr>
        <w:spacing w:after="0" w:line="24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From time to time, we enter into interest rate swap options (</w:t>
      </w:r>
      <w:r>
        <w:rPr>
          <w:rFonts w:ascii="Arial" w:cs="Arial" w:eastAsia="Arial" w:hAnsi="Arial"/>
          <w:sz w:val="18"/>
          <w:szCs w:val="18"/>
          <w:b w:val="1"/>
          <w:bCs w:val="1"/>
          <w:color w:val="auto"/>
        </w:rPr>
        <w:t>swaptions</w:t>
      </w:r>
      <w:r>
        <w:rPr>
          <w:rFonts w:ascii="Arial" w:cs="Arial" w:eastAsia="Arial" w:hAnsi="Arial"/>
          <w:sz w:val="18"/>
          <w:szCs w:val="18"/>
          <w:color w:val="auto"/>
        </w:rPr>
        <w:t>), which give us the right, but not the obligation, to enter into certain interest rate swap contracts at set dates in the future. Such contracts typically have a life of no more than three years. At March 31, 2021, the option expiration period on each of our swaptions had expired.</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Swaps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March 31,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20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1"/>
              </w:rPr>
              <w:t>Notional amount due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3"/>
        </w:trPr>
        <w:tc>
          <w:tcPr>
            <w:tcW w:w="7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4"/>
              </w:rPr>
              <w:t>from counterparty</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207"/>
        </w:trPr>
        <w:tc>
          <w:tcPr>
            <w:tcW w:w="7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93"/>
              </w:rPr>
              <w:t>in millions</w:t>
            </w:r>
          </w:p>
        </w:tc>
        <w:tc>
          <w:tcPr>
            <w:tcW w:w="38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08"/>
        </w:trPr>
        <w:tc>
          <w:tcPr>
            <w:tcW w:w="7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3,300.0 (a)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r>
      <w:tr>
        <w:trPr>
          <w:trHeight w:val="162"/>
        </w:trPr>
        <w:tc>
          <w:tcPr>
            <w:tcW w:w="7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2,295.0 (a)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0.8</w:t>
            </w:r>
          </w:p>
        </w:tc>
      </w:tr>
      <w:tr>
        <w:trPr>
          <w:trHeight w:val="392"/>
        </w:trPr>
        <w:tc>
          <w:tcPr>
            <w:tcW w:w="7540" w:type="dxa"/>
            <w:vAlign w:val="bottom"/>
          </w:tcPr>
          <w:p>
            <w:pPr>
              <w:spacing w:after="0"/>
              <w:rPr>
                <w:sz w:val="20"/>
                <w:szCs w:val="20"/>
                <w:color w:val="auto"/>
              </w:rPr>
            </w:pPr>
            <w:r>
              <w:rPr>
                <w:rFonts w:ascii="Arial" w:cs="Arial" w:eastAsia="Arial" w:hAnsi="Arial"/>
                <w:sz w:val="18"/>
                <w:szCs w:val="18"/>
                <w:color w:val="auto"/>
              </w:rPr>
              <w:t>______________</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29"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amounts subject to a 0.0% floor.</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Caps, Floors and Collars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March 31, 2021, we had no interest rate collar agreements, and the total U.S. dollar equivalents of the notional amounts of our purchased interest rate caps and floors were $470.0 million and $7,839.3 million, respectively.</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impact of the derivative instruments that mitigate our foreign currency and interest rate risk, as described above, on our borrowing costs is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Increase to</w:t>
            </w:r>
          </w:p>
        </w:tc>
      </w:tr>
      <w:tr>
        <w:trPr>
          <w:trHeight w:val="162"/>
        </w:trPr>
        <w:tc>
          <w:tcPr>
            <w:tcW w:w="9320" w:type="dxa"/>
            <w:vAlign w:val="bottom"/>
          </w:tcPr>
          <w:p>
            <w:pPr>
              <w:spacing w:after="0"/>
              <w:rPr>
                <w:sz w:val="14"/>
                <w:szCs w:val="14"/>
                <w:color w:val="auto"/>
              </w:rPr>
            </w:pPr>
          </w:p>
        </w:tc>
        <w:tc>
          <w:tcPr>
            <w:tcW w:w="19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borrowing costs at</w:t>
            </w:r>
          </w:p>
        </w:tc>
      </w:tr>
      <w:tr>
        <w:trPr>
          <w:trHeight w:val="213"/>
        </w:trPr>
        <w:tc>
          <w:tcPr>
            <w:tcW w:w="932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March 31, 2021 (a)</w:t>
            </w:r>
          </w:p>
        </w:tc>
      </w:tr>
      <w:tr>
        <w:trPr>
          <w:trHeight w:val="199"/>
        </w:trPr>
        <w:tc>
          <w:tcPr>
            <w:tcW w:w="93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0.30 %</w:t>
            </w:r>
          </w:p>
        </w:tc>
      </w:tr>
      <w:tr>
        <w:trPr>
          <w:trHeight w:val="230"/>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Telenet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0.36 %</w:t>
            </w:r>
          </w:p>
        </w:tc>
      </w:tr>
      <w:tr>
        <w:trPr>
          <w:trHeight w:val="223"/>
        </w:trPr>
        <w:tc>
          <w:tcPr>
            <w:tcW w:w="9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increase to borrowing costs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0.31 %</w:t>
            </w:r>
          </w:p>
        </w:tc>
      </w:tr>
      <w:tr>
        <w:trPr>
          <w:trHeight w:val="297"/>
        </w:trPr>
        <w:tc>
          <w:tcPr>
            <w:tcW w:w="9320" w:type="dxa"/>
            <w:vAlign w:val="bottom"/>
          </w:tcPr>
          <w:p>
            <w:pPr>
              <w:spacing w:after="0"/>
              <w:rPr>
                <w:sz w:val="20"/>
                <w:szCs w:val="20"/>
                <w:color w:val="auto"/>
              </w:rPr>
            </w:pPr>
            <w:r>
              <w:rPr>
                <w:rFonts w:ascii="Arial" w:cs="Arial" w:eastAsia="Arial" w:hAnsi="Arial"/>
                <w:sz w:val="18"/>
                <w:szCs w:val="18"/>
                <w:color w:val="auto"/>
              </w:rPr>
              <w:t>_______________</w:t>
            </w:r>
          </w:p>
        </w:tc>
        <w:tc>
          <w:tcPr>
            <w:tcW w:w="1920" w:type="dxa"/>
            <w:vAlign w:val="bottom"/>
          </w:tcPr>
          <w:p>
            <w:pPr>
              <w:spacing w:after="0"/>
              <w:rPr>
                <w:sz w:val="24"/>
                <w:szCs w:val="24"/>
                <w:color w:val="auto"/>
              </w:rPr>
            </w:pPr>
          </w:p>
        </w:tc>
      </w:tr>
    </w:tbl>
    <w:p>
      <w:pPr>
        <w:spacing w:after="0" w:line="229"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the effect of derivative instruments in effect at March 31, 2021 and does not include forward-starting derivative instruments.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5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Certain of our subsidiaries enter into foreign currency forward and option contracts with respect to non-functional currency exposure. As of March 31, 2021, the total U.S. dollar equivalent of the notional amounts of our foreign currency forward and option contracts was $1.5 billion.</w:t>
      </w:r>
    </w:p>
    <w:p>
      <w:pPr>
        <w:spacing w:after="0" w:line="169"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the fair value method to account for (i) certain of our investments, (ii) our derivative instruments and (iii) certain instruments that we classify as debt. The reported fair values of these investments and instruments as of March 31, 2021 are unlikely to represent the value that will be paid or received upon the ultimate settlement or disposition of these assets and liabilities.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swaps are quantified and further explained in note 6.</w:t>
      </w:r>
    </w:p>
    <w:p>
      <w:pPr>
        <w:spacing w:after="0" w:line="2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Fair value measurements are also used in connection with nonrecurring valuations performed in connection with acquisition accounting and impairment assessments. The nonrecurring valuations associated with acquisition accounting primarily include the valuation of reporting units, customer relationship and other intangible assets and property and equipment. Unless a reporting unit has a readily determinable fair value, the valuation of reporting units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Most of our nonrecurring valuations use significant unobservable inputs and therefore fall under Level 3 of the fair value hierarchy. During the three months ended March 31, 2021 and 2020, we did not perform any significant nonrecurring fair value measurements.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concerning our fair value measurements, see note 9 to the consolidated financial statements included in our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6"/>
          </w:tcPr>
          <w:p>
            <w:pPr>
              <w:jc w:val="center"/>
              <w:ind w:left="893"/>
              <w:spacing w:after="0"/>
              <w:rPr>
                <w:sz w:val="20"/>
                <w:szCs w:val="20"/>
                <w:color w:val="auto"/>
              </w:rPr>
            </w:pPr>
            <w:r>
              <w:rPr>
                <w:rFonts w:ascii="Arial" w:cs="Arial" w:eastAsia="Arial" w:hAnsi="Arial"/>
                <w:sz w:val="16"/>
                <w:szCs w:val="16"/>
                <w:b w:val="1"/>
                <w:bCs w:val="1"/>
                <w:color w:val="auto"/>
                <w:w w:val="91"/>
              </w:rPr>
              <w:t>Fair value measurements at</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March 31, 2021 using:</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33"/>
              <w:spacing w:after="0" w:line="158" w:lineRule="exact"/>
              <w:rPr>
                <w:sz w:val="20"/>
                <w:szCs w:val="20"/>
                <w:color w:val="auto"/>
              </w:rPr>
            </w:pPr>
            <w:r>
              <w:rPr>
                <w:rFonts w:ascii="Arial" w:cs="Arial" w:eastAsia="Arial" w:hAnsi="Arial"/>
                <w:sz w:val="16"/>
                <w:szCs w:val="16"/>
                <w:b w:val="1"/>
                <w:bCs w:val="1"/>
                <w:color w:val="auto"/>
                <w:w w:val="89"/>
              </w:rPr>
              <w:t>Quoted prices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Significant</w:t>
            </w:r>
          </w:p>
        </w:tc>
        <w:tc>
          <w:tcPr>
            <w:tcW w:w="18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0"/>
              </w:rPr>
              <w:t>in active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4"/>
                <w:szCs w:val="14"/>
                <w:color w:val="auto"/>
              </w:rPr>
            </w:pPr>
          </w:p>
        </w:tc>
        <w:tc>
          <w:tcPr>
            <w:tcW w:w="120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4"/>
              </w:rPr>
              <w:t>markets for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89"/>
              </w:rPr>
              <w:t>observable</w:t>
            </w:r>
          </w:p>
        </w:tc>
        <w:tc>
          <w:tcPr>
            <w:tcW w:w="18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162"/>
        </w:trPr>
        <w:tc>
          <w:tcPr>
            <w:tcW w:w="55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87"/>
              </w:rPr>
              <w:t>identical assets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1"/>
              </w:rPr>
              <w:t>inputs</w:t>
            </w:r>
          </w:p>
        </w:tc>
        <w:tc>
          <w:tcPr>
            <w:tcW w:w="18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55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33"/>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7"/>
        </w:trPr>
        <w:tc>
          <w:tcPr>
            <w:tcW w:w="1200" w:type="dxa"/>
            <w:vAlign w:val="bottom"/>
            <w:tcBorders>
              <w:top w:val="single" w:sz="8" w:color="auto"/>
            </w:tcBorders>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5"/>
          </w:tcPr>
          <w:p>
            <w:pPr>
              <w:ind w:left="90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Equity-related derivative instruments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derivative instruments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SMAs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investments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ind w:left="5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300"/>
              <w:spacing w:after="0"/>
              <w:rPr>
                <w:sz w:val="20"/>
                <w:szCs w:val="20"/>
                <w:color w:val="auto"/>
              </w:rPr>
            </w:pPr>
            <w:r>
              <w:rPr>
                <w:rFonts w:ascii="Arial" w:cs="Arial" w:eastAsia="Arial" w:hAnsi="Arial"/>
                <w:sz w:val="18"/>
                <w:szCs w:val="18"/>
                <w:color w:val="auto"/>
              </w:rPr>
              <w:t>Cross-currency and interest rate derivative contracts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773.8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Foreign currency forward and option contracts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12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w w:val="99"/>
              </w:rPr>
              <w:t>22</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6"/>
          </w:tcPr>
          <w:p>
            <w:pPr>
              <w:jc w:val="center"/>
              <w:ind w:left="894"/>
              <w:spacing w:after="0"/>
              <w:rPr>
                <w:sz w:val="20"/>
                <w:szCs w:val="20"/>
                <w:color w:val="auto"/>
              </w:rPr>
            </w:pPr>
            <w:r>
              <w:rPr>
                <w:rFonts w:ascii="Arial" w:cs="Arial" w:eastAsia="Arial" w:hAnsi="Arial"/>
                <w:sz w:val="16"/>
                <w:szCs w:val="16"/>
                <w:b w:val="1"/>
                <w:bCs w:val="1"/>
                <w:color w:val="auto"/>
                <w:w w:val="91"/>
              </w:rPr>
              <w:t>Fair value measurements at</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center"/>
              <w:ind w:left="934"/>
              <w:spacing w:after="0"/>
              <w:rPr>
                <w:sz w:val="20"/>
                <w:szCs w:val="20"/>
                <w:color w:val="auto"/>
              </w:rPr>
            </w:pPr>
            <w:r>
              <w:rPr>
                <w:rFonts w:ascii="Arial" w:cs="Arial" w:eastAsia="Arial" w:hAnsi="Arial"/>
                <w:sz w:val="16"/>
                <w:szCs w:val="16"/>
                <w:b w:val="1"/>
                <w:bCs w:val="1"/>
                <w:color w:val="auto"/>
                <w:w w:val="89"/>
              </w:rPr>
              <w:t>December 31, 2020 using:</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2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9"/>
              </w:rPr>
              <w:t>Quoted prices</w:t>
            </w:r>
          </w:p>
        </w:tc>
        <w:tc>
          <w:tcPr>
            <w:tcW w:w="200" w:type="dxa"/>
            <w:vAlign w:val="bottom"/>
          </w:tcPr>
          <w:p>
            <w:pPr>
              <w:spacing w:after="0"/>
              <w:rPr>
                <w:sz w:val="13"/>
                <w:szCs w:val="13"/>
                <w:color w:val="auto"/>
              </w:rPr>
            </w:pPr>
          </w:p>
        </w:tc>
        <w:tc>
          <w:tcPr>
            <w:tcW w:w="124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Significant</w:t>
            </w:r>
          </w:p>
        </w:tc>
        <w:tc>
          <w:tcPr>
            <w:tcW w:w="180" w:type="dxa"/>
            <w:vAlign w:val="bottom"/>
          </w:tcPr>
          <w:p>
            <w:pPr>
              <w:spacing w:after="0"/>
              <w:rPr>
                <w:sz w:val="13"/>
                <w:szCs w:val="13"/>
                <w:color w:val="auto"/>
              </w:rPr>
            </w:pPr>
          </w:p>
        </w:tc>
        <w:tc>
          <w:tcPr>
            <w:tcW w:w="1160" w:type="dxa"/>
            <w:vAlign w:val="bottom"/>
            <w:vMerge w:val="restart"/>
          </w:tcPr>
          <w:p>
            <w:pPr>
              <w:jc w:val="center"/>
              <w:ind w:right="92"/>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0"/>
              </w:rPr>
              <w:t>in active</w:t>
            </w:r>
          </w:p>
        </w:tc>
        <w:tc>
          <w:tcPr>
            <w:tcW w:w="20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4"/>
              </w:rPr>
              <w:t>markets for</w:t>
            </w:r>
          </w:p>
        </w:tc>
        <w:tc>
          <w:tcPr>
            <w:tcW w:w="20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89"/>
              </w:rPr>
              <w:t>observable</w:t>
            </w:r>
          </w:p>
        </w:tc>
        <w:tc>
          <w:tcPr>
            <w:tcW w:w="180" w:type="dxa"/>
            <w:vAlign w:val="bottom"/>
          </w:tcPr>
          <w:p>
            <w:pPr>
              <w:spacing w:after="0"/>
              <w:rPr>
                <w:sz w:val="14"/>
                <w:szCs w:val="14"/>
                <w:color w:val="auto"/>
              </w:rPr>
            </w:pPr>
          </w:p>
        </w:tc>
        <w:tc>
          <w:tcPr>
            <w:tcW w:w="1160" w:type="dxa"/>
            <w:vAlign w:val="bottom"/>
          </w:tcPr>
          <w:p>
            <w:pPr>
              <w:jc w:val="center"/>
              <w:ind w:right="112"/>
              <w:spacing w:after="0" w:line="162" w:lineRule="exact"/>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162"/>
        </w:trPr>
        <w:tc>
          <w:tcPr>
            <w:tcW w:w="55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7"/>
              </w:rPr>
              <w:t>identical assets</w:t>
            </w:r>
          </w:p>
        </w:tc>
        <w:tc>
          <w:tcPr>
            <w:tcW w:w="20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1"/>
              </w:rPr>
              <w:t>inputs</w:t>
            </w:r>
          </w:p>
        </w:tc>
        <w:tc>
          <w:tcPr>
            <w:tcW w:w="180" w:type="dxa"/>
            <w:vAlign w:val="bottom"/>
          </w:tcPr>
          <w:p>
            <w:pPr>
              <w:spacing w:after="0"/>
              <w:rPr>
                <w:sz w:val="14"/>
                <w:szCs w:val="14"/>
                <w:color w:val="auto"/>
              </w:rPr>
            </w:pPr>
          </w:p>
        </w:tc>
        <w:tc>
          <w:tcPr>
            <w:tcW w:w="1160" w:type="dxa"/>
            <w:vAlign w:val="bottom"/>
          </w:tcPr>
          <w:p>
            <w:pPr>
              <w:jc w:val="center"/>
              <w:ind w:right="112"/>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55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18"/>
                <w:szCs w:val="18"/>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7"/>
        </w:trPr>
        <w:tc>
          <w:tcPr>
            <w:tcW w:w="1240" w:type="dxa"/>
            <w:vAlign w:val="bottom"/>
            <w:tcBorders>
              <w:top w:val="single" w:sz="8" w:color="auto"/>
            </w:tcBorders>
          </w:tcPr>
          <w:p>
            <w:pPr>
              <w:spacing w:after="0"/>
              <w:rPr>
                <w:sz w:val="17"/>
                <w:szCs w:val="17"/>
                <w:color w:val="auto"/>
              </w:rPr>
            </w:pPr>
          </w:p>
        </w:tc>
        <w:tc>
          <w:tcPr>
            <w:tcW w:w="4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5"/>
          </w:tcPr>
          <w:p>
            <w:pPr>
              <w:ind w:left="90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gridSpan w:val="2"/>
          </w:tcPr>
          <w:p>
            <w:pPr>
              <w:ind w:left="260"/>
              <w:spacing w:after="0"/>
              <w:rPr>
                <w:sz w:val="20"/>
                <w:szCs w:val="20"/>
                <w:color w:val="auto"/>
              </w:rPr>
            </w:pPr>
            <w:r>
              <w:rPr>
                <w:rFonts w:ascii="Arial" w:cs="Arial" w:eastAsia="Arial" w:hAnsi="Arial"/>
                <w:sz w:val="18"/>
                <w:szCs w:val="18"/>
                <w:color w:val="auto"/>
              </w:rPr>
              <w:t>Equity-related derivative instruments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Total derivative instruments</w:t>
            </w: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30"/>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SMAs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investments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23"/>
        </w:trPr>
        <w:tc>
          <w:tcPr>
            <w:tcW w:w="5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23"/>
        </w:trPr>
        <w:tc>
          <w:tcPr>
            <w:tcW w:w="5560" w:type="dxa"/>
            <w:vAlign w:val="bottom"/>
            <w:gridSpan w:val="2"/>
          </w:tcPr>
          <w:p>
            <w:pPr>
              <w:ind w:left="4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24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30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1,535.3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tbl>
      <w:tblPr>
        <w:tblLayout w:type="fixed"/>
        <w:tblInd w:w="0" w:type="dxa"/>
        <w:tblCellMar>
          <w:top w:w="0" w:type="dxa"/>
          <w:left w:w="0" w:type="dxa"/>
          <w:bottom w:w="0" w:type="dxa"/>
          <w:right w:w="0" w:type="dxa"/>
        </w:tblCellMar>
      </w:tblPr>
      <w:tr>
        <w:trPr>
          <w:trHeight w:val="163"/>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center"/>
              <w:ind w:right="120"/>
              <w:spacing w:after="0" w:line="163" w:lineRule="exact"/>
              <w:rPr>
                <w:sz w:val="20"/>
                <w:szCs w:val="20"/>
                <w:color w:val="auto"/>
              </w:rPr>
            </w:pPr>
            <w:r>
              <w:rPr>
                <w:rFonts w:ascii="Arial" w:cs="Arial" w:eastAsia="Arial" w:hAnsi="Arial"/>
                <w:sz w:val="16"/>
                <w:szCs w:val="16"/>
                <w:b w:val="1"/>
                <w:bCs w:val="1"/>
                <w:color w:val="auto"/>
                <w:w w:val="88"/>
              </w:rPr>
              <w:t>Cross-currency, interest</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3" w:lineRule="exact"/>
              <w:rPr>
                <w:sz w:val="20"/>
                <w:szCs w:val="20"/>
                <w:color w:val="auto"/>
              </w:rPr>
            </w:pPr>
            <w:r>
              <w:rPr>
                <w:rFonts w:ascii="Arial" w:cs="Arial" w:eastAsia="Arial" w:hAnsi="Arial"/>
                <w:sz w:val="16"/>
                <w:szCs w:val="16"/>
                <w:b w:val="1"/>
                <w:bCs w:val="1"/>
                <w:color w:val="auto"/>
                <w:w w:val="93"/>
              </w:rPr>
              <w:t>Equity-related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Investments</w:t>
            </w:r>
          </w:p>
        </w:tc>
        <w:tc>
          <w:tcPr>
            <w:tcW w:w="19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7"/>
              </w:rPr>
              <w:t>rate and foreign currency</w:t>
            </w:r>
          </w:p>
        </w:tc>
        <w:tc>
          <w:tcPr>
            <w:tcW w:w="160" w:type="dxa"/>
            <w:vAlign w:val="bottom"/>
          </w:tcPr>
          <w:p>
            <w:pPr>
              <w:spacing w:after="0"/>
              <w:rPr>
                <w:sz w:val="14"/>
                <w:szCs w:val="14"/>
                <w:color w:val="auto"/>
              </w:rPr>
            </w:pPr>
          </w:p>
        </w:tc>
        <w:tc>
          <w:tcPr>
            <w:tcW w:w="13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derivative</w:t>
            </w:r>
          </w:p>
        </w:tc>
        <w:tc>
          <w:tcPr>
            <w:tcW w:w="260" w:type="dxa"/>
            <w:vAlign w:val="bottom"/>
          </w:tcPr>
          <w:p>
            <w:pPr>
              <w:spacing w:after="0"/>
              <w:rPr>
                <w:sz w:val="14"/>
                <w:szCs w:val="14"/>
                <w:color w:val="auto"/>
              </w:rPr>
            </w:pPr>
          </w:p>
        </w:tc>
        <w:tc>
          <w:tcPr>
            <w:tcW w:w="92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9"/>
              </w:rPr>
              <w:t>derivative contracts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9"/>
              </w:rPr>
              <w:t>instruments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of net assets at January 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Gains included in earnings (a):</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Realized and unrealized gains on derivative instruments, net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175"/>
        </w:trPr>
        <w:tc>
          <w:tcPr>
            <w:tcW w:w="5240" w:type="dxa"/>
            <w:vAlign w:val="bottom"/>
          </w:tcPr>
          <w:p>
            <w:pPr>
              <w:ind w:left="220"/>
              <w:spacing w:after="0" w:line="176" w:lineRule="exact"/>
              <w:rPr>
                <w:sz w:val="20"/>
                <w:szCs w:val="20"/>
                <w:color w:val="auto"/>
              </w:rPr>
            </w:pPr>
            <w:r>
              <w:rPr>
                <w:rFonts w:ascii="Arial" w:cs="Arial" w:eastAsia="Arial" w:hAnsi="Arial"/>
                <w:sz w:val="18"/>
                <w:szCs w:val="18"/>
                <w:color w:val="auto"/>
                <w:w w:val="90"/>
              </w:rPr>
              <w:t>Realized and unrealized gains due to changes in fair values of certain</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30"/>
        </w:trPr>
        <w:tc>
          <w:tcPr>
            <w:tcW w:w="5240" w:type="dxa"/>
            <w:vAlign w:val="bottom"/>
          </w:tcPr>
          <w:p>
            <w:pPr>
              <w:ind w:left="400"/>
              <w:spacing w:after="0"/>
              <w:rPr>
                <w:sz w:val="20"/>
                <w:szCs w:val="20"/>
                <w:color w:val="auto"/>
              </w:rPr>
            </w:pPr>
            <w:r>
              <w:rPr>
                <w:rFonts w:ascii="Arial" w:cs="Arial" w:eastAsia="Arial" w:hAnsi="Arial"/>
                <w:sz w:val="18"/>
                <w:szCs w:val="18"/>
                <w:color w:val="auto"/>
              </w:rPr>
              <w:t>investments and debt, net</w:t>
            </w: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Partial settlement of ITV Collar (b)</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of asset to held for sale (c)</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 and other, net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of net assets at March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Most of these net gains relate to assets and liabilities that we continue to carry on our condensed consolidated balance sheet as of March 31, 2021.</w:t>
      </w:r>
    </w:p>
    <w:p>
      <w:pPr>
        <w:spacing w:after="0" w:line="275" w:lineRule="exact"/>
        <w:rPr>
          <w:rFonts w:ascii="Arial" w:cs="Arial" w:eastAsia="Arial" w:hAnsi="Arial"/>
          <w:sz w:val="16"/>
          <w:szCs w:val="16"/>
          <w:color w:val="auto"/>
        </w:rPr>
      </w:pPr>
    </w:p>
    <w:p>
      <w:pPr>
        <w:ind w:left="480" w:hanging="4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additional information regarding the ITV Collar, see note 5.</w:t>
      </w:r>
    </w:p>
    <w:p>
      <w:pPr>
        <w:spacing w:after="0" w:line="252" w:lineRule="exact"/>
        <w:rPr>
          <w:rFonts w:ascii="Arial" w:cs="Arial" w:eastAsia="Arial" w:hAnsi="Arial"/>
          <w:sz w:val="18"/>
          <w:szCs w:val="18"/>
          <w:color w:val="auto"/>
        </w:rPr>
      </w:pPr>
    </w:p>
    <w:p>
      <w:pPr>
        <w:ind w:left="500" w:hanging="492"/>
        <w:spacing w:after="0" w:line="277" w:lineRule="auto"/>
        <w:tabs>
          <w:tab w:leader="none" w:pos="4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reclassification of the derivative assets associated with the U.K. JV Entities as of March 31, 2021 to assets held for sale. For information regarding the held-for-sale presentation of the U.K. JV Entities, see note 4.</w:t>
      </w:r>
    </w:p>
    <w:p>
      <w:pPr>
        <w:spacing w:after="0" w:line="1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u w:val="single" w:color="auto"/>
          <w:color w:val="auto"/>
        </w:rPr>
        <w:t>Long-lived Assets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6"/>
                <w:szCs w:val="16"/>
                <w:color w:val="auto"/>
              </w:rPr>
            </w:pPr>
          </w:p>
        </w:tc>
        <w:tc>
          <w:tcPr>
            <w:tcW w:w="1160" w:type="dxa"/>
            <w:vAlign w:val="bottom"/>
          </w:tcPr>
          <w:p>
            <w:pPr>
              <w:jc w:val="right"/>
              <w:ind w:right="92"/>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8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07"/>
        </w:trPr>
        <w:tc>
          <w:tcPr>
            <w:tcW w:w="8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4"/>
          </w:tcPr>
          <w:p>
            <w:pPr>
              <w:jc w:val="right"/>
              <w:ind w:right="952"/>
              <w:spacing w:after="0"/>
              <w:rPr>
                <w:sz w:val="20"/>
                <w:szCs w:val="20"/>
                <w:color w:val="auto"/>
              </w:rPr>
            </w:pPr>
            <w:r>
              <w:rPr>
                <w:rFonts w:ascii="Arial" w:cs="Arial" w:eastAsia="Arial" w:hAnsi="Arial"/>
                <w:sz w:val="16"/>
                <w:szCs w:val="16"/>
                <w:b w:val="1"/>
                <w:bCs w:val="1"/>
                <w:color w:val="auto"/>
              </w:rPr>
              <w:t>in millions</w:t>
            </w:r>
          </w:p>
        </w:tc>
      </w:tr>
      <w:tr>
        <w:trPr>
          <w:trHeight w:val="168"/>
        </w:trPr>
        <w:tc>
          <w:tcPr>
            <w:tcW w:w="8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systems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10,264.0</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Customer premises equipment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1,800.4</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Support equipment, buildings and land</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4,491.9</w:t>
            </w:r>
          </w:p>
        </w:tc>
      </w:tr>
      <w:tr>
        <w:trPr>
          <w:trHeight w:val="223"/>
        </w:trPr>
        <w:tc>
          <w:tcPr>
            <w:tcW w:w="8380" w:type="dxa"/>
            <w:vAlign w:val="bottom"/>
          </w:tcPr>
          <w:p>
            <w:pPr>
              <w:ind w:left="220"/>
              <w:spacing w:after="0"/>
              <w:rPr>
                <w:sz w:val="20"/>
                <w:szCs w:val="20"/>
                <w:color w:val="auto"/>
              </w:rPr>
            </w:pPr>
            <w:r>
              <w:rPr>
                <w:rFonts w:ascii="Arial" w:cs="Arial" w:eastAsia="Arial" w:hAnsi="Arial"/>
                <w:sz w:val="18"/>
                <w:szCs w:val="18"/>
                <w:color w:val="auto"/>
              </w:rPr>
              <w:t>Total property and equipment, gross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15,744.5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16,556.3</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(8,192.4)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(8,502.2)</w:t>
            </w:r>
          </w:p>
        </w:tc>
      </w:tr>
      <w:tr>
        <w:trPr>
          <w:trHeight w:val="223"/>
        </w:trPr>
        <w:tc>
          <w:tcPr>
            <w:tcW w:w="8380" w:type="dxa"/>
            <w:vAlign w:val="bottom"/>
          </w:tcPr>
          <w:p>
            <w:pPr>
              <w:ind w:left="48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8,054.1</w:t>
            </w:r>
          </w:p>
        </w:tc>
      </w:tr>
      <w:tr>
        <w:trPr>
          <w:trHeight w:val="20"/>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2021 and 2020, we recorded non-cash increases to our property and equipment related to vendor financing arrangements (including amounts related to the U.K. JV Entities) of $328.2 million and $370.9 million, respectively, which exclude related value-added taxes (</w:t>
      </w:r>
      <w:r>
        <w:rPr>
          <w:rFonts w:ascii="Arial" w:cs="Arial" w:eastAsia="Arial" w:hAnsi="Arial"/>
          <w:sz w:val="18"/>
          <w:szCs w:val="18"/>
          <w:b w:val="1"/>
          <w:bCs w:val="1"/>
          <w:color w:val="auto"/>
        </w:rPr>
        <w:t>VAT</w:t>
      </w:r>
      <w:r>
        <w:rPr>
          <w:rFonts w:ascii="Arial" w:cs="Arial" w:eastAsia="Arial" w:hAnsi="Arial"/>
          <w:sz w:val="18"/>
          <w:szCs w:val="18"/>
          <w:color w:val="auto"/>
        </w:rPr>
        <w:t>) of $41.4 million and $63.6 million, respectively, that were also financed under these arrangements.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our goodwill during the three months ended March 31, 2021 are set forth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center"/>
              <w:ind w:left="235"/>
              <w:spacing w:after="0"/>
              <w:rPr>
                <w:sz w:val="20"/>
                <w:szCs w:val="20"/>
                <w:color w:val="auto"/>
              </w:rPr>
            </w:pPr>
            <w:r>
              <w:rPr>
                <w:rFonts w:ascii="Arial" w:cs="Arial" w:eastAsia="Arial" w:hAnsi="Arial"/>
                <w:sz w:val="16"/>
                <w:szCs w:val="16"/>
                <w:b w:val="1"/>
                <w:bCs w:val="1"/>
                <w:color w:val="auto"/>
                <w:w w:val="87"/>
              </w:rPr>
              <w:t>Acquisitions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currency</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January 1, 2021</w:t>
            </w:r>
          </w:p>
        </w:tc>
        <w:tc>
          <w:tcPr>
            <w:tcW w:w="1160" w:type="dxa"/>
            <w:vAlign w:val="bottom"/>
          </w:tcPr>
          <w:p>
            <w:pPr>
              <w:jc w:val="center"/>
              <w:ind w:left="235"/>
              <w:spacing w:after="0" w:line="162" w:lineRule="exact"/>
              <w:rPr>
                <w:sz w:val="20"/>
                <w:szCs w:val="20"/>
                <w:color w:val="auto"/>
              </w:rPr>
            </w:pPr>
            <w:r>
              <w:rPr>
                <w:rFonts w:ascii="Arial" w:cs="Arial" w:eastAsia="Arial" w:hAnsi="Arial"/>
                <w:sz w:val="16"/>
                <w:szCs w:val="16"/>
                <w:b w:val="1"/>
                <w:bCs w:val="1"/>
                <w:color w:val="auto"/>
                <w:w w:val="93"/>
              </w:rPr>
              <w:t>and related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1"/>
              </w:rPr>
              <w:t>adjustments and</w:t>
            </w:r>
          </w:p>
        </w:tc>
        <w:tc>
          <w:tcPr>
            <w:tcW w:w="160" w:type="dxa"/>
            <w:vAlign w:val="bottom"/>
          </w:tcPr>
          <w:p>
            <w:pPr>
              <w:spacing w:after="0"/>
              <w:rPr>
                <w:sz w:val="14"/>
                <w:szCs w:val="14"/>
                <w:color w:val="auto"/>
              </w:rPr>
            </w:pPr>
          </w:p>
        </w:tc>
        <w:tc>
          <w:tcPr>
            <w:tcW w:w="130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w w:val="94"/>
              </w:rPr>
              <w:t>March 31, 2021</w:t>
            </w:r>
          </w:p>
        </w:tc>
        <w:tc>
          <w:tcPr>
            <w:tcW w:w="0" w:type="dxa"/>
            <w:vAlign w:val="bottom"/>
          </w:tcPr>
          <w:p>
            <w:pPr>
              <w:spacing w:after="0"/>
              <w:rPr>
                <w:sz w:val="1"/>
                <w:szCs w:val="1"/>
                <w:color w:val="auto"/>
              </w:rPr>
            </w:pPr>
          </w:p>
        </w:tc>
      </w:tr>
      <w:tr>
        <w:trPr>
          <w:trHeight w:val="213"/>
        </w:trPr>
        <w:tc>
          <w:tcPr>
            <w:tcW w:w="5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1160" w:type="dxa"/>
            <w:vAlign w:val="bottom"/>
            <w:tcBorders>
              <w:bottom w:val="single" w:sz="8" w:color="auto"/>
            </w:tcBorders>
          </w:tcPr>
          <w:p>
            <w:pPr>
              <w:jc w:val="center"/>
              <w:ind w:left="235"/>
              <w:spacing w:after="0"/>
              <w:rPr>
                <w:sz w:val="20"/>
                <w:szCs w:val="20"/>
                <w:color w:val="auto"/>
              </w:rPr>
            </w:pPr>
            <w:r>
              <w:rPr>
                <w:rFonts w:ascii="Arial" w:cs="Arial" w:eastAsia="Arial" w:hAnsi="Arial"/>
                <w:sz w:val="16"/>
                <w:szCs w:val="16"/>
                <w:b w:val="1"/>
                <w:bCs w:val="1"/>
                <w:color w:val="auto"/>
                <w:w w:val="89"/>
              </w:rPr>
              <w:t>adjustments</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other</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gridSpan w:val="5"/>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6,404.4</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Belgium</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2,783.7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2,675.4</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U.K./Ireland</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5060" w:type="dxa"/>
            <w:vAlign w:val="bottom"/>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10,466.7</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5"/>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9,906.4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intangible assets subject to amortization are set forth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March 31, 2021</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58"/>
        </w:trPr>
        <w:tc>
          <w:tcPr>
            <w:tcW w:w="3440" w:type="dxa"/>
            <w:vAlign w:val="bottom"/>
          </w:tcPr>
          <w:p>
            <w:pPr>
              <w:spacing w:after="0"/>
              <w:rPr>
                <w:sz w:val="13"/>
                <w:szCs w:val="13"/>
                <w:color w:val="auto"/>
              </w:rPr>
            </w:pPr>
          </w:p>
        </w:tc>
        <w:tc>
          <w:tcPr>
            <w:tcW w:w="1280" w:type="dxa"/>
            <w:vAlign w:val="bottom"/>
            <w:gridSpan w:val="3"/>
          </w:tcPr>
          <w:p>
            <w:pPr>
              <w:jc w:val="right"/>
              <w:ind w:right="180"/>
              <w:spacing w:after="0" w:line="158" w:lineRule="exact"/>
              <w:rPr>
                <w:sz w:val="20"/>
                <w:szCs w:val="20"/>
                <w:color w:val="auto"/>
              </w:rPr>
            </w:pPr>
            <w:r>
              <w:rPr>
                <w:rFonts w:ascii="Arial" w:cs="Arial" w:eastAsia="Arial" w:hAnsi="Arial"/>
                <w:sz w:val="16"/>
                <w:szCs w:val="16"/>
                <w:b w:val="1"/>
                <w:bCs w:val="1"/>
                <w:color w:val="auto"/>
                <w:w w:val="94"/>
              </w:rPr>
              <w:t>Gross carrying</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3"/>
                <w:szCs w:val="13"/>
                <w:color w:val="auto"/>
              </w:rPr>
            </w:pPr>
          </w:p>
        </w:tc>
        <w:tc>
          <w:tcPr>
            <w:tcW w:w="1040" w:type="dxa"/>
            <w:vAlign w:val="bottom"/>
          </w:tcPr>
          <w:p>
            <w:pPr>
              <w:jc w:val="center"/>
              <w:ind w:right="55"/>
              <w:spacing w:after="0" w:line="158" w:lineRule="exact"/>
              <w:rPr>
                <w:sz w:val="20"/>
                <w:szCs w:val="20"/>
                <w:color w:val="auto"/>
              </w:rPr>
            </w:pPr>
            <w:r>
              <w:rPr>
                <w:rFonts w:ascii="Arial" w:cs="Arial" w:eastAsia="Arial" w:hAnsi="Arial"/>
                <w:sz w:val="16"/>
                <w:szCs w:val="16"/>
                <w:b w:val="1"/>
                <w:bCs w:val="1"/>
                <w:color w:val="auto"/>
                <w:w w:val="92"/>
              </w:rPr>
              <w:t>Net carrying</w:t>
            </w:r>
          </w:p>
        </w:tc>
        <w:tc>
          <w:tcPr>
            <w:tcW w:w="100" w:type="dxa"/>
            <w:vAlign w:val="bottom"/>
          </w:tcPr>
          <w:p>
            <w:pPr>
              <w:spacing w:after="0"/>
              <w:rPr>
                <w:sz w:val="13"/>
                <w:szCs w:val="13"/>
                <w:color w:val="auto"/>
              </w:rPr>
            </w:pPr>
          </w:p>
        </w:tc>
        <w:tc>
          <w:tcPr>
            <w:tcW w:w="118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6"/>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3"/>
                <w:szCs w:val="13"/>
                <w:color w:val="auto"/>
              </w:rPr>
            </w:pPr>
          </w:p>
        </w:tc>
        <w:tc>
          <w:tcPr>
            <w:tcW w:w="1040" w:type="dxa"/>
            <w:vAlign w:val="bottom"/>
          </w:tcPr>
          <w:p>
            <w:pPr>
              <w:jc w:val="right"/>
              <w:ind w:right="54"/>
              <w:spacing w:after="0" w:line="158" w:lineRule="exact"/>
              <w:rPr>
                <w:sz w:val="20"/>
                <w:szCs w:val="20"/>
                <w:color w:val="auto"/>
              </w:rPr>
            </w:pPr>
            <w:r>
              <w:rPr>
                <w:rFonts w:ascii="Arial" w:cs="Arial" w:eastAsia="Arial" w:hAnsi="Arial"/>
                <w:sz w:val="16"/>
                <w:szCs w:val="16"/>
                <w:b w:val="1"/>
                <w:bCs w:val="1"/>
                <w:color w:val="auto"/>
                <w:w w:val="94"/>
              </w:rPr>
              <w:t>Net carrying</w:t>
            </w:r>
          </w:p>
        </w:tc>
      </w:tr>
      <w:tr>
        <w:trPr>
          <w:trHeight w:val="213"/>
        </w:trPr>
        <w:tc>
          <w:tcPr>
            <w:tcW w:w="3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3"/>
              </w:rPr>
              <w:t>amount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amortization</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amount</w:t>
            </w:r>
          </w:p>
        </w:tc>
      </w:tr>
      <w:tr>
        <w:trPr>
          <w:trHeight w:val="207"/>
        </w:trPr>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54"/>
        </w:trPr>
        <w:tc>
          <w:tcPr>
            <w:tcW w:w="3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2,180.2</w:t>
            </w:r>
          </w:p>
        </w:tc>
      </w:tr>
      <w:tr>
        <w:trPr>
          <w:trHeight w:val="230"/>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705.8</w:t>
            </w:r>
          </w:p>
        </w:tc>
      </w:tr>
      <w:tr>
        <w:trPr>
          <w:trHeight w:val="248"/>
        </w:trPr>
        <w:tc>
          <w:tcPr>
            <w:tcW w:w="3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2,886.0</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equivalents of the components of our debt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3"/>
          </w:tcPr>
          <w:p>
            <w:pPr>
              <w:jc w:val="right"/>
              <w:ind w:right="572"/>
              <w:spacing w:after="0" w:line="158" w:lineRule="exact"/>
              <w:rPr>
                <w:sz w:val="20"/>
                <w:szCs w:val="20"/>
                <w:color w:val="auto"/>
              </w:rPr>
            </w:pPr>
            <w:r>
              <w:rPr>
                <w:rFonts w:ascii="Arial" w:cs="Arial" w:eastAsia="Arial" w:hAnsi="Arial"/>
                <w:sz w:val="16"/>
                <w:szCs w:val="16"/>
                <w:b w:val="1"/>
                <w:bCs w:val="1"/>
                <w:color w:val="auto"/>
              </w:rPr>
              <w:t>Unused borrowing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2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40" w:type="dxa"/>
            <w:vAlign w:val="bottom"/>
            <w:gridSpan w:val="3"/>
            <w:vMerge w:val="restart"/>
          </w:tcPr>
          <w:p>
            <w:pPr>
              <w:jc w:val="right"/>
              <w:ind w:right="812"/>
              <w:spacing w:after="0"/>
              <w:rPr>
                <w:sz w:val="20"/>
                <w:szCs w:val="20"/>
                <w:color w:val="auto"/>
              </w:rPr>
            </w:pPr>
            <w:r>
              <w:rPr>
                <w:rFonts w:ascii="Arial" w:cs="Arial" w:eastAsia="Arial" w:hAnsi="Arial"/>
                <w:sz w:val="16"/>
                <w:szCs w:val="16"/>
                <w:b w:val="1"/>
                <w:bCs w:val="1"/>
                <w:color w:val="auto"/>
              </w:rPr>
              <w:t>capacity (b)</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2600" w:type="dxa"/>
            <w:vAlign w:val="bottom"/>
            <w:gridSpan w:val="4"/>
            <w:vMerge w:val="restart"/>
          </w:tcPr>
          <w:p>
            <w:pPr>
              <w:jc w:val="right"/>
              <w:ind w:right="672"/>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40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89"/>
              </w:rPr>
              <w:t>average</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3"/>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14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interest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273"/>
              <w:spacing w:after="0" w:line="155" w:lineRule="exact"/>
              <w:rPr>
                <w:sz w:val="20"/>
                <w:szCs w:val="20"/>
                <w:color w:val="auto"/>
              </w:rPr>
            </w:pPr>
            <w:r>
              <w:rPr>
                <w:rFonts w:ascii="Arial" w:cs="Arial" w:eastAsia="Arial" w:hAnsi="Arial"/>
                <w:sz w:val="16"/>
                <w:szCs w:val="16"/>
                <w:b w:val="1"/>
                <w:bCs w:val="1"/>
                <w:color w:val="auto"/>
                <w:w w:val="99"/>
              </w:rPr>
              <w:t>Borrowing</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4"/>
              </w:rPr>
              <w:t>U.S. $</w:t>
            </w:r>
          </w:p>
        </w:tc>
        <w:tc>
          <w:tcPr>
            <w:tcW w:w="12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2021</w:t>
            </w:r>
          </w:p>
        </w:tc>
        <w:tc>
          <w:tcPr>
            <w:tcW w:w="140" w:type="dxa"/>
            <w:vAlign w:val="bottom"/>
          </w:tcPr>
          <w:p>
            <w:pPr>
              <w:spacing w:after="0"/>
              <w:rPr>
                <w:sz w:val="13"/>
                <w:szCs w:val="13"/>
                <w:color w:val="auto"/>
              </w:rPr>
            </w:pPr>
          </w:p>
        </w:tc>
        <w:tc>
          <w:tcPr>
            <w:tcW w:w="1140" w:type="dxa"/>
            <w:vAlign w:val="bottom"/>
          </w:tcPr>
          <w:p>
            <w:pPr>
              <w:jc w:val="right"/>
              <w:ind w:right="72"/>
              <w:spacing w:after="0" w:line="155" w:lineRule="exact"/>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42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rate (a)</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currency</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0"/>
              </w:rPr>
              <w:t>equivalent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7"/>
        </w:trPr>
        <w:tc>
          <w:tcPr>
            <w:tcW w:w="4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5"/>
          </w:tcPr>
          <w:p>
            <w:pPr>
              <w:ind w:left="80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Bank Facility (c)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716.6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4,767.1</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UPCB SPE Notes</w:t>
            </w:r>
          </w:p>
        </w:tc>
        <w:tc>
          <w:tcPr>
            <w:tcW w:w="1400" w:type="dxa"/>
            <w:vAlign w:val="bottom"/>
          </w:tcPr>
          <w:p>
            <w:pPr>
              <w:jc w:val="right"/>
              <w:spacing w:after="0"/>
              <w:rPr>
                <w:sz w:val="20"/>
                <w:szCs w:val="20"/>
                <w:color w:val="auto"/>
              </w:rPr>
            </w:pPr>
            <w:r>
              <w:rPr>
                <w:rFonts w:ascii="Arial" w:cs="Arial" w:eastAsia="Arial" w:hAnsi="Arial"/>
                <w:sz w:val="18"/>
                <w:szCs w:val="18"/>
                <w:color w:val="auto"/>
              </w:rPr>
              <w:t>3.80 %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1,393.7</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Senior Notes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Telenet Credit Facility (d)</w:t>
            </w:r>
          </w:p>
        </w:tc>
        <w:tc>
          <w:tcPr>
            <w:tcW w:w="1400" w:type="dxa"/>
            <w:vAlign w:val="bottom"/>
          </w:tcPr>
          <w:p>
            <w:pPr>
              <w:jc w:val="right"/>
              <w:spacing w:after="0"/>
              <w:rPr>
                <w:sz w:val="20"/>
                <w:szCs w:val="20"/>
                <w:color w:val="auto"/>
              </w:rPr>
            </w:pPr>
            <w:r>
              <w:rPr>
                <w:rFonts w:ascii="Arial" w:cs="Arial" w:eastAsia="Arial" w:hAnsi="Arial"/>
                <w:sz w:val="18"/>
                <w:szCs w:val="18"/>
                <w:color w:val="auto"/>
              </w:rPr>
              <w:t>2.16 %</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555.0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3,652.0</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Senior Secured Notes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Vendor financing (e)</w:t>
            </w:r>
          </w:p>
        </w:tc>
        <w:tc>
          <w:tcPr>
            <w:tcW w:w="1400" w:type="dxa"/>
            <w:vAlign w:val="bottom"/>
          </w:tcPr>
          <w:p>
            <w:pPr>
              <w:jc w:val="right"/>
              <w:spacing w:after="0"/>
              <w:rPr>
                <w:sz w:val="20"/>
                <w:szCs w:val="20"/>
                <w:color w:val="auto"/>
              </w:rPr>
            </w:pPr>
            <w:r>
              <w:rPr>
                <w:rFonts w:ascii="Arial" w:cs="Arial" w:eastAsia="Arial" w:hAnsi="Arial"/>
                <w:sz w:val="18"/>
                <w:szCs w:val="18"/>
                <w:color w:val="auto"/>
              </w:rPr>
              <w:t>2.23 %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1,142.9</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ITV Collar Loan</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Other</w:t>
            </w:r>
          </w:p>
        </w:tc>
        <w:tc>
          <w:tcPr>
            <w:tcW w:w="1400" w:type="dxa"/>
            <w:vAlign w:val="bottom"/>
          </w:tcPr>
          <w:p>
            <w:pPr>
              <w:jc w:val="right"/>
              <w:spacing w:after="0"/>
              <w:rPr>
                <w:sz w:val="20"/>
                <w:szCs w:val="20"/>
                <w:color w:val="auto"/>
              </w:rPr>
            </w:pPr>
            <w:r>
              <w:rPr>
                <w:rFonts w:ascii="Arial" w:cs="Arial" w:eastAsia="Arial" w:hAnsi="Arial"/>
                <w:sz w:val="18"/>
                <w:szCs w:val="18"/>
                <w:color w:val="auto"/>
              </w:rPr>
              <w:t>7.06 %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156"/>
        </w:trPr>
        <w:tc>
          <w:tcPr>
            <w:tcW w:w="4260" w:type="dxa"/>
            <w:vAlign w:val="bottom"/>
            <w:tcBorders>
              <w:top w:val="single" w:sz="8" w:color="CCEEFF"/>
            </w:tcBorders>
            <w:shd w:val="clear" w:color="auto" w:fill="CCEEFF"/>
          </w:tcPr>
          <w:p>
            <w:pPr>
              <w:ind w:left="220"/>
              <w:spacing w:after="0" w:line="156" w:lineRule="exact"/>
              <w:rPr>
                <w:sz w:val="20"/>
                <w:szCs w:val="20"/>
                <w:color w:val="auto"/>
              </w:rPr>
            </w:pPr>
            <w:r>
              <w:rPr>
                <w:rFonts w:ascii="Arial" w:cs="Arial" w:eastAsia="Arial" w:hAnsi="Arial"/>
                <w:sz w:val="18"/>
                <w:szCs w:val="18"/>
                <w:color w:val="auto"/>
                <w:w w:val="96"/>
              </w:rPr>
              <w:t>Total debt before deferred financing costs, discounts</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3.27 %</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1,494.1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13,889.8</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14,559.6</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and premiums (f)</w:t>
            </w: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finance lease obligations: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140" w:type="dxa"/>
            <w:vAlign w:val="bottom"/>
          </w:tcPr>
          <w:p>
            <w:pPr>
              <w:jc w:val="right"/>
              <w:ind w:right="72"/>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8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r>
      <w:tr>
        <w:trPr>
          <w:trHeight w:val="207"/>
        </w:trPr>
        <w:tc>
          <w:tcPr>
            <w:tcW w:w="8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4"/>
          </w:tcPr>
          <w:p>
            <w:pPr>
              <w:jc w:val="right"/>
              <w:ind w:right="912"/>
              <w:spacing w:after="0"/>
              <w:rPr>
                <w:sz w:val="20"/>
                <w:szCs w:val="20"/>
                <w:color w:val="auto"/>
              </w:rPr>
            </w:pPr>
            <w:r>
              <w:rPr>
                <w:rFonts w:ascii="Arial" w:cs="Arial" w:eastAsia="Arial" w:hAnsi="Arial"/>
                <w:sz w:val="16"/>
                <w:szCs w:val="16"/>
                <w:b w:val="1"/>
                <w:bCs w:val="1"/>
                <w:color w:val="auto"/>
              </w:rPr>
              <w:t>in millions</w:t>
            </w:r>
          </w:p>
        </w:tc>
      </w:tr>
      <w:tr>
        <w:trPr>
          <w:trHeight w:val="168"/>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14,559.6</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r>
      <w:tr>
        <w:trPr>
          <w:trHeight w:val="223"/>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carrying amount of debt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14,441.2</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obligations (note 10)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w:t>
            </w:r>
          </w:p>
        </w:tc>
      </w:tr>
      <w:tr>
        <w:trPr>
          <w:trHeight w:val="223"/>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 and finance lease obligations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14,997.7</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maturities of debt and finance lease obligations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(1,130.4)</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13,867.3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500" w:hanging="492"/>
        <w:spacing w:after="0" w:line="255" w:lineRule="auto"/>
        <w:tabs>
          <w:tab w:leader="none" w:pos="4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weighted average interest rate in effect at March 31, 2021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the weighted average interest rate on our aggregate variable- and fixed-rate indebtedness was 3.67% at March 31, 2021. For information regarding our derivative instruments, see note 6.</w:t>
      </w:r>
    </w:p>
    <w:p>
      <w:pPr>
        <w:spacing w:after="0" w:line="219" w:lineRule="exact"/>
        <w:rPr>
          <w:rFonts w:ascii="Arial" w:cs="Arial" w:eastAsia="Arial" w:hAnsi="Arial"/>
          <w:sz w:val="18"/>
          <w:szCs w:val="18"/>
          <w:color w:val="auto"/>
        </w:rPr>
      </w:pPr>
    </w:p>
    <w:p>
      <w:pPr>
        <w:jc w:val="both"/>
        <w:ind w:left="500" w:hanging="492"/>
        <w:spacing w:after="0" w:line="289" w:lineRule="auto"/>
        <w:tabs>
          <w:tab w:leader="none" w:pos="494"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Unused borrowing capacity represents the maximum availability under the applicable facility at March 31, 2021 without regard to covenant compliance calculations or other conditions precedent to borrowing. At March 31, 2021, based on the most restrictive applicable leverage covenants, the full amount of unused borrowing capacity was available to be borrowed under each of the respective subsidiary facilities, and based on the most restrictive applicable leverage-based restricted payment tests, there were no additional restrictions on the respective subsidiary's ability to make loans or distributions from this availability to Liberty Global or its subsidiaries or other equity holders. Upon completion of the relevant March 31, 2021 compliance reporting requirements, we expect the full amount of unused borrowing capacity will continue to be available under each of the respective subsidiary facilities, with no additional restriction to loan or distribute. Our above expectations do not consider any actual or potential changes to our borrowing levels or any amounts loaned or distributed subsequent to March 31, 2021, or the impact of additional amounts that may be available to borrow, loan or distribute under certain defined baskets within each respective facility.</w:t>
      </w:r>
    </w:p>
    <w:p>
      <w:pPr>
        <w:spacing w:after="0" w:line="193" w:lineRule="exact"/>
        <w:rPr>
          <w:rFonts w:ascii="Arial" w:cs="Arial" w:eastAsia="Arial" w:hAnsi="Arial"/>
          <w:sz w:val="16"/>
          <w:szCs w:val="16"/>
          <w:color w:val="auto"/>
        </w:rPr>
      </w:pPr>
    </w:p>
    <w:p>
      <w:pPr>
        <w:jc w:val="both"/>
        <w:ind w:left="500" w:hanging="492"/>
        <w:spacing w:after="0" w:line="273" w:lineRule="auto"/>
        <w:tabs>
          <w:tab w:leader="none" w:pos="497"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Unused borrowing capacity under the UPC Holding Bank Facility comprises (i) €500.0 million ($587.5 million) under the UPC Revolving Facility and (ii) €216.6 million ($254.5 million) equivalent under the Revolving Facility, part of which has been made available as an ancillary facility. The UPC Revolving Facility and the Revolving Facility were each undrawn at March 31, 2021. Subsequent to March 31, 2021, commitments under the Revolving Facility were cancelled in full and certain lenders under the Revolving Facility became lenders under the UPC Revolving Facility or increased their commitments under the UPC Revolving Facility, in each case, by a corresponding amount in aggregate. Accordingly, the UPC Revolving Facility, as increased, provides for maximum borrowing capacity equivalent to €736.4 million ($865.2 million).</w:t>
      </w:r>
    </w:p>
    <w:p>
      <w:pPr>
        <w:spacing w:after="0" w:line="204" w:lineRule="exact"/>
        <w:rPr>
          <w:rFonts w:ascii="Arial" w:cs="Arial" w:eastAsia="Arial" w:hAnsi="Arial"/>
          <w:sz w:val="17"/>
          <w:szCs w:val="17"/>
          <w:color w:val="auto"/>
        </w:rPr>
      </w:pPr>
    </w:p>
    <w:p>
      <w:pPr>
        <w:jc w:val="both"/>
        <w:ind w:left="500" w:hanging="492"/>
        <w:spacing w:after="0" w:line="263" w:lineRule="auto"/>
        <w:tabs>
          <w:tab w:leader="none" w:pos="4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Unused borrowing capacity under the Telenet Credit Facility comprises (i) €510.0 million ($599.2 million) under the Telenet Revolving Facility I, (ii) €25.0 million ($29.4 million) under the Telenet Overdraft Facility and (iii) €20.0 million ($23.5 million) under the Telenet Revolving Facility, each of which were undrawn at March 31, 2021.</w:t>
      </w:r>
    </w:p>
    <w:p>
      <w:pPr>
        <w:spacing w:after="0" w:line="210" w:lineRule="exact"/>
        <w:rPr>
          <w:rFonts w:ascii="Arial" w:cs="Arial" w:eastAsia="Arial" w:hAnsi="Arial"/>
          <w:sz w:val="18"/>
          <w:szCs w:val="18"/>
          <w:color w:val="auto"/>
        </w:rPr>
      </w:pPr>
    </w:p>
    <w:p>
      <w:pPr>
        <w:jc w:val="both"/>
        <w:ind w:left="500" w:hanging="492"/>
        <w:spacing w:after="0" w:line="273" w:lineRule="auto"/>
        <w:tabs>
          <w:tab w:leader="none" w:pos="497"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on our condensed consolidated balance sheet. These obligations are generally due within one year and include VAT that was also financed under these arrangements. Repayments of vendor financing obligations are included in repayments and repurchases of debt and finance lease obligations in our condensed consolidated statements of cash flows.</w:t>
      </w:r>
    </w:p>
    <w:p>
      <w:pPr>
        <w:spacing w:after="0" w:line="204" w:lineRule="exact"/>
        <w:rPr>
          <w:rFonts w:ascii="Arial" w:cs="Arial" w:eastAsia="Arial" w:hAnsi="Arial"/>
          <w:sz w:val="17"/>
          <w:szCs w:val="17"/>
          <w:color w:val="auto"/>
        </w:rPr>
      </w:pPr>
    </w:p>
    <w:p>
      <w:pPr>
        <w:jc w:val="both"/>
        <w:ind w:left="500" w:hanging="492"/>
        <w:spacing w:after="0" w:line="296" w:lineRule="auto"/>
        <w:tabs>
          <w:tab w:leader="none" w:pos="491"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of March 31, 2021 and December 31, 2020, our debt had an estimated fair value of $14.0 billion and $14.7 billion, respectively. The estimated fair values of our debt instruments are generally determined using the average of applicable bid and ask prices (mostly Level 1 of the fair value hierarchy) or, when quoted market prices are unavailable or not considered indicative of fair value, discounted cash flow models (mostly Level 2 of the fair value hierarchy). The discount rates used in the cash flow models are based on the market interest rates and estimated credit spreads of the applicable entity, to the extent available, and other relevant factors. For additional information regarding fair value hierarchies,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 - General Information</w:t>
      </w:r>
    </w:p>
    <w:p>
      <w:pPr>
        <w:spacing w:after="0" w:line="2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March 31, 2021, most of our outstanding debt had been incurred by one of our three subsidiary “borrowing groups.” References to these borrowing groups, which comprise UPC Holding, Telenet and Virgin Media, include their respective restricted parent and subsidiary entities. Below we provide summary descriptions of certain financing transactions completed during the first three months of 2021. A portion of our financing transactions may include non-cash borrowings and repayments. During the three months ended March 31, 2021 and 2020, non-cash borrowings and repayments aggregated nil and $3.5 billion, respectively. Unless otherwise noted, the terms and conditions of any new notes and/or credit facilities are largely consistent with those of existing notes and credit facilities of the corresponding borrowing group with regard to covenants, events of default and change of control provisions, among other items. For information regarding the general terms and conditions of our debt and capitalized terms not defined herein, see note 11 to the consolidated financial statements included in our 10-K.</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UPC Holding Financing Transactions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April 2021, UPC Holding issued $1,250.0 million principal amount of U.S. dollar-denominated senior secured notes (the </w:t>
      </w:r>
      <w:r>
        <w:rPr>
          <w:rFonts w:ascii="Arial" w:cs="Arial" w:eastAsia="Arial" w:hAnsi="Arial"/>
          <w:sz w:val="18"/>
          <w:szCs w:val="18"/>
          <w:b w:val="1"/>
          <w:bCs w:val="1"/>
          <w:color w:val="auto"/>
        </w:rPr>
        <w:t>2031 UPC Senior</w:t>
      </w:r>
      <w:r>
        <w:rPr>
          <w:rFonts w:ascii="Arial" w:cs="Arial" w:eastAsia="Arial" w:hAnsi="Arial"/>
          <w:sz w:val="18"/>
          <w:szCs w:val="18"/>
          <w:color w:val="auto"/>
        </w:rPr>
        <w:t xml:space="preserve"> </w:t>
      </w:r>
      <w:r>
        <w:rPr>
          <w:rFonts w:ascii="Arial" w:cs="Arial" w:eastAsia="Arial" w:hAnsi="Arial"/>
          <w:sz w:val="18"/>
          <w:szCs w:val="18"/>
          <w:b w:val="1"/>
          <w:bCs w:val="1"/>
          <w:color w:val="auto"/>
        </w:rPr>
        <w:t>Secured Notes</w:t>
      </w:r>
      <w:r>
        <w:rPr>
          <w:rFonts w:ascii="Arial" w:cs="Arial" w:eastAsia="Arial" w:hAnsi="Arial"/>
          <w:sz w:val="18"/>
          <w:szCs w:val="18"/>
          <w:color w:val="auto"/>
        </w:rPr>
        <w:t>) and used the proceeds to fund</w:t>
      </w:r>
      <w:r>
        <w:rPr>
          <w:rFonts w:ascii="Arial" w:cs="Arial" w:eastAsia="Arial" w:hAnsi="Arial"/>
          <w:sz w:val="18"/>
          <w:szCs w:val="18"/>
          <w:b w:val="1"/>
          <w:bCs w:val="1"/>
          <w:color w:val="auto"/>
        </w:rPr>
        <w:t xml:space="preserve"> UPC Facility AZ</w:t>
      </w:r>
      <w:r>
        <w:rPr>
          <w:rFonts w:ascii="Arial" w:cs="Arial" w:eastAsia="Arial" w:hAnsi="Arial"/>
          <w:sz w:val="18"/>
          <w:szCs w:val="18"/>
          <w:color w:val="auto"/>
        </w:rPr>
        <w:t>, an additional facility under the UPC Holding Bank Facility. UPC Facility AZ was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at par, matures on July 15, 2031 and bears interest at a rate of 4.875%. The net proceeds from UPC Facility AZ, together with existing cash, were used to prepay (i) in full the €540.0 million ($634.5 million) outstanding principal amount under UPC Facility AK, together with accrued and unpaid interest and the related prepayment premiums which, in turn, was used to redeem in full the €540.0 million outstanding principal amount of UPCB Finance IV Euro Notes on behalf of UPCB Finance IV, and (ii) $600.0 million of the $2,600.0 million outstanding aggregate principal amount under UPC Facility AV and UPC Facility AV2 (as defined and described below).</w:t>
      </w:r>
    </w:p>
    <w:p>
      <w:pPr>
        <w:spacing w:after="0" w:line="22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April 2021, UPC Holding (i) increased its commitments under UPC Facility AV and UPC Facility AW by entering into an additional (a) $1,300.0 million term loan facility (</w:t>
      </w:r>
      <w:r>
        <w:rPr>
          <w:rFonts w:ascii="Arial" w:cs="Arial" w:eastAsia="Arial" w:hAnsi="Arial"/>
          <w:sz w:val="17"/>
          <w:szCs w:val="17"/>
          <w:b w:val="1"/>
          <w:bCs w:val="1"/>
          <w:color w:val="auto"/>
        </w:rPr>
        <w:t>UPC Facility AV2</w:t>
      </w:r>
      <w:r>
        <w:rPr>
          <w:rFonts w:ascii="Arial" w:cs="Arial" w:eastAsia="Arial" w:hAnsi="Arial"/>
          <w:sz w:val="17"/>
          <w:szCs w:val="17"/>
          <w:color w:val="auto"/>
        </w:rPr>
        <w:t>) and (b) €400.0 million ($470.0 million) term loan facility (</w:t>
      </w:r>
      <w:r>
        <w:rPr>
          <w:rFonts w:ascii="Arial" w:cs="Arial" w:eastAsia="Arial" w:hAnsi="Arial"/>
          <w:sz w:val="17"/>
          <w:szCs w:val="17"/>
          <w:b w:val="1"/>
          <w:bCs w:val="1"/>
          <w:color w:val="auto"/>
        </w:rPr>
        <w:t>UPC Facility AW2</w:t>
      </w:r>
      <w:r>
        <w:rPr>
          <w:rFonts w:ascii="Arial" w:cs="Arial" w:eastAsia="Arial" w:hAnsi="Arial"/>
          <w:sz w:val="17"/>
          <w:szCs w:val="17"/>
          <w:color w:val="auto"/>
        </w:rPr>
        <w:t>), respectively, and (ii) entered into an agreement with certain financial institutions to provide (1) a $1,925.0 million term loan facility (</w:t>
      </w:r>
      <w:r>
        <w:rPr>
          <w:rFonts w:ascii="Arial" w:cs="Arial" w:eastAsia="Arial" w:hAnsi="Arial"/>
          <w:sz w:val="17"/>
          <w:szCs w:val="17"/>
          <w:b w:val="1"/>
          <w:bCs w:val="1"/>
          <w:color w:val="auto"/>
        </w:rPr>
        <w:t>UPC Facility AX</w:t>
      </w:r>
      <w:r>
        <w:rPr>
          <w:rFonts w:ascii="Arial" w:cs="Arial" w:eastAsia="Arial" w:hAnsi="Arial"/>
          <w:sz w:val="17"/>
          <w:szCs w:val="17"/>
          <w:color w:val="auto"/>
        </w:rPr>
        <w:t>) and (2) a €862.5 million ($1,013.4 million) term loan facility (</w:t>
      </w:r>
      <w:r>
        <w:rPr>
          <w:rFonts w:ascii="Arial" w:cs="Arial" w:eastAsia="Arial" w:hAnsi="Arial"/>
          <w:sz w:val="17"/>
          <w:szCs w:val="17"/>
          <w:b w:val="1"/>
          <w:bCs w:val="1"/>
          <w:color w:val="auto"/>
        </w:rPr>
        <w:t>UPC Facility AY</w:t>
      </w:r>
      <w:r>
        <w:rPr>
          <w:rFonts w:ascii="Arial" w:cs="Arial" w:eastAsia="Arial" w:hAnsi="Arial"/>
          <w:sz w:val="17"/>
          <w:szCs w:val="17"/>
          <w:color w:val="auto"/>
        </w:rPr>
        <w:t>). UPC Facility AV2 and UPC Facility AW2 were each issued at par, with terms consistent to those of UPC Facility AV and UPC Facility AW, respectively. UPC Facility AX will be issued at 99.0% of par, mature on January 31, 2029 and bear interest at a rate of LIBOR + 3.0%, subject to a LIBOR floor of 0.0%. UPC Facility AY will be issued at 99.75% of par, mature on January 31, 2029 and bear interest at a rate of EURIBOR + 3.0%, subject to a EURIBOR floor of 0.0%. The proceeds from UPC Facility AV2 and UPC Facility AW2 were used to prepay in full the (A) $1,300.0 million outstanding principal amount under UPC Facility AV1 and (B) €400.0 million outstanding principal amount under UPC Facility AW1, respectively. The proceeds from UPC Facility AX and UPC Facility AY will be used to prepay in full the (I) $2,000.0 million outstanding aggregate principal amount under UPC Facility AV and UPC Facility AV2 and (II) €800.0 million ($940.0 million) outstanding aggregate principal amount under UPC Facility AW and UPC Facility AW2. Any remaining proceeds can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Maturities of 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Maturities of our debt as of March 31, 2021 are presented below for the named entity and its subsidiaries, unless otherwise noted, and represent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 equivalents based on March 31, 2021 exchange rates.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UPC</w:t>
            </w:r>
          </w:p>
        </w:tc>
        <w:tc>
          <w:tcPr>
            <w:tcW w:w="220" w:type="dxa"/>
            <w:vAlign w:val="bottom"/>
          </w:tcPr>
          <w:p>
            <w:pPr>
              <w:spacing w:after="0"/>
              <w:rPr>
                <w:sz w:val="16"/>
                <w:szCs w:val="16"/>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Telenet</w:t>
            </w:r>
          </w:p>
        </w:tc>
        <w:tc>
          <w:tcPr>
            <w:tcW w:w="18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Other (b)</w:t>
            </w:r>
          </w:p>
        </w:tc>
        <w:tc>
          <w:tcPr>
            <w:tcW w:w="260" w:type="dxa"/>
            <w:vAlign w:val="bottom"/>
          </w:tcPr>
          <w:p>
            <w:pPr>
              <w:spacing w:after="0"/>
              <w:rPr>
                <w:sz w:val="16"/>
                <w:szCs w:val="16"/>
                <w:color w:val="auto"/>
              </w:rPr>
            </w:pPr>
          </w:p>
        </w:tc>
        <w:tc>
          <w:tcPr>
            <w:tcW w:w="92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5"/>
              </w:rPr>
              <w:t>Holding (a)</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2021 (remainder of year)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7,282.7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5,321.6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12,604.3</w:t>
            </w:r>
          </w:p>
        </w:tc>
        <w:tc>
          <w:tcPr>
            <w:tcW w:w="0" w:type="dxa"/>
            <w:vAlign w:val="bottom"/>
          </w:tcPr>
          <w:p>
            <w:pPr>
              <w:spacing w:after="0"/>
              <w:rPr>
                <w:sz w:val="1"/>
                <w:szCs w:val="1"/>
                <w:color w:val="auto"/>
              </w:rPr>
            </w:pPr>
          </w:p>
        </w:tc>
      </w:tr>
      <w:tr>
        <w:trPr>
          <w:trHeight w:val="223"/>
        </w:trPr>
        <w:tc>
          <w:tcPr>
            <w:tcW w:w="61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debt maturities (c)</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13,889.8</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13,777.9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426.0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986.3</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12,791.6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include certain senior secured notes issued by special purpose financing entities that are consolidated by UPC Holding and Liberty Global.</w:t>
      </w:r>
    </w:p>
    <w:p>
      <w:pPr>
        <w:spacing w:after="0" w:line="275" w:lineRule="exact"/>
        <w:rPr>
          <w:rFonts w:ascii="Arial" w:cs="Arial" w:eastAsia="Arial" w:hAnsi="Arial"/>
          <w:sz w:val="16"/>
          <w:szCs w:val="16"/>
          <w:color w:val="auto"/>
        </w:rPr>
      </w:pPr>
    </w:p>
    <w:p>
      <w:pPr>
        <w:ind w:left="480" w:hanging="47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include $138.4 million related to the ITV Collar Loan, which, as described in note 5, was fully repaid in April 2021.</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include vendor financing obligations of $1,077.3 million, as set forth below:</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UPC</w:t>
            </w:r>
          </w:p>
        </w:tc>
        <w:tc>
          <w:tcPr>
            <w:tcW w:w="220" w:type="dxa"/>
            <w:vAlign w:val="bottom"/>
          </w:tcPr>
          <w:p>
            <w:pPr>
              <w:spacing w:after="0"/>
              <w:rPr>
                <w:sz w:val="16"/>
                <w:szCs w:val="16"/>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Telenet</w:t>
            </w:r>
          </w:p>
        </w:tc>
        <w:tc>
          <w:tcPr>
            <w:tcW w:w="340" w:type="dxa"/>
            <w:vAlign w:val="bottom"/>
          </w:tcPr>
          <w:p>
            <w:pPr>
              <w:spacing w:after="0"/>
              <w:rPr>
                <w:sz w:val="16"/>
                <w:szCs w:val="16"/>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6"/>
                <w:szCs w:val="16"/>
                <w:color w:val="auto"/>
              </w:rPr>
            </w:pPr>
          </w:p>
        </w:tc>
        <w:tc>
          <w:tcPr>
            <w:tcW w:w="92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3"/>
              </w:rPr>
              <w:t>Holding</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2021 (remainder of year)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342.2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vendor financing maturities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Arial" w:cs="Arial" w:eastAsia="Arial" w:hAnsi="Arial"/>
                <w:sz w:val="18"/>
                <w:szCs w:val="18"/>
                <w:color w:val="auto"/>
              </w:rPr>
              <w:t>Current portion</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414.5</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930.0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enter into operating and finance leases for network equipment, real estate, mobile site sharing and vehicles. We provide residual value guarantees on certain of our vehicle leases.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Balances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right-of-use (</w:t>
      </w:r>
      <w:r>
        <w:rPr>
          <w:rFonts w:ascii="Arial" w:cs="Arial" w:eastAsia="Arial" w:hAnsi="Arial"/>
          <w:sz w:val="18"/>
          <w:szCs w:val="18"/>
          <w:b w:val="1"/>
          <w:bCs w:val="1"/>
          <w:color w:val="auto"/>
        </w:rPr>
        <w:t>ROU</w:t>
      </w:r>
      <w:r>
        <w:rPr>
          <w:rFonts w:ascii="Arial" w:cs="Arial" w:eastAsia="Arial" w:hAnsi="Arial"/>
          <w:sz w:val="18"/>
          <w:szCs w:val="18"/>
          <w:color w:val="auto"/>
        </w:rPr>
        <w:t>) assets and lease liabilities is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13"/>
        </w:trPr>
        <w:tc>
          <w:tcPr>
            <w:tcW w:w="8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3"/>
          </w:tcPr>
          <w:p>
            <w:pPr>
              <w:jc w:val="right"/>
              <w:ind w:right="172"/>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8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Finance leases (a)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 (b)</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1,454.7</w:t>
            </w:r>
          </w:p>
        </w:tc>
        <w:tc>
          <w:tcPr>
            <w:tcW w:w="0" w:type="dxa"/>
            <w:vAlign w:val="bottom"/>
          </w:tcPr>
          <w:p>
            <w:pPr>
              <w:spacing w:after="0"/>
              <w:rPr>
                <w:sz w:val="1"/>
                <w:szCs w:val="1"/>
                <w:color w:val="auto"/>
              </w:rPr>
            </w:pP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Total ROU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1,932.5</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 (c)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leases (d)</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1,447.7</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59" w:lineRule="auto"/>
        <w:tabs>
          <w:tab w:leader="none" w:pos="4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finance lease ROU assets are included in property and equipment, net, on our condensed consolidated balance sheets. At March 31, 2021, the weighted average remaining lease term for finance leases was 22.8 years and the weighted average discount rate was 6.0%. During the three months ended March 31, 2021 and 2020, we recorded non-cash additions to our finance lease ROU assets (including amounts related to the U.K. JV Entities) of $9.7 million and $11.1 million, respectively.</w:t>
      </w:r>
    </w:p>
    <w:p>
      <w:pPr>
        <w:spacing w:after="0" w:line="213" w:lineRule="exact"/>
        <w:rPr>
          <w:rFonts w:ascii="Arial" w:cs="Arial" w:eastAsia="Arial" w:hAnsi="Arial"/>
          <w:sz w:val="18"/>
          <w:szCs w:val="18"/>
          <w:color w:val="auto"/>
        </w:rPr>
      </w:pPr>
    </w:p>
    <w:p>
      <w:pPr>
        <w:jc w:val="both"/>
        <w:ind w:left="500" w:hanging="492"/>
        <w:spacing w:after="0" w:line="259" w:lineRule="auto"/>
        <w:tabs>
          <w:tab w:leader="none" w:pos="4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operating lease ROU assets are included in other assets, net, on our condensed consolidated balance sheets. At March 31, 2021, the weighted average remaining lease term for operating leases was 12.6 years and the weighted average discount rate was 5.8%. During the three months ended March 31, 2021 and 2020, we recorded non-cash additions to our operating lease ROU assets (including amounts related to the U.K. JV Entities) of $32.9 million and $33.9 million, respectively.</w:t>
      </w:r>
    </w:p>
    <w:p>
      <w:pPr>
        <w:spacing w:after="0" w:line="213" w:lineRule="exact"/>
        <w:rPr>
          <w:rFonts w:ascii="Arial" w:cs="Arial" w:eastAsia="Arial" w:hAnsi="Arial"/>
          <w:sz w:val="18"/>
          <w:szCs w:val="18"/>
          <w:color w:val="auto"/>
        </w:rPr>
      </w:pPr>
    </w:p>
    <w:p>
      <w:pPr>
        <w:ind w:left="500" w:hanging="492"/>
        <w:spacing w:after="0" w:line="277" w:lineRule="auto"/>
        <w:tabs>
          <w:tab w:leader="none" w:pos="4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current and long-term portions of our finance lease liabilities are included within current portion of debt and finance lease liabilities and long-term debt and finance lease liabilities, respectively, on our condensed consolidated balance sheets.</w:t>
      </w:r>
    </w:p>
    <w:p>
      <w:pPr>
        <w:spacing w:after="0" w:line="197" w:lineRule="exact"/>
        <w:rPr>
          <w:rFonts w:ascii="Arial" w:cs="Arial" w:eastAsia="Arial" w:hAnsi="Arial"/>
          <w:sz w:val="18"/>
          <w:szCs w:val="18"/>
          <w:color w:val="auto"/>
        </w:rPr>
      </w:pPr>
    </w:p>
    <w:p>
      <w:pPr>
        <w:ind w:left="500" w:hanging="492"/>
        <w:spacing w:after="0" w:line="277" w:lineRule="auto"/>
        <w:tabs>
          <w:tab w:leader="none" w:pos="4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current and long-term portions of our operating lease liabilities are included within other accrued and current liabilities and other long-term liabilities, respectively,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aggregate lease expense is set forth below:</w:t>
      </w:r>
    </w:p>
    <w:p>
      <w:pPr>
        <w:spacing w:after="0" w:line="141"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color w:val="auto"/>
        </w:rPr>
        <w:t>Three months ended</w:t>
      </w:r>
    </w:p>
    <w:p>
      <w:pPr>
        <w:jc w:val="center"/>
        <w:ind w:left="87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r>
      <w:tr>
        <w:trPr>
          <w:trHeight w:val="206"/>
        </w:trPr>
        <w:tc>
          <w:tcPr>
            <w:tcW w:w="8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168"/>
        </w:trPr>
        <w:tc>
          <w:tcPr>
            <w:tcW w:w="8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expense:</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87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19.8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7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87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finance lease expense</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28.4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2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 (a)</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9"/>
        </w:trPr>
        <w:tc>
          <w:tcPr>
            <w:tcW w:w="8760" w:type="dxa"/>
            <w:vAlign w:val="bottom"/>
          </w:tcPr>
          <w:p>
            <w:pPr>
              <w:ind w:left="20"/>
              <w:spacing w:after="0"/>
              <w:rPr>
                <w:sz w:val="20"/>
                <w:szCs w:val="20"/>
                <w:color w:val="auto"/>
              </w:rPr>
            </w:pPr>
            <w:r>
              <w:rPr>
                <w:rFonts w:ascii="Arial" w:cs="Arial" w:eastAsia="Arial" w:hAnsi="Arial"/>
                <w:sz w:val="18"/>
                <w:szCs w:val="18"/>
                <w:color w:val="auto"/>
              </w:rPr>
              <w:t>Short-term lease expense (a)</w:t>
            </w: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 (b)</w:t>
            </w:r>
          </w:p>
        </w:tc>
        <w:tc>
          <w:tcPr>
            <w:tcW w:w="7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760" w:type="dxa"/>
            <w:vAlign w:val="bottom"/>
          </w:tcPr>
          <w:p>
            <w:pPr>
              <w:ind w:left="400"/>
              <w:spacing w:after="0"/>
              <w:rPr>
                <w:sz w:val="20"/>
                <w:szCs w:val="20"/>
                <w:color w:val="auto"/>
              </w:rPr>
            </w:pPr>
            <w:r>
              <w:rPr>
                <w:rFonts w:ascii="Arial" w:cs="Arial" w:eastAsia="Arial" w:hAnsi="Arial"/>
                <w:sz w:val="18"/>
                <w:szCs w:val="18"/>
                <w:color w:val="auto"/>
              </w:rPr>
              <w:t>Total lease expense</w:t>
            </w:r>
          </w:p>
        </w:tc>
        <w:tc>
          <w:tcPr>
            <w:tcW w:w="780" w:type="dxa"/>
            <w:vAlign w:val="bottom"/>
            <w:tcBorders>
              <w:bottom w:val="single" w:sz="8" w:color="auto"/>
            </w:tcBorders>
          </w:tcPr>
          <w:p>
            <w:pPr>
              <w:jc w:val="right"/>
              <w:ind w:right="59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96.7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r>
      <w:tr>
        <w:trPr>
          <w:trHeight w:val="21"/>
        </w:trPr>
        <w:tc>
          <w:tcPr>
            <w:tcW w:w="8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308" w:lineRule="auto"/>
        <w:tabs>
          <w:tab w:leader="none" w:pos="497"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operating lease expense and short-term lease expense are included in programming and other direct costs of services, other operating expenses, SG&amp;A expenses and impairment, restructuring and other operating items in our condensed consolidated statements of operations.</w:t>
      </w:r>
    </w:p>
    <w:p>
      <w:pPr>
        <w:spacing w:after="0" w:line="173" w:lineRule="exact"/>
        <w:rPr>
          <w:rFonts w:ascii="Arial" w:cs="Arial" w:eastAsia="Arial" w:hAnsi="Arial"/>
          <w:sz w:val="17"/>
          <w:szCs w:val="17"/>
          <w:color w:val="auto"/>
        </w:rPr>
      </w:pPr>
    </w:p>
    <w:p>
      <w:pPr>
        <w:jc w:val="both"/>
        <w:ind w:left="500" w:hanging="492"/>
        <w:spacing w:after="0" w:line="263" w:lineRule="auto"/>
        <w:tabs>
          <w:tab w:leader="none" w:pos="4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cash outflows from operating and finance leases is set forth below:</w:t>
      </w:r>
    </w:p>
    <w:p>
      <w:pPr>
        <w:spacing w:after="0" w:line="141"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Three months ended</w:t>
      </w:r>
    </w:p>
    <w:p>
      <w:pPr>
        <w:jc w:val="center"/>
        <w:ind w:left="85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06"/>
        </w:trPr>
        <w:tc>
          <w:tcPr>
            <w:tcW w:w="8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168"/>
        </w:trPr>
        <w:tc>
          <w:tcPr>
            <w:tcW w:w="8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8640" w:type="dxa"/>
            <w:vAlign w:val="bottom"/>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outflows from finance leases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8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cash outflows from finance leases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r>
      <w:tr>
        <w:trPr>
          <w:trHeight w:val="248"/>
        </w:trPr>
        <w:tc>
          <w:tcPr>
            <w:tcW w:w="8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outflows from operating and finance leases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Maturities of our operating and finance lease liabilities as of March 31, 2021 are presented below. Amounts represent U.S. dollar equivalents based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exchange rates:</w:t>
      </w:r>
    </w:p>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Operating leases</w:t>
            </w:r>
          </w:p>
        </w:tc>
        <w:tc>
          <w:tcPr>
            <w:tcW w:w="340" w:type="dxa"/>
            <w:vAlign w:val="bottom"/>
          </w:tcPr>
          <w:p>
            <w:pPr>
              <w:spacing w:after="0"/>
              <w:rPr>
                <w:sz w:val="16"/>
                <w:szCs w:val="16"/>
                <w:color w:val="auto"/>
              </w:rPr>
            </w:pPr>
          </w:p>
        </w:tc>
        <w:tc>
          <w:tcPr>
            <w:tcW w:w="980" w:type="dxa"/>
            <w:vAlign w:val="bottom"/>
          </w:tcPr>
          <w:p>
            <w:pPr>
              <w:jc w:val="right"/>
              <w:ind w:right="311"/>
              <w:spacing w:after="0"/>
              <w:rPr>
                <w:sz w:val="20"/>
                <w:szCs w:val="20"/>
                <w:color w:val="auto"/>
              </w:rPr>
            </w:pPr>
            <w:r>
              <w:rPr>
                <w:rFonts w:ascii="Arial" w:cs="Arial" w:eastAsia="Arial" w:hAnsi="Arial"/>
                <w:sz w:val="16"/>
                <w:szCs w:val="16"/>
                <w:b w:val="1"/>
                <w:bCs w:val="1"/>
                <w:color w:val="auto"/>
                <w:w w:val="92"/>
              </w:rPr>
              <w:t>Finance</w:t>
            </w:r>
          </w:p>
        </w:tc>
        <w:tc>
          <w:tcPr>
            <w:tcW w:w="0" w:type="dxa"/>
            <w:vAlign w:val="bottom"/>
          </w:tcPr>
          <w:p>
            <w:pPr>
              <w:spacing w:after="0"/>
              <w:rPr>
                <w:sz w:val="1"/>
                <w:szCs w:val="1"/>
                <w:color w:val="auto"/>
              </w:rPr>
            </w:pPr>
          </w:p>
        </w:tc>
      </w:tr>
      <w:tr>
        <w:trPr>
          <w:trHeight w:val="213"/>
        </w:trPr>
        <w:tc>
          <w:tcPr>
            <w:tcW w:w="8360" w:type="dxa"/>
            <w:vAlign w:val="bottom"/>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leases</w:t>
            </w:r>
          </w:p>
        </w:tc>
        <w:tc>
          <w:tcPr>
            <w:tcW w:w="0" w:type="dxa"/>
            <w:vAlign w:val="bottom"/>
          </w:tcPr>
          <w:p>
            <w:pPr>
              <w:spacing w:after="0"/>
              <w:rPr>
                <w:sz w:val="1"/>
                <w:szCs w:val="1"/>
                <w:color w:val="auto"/>
              </w:rPr>
            </w:pPr>
          </w:p>
        </w:tc>
      </w:tr>
      <w:tr>
        <w:trPr>
          <w:trHeight w:val="207"/>
        </w:trPr>
        <w:tc>
          <w:tcPr>
            <w:tcW w:w="8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20"/>
              <w:spacing w:after="0"/>
              <w:rPr>
                <w:sz w:val="20"/>
                <w:szCs w:val="20"/>
                <w:color w:val="auto"/>
              </w:rPr>
            </w:pPr>
            <w:r>
              <w:rPr>
                <w:rFonts w:ascii="Arial" w:cs="Arial" w:eastAsia="Arial" w:hAnsi="Arial"/>
                <w:sz w:val="18"/>
                <w:szCs w:val="18"/>
                <w:color w:val="auto"/>
              </w:rPr>
              <w:t>2021 (remainder of year)</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9"/>
        </w:trPr>
        <w:tc>
          <w:tcPr>
            <w:tcW w:w="8360" w:type="dxa"/>
            <w:vAlign w:val="bottom"/>
          </w:tcPr>
          <w:p>
            <w:pPr>
              <w:ind w:left="1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9"/>
        </w:trPr>
        <w:tc>
          <w:tcPr>
            <w:tcW w:w="8360" w:type="dxa"/>
            <w:vAlign w:val="bottom"/>
          </w:tcPr>
          <w:p>
            <w:pPr>
              <w:ind w:left="1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payments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discount</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Present value of lease payments</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Current portion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12"/>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80" w:hanging="472"/>
        <w:spacing w:after="0"/>
        <w:tabs>
          <w:tab w:leader="none" w:pos="4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ind w:firstLine="324"/>
        <w:spacing w:after="0" w:line="274" w:lineRule="auto"/>
        <w:rPr>
          <w:sz w:val="20"/>
          <w:szCs w:val="20"/>
          <w:color w:val="auto"/>
        </w:rPr>
      </w:pPr>
      <w:r>
        <w:rPr>
          <w:rFonts w:ascii="Arial" w:cs="Arial" w:eastAsia="Arial" w:hAnsi="Arial"/>
          <w:sz w:val="18"/>
          <w:szCs w:val="18"/>
          <w:color w:val="auto"/>
        </w:rPr>
        <w:t>Income tax expense attributable to our earnings before income taxes differs from the amounts computed using the applicable income tax rate as a result of the following factors:</w:t>
      </w:r>
    </w:p>
    <w:p>
      <w:pPr>
        <w:jc w:val="center"/>
        <w:ind w:left="8600"/>
        <w:spacing w:after="0" w:line="235" w:lineRule="auto"/>
        <w:rPr>
          <w:sz w:val="20"/>
          <w:szCs w:val="20"/>
          <w:color w:val="auto"/>
        </w:rPr>
      </w:pPr>
      <w:r>
        <w:rPr>
          <w:rFonts w:ascii="Arial" w:cs="Arial" w:eastAsia="Arial" w:hAnsi="Arial"/>
          <w:sz w:val="16"/>
          <w:szCs w:val="16"/>
          <w:b w:val="1"/>
          <w:bCs w:val="1"/>
          <w:color w:val="auto"/>
        </w:rPr>
        <w:t>Three months ended</w:t>
      </w: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r>
      <w:tr>
        <w:trPr>
          <w:trHeight w:val="206"/>
        </w:trPr>
        <w:tc>
          <w:tcPr>
            <w:tcW w:w="8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222"/>
        </w:trPr>
        <w:tc>
          <w:tcPr>
            <w:tcW w:w="8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tax expense (a)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Non-deductible or non-taxable foreign currency exchange results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153.6</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International rate differences (b)</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Recognition of previously unrecognized tax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Non-deductible or non-taxable interest and other items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associated with technology innovation (c)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Enacted tax law and rate changes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Basis and other differences in the treatment of items associated with investments in subsidiaries and affiliates (d)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8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income tax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57" w:lineRule="auto"/>
        <w:tabs>
          <w:tab w:leader="none" w:pos="49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statutory or “expected” tax rates are the U.K. rates of 19.0% for the 2021 period and 17.5% for the 2020 period. The statutory rate for the 2020 period represents the blended rate in effect for the year ended December 31, 2020 based on the 19.0% statutory rate that was in effect for the first quarter of 2020 and the 17.0% statutory rate that was expected to be in effect for the remainder of 2020. On July 22, 2020, legislation was enacted in the U.K. to maintain the corporate income tax rate at 19.0%, reversing previous legislation that had reduced the U.K. rate to 17.0% from April 1, 2020. The impact</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of this rate change on our deferred balances was recorded during the third quarter of 2020. In March 2021, it was announced that the U.K. corporate tax rate will increase to 25% from April 1, 2023. This U.K. rate change has yet to be enacted and the impact on our deferred tax balances will not be recorded until the quarter of enactment.</w:t>
      </w:r>
    </w:p>
    <w:p>
      <w:pPr>
        <w:spacing w:after="0" w:line="211" w:lineRule="exact"/>
        <w:rPr>
          <w:sz w:val="20"/>
          <w:szCs w:val="20"/>
          <w:color w:val="auto"/>
        </w:rPr>
      </w:pPr>
    </w:p>
    <w:p>
      <w:pPr>
        <w:ind w:left="500" w:hanging="492"/>
        <w:spacing w:after="0" w:line="277" w:lineRule="auto"/>
        <w:tabs>
          <w:tab w:leader="none" w:pos="4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reflect adjustments (either a benefit or expense) to the “expected” tax benefit (expense) for statutory rates in jurisdictions in which we operate outside of the U.K.</w:t>
      </w:r>
    </w:p>
    <w:p>
      <w:pPr>
        <w:spacing w:after="0" w:line="197" w:lineRule="exact"/>
        <w:rPr>
          <w:rFonts w:ascii="Arial" w:cs="Arial" w:eastAsia="Arial" w:hAnsi="Arial"/>
          <w:sz w:val="18"/>
          <w:szCs w:val="18"/>
          <w:color w:val="auto"/>
        </w:rPr>
      </w:pPr>
    </w:p>
    <w:p>
      <w:pPr>
        <w:ind w:left="500" w:hanging="492"/>
        <w:spacing w:after="0" w:line="277" w:lineRule="auto"/>
        <w:tabs>
          <w:tab w:leader="none" w:pos="49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reflects the recognition of the innovation income tax deduction in Belgium. The amount for the 2020 period includes the one-time effect of deductions related to prior periods.</w:t>
      </w:r>
    </w:p>
    <w:p>
      <w:pPr>
        <w:spacing w:after="0" w:line="197" w:lineRule="exact"/>
        <w:rPr>
          <w:rFonts w:ascii="Arial" w:cs="Arial" w:eastAsia="Arial" w:hAnsi="Arial"/>
          <w:sz w:val="18"/>
          <w:szCs w:val="18"/>
          <w:color w:val="auto"/>
        </w:rPr>
      </w:pPr>
    </w:p>
    <w:p>
      <w:pPr>
        <w:ind w:left="480" w:hanging="472"/>
        <w:spacing w:after="0"/>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amounts reflect the net impact of differences in the treatment of income and loss items between financial reporting and tax accounting related</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investments in subsidiaries and affiliates, including the effects of foreign earnings.</w:t>
      </w:r>
    </w:p>
    <w:p>
      <w:pPr>
        <w:spacing w:after="0" w:line="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2021, our unrecognized tax benefits of $573.4 million included $390.2 million of unrecognized tax benefits that would have a favorable impact on our effective income tax rate if ultimately recognized, after considering amounts that we would expect to be offset by valuation allowances and other factors.</w:t>
      </w:r>
    </w:p>
    <w:p>
      <w:pPr>
        <w:spacing w:after="0" w:line="2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next 12 months, it is reasonably possible that the resolution of ongoing examinations by tax authorities, as well as the expiration of statutes of limitation and other items, could result in reductions to our unrecognized tax benefits related to tax positions taken as of March 31, 2021. The amount of any such reductions could range up to $147.0 million, substantially all of which would not have a positive impact on our effective tax rate. Other than the potential impacts of these ongoing examinations and the expected expiration of certain statutes of limitation, we do not expect any material changes to our unrecognized tax benefits during the next 12 months. No assurance can be given as to the nature or impact of any changes in our unrecognized tax positions during the next 12 months.</w:t>
      </w:r>
    </w:p>
    <w:p>
      <w:pPr>
        <w:spacing w:after="0" w:line="2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of our subsidiaries are currently involved in income tax examinations in various jurisdictions in which we operate, including Belgium, the Netherlands, Poland, the U.K.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210" w:lineRule="exact"/>
        <w:rPr>
          <w:sz w:val="20"/>
          <w:szCs w:val="20"/>
          <w:color w:val="auto"/>
        </w:rPr>
      </w:pPr>
    </w:p>
    <w:p>
      <w:pPr>
        <w:ind w:left="480" w:hanging="472"/>
        <w:spacing w:after="0"/>
        <w:tabs>
          <w:tab w:leader="none" w:pos="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5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During the three months ended March 31, 2021, we repurchased (i) 666,600 shares of our class A ordinary shares at an average</w:t>
      </w:r>
      <w:r>
        <w:rPr>
          <w:rFonts w:ascii="Arial" w:cs="Arial" w:eastAsia="Arial" w:hAnsi="Arial"/>
          <w:sz w:val="16"/>
          <w:szCs w:val="16"/>
          <w:i w:val="1"/>
          <w:iCs w:val="1"/>
          <w:color w:val="auto"/>
        </w:rPr>
        <w:t xml:space="preserve"> </w:t>
      </w:r>
      <w:r>
        <w:rPr>
          <w:rFonts w:ascii="Arial" w:cs="Arial" w:eastAsia="Arial" w:hAnsi="Arial"/>
          <w:sz w:val="16"/>
          <w:szCs w:val="16"/>
          <w:color w:val="auto"/>
        </w:rPr>
        <w:t>price per share of $24.43 and (ii) 12,211,300 shares of our class C ordinary shares at an average price per share of $25.15, for an aggregate purchase price of $323.4 million, including direct acquisition costs. At March 31, 2021, the remaining amount authorized for share repurchases was $678.4 million.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80" w:hanging="472"/>
        <w:spacing w:after="0"/>
        <w:tabs>
          <w:tab w:leader="none" w:pos="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86"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color w:val="auto"/>
        </w:rPr>
        <w:t>Three months ended</w:t>
      </w:r>
    </w:p>
    <w:p>
      <w:pPr>
        <w:jc w:val="center"/>
        <w:ind w:left="87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6"/>
        </w:trPr>
        <w:tc>
          <w:tcPr>
            <w:tcW w:w="8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60" w:type="dxa"/>
            <w:vAlign w:val="bottom"/>
          </w:tcPr>
          <w:p>
            <w:pPr>
              <w:ind w:left="140"/>
              <w:spacing w:after="0"/>
              <w:rPr>
                <w:sz w:val="20"/>
                <w:szCs w:val="20"/>
                <w:color w:val="auto"/>
              </w:rPr>
            </w:pPr>
            <w:r>
              <w:rPr>
                <w:rFonts w:ascii="Arial" w:cs="Arial" w:eastAsia="Arial" w:hAnsi="Arial"/>
                <w:sz w:val="18"/>
                <w:szCs w:val="18"/>
                <w:color w:val="auto"/>
              </w:rPr>
              <w:t>Performance-based incentive awards (a)</w:t>
            </w: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24.0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Non-performance based incentive awards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8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(b)</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Liberty Global</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9"/>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7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8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8"/>
        </w:trPr>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8"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performance-based restricted share units (</w:t>
      </w:r>
      <w:r>
        <w:rPr>
          <w:rFonts w:ascii="Arial" w:cs="Arial" w:eastAsia="Arial" w:hAnsi="Arial"/>
          <w:sz w:val="18"/>
          <w:szCs w:val="18"/>
          <w:b w:val="1"/>
          <w:bCs w:val="1"/>
          <w:color w:val="auto"/>
        </w:rPr>
        <w:t>PSUs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left="500" w:hanging="492"/>
        <w:spacing w:after="0" w:line="259" w:lineRule="auto"/>
        <w:tabs>
          <w:tab w:leader="none" w:pos="49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210" w:lineRule="exact"/>
        <w:rPr>
          <w:sz w:val="20"/>
          <w:szCs w:val="20"/>
          <w:color w:val="auto"/>
        </w:rPr>
      </w:pPr>
    </w:p>
    <w:p>
      <w:pPr>
        <w:ind w:right="20" w:firstLine="324"/>
        <w:spacing w:after="0" w:line="312" w:lineRule="auto"/>
        <w:rPr>
          <w:sz w:val="20"/>
          <w:szCs w:val="20"/>
          <w:color w:val="auto"/>
        </w:rPr>
      </w:pPr>
      <w:r>
        <w:rPr>
          <w:rFonts w:ascii="Arial" w:cs="Arial" w:eastAsia="Arial" w:hAnsi="Arial"/>
          <w:sz w:val="17"/>
          <w:szCs w:val="17"/>
          <w:color w:val="auto"/>
        </w:rPr>
        <w:t>The following table provides the aggregate number of options, share appreciation rights (</w:t>
      </w:r>
      <w:r>
        <w:rPr>
          <w:rFonts w:ascii="Arial" w:cs="Arial" w:eastAsia="Arial" w:hAnsi="Arial"/>
          <w:sz w:val="17"/>
          <w:szCs w:val="17"/>
          <w:b w:val="1"/>
          <w:bCs w:val="1"/>
          <w:color w:val="auto"/>
        </w:rPr>
        <w:t>SARs</w:t>
      </w:r>
      <w:r>
        <w:rPr>
          <w:rFonts w:ascii="Arial" w:cs="Arial" w:eastAsia="Arial" w:hAnsi="Arial"/>
          <w:sz w:val="17"/>
          <w:szCs w:val="17"/>
          <w:color w:val="auto"/>
        </w:rPr>
        <w:t>) and performance-based share appreciation rights (</w:t>
      </w:r>
      <w:r>
        <w:rPr>
          <w:rFonts w:ascii="Arial" w:cs="Arial" w:eastAsia="Arial" w:hAnsi="Arial"/>
          <w:sz w:val="17"/>
          <w:szCs w:val="17"/>
          <w:b w:val="1"/>
          <w:bCs w:val="1"/>
          <w:color w:val="auto"/>
        </w:rPr>
        <w:t>PSARs</w:t>
      </w:r>
      <w:r>
        <w:rPr>
          <w:rFonts w:ascii="Arial" w:cs="Arial" w:eastAsia="Arial" w:hAnsi="Arial"/>
          <w:sz w:val="17"/>
          <w:szCs w:val="17"/>
          <w:color w:val="auto"/>
        </w:rPr>
        <w:t>) with respect to awards issued by Liberty Global that were (i) outstanding and (ii) exercisable as of March 31,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6"/>
                <w:szCs w:val="16"/>
                <w:b w:val="1"/>
                <w:bCs w:val="1"/>
                <w:color w:val="auto"/>
              </w:rPr>
              <w:t>Class A</w:t>
            </w:r>
          </w:p>
        </w:tc>
        <w:tc>
          <w:tcPr>
            <w:tcW w:w="10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59"/>
        </w:trPr>
        <w:tc>
          <w:tcPr>
            <w:tcW w:w="5340" w:type="dxa"/>
            <w:vAlign w:val="bottom"/>
          </w:tcPr>
          <w:p>
            <w:pPr>
              <w:spacing w:after="0"/>
              <w:rPr>
                <w:sz w:val="13"/>
                <w:szCs w:val="13"/>
                <w:color w:val="auto"/>
              </w:rPr>
            </w:pPr>
          </w:p>
        </w:tc>
        <w:tc>
          <w:tcPr>
            <w:tcW w:w="156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9"/>
              </w:rPr>
              <w:t>Gross number of</w:t>
            </w:r>
          </w:p>
        </w:tc>
        <w:tc>
          <w:tcPr>
            <w:tcW w:w="14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Weighted Average</w:t>
            </w:r>
          </w:p>
        </w:tc>
        <w:tc>
          <w:tcPr>
            <w:tcW w:w="156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9"/>
              </w:rPr>
              <w:t>Gross number of</w:t>
            </w: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Weighted Average</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15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shares underlying</w:t>
            </w:r>
          </w:p>
        </w:tc>
        <w:tc>
          <w:tcPr>
            <w:tcW w:w="1420" w:type="dxa"/>
            <w:vAlign w:val="bottom"/>
            <w:gridSpan w:val="3"/>
            <w:vMerge w:val="continue"/>
          </w:tcPr>
          <w:p>
            <w:pPr>
              <w:spacing w:after="0"/>
              <w:rPr>
                <w:sz w:val="14"/>
                <w:szCs w:val="14"/>
                <w:color w:val="auto"/>
              </w:rPr>
            </w:pPr>
          </w:p>
        </w:tc>
        <w:tc>
          <w:tcPr>
            <w:tcW w:w="15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shares underlying</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15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option, SAR and</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6"/>
              </w:rPr>
              <w:t>exercise or base</w:t>
            </w:r>
          </w:p>
        </w:tc>
        <w:tc>
          <w:tcPr>
            <w:tcW w:w="15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option, SAR and</w:t>
            </w:r>
          </w:p>
        </w:tc>
        <w:tc>
          <w:tcPr>
            <w:tcW w:w="100" w:type="dxa"/>
            <w:vAlign w:val="bottom"/>
          </w:tcPr>
          <w:p>
            <w:pPr>
              <w:spacing w:after="0"/>
              <w:rPr>
                <w:sz w:val="14"/>
                <w:szCs w:val="14"/>
                <w:color w:val="auto"/>
              </w:rPr>
            </w:pPr>
          </w:p>
        </w:tc>
        <w:tc>
          <w:tcPr>
            <w:tcW w:w="1220" w:type="dxa"/>
            <w:vAlign w:val="bottom"/>
          </w:tcPr>
          <w:p>
            <w:pPr>
              <w:jc w:val="right"/>
              <w:ind w:right="33"/>
              <w:spacing w:after="0" w:line="162" w:lineRule="exact"/>
              <w:rPr>
                <w:sz w:val="20"/>
                <w:szCs w:val="20"/>
                <w:color w:val="auto"/>
              </w:rPr>
            </w:pPr>
            <w:r>
              <w:rPr>
                <w:rFonts w:ascii="Arial" w:cs="Arial" w:eastAsia="Arial" w:hAnsi="Arial"/>
                <w:sz w:val="16"/>
                <w:szCs w:val="16"/>
                <w:b w:val="1"/>
                <w:bCs w:val="1"/>
                <w:color w:val="auto"/>
                <w:w w:val="86"/>
              </w:rPr>
              <w:t>exercise or base</w:t>
            </w:r>
          </w:p>
        </w:tc>
        <w:tc>
          <w:tcPr>
            <w:tcW w:w="0" w:type="dxa"/>
            <w:vAlign w:val="bottom"/>
          </w:tcPr>
          <w:p>
            <w:pPr>
              <w:spacing w:after="0"/>
              <w:rPr>
                <w:sz w:val="1"/>
                <w:szCs w:val="1"/>
                <w:color w:val="auto"/>
              </w:rPr>
            </w:pPr>
          </w:p>
        </w:tc>
      </w:tr>
      <w:tr>
        <w:trPr>
          <w:trHeight w:val="213"/>
        </w:trPr>
        <w:tc>
          <w:tcPr>
            <w:tcW w:w="534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PSAR awards (a)</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price</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PSAR awards (a)</w:t>
            </w:r>
          </w:p>
        </w:tc>
        <w:tc>
          <w:tcPr>
            <w:tcW w:w="100" w:type="dxa"/>
            <w:vAlign w:val="bottom"/>
          </w:tcPr>
          <w:p>
            <w:pPr>
              <w:spacing w:after="0"/>
              <w:rPr>
                <w:sz w:val="18"/>
                <w:szCs w:val="18"/>
                <w:color w:val="auto"/>
              </w:rPr>
            </w:pPr>
          </w:p>
        </w:tc>
        <w:tc>
          <w:tcPr>
            <w:tcW w:w="1220" w:type="dxa"/>
            <w:vAlign w:val="bottom"/>
          </w:tcPr>
          <w:p>
            <w:pPr>
              <w:jc w:val="right"/>
              <w:ind w:right="393"/>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145"/>
        </w:trPr>
        <w:tc>
          <w:tcPr>
            <w:tcW w:w="534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Liberty Global employees:</w:t>
            </w: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23,236,280</w:t>
            </w:r>
          </w:p>
        </w:tc>
        <w:tc>
          <w:tcPr>
            <w:tcW w:w="120" w:type="dxa"/>
            <w:vAlign w:val="bottom"/>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50,958,171</w:t>
            </w:r>
          </w:p>
        </w:tc>
        <w:tc>
          <w:tcPr>
            <w:tcW w:w="120" w:type="dxa"/>
            <w:vAlign w:val="bottom"/>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Exercisable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12,093,245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28,036,342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former Liberty Global employees (b):</w:t>
            </w: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1,413,040</w:t>
            </w:r>
          </w:p>
        </w:tc>
        <w:tc>
          <w:tcPr>
            <w:tcW w:w="120" w:type="dxa"/>
            <w:vAlign w:val="bottom"/>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3,140,085</w:t>
            </w:r>
          </w:p>
        </w:tc>
        <w:tc>
          <w:tcPr>
            <w:tcW w:w="120" w:type="dxa"/>
            <w:vAlign w:val="bottom"/>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Exercisable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1,396,581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3,107,117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500" w:hanging="492"/>
        <w:spacing w:after="0" w:line="301" w:lineRule="auto"/>
        <w:tabs>
          <w:tab w:leader="none" w:pos="497"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184" w:lineRule="exact"/>
        <w:rPr>
          <w:rFonts w:ascii="Arial" w:cs="Arial" w:eastAsia="Arial" w:hAnsi="Arial"/>
          <w:sz w:val="16"/>
          <w:szCs w:val="16"/>
          <w:color w:val="auto"/>
        </w:rPr>
      </w:pPr>
    </w:p>
    <w:p>
      <w:pPr>
        <w:jc w:val="both"/>
        <w:ind w:left="500" w:hanging="492"/>
        <w:spacing w:after="0" w:line="263" w:lineRule="auto"/>
        <w:tabs>
          <w:tab w:leader="none" w:pos="4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Although future exercises of these awards by former employees will not result in the recognition of share-based compensation expense, such exercises will increase the number of our outstanding ordinary shares.</w:t>
      </w:r>
    </w:p>
    <w:p>
      <w:pPr>
        <w:spacing w:after="0" w:line="207" w:lineRule="exact"/>
        <w:rPr>
          <w:sz w:val="20"/>
          <w:szCs w:val="20"/>
          <w:color w:val="auto"/>
        </w:rPr>
      </w:pPr>
    </w:p>
    <w:p>
      <w:pPr>
        <w:ind w:right="20" w:firstLine="324"/>
        <w:spacing w:after="0" w:line="312" w:lineRule="auto"/>
        <w:rPr>
          <w:sz w:val="20"/>
          <w:szCs w:val="20"/>
          <w:color w:val="auto"/>
        </w:rPr>
      </w:pPr>
      <w:r>
        <w:rPr>
          <w:rFonts w:ascii="Arial" w:cs="Arial" w:eastAsia="Arial" w:hAnsi="Arial"/>
          <w:sz w:val="17"/>
          <w:szCs w:val="17"/>
          <w:color w:val="auto"/>
        </w:rPr>
        <w:t>The following table provides the aggregate number of restricted share units (</w:t>
      </w:r>
      <w:r>
        <w:rPr>
          <w:rFonts w:ascii="Arial" w:cs="Arial" w:eastAsia="Arial" w:hAnsi="Arial"/>
          <w:sz w:val="17"/>
          <w:szCs w:val="17"/>
          <w:b w:val="1"/>
          <w:bCs w:val="1"/>
          <w:color w:val="auto"/>
        </w:rPr>
        <w:t>RSUs</w:t>
      </w:r>
      <w:r>
        <w:rPr>
          <w:rFonts w:ascii="Arial" w:cs="Arial" w:eastAsia="Arial" w:hAnsi="Arial"/>
          <w:sz w:val="17"/>
          <w:szCs w:val="17"/>
          <w:color w:val="auto"/>
        </w:rPr>
        <w:t>) and PSUs that were outstanding as of March 31, 2021. The number of shares to be issued on the vesting date of these awards will be reduced by the amount of the employee’s required income tax withholding.</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1460" w:type="dxa"/>
            <w:vAlign w:val="bottom"/>
            <w:gridSpan w:val="2"/>
          </w:tcPr>
          <w:p>
            <w:pPr>
              <w:ind w:left="400"/>
              <w:spacing w:after="0"/>
              <w:rPr>
                <w:sz w:val="20"/>
                <w:szCs w:val="20"/>
                <w:color w:val="auto"/>
              </w:rPr>
            </w:pPr>
            <w:r>
              <w:rPr>
                <w:rFonts w:ascii="Arial" w:cs="Arial" w:eastAsia="Arial" w:hAnsi="Arial"/>
                <w:sz w:val="16"/>
                <w:szCs w:val="16"/>
                <w:b w:val="1"/>
                <w:bCs w:val="1"/>
                <w:color w:val="auto"/>
              </w:rPr>
              <w:t>Class A</w:t>
            </w:r>
          </w:p>
        </w:tc>
        <w:tc>
          <w:tcPr>
            <w:tcW w:w="1420" w:type="dxa"/>
            <w:vAlign w:val="bottom"/>
            <w:gridSpan w:val="2"/>
          </w:tcPr>
          <w:p>
            <w:pPr>
              <w:ind w:left="380"/>
              <w:spacing w:after="0"/>
              <w:rPr>
                <w:sz w:val="20"/>
                <w:szCs w:val="20"/>
                <w:color w:val="auto"/>
              </w:rPr>
            </w:pPr>
            <w:r>
              <w:rPr>
                <w:rFonts w:ascii="Arial" w:cs="Arial" w:eastAsia="Arial" w:hAnsi="Arial"/>
                <w:sz w:val="16"/>
                <w:szCs w:val="16"/>
                <w:b w:val="1"/>
                <w:bCs w:val="1"/>
                <w:color w:val="auto"/>
              </w:rPr>
              <w:t>Class B</w:t>
            </w:r>
          </w:p>
        </w:tc>
        <w:tc>
          <w:tcPr>
            <w:tcW w:w="1320" w:type="dxa"/>
            <w:vAlign w:val="bottom"/>
          </w:tcPr>
          <w:p>
            <w:pPr>
              <w:jc w:val="right"/>
              <w:ind w:right="313"/>
              <w:spacing w:after="0"/>
              <w:rPr>
                <w:sz w:val="20"/>
                <w:szCs w:val="20"/>
                <w:color w:val="auto"/>
              </w:rPr>
            </w:pPr>
            <w:r>
              <w:rPr>
                <w:rFonts w:ascii="Arial" w:cs="Arial" w:eastAsia="Arial" w:hAnsi="Arial"/>
                <w:sz w:val="16"/>
                <w:szCs w:val="16"/>
                <w:b w:val="1"/>
                <w:bCs w:val="1"/>
                <w:color w:val="auto"/>
              </w:rPr>
              <w:t>Class C</w:t>
            </w:r>
          </w:p>
        </w:tc>
      </w:tr>
      <w:tr>
        <w:trPr>
          <w:trHeight w:val="145"/>
        </w:trPr>
        <w:tc>
          <w:tcPr>
            <w:tcW w:w="69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Held by Liberty Global employees:</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980" w:type="dxa"/>
            <w:vAlign w:val="bottom"/>
          </w:tcPr>
          <w:p>
            <w:pPr>
              <w:ind w:left="120"/>
              <w:spacing w:after="0"/>
              <w:rPr>
                <w:sz w:val="20"/>
                <w:szCs w:val="20"/>
                <w:color w:val="auto"/>
              </w:rPr>
            </w:pPr>
            <w:r>
              <w:rPr>
                <w:rFonts w:ascii="Arial" w:cs="Arial" w:eastAsia="Arial" w:hAnsi="Arial"/>
                <w:sz w:val="18"/>
                <w:szCs w:val="18"/>
                <w:color w:val="auto"/>
              </w:rPr>
              <w:t>RSUs</w:t>
            </w:r>
          </w:p>
        </w:tc>
        <w:tc>
          <w:tcPr>
            <w:tcW w:w="1340" w:type="dxa"/>
            <w:vAlign w:val="bottom"/>
          </w:tcPr>
          <w:p>
            <w:pPr>
              <w:jc w:val="right"/>
              <w:spacing w:after="0"/>
              <w:rPr>
                <w:sz w:val="20"/>
                <w:szCs w:val="20"/>
                <w:color w:val="auto"/>
              </w:rPr>
            </w:pPr>
            <w:r>
              <w:rPr>
                <w:rFonts w:ascii="Arial" w:cs="Arial" w:eastAsia="Arial" w:hAnsi="Arial"/>
                <w:sz w:val="18"/>
                <w:szCs w:val="18"/>
                <w:color w:val="auto"/>
              </w:rPr>
              <w:t>2,325,394</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4,653,691</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PSUs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1,761,952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3,523,923</w:t>
            </w:r>
          </w:p>
        </w:tc>
      </w:tr>
    </w:tbl>
    <w:p>
      <w:pPr>
        <w:spacing w:after="0" w:line="400" w:lineRule="exact"/>
        <w:rPr>
          <w:sz w:val="20"/>
          <w:szCs w:val="20"/>
          <w:color w:val="auto"/>
        </w:rPr>
      </w:pPr>
    </w:p>
    <w:p>
      <w:pPr>
        <w:ind w:left="480" w:hanging="472"/>
        <w:spacing w:after="0"/>
        <w:tabs>
          <w:tab w:leader="none" w:pos="4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or Loss per Share</w:t>
      </w:r>
    </w:p>
    <w:p>
      <w:pPr>
        <w:spacing w:after="0" w:line="25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(e.g., options, SARs, RSUs, PSARs and PSUs) as if they had been exercised, vested or converted at the beginning of the periods presented.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basic and diluted weighted average ordinary shares outstanding are set forth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2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9"/>
        </w:trPr>
        <w:tc>
          <w:tcPr>
            <w:tcW w:w="8320" w:type="dxa"/>
            <w:vAlign w:val="bottom"/>
          </w:tcPr>
          <w:p>
            <w:pPr>
              <w:spacing w:after="0"/>
              <w:rPr>
                <w:sz w:val="19"/>
                <w:szCs w:val="19"/>
                <w:color w:val="auto"/>
              </w:rPr>
            </w:pPr>
          </w:p>
        </w:tc>
        <w:tc>
          <w:tcPr>
            <w:tcW w:w="1880" w:type="dxa"/>
            <w:vAlign w:val="bottom"/>
            <w:tcBorders>
              <w:bottom w:val="single" w:sz="8" w:color="auto"/>
            </w:tcBorders>
            <w:gridSpan w:val="3"/>
          </w:tcPr>
          <w:p>
            <w:pPr>
              <w:jc w:val="center"/>
              <w:ind w:left="955"/>
              <w:spacing w:after="0"/>
              <w:rPr>
                <w:sz w:val="20"/>
                <w:szCs w:val="20"/>
                <w:color w:val="auto"/>
              </w:rPr>
            </w:pPr>
            <w:r>
              <w:rPr>
                <w:rFonts w:ascii="Arial" w:cs="Arial" w:eastAsia="Arial" w:hAnsi="Arial"/>
                <w:sz w:val="16"/>
                <w:szCs w:val="16"/>
                <w:b w:val="1"/>
                <w:bCs w:val="1"/>
                <w:color w:val="auto"/>
                <w:w w:val="97"/>
              </w:rPr>
              <w:t>March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18"/>
                <w:szCs w:val="18"/>
                <w:color w:val="auto"/>
              </w:rPr>
            </w:pPr>
          </w:p>
        </w:tc>
        <w:tc>
          <w:tcPr>
            <w:tcW w:w="14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45"/>
        </w:trPr>
        <w:tc>
          <w:tcPr>
            <w:tcW w:w="8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ordinary shares outstanding (basic EPS computation)</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575,114,550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630,472,769</w:t>
            </w:r>
          </w:p>
        </w:tc>
        <w:tc>
          <w:tcPr>
            <w:tcW w:w="0" w:type="dxa"/>
            <w:vAlign w:val="bottom"/>
          </w:tcPr>
          <w:p>
            <w:pPr>
              <w:spacing w:after="0"/>
              <w:rPr>
                <w:sz w:val="1"/>
                <w:szCs w:val="1"/>
                <w:color w:val="auto"/>
              </w:rPr>
            </w:pPr>
          </w:p>
        </w:tc>
      </w:tr>
      <w:tr>
        <w:trPr>
          <w:trHeight w:val="176"/>
        </w:trPr>
        <w:tc>
          <w:tcPr>
            <w:tcW w:w="8320" w:type="dxa"/>
            <w:vAlign w:val="bottom"/>
          </w:tcPr>
          <w:p>
            <w:pPr>
              <w:ind w:left="20"/>
              <w:spacing w:after="0" w:line="176" w:lineRule="exact"/>
              <w:rPr>
                <w:sz w:val="20"/>
                <w:szCs w:val="20"/>
                <w:color w:val="auto"/>
              </w:rPr>
            </w:pPr>
            <w:r>
              <w:rPr>
                <w:rFonts w:ascii="Arial" w:cs="Arial" w:eastAsia="Arial" w:hAnsi="Arial"/>
                <w:sz w:val="18"/>
                <w:szCs w:val="18"/>
                <w:color w:val="auto"/>
                <w:w w:val="90"/>
              </w:rPr>
              <w:t>Incremental shares attributable to the assumed exercise of outstanding options and SARs and the release of RSUs</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9,507,525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1,305,793</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and PSUs upon vesting (treasury stock method)</w:t>
            </w:r>
          </w:p>
        </w:tc>
        <w:tc>
          <w:tcPr>
            <w:tcW w:w="14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ordinary shares outstanding (diluted EPS computation)</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584,622,075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631,778,562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three months ended March 31, 2021 and 2020, a total of 51.6 million and 59.7 million options, SARs and RSUs, respectively, and 16.9 million and 22.2 million PSARs and PSUs, respectively, were excluded from the calculation of diluted earnings per share because their effect would have been anti-dilutive or, in the case of the PSARs and PSUs, because such awards had not yet met the applicable performance criteria.</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80" w:hanging="472"/>
        <w:spacing w:after="0"/>
        <w:tabs>
          <w:tab w:leader="none" w:pos="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normal course of business, we have entered into agreements that commit our company to make cash payments in future periods with respect to network and connectivity commitments, programming contracts, purchases of customer premises and other equipment and services and other items. The following table sets forth the U.S. dollar equivalents of such commitments as of March 31, 2021. Due to the held-for-sale presentation of the U.K. JV Entities at March 31, 2021, the contractual commitments of these entities have been shown separately in the table below. For information regarding the held-for-sale presentation of the U.K. JV Entities, see note 4. The commitments included in this table do not reflect any liabilities that are included on our March 31, 2021 condensed consolidated balance sheet.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Payments due during:</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Remainder</w:t>
            </w:r>
          </w:p>
        </w:tc>
        <w:tc>
          <w:tcPr>
            <w:tcW w:w="200" w:type="dxa"/>
            <w:vAlign w:val="bottom"/>
          </w:tcPr>
          <w:p>
            <w:pPr>
              <w:spacing w:after="0"/>
              <w:rPr>
                <w:sz w:val="23"/>
                <w:szCs w:val="23"/>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23"/>
                <w:szCs w:val="23"/>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6"/>
              </w:rPr>
              <w:t>of 2021</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5"/>
          </w:tcPr>
          <w:p>
            <w:pPr>
              <w:ind w:left="50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Network and connectivity</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1,172.2</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w:t>
            </w: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Programming commitments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commitments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U.K. JV Entities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Network and connectivity commitments include Telenet’s commitments for certain operating costs associated with its leased network.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Purchase commitments include unconditional and legally binding obligations related to (i) the purchase of customer premises and other equipment and (ii) certain service-related commitments, including call center, information technology and maintenance services.</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(including amounts related to the U.K. JV Entities) aggregated $499.7 million and $468.2 million during the three months ended March 31, 2021 and 2020, respectively.</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Programming costs include (i) agreements to distribute channels to our customers, (ii) exhibition rights of programming content and (iii) sports rights.</w:t>
      </w:r>
    </w:p>
    <w:p>
      <w:pPr>
        <w:spacing w:after="0" w:line="2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Channel Distribution Agreements</w:t>
      </w:r>
      <w:r>
        <w:rPr>
          <w:rFonts w:ascii="Arial" w:cs="Arial" w:eastAsia="Arial" w:hAnsi="Arial"/>
          <w:sz w:val="18"/>
          <w:szCs w:val="18"/>
          <w:color w:val="auto"/>
        </w:rPr>
        <w:t>. Our channel distribution agreements are generally multi-year contracts for which we are charged either (i)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rates based upon the number of subscribers or (ii) on a flat fee basis. Certain of our variable rate contracts require minimum guarantees. Programming costs under such arrangements are recorded in operating costs and expenses in our condensed consolidated statement of operations when the programming is available for viewing.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Exhibition Rights</w:t>
      </w:r>
      <w:r>
        <w:rPr>
          <w:rFonts w:ascii="Arial" w:cs="Arial" w:eastAsia="Arial" w:hAnsi="Arial"/>
          <w:sz w:val="18"/>
          <w:szCs w:val="18"/>
          <w:color w:val="auto"/>
        </w:rPr>
        <w:t>. Our agreements for exhibition rights are generally multi-year license agreements for which we are typically charged either (i)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revenue earned per program or (ii) a flat fee per program. The current and long-term portions of our exhibition rights acquired under licenses are recorded as other current assets and other assets, net, respectively, on our condensed consolidated balance sheet when the license period begins and the program is available for its first showing. Capitalized exhibition rights are amortized based on the projected future showings of the content using a straight-line or accelerated method of amortization, as appropriate. Exhibition rights are regularly reviewed for impairment and held at the lower of unamortized cost or estimated net realizable value.</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Sports Rights</w:t>
      </w:r>
      <w:r>
        <w:rPr>
          <w:rFonts w:ascii="Arial" w:cs="Arial" w:eastAsia="Arial" w:hAnsi="Arial"/>
          <w:sz w:val="18"/>
          <w:szCs w:val="18"/>
          <w:color w:val="auto"/>
        </w:rPr>
        <w:t>. Our sports rights agreements are generally multi-year contracts for which we are typically charged a flat fee per season. We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pay for sports rights in advance of the respective season. The current and long-term portions of any payments made in advance of the respective season are recorded as other current assets and other assets, net, respectively, on our condensed consolidated balance sheet and are amortized on a straight-line basis over the respective sporting season. Sports rights are regularly reviewed for impairment and held at the lower of unamortized cost or estimated net realizable value.</w:t>
      </w:r>
    </w:p>
    <w:p>
      <w:pPr>
        <w:spacing w:after="0" w:line="21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three months ended March 31, 2021 and 2020, see note 6.</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Interkabel Acquisition. </w:t>
      </w:r>
      <w:r>
        <w:rPr>
          <w:rFonts w:ascii="Arial" w:cs="Arial" w:eastAsia="Arial" w:hAnsi="Arial"/>
          <w:sz w:val="17"/>
          <w:szCs w:val="17"/>
          <w:color w:val="auto"/>
        </w:rPr>
        <w:t>On November 26, 2007, Telenet and four associations of municipalities in Belgium, which we refer to as the pure</w:t>
      </w:r>
      <w:r>
        <w:rPr>
          <w:rFonts w:ascii="Arial" w:cs="Arial" w:eastAsia="Arial" w:hAnsi="Arial"/>
          <w:sz w:val="17"/>
          <w:szCs w:val="17"/>
          <w:i w:val="1"/>
          <w:iCs w:val="1"/>
          <w:color w:val="auto"/>
        </w:rPr>
        <w:t xml:space="preserve"> </w:t>
      </w:r>
      <w:r>
        <w:rPr>
          <w:rFonts w:ascii="Arial" w:cs="Arial" w:eastAsia="Arial" w:hAnsi="Arial"/>
          <w:sz w:val="17"/>
          <w:szCs w:val="17"/>
          <w:color w:val="auto"/>
        </w:rPr>
        <w:t>intercommunales or the “</w:t>
      </w:r>
      <w:r>
        <w:rPr>
          <w:rFonts w:ascii="Arial" w:cs="Arial" w:eastAsia="Arial" w:hAnsi="Arial"/>
          <w:sz w:val="17"/>
          <w:szCs w:val="17"/>
          <w:b w:val="1"/>
          <w:bCs w:val="1"/>
          <w:color w:val="auto"/>
        </w:rPr>
        <w:t>PICs</w:t>
      </w:r>
      <w:r>
        <w:rPr>
          <w:rFonts w:ascii="Arial" w:cs="Arial" w:eastAsia="Arial" w:hAnsi="Arial"/>
          <w:sz w:val="17"/>
          <w:szCs w:val="17"/>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7"/>
          <w:szCs w:val="17"/>
          <w:b w:val="1"/>
          <w:bCs w:val="1"/>
          <w:color w:val="auto"/>
        </w:rPr>
        <w:t>2008 PICs Agreement</w:t>
      </w:r>
      <w:r>
        <w:rPr>
          <w:rFonts w:ascii="Arial" w:cs="Arial" w:eastAsia="Arial" w:hAnsi="Arial"/>
          <w:sz w:val="17"/>
          <w:szCs w:val="17"/>
          <w:color w:val="auto"/>
        </w:rPr>
        <w:t>), which closed effective October 1, 2008. Beginning in December 2007, Proximus NV/SA (</w:t>
      </w:r>
      <w:r>
        <w:rPr>
          <w:rFonts w:ascii="Arial" w:cs="Arial" w:eastAsia="Arial" w:hAnsi="Arial"/>
          <w:sz w:val="17"/>
          <w:szCs w:val="17"/>
          <w:b w:val="1"/>
          <w:bCs w:val="1"/>
          <w:color w:val="auto"/>
        </w:rPr>
        <w:t>Proximus</w:t>
      </w:r>
      <w:r>
        <w:rPr>
          <w:rFonts w:ascii="Arial" w:cs="Arial" w:eastAsia="Arial" w:hAnsi="Arial"/>
          <w:sz w:val="17"/>
          <w:szCs w:val="17"/>
          <w:color w:val="auto"/>
        </w:rPr>
        <w:t xml:space="preserve">),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Cour de Cassation (the </w:t>
      </w:r>
      <w:r>
        <w:rPr>
          <w:rFonts w:ascii="Arial" w:cs="Arial" w:eastAsia="Arial" w:hAnsi="Arial"/>
          <w:sz w:val="17"/>
          <w:szCs w:val="17"/>
          <w:b w:val="1"/>
          <w:bCs w:val="1"/>
          <w:color w:val="auto"/>
        </w:rPr>
        <w:t>Belgian Supreme Court</w:t>
      </w:r>
      <w:r>
        <w:rPr>
          <w:rFonts w:ascii="Arial" w:cs="Arial" w:eastAsia="Arial" w:hAnsi="Arial"/>
          <w:sz w:val="17"/>
          <w:szCs w:val="17"/>
          <w:color w:val="auto"/>
        </w:rPr>
        <w:t>), which confirmed the appeal judgment in September 2010. On April 6, 2009, the Court of First Instance of Antwerp ruled in favor of the PICs and Telenet in the civil procedure on the merits, dismissing Proximus’s request for the rescission of the agreement-in-principle and the 2008 PICs Agreement. On June 12, 2009, Proximus appealed this judgment with the Court of Appeal of Antwerp. In this appeal, Proximus is now also seeking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December 2017, the Court of Appeals of Antwerp issued a judgment rejecting Proximus’ claims. In June 2019, Proximus filed an appeal of the Court of Appeals of Antwerp’s judgment with the Belgian Supreme Court. In January 2021, the Belgian Supreme Court partially annulled the Court of Appeals of Antwerp’s judgment. The case will be referred to the Court of Appeals of Brussels, which will need to make a new decision on the matter within the boundaries of the annulment by the Belgian Supreme Court. A decision on the matter is likely to take several years. 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8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Telekom Deutschland Litigation. </w:t>
      </w:r>
      <w:r>
        <w:rPr>
          <w:rFonts w:ascii="Arial" w:cs="Arial" w:eastAsia="Arial" w:hAnsi="Arial"/>
          <w:sz w:val="16"/>
          <w:szCs w:val="16"/>
          <w:color w:val="auto"/>
        </w:rPr>
        <w:t>On December 28, 2012, Unitymedia GmbH (</w:t>
      </w:r>
      <w:r>
        <w:rPr>
          <w:rFonts w:ascii="Arial" w:cs="Arial" w:eastAsia="Arial" w:hAnsi="Arial"/>
          <w:sz w:val="16"/>
          <w:szCs w:val="16"/>
          <w:b w:val="1"/>
          <w:bCs w:val="1"/>
          <w:color w:val="auto"/>
        </w:rPr>
        <w:t>Unitymedia</w:t>
      </w:r>
      <w:r>
        <w:rPr>
          <w:rFonts w:ascii="Arial" w:cs="Arial" w:eastAsia="Arial" w:hAnsi="Arial"/>
          <w:sz w:val="16"/>
          <w:szCs w:val="16"/>
          <w:color w:val="auto"/>
        </w:rPr>
        <w:t>) filed a lawsuit against Telekom Deutschland GmbH</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Telekom Deutschland</w:t>
      </w:r>
      <w:r>
        <w:rPr>
          <w:rFonts w:ascii="Arial" w:cs="Arial" w:eastAsia="Arial" w:hAnsi="Arial"/>
          <w:sz w:val="16"/>
          <w:szCs w:val="16"/>
          <w:color w:val="auto"/>
        </w:rPr>
        <w:t xml:space="preserve">) in which Unitymedia asserts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is seeking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and did not grant permission to appeal further to the Federal Court of Justice. Unitymedia has filed a motion with the Federal Court of Justice to grant permission to appeal. The resolution of this matter may take several years and no assurance can be given that Unitymedia’s claims will be successful. In connection with our sale of our former operations in Germany, Romania, Hungary and the Czech Republic to Vodafone (the </w:t>
      </w:r>
      <w:r>
        <w:rPr>
          <w:rFonts w:ascii="Arial" w:cs="Arial" w:eastAsia="Arial" w:hAnsi="Arial"/>
          <w:sz w:val="16"/>
          <w:szCs w:val="16"/>
          <w:b w:val="1"/>
          <w:bCs w:val="1"/>
          <w:color w:val="auto"/>
        </w:rPr>
        <w:t>Vodafone Disposal Group)</w:t>
      </w:r>
      <w:r>
        <w:rPr>
          <w:rFonts w:ascii="Arial" w:cs="Arial" w:eastAsia="Arial" w:hAnsi="Arial"/>
          <w:sz w:val="16"/>
          <w:szCs w:val="16"/>
          <w:color w:val="auto"/>
        </w:rPr>
        <w:t>,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19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Belgium Regulatory Developments. </w:t>
      </w:r>
      <w:r>
        <w:rPr>
          <w:rFonts w:ascii="Arial" w:cs="Arial" w:eastAsia="Arial" w:hAnsi="Arial"/>
          <w:sz w:val="17"/>
          <w:szCs w:val="17"/>
          <w:color w:val="auto"/>
        </w:rPr>
        <w:t>In June 2018, the Belgisch Instituut voor Post en Telecommunicatie and the regional regulators for the media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sectors (together, the </w:t>
      </w:r>
      <w:r>
        <w:rPr>
          <w:rFonts w:ascii="Arial" w:cs="Arial" w:eastAsia="Arial" w:hAnsi="Arial"/>
          <w:sz w:val="17"/>
          <w:szCs w:val="17"/>
          <w:b w:val="1"/>
          <w:bCs w:val="1"/>
          <w:color w:val="auto"/>
        </w:rPr>
        <w:t>Belgium Regulatory Authorities</w:t>
      </w:r>
      <w:r>
        <w:rPr>
          <w:rFonts w:ascii="Arial" w:cs="Arial" w:eastAsia="Arial" w:hAnsi="Arial"/>
          <w:sz w:val="17"/>
          <w:szCs w:val="17"/>
          <w:color w:val="auto"/>
        </w:rPr>
        <w:t xml:space="preserve">) adopted a new decision finding that Telenet has significant market power in the wholesale broadband market (the </w:t>
      </w:r>
      <w:r>
        <w:rPr>
          <w:rFonts w:ascii="Arial" w:cs="Arial" w:eastAsia="Arial" w:hAnsi="Arial"/>
          <w:sz w:val="17"/>
          <w:szCs w:val="17"/>
          <w:b w:val="1"/>
          <w:bCs w:val="1"/>
          <w:color w:val="auto"/>
        </w:rPr>
        <w:t>2018 Decision</w:t>
      </w:r>
      <w:r>
        <w:rPr>
          <w:rFonts w:ascii="Arial" w:cs="Arial" w:eastAsia="Arial" w:hAnsi="Arial"/>
          <w:sz w:val="17"/>
          <w:szCs w:val="17"/>
          <w:color w:val="auto"/>
        </w:rPr>
        <w:t>).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imposed a 17% interim price reduction in monthly wholesale cable access prices. On May 26, 2020, the Belgium Regulatory Authorities adopted a final decision regarding the “reasonable access tariffs” to replace the interim prices, which represents an estimated decrease of 11.5%, as compared to the initial August 1, 2018 interim rates, and is applicable as of July 1, 2020. These rates are expected to evolve over time due to, among other reasons, broadband capacity usage.</w:t>
      </w:r>
    </w:p>
    <w:p>
      <w:pPr>
        <w:spacing w:after="0" w:line="20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2018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appealed the 2018 Decision, which was rejected in September 2019.</w:t>
      </w:r>
    </w:p>
    <w:p>
      <w:pPr>
        <w:spacing w:after="0" w:line="19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Virgin Media VAT Matters. </w:t>
      </w:r>
      <w:r>
        <w:rPr>
          <w:rFonts w:ascii="Arial" w:cs="Arial" w:eastAsia="Arial" w:hAnsi="Arial"/>
          <w:sz w:val="17"/>
          <w:szCs w:val="17"/>
          <w:color w:val="auto"/>
        </w:rPr>
        <w:t>Virgin Media’s application of VAT with respect to certain revenue generating activities has been challenged by the U.K. tax</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w:t>
      </w:r>
      <w:r>
        <w:rPr>
          <w:rFonts w:ascii="Arial" w:cs="Arial" w:eastAsia="Arial" w:hAnsi="Arial"/>
          <w:sz w:val="17"/>
          <w:szCs w:val="17"/>
          <w:b w:val="1"/>
          <w:bCs w:val="1"/>
          <w:color w:val="auto"/>
        </w:rPr>
        <w:t>HMRC</w:t>
      </w:r>
      <w:r>
        <w:rPr>
          <w:rFonts w:ascii="Arial" w:cs="Arial" w:eastAsia="Arial" w:hAnsi="Arial"/>
          <w:sz w:val="17"/>
          <w:szCs w:val="17"/>
          <w:color w:val="auto"/>
        </w:rPr>
        <w:t>). HMRC claimed that amounts charged to certain Virgin Media customers for payment handling services are subject to VAT, while Virgin Media took the position that such charges were exempt from VAT under existing law. At the time of HMRC’s initial challenge in 2009, Virgin Media remitted all related VAT amounts claimed by HMRC, and continued to make such VAT payments pending a ruling on Virgin Media’s appeal to the First Tier Tribunal. As the likelihood of loss was not considered probable and Virgin Media believed that the amounts paid would be recoverable, such amounts were recorded as a receivable on our consolidated balance sheet. In January 2020, the First Tier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Tribunal rejected our appeal and ruled in favor of HMRC. Accordingly, during the fourth quarter of 2019, we recorded a net provision for litigation of £41.3 million ($54.0 million at the applicable rate). Virgin Media has been granted permission to appeal the case to the Upper Tribunal, with the appeal being stayed pending the outcome of a related case. The timing of the final outcome of the litigation remains uncertain, although any further hearing on this matter is unlikely to occur before the third quarter of 2021.</w:t>
      </w:r>
    </w:p>
    <w:p>
      <w:pPr>
        <w:spacing w:after="0" w:line="2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UPC Austria Matter</w:t>
      </w:r>
      <w:r>
        <w:rPr>
          <w:rFonts w:ascii="Arial" w:cs="Arial" w:eastAsia="Arial" w:hAnsi="Arial"/>
          <w:sz w:val="17"/>
          <w:szCs w:val="17"/>
          <w:color w:val="auto"/>
        </w:rPr>
        <w:t>. On July 31 2018, we completed the sale of our Austrian operations, “</w:t>
      </w:r>
      <w:r>
        <w:rPr>
          <w:rFonts w:ascii="Arial" w:cs="Arial" w:eastAsia="Arial" w:hAnsi="Arial"/>
          <w:sz w:val="17"/>
          <w:szCs w:val="17"/>
          <w:b w:val="1"/>
          <w:bCs w:val="1"/>
          <w:color w:val="auto"/>
        </w:rPr>
        <w:t>UPC Austria</w:t>
      </w:r>
      <w:r>
        <w:rPr>
          <w:rFonts w:ascii="Arial" w:cs="Arial" w:eastAsia="Arial" w:hAnsi="Arial"/>
          <w:sz w:val="17"/>
          <w:szCs w:val="17"/>
          <w:color w:val="auto"/>
        </w:rPr>
        <w:t>,” to Deutsche Telekom AG (</w:t>
      </w:r>
      <w:r>
        <w:rPr>
          <w:rFonts w:ascii="Arial" w:cs="Arial" w:eastAsia="Arial" w:hAnsi="Arial"/>
          <w:sz w:val="17"/>
          <w:szCs w:val="17"/>
          <w:b w:val="1"/>
          <w:bCs w:val="1"/>
          <w:color w:val="auto"/>
        </w:rPr>
        <w:t>Deutsche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Telekom</w:t>
      </w:r>
      <w:r>
        <w:rPr>
          <w:rFonts w:ascii="Arial" w:cs="Arial" w:eastAsia="Arial" w:hAnsi="Arial"/>
          <w:sz w:val="17"/>
          <w:szCs w:val="17"/>
          <w:color w:val="auto"/>
        </w:rPr>
        <w:t>). In October of 2019, we received notification under the terms of the relevant acquisition agreements from Deutsche Telekom and its 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T-Mobile Austria Holding GmbH (together, the </w:t>
      </w:r>
      <w:r>
        <w:rPr>
          <w:rFonts w:ascii="Arial" w:cs="Arial" w:eastAsia="Arial" w:hAnsi="Arial"/>
          <w:sz w:val="17"/>
          <w:szCs w:val="17"/>
          <w:b w:val="1"/>
          <w:bCs w:val="1"/>
          <w:color w:val="auto"/>
        </w:rPr>
        <w:t>UPC Austria Sale Counterparties</w:t>
      </w:r>
      <w:r>
        <w:rPr>
          <w:rFonts w:ascii="Arial" w:cs="Arial" w:eastAsia="Arial" w:hAnsi="Arial"/>
          <w:sz w:val="17"/>
          <w:szCs w:val="17"/>
          <w:color w:val="auto"/>
        </w:rPr>
        <w:t>), asserting claims of €70.5 million ($82.8 million). The value of the amounts claimed by the UPC Austria Sale Counterparties has since increased to €106.2 million ($124.8 million). No amounts have been accrued by our company with respect to this matter as the likelihood of loss is not considered to be probable at this stage. We are unable to provide any meaningful estimate of a possible range of loss because, among other reasons, (i) we believe the assertions are unsupported and/or exaggerated and (ii) there are significant factual matters to be resolved. We intend to vigorously defend this matter.</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Contingency Matters. </w:t>
      </w:r>
      <w:r>
        <w:rPr>
          <w:rFonts w:ascii="Arial" w:cs="Arial" w:eastAsia="Arial" w:hAnsi="Arial"/>
          <w:sz w:val="18"/>
          <w:szCs w:val="18"/>
          <w:color w:val="auto"/>
        </w:rPr>
        <w:t>In connection with the dispositions of certain of our operations, we provided tax indemnities to the counterparties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tax liabilities that could arise from the period we owned the respective operations, subject to certain thresholds. While we have not received notification from the counterparties for indemnification, it is reasonably possible that we could, and the amounts involved could be significant. No amounts have been accrued by our company as the likelihood of any loss is not considered to be probable.</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Other Regulatory Matters. </w:t>
      </w:r>
      <w:r>
        <w:rPr>
          <w:rFonts w:ascii="Arial" w:cs="Arial" w:eastAsia="Arial" w:hAnsi="Arial"/>
          <w:sz w:val="17"/>
          <w:szCs w:val="17"/>
          <w:color w:val="auto"/>
        </w:rPr>
        <w:t>Video distribution, broadband internet, fixed-line telephony, mobile and content businesses are regulated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7"/>
          <w:szCs w:val="17"/>
          <w:b w:val="1"/>
          <w:bCs w:val="1"/>
          <w:color w:val="auto"/>
        </w:rPr>
        <w:t>E.U.</w:t>
      </w:r>
      <w:r>
        <w:rPr>
          <w:rFonts w:ascii="Arial" w:cs="Arial" w:eastAsia="Arial" w:hAnsi="Arial"/>
          <w:sz w:val="17"/>
          <w:szCs w:val="17"/>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2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Effective April 1, 2017, the rateable value of our existing network and other assets in the U.K. increased significantly. This increase affects the amount we pay for network infrastructure charges as the annual amount payable to the U.K. government is calculated by applying a percentage multiplier to the rateable value of assets. This change has significantly increased our network infrastructure charges and we expect further but declining increases to these charges through the first quarter of 2022. We continue to believe that these increases are excessive and retain the right of appeal should more favorable agreements be reached with other operators. The rateable value of our network and other assets in the U.K. remains subject to review by the U.K. government.</w:t>
      </w:r>
    </w:p>
    <w:p>
      <w:pPr>
        <w:spacing w:after="0" w:line="2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2019, the U.K. Office of Communications regulatory authority issued new regulatory requirements originating from the European Electronic Communications Code, that, effective from February 2020, obligate us to (i) alert customers who are approaching the end of a minimum contract term to the fact that their contract period is coming to an end and to set out the best new price that the provider can offer them and (ii) once a year, alert customers who are out of contract to that fact and again confirm the best new price the provider can offer them. In both cases, we must also set out the price available to new customers for an equivalent service offering. These new requirements adversely impacted our revenue in the U.K. during the first quarter of 2021 and we expect additional and potentially more significant adverse impacts on our operating results in the U.K. in future periods. For additional information, see </w:t>
      </w:r>
      <w:r>
        <w:rPr>
          <w:rFonts w:ascii="Arial" w:cs="Arial" w:eastAsia="Arial" w:hAnsi="Arial"/>
          <w:sz w:val="18"/>
          <w:szCs w:val="18"/>
          <w:i w:val="1"/>
          <w:iCs w:val="1"/>
          <w:color w:val="auto"/>
        </w:rPr>
        <w:t>Item 2. Management’s Discussion and Analysis of Financial Condition and Results of Operations - Discussion and Analysis of our Reportable</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w:t>
      </w:r>
    </w:p>
    <w:p>
      <w:pPr>
        <w:spacing w:after="0" w:line="2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188" w:lineRule="exact"/>
        <w:rPr>
          <w:sz w:val="20"/>
          <w:szCs w:val="20"/>
          <w:color w:val="auto"/>
        </w:rPr>
      </w:pPr>
    </w:p>
    <w:p>
      <w:pPr>
        <w:ind w:left="480" w:hanging="472"/>
        <w:spacing w:after="0"/>
        <w:tabs>
          <w:tab w:leader="none" w:pos="4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EBITDA (as defined below)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In addition, we review non-financial measures such as customer growth, as appropriate.</w:t>
      </w:r>
    </w:p>
    <w:p>
      <w:pPr>
        <w:spacing w:after="0" w:line="21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7"/>
          <w:szCs w:val="17"/>
          <w:b w:val="1"/>
          <w:bCs w:val="1"/>
          <w:color w:val="auto"/>
        </w:rPr>
        <w:t>Adjusted EBITDA</w:t>
      </w:r>
      <w:r>
        <w:rPr>
          <w:rFonts w:ascii="Arial" w:cs="Arial" w:eastAsia="Arial" w:hAnsi="Arial"/>
          <w:sz w:val="17"/>
          <w:szCs w:val="17"/>
          <w:color w:val="auto"/>
        </w:rPr>
        <w:t>” is defined as net earnings (loss) before net income tax benefit (expense), other non-operating income or expenses, net share of results of affiliates, net gains (losses) on extinguishment of debt, net realized and unrealized gains (losses) due to changes in fair value of certain investments and debt,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net earnings or loss to Adjusted EBITDA is presented below.</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our reportable segments are as follows: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w:t>
      </w:r>
    </w:p>
    <w:p>
      <w:pPr>
        <w:spacing w:after="0" w:line="12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U.K./Ireland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Central and Eastern Europe</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Nonconsolidated:</w:t>
      </w:r>
    </w:p>
    <w:p>
      <w:pPr>
        <w:spacing w:after="0" w:line="12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VodafoneZiggo JV</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broadband internet, video, fixed-line telephony and mobile services.</w:t>
      </w:r>
    </w:p>
    <w:p>
      <w:pPr>
        <w:spacing w:after="0" w:line="19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color w:val="auto"/>
        </w:rPr>
        <w:t>Our central and corporate functions (</w:t>
      </w:r>
      <w:r>
        <w:rPr>
          <w:rFonts w:ascii="Arial" w:cs="Arial" w:eastAsia="Arial" w:hAnsi="Arial"/>
          <w:sz w:val="17"/>
          <w:szCs w:val="17"/>
          <w:b w:val="1"/>
          <w:bCs w:val="1"/>
          <w:color w:val="auto"/>
        </w:rPr>
        <w:t>Central and Corporate</w:t>
      </w:r>
      <w:r>
        <w:rPr>
          <w:rFonts w:ascii="Arial" w:cs="Arial" w:eastAsia="Arial" w:hAnsi="Arial"/>
          <w:sz w:val="17"/>
          <w:szCs w:val="17"/>
          <w:color w:val="auto"/>
        </w:rPr>
        <w:t>) primarily include (i) services provided to the VodafoneZiggo JV and various third parties related to transitional service agreements, (ii) sales of customer premises equipment to the VodafoneZiggo JV and (iii) certain centralized functions, including billing systems, network operations, technology, marketing, facilities, finance and other administrative functions.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amounts presented below represent 100% of each of our reportable segment’s revenue and Adjusted EBITDA.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the VodafoneZiggo JV, we present 100% of its revenue and Adjusted EBITDA in the tables below. Our share of the VodafoneZiggo JV’s operating results is included in share of results of affiliates, net, in our condensed consolidated statements of operations.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6"/>
                <w:szCs w:val="16"/>
                <w:b w:val="1"/>
                <w:bCs w:val="1"/>
                <w:color w:val="auto"/>
                <w:w w:val="89"/>
              </w:rPr>
              <w:t>Revenue</w:t>
            </w:r>
          </w:p>
        </w:tc>
        <w:tc>
          <w:tcPr>
            <w:tcW w:w="940" w:type="dxa"/>
            <w:vAlign w:val="bottom"/>
            <w:tcBorders>
              <w:bottom w:val="single" w:sz="8" w:color="auto"/>
            </w:tcBorders>
          </w:tcPr>
          <w:p>
            <w:pPr>
              <w:spacing w:after="0"/>
              <w:rPr>
                <w:sz w:val="18"/>
                <w:szCs w:val="18"/>
                <w:color w:val="auto"/>
              </w:rPr>
            </w:pPr>
          </w:p>
        </w:tc>
      </w:tr>
      <w:tr>
        <w:trPr>
          <w:trHeight w:val="158"/>
        </w:trPr>
        <w:tc>
          <w:tcPr>
            <w:tcW w:w="8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4"/>
          </w:tcPr>
          <w:p>
            <w:pPr>
              <w:jc w:val="center"/>
              <w:ind w:right="211"/>
              <w:spacing w:after="0" w:line="158" w:lineRule="exact"/>
              <w:rPr>
                <w:sz w:val="20"/>
                <w:szCs w:val="20"/>
                <w:color w:val="auto"/>
              </w:rPr>
            </w:pPr>
            <w:r>
              <w:rPr>
                <w:rFonts w:ascii="Arial" w:cs="Arial" w:eastAsia="Arial" w:hAnsi="Arial"/>
                <w:sz w:val="16"/>
                <w:szCs w:val="16"/>
                <w:b w:val="1"/>
                <w:bCs w:val="1"/>
                <w:color w:val="auto"/>
                <w:w w:val="90"/>
              </w:rPr>
              <w:t>Three months ended</w:t>
            </w:r>
          </w:p>
        </w:tc>
      </w:tr>
      <w:tr>
        <w:trPr>
          <w:trHeight w:val="213"/>
        </w:trPr>
        <w:tc>
          <w:tcPr>
            <w:tcW w:w="8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6"/>
                <w:szCs w:val="16"/>
                <w:b w:val="1"/>
                <w:bCs w:val="1"/>
                <w:color w:val="auto"/>
                <w:w w:val="97"/>
              </w:rPr>
              <w:t>March 31,</w:t>
            </w:r>
          </w:p>
        </w:tc>
        <w:tc>
          <w:tcPr>
            <w:tcW w:w="940" w:type="dxa"/>
            <w:vAlign w:val="bottom"/>
            <w:tcBorders>
              <w:bottom w:val="single" w:sz="8" w:color="auto"/>
            </w:tcBorders>
          </w:tcPr>
          <w:p>
            <w:pPr>
              <w:spacing w:after="0"/>
              <w:rPr>
                <w:sz w:val="18"/>
                <w:szCs w:val="18"/>
                <w:color w:val="auto"/>
              </w:rPr>
            </w:pPr>
          </w:p>
        </w:tc>
      </w:tr>
      <w:tr>
        <w:trPr>
          <w:trHeight w:val="209"/>
        </w:trPr>
        <w:tc>
          <w:tcPr>
            <w:tcW w:w="8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r>
      <w:tr>
        <w:trPr>
          <w:trHeight w:val="207"/>
        </w:trPr>
        <w:tc>
          <w:tcPr>
            <w:tcW w:w="8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center"/>
              <w:ind w:left="534"/>
              <w:spacing w:after="0"/>
              <w:rPr>
                <w:sz w:val="20"/>
                <w:szCs w:val="20"/>
                <w:color w:val="auto"/>
              </w:rPr>
            </w:pPr>
            <w:r>
              <w:rPr>
                <w:rFonts w:ascii="Arial" w:cs="Arial" w:eastAsia="Arial" w:hAnsi="Arial"/>
                <w:sz w:val="16"/>
                <w:szCs w:val="16"/>
                <w:b w:val="1"/>
                <w:bCs w:val="1"/>
                <w:color w:val="auto"/>
                <w:w w:val="90"/>
              </w:rPr>
              <w:t>in millions</w:t>
            </w:r>
          </w:p>
        </w:tc>
        <w:tc>
          <w:tcPr>
            <w:tcW w:w="940" w:type="dxa"/>
            <w:vAlign w:val="bottom"/>
          </w:tcPr>
          <w:p>
            <w:pPr>
              <w:spacing w:after="0"/>
              <w:rPr>
                <w:sz w:val="17"/>
                <w:szCs w:val="17"/>
                <w:color w:val="auto"/>
              </w:rPr>
            </w:pPr>
          </w:p>
        </w:tc>
      </w:tr>
      <w:tr>
        <w:trPr>
          <w:trHeight w:val="114"/>
        </w:trPr>
        <w:tc>
          <w:tcPr>
            <w:tcW w:w="8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Belgium</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772.7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718.1</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119.1</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2,875.8</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33"/>
        </w:trPr>
        <w:tc>
          <w:tcPr>
            <w:tcW w:w="8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231"/>
              <w:spacing w:after="0"/>
              <w:rPr>
                <w:sz w:val="20"/>
                <w:szCs w:val="20"/>
                <w:color w:val="auto"/>
              </w:rPr>
            </w:pPr>
            <w:r>
              <w:rPr>
                <w:rFonts w:ascii="Arial" w:cs="Arial" w:eastAsia="Arial" w:hAnsi="Arial"/>
                <w:sz w:val="16"/>
                <w:szCs w:val="16"/>
                <w:b w:val="1"/>
                <w:bCs w:val="1"/>
                <w:color w:val="auto"/>
                <w:w w:val="96"/>
              </w:rPr>
              <w:t>Adjusted EBITDA</w:t>
            </w:r>
          </w:p>
        </w:tc>
      </w:tr>
      <w:tr>
        <w:trPr>
          <w:trHeight w:val="158"/>
        </w:trPr>
        <w:tc>
          <w:tcPr>
            <w:tcW w:w="8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4"/>
          </w:tcPr>
          <w:p>
            <w:pPr>
              <w:jc w:val="center"/>
              <w:ind w:right="211"/>
              <w:spacing w:after="0" w:line="158" w:lineRule="exact"/>
              <w:rPr>
                <w:sz w:val="20"/>
                <w:szCs w:val="20"/>
                <w:color w:val="auto"/>
              </w:rPr>
            </w:pPr>
            <w:r>
              <w:rPr>
                <w:rFonts w:ascii="Arial" w:cs="Arial" w:eastAsia="Arial" w:hAnsi="Arial"/>
                <w:sz w:val="16"/>
                <w:szCs w:val="16"/>
                <w:b w:val="1"/>
                <w:bCs w:val="1"/>
                <w:color w:val="auto"/>
                <w:w w:val="90"/>
              </w:rPr>
              <w:t>Three months ended</w:t>
            </w:r>
          </w:p>
        </w:tc>
      </w:tr>
      <w:tr>
        <w:trPr>
          <w:trHeight w:val="213"/>
        </w:trPr>
        <w:tc>
          <w:tcPr>
            <w:tcW w:w="8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6"/>
                <w:szCs w:val="16"/>
                <w:b w:val="1"/>
                <w:bCs w:val="1"/>
                <w:color w:val="auto"/>
                <w:w w:val="97"/>
              </w:rPr>
              <w:t>March 31,</w:t>
            </w:r>
          </w:p>
        </w:tc>
        <w:tc>
          <w:tcPr>
            <w:tcW w:w="940" w:type="dxa"/>
            <w:vAlign w:val="bottom"/>
            <w:tcBorders>
              <w:bottom w:val="single" w:sz="8" w:color="auto"/>
            </w:tcBorders>
          </w:tcPr>
          <w:p>
            <w:pPr>
              <w:spacing w:after="0"/>
              <w:rPr>
                <w:sz w:val="18"/>
                <w:szCs w:val="18"/>
                <w:color w:val="auto"/>
              </w:rPr>
            </w:pPr>
          </w:p>
        </w:tc>
      </w:tr>
      <w:tr>
        <w:trPr>
          <w:trHeight w:val="210"/>
        </w:trPr>
        <w:tc>
          <w:tcPr>
            <w:tcW w:w="8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r>
      <w:tr>
        <w:trPr>
          <w:trHeight w:val="207"/>
        </w:trPr>
        <w:tc>
          <w:tcPr>
            <w:tcW w:w="8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center"/>
              <w:ind w:left="534"/>
              <w:spacing w:after="0"/>
              <w:rPr>
                <w:sz w:val="20"/>
                <w:szCs w:val="20"/>
                <w:color w:val="auto"/>
              </w:rPr>
            </w:pPr>
            <w:r>
              <w:rPr>
                <w:rFonts w:ascii="Arial" w:cs="Arial" w:eastAsia="Arial" w:hAnsi="Arial"/>
                <w:sz w:val="16"/>
                <w:szCs w:val="16"/>
                <w:b w:val="1"/>
                <w:bCs w:val="1"/>
                <w:color w:val="auto"/>
                <w:w w:val="90"/>
              </w:rPr>
              <w:t>in millions</w:t>
            </w:r>
          </w:p>
        </w:tc>
        <w:tc>
          <w:tcPr>
            <w:tcW w:w="940" w:type="dxa"/>
            <w:vAlign w:val="bottom"/>
          </w:tcPr>
          <w:p>
            <w:pPr>
              <w:spacing w:after="0"/>
              <w:rPr>
                <w:sz w:val="17"/>
                <w:szCs w:val="17"/>
                <w:color w:val="auto"/>
              </w:rPr>
            </w:pPr>
          </w:p>
        </w:tc>
      </w:tr>
      <w:tr>
        <w:trPr>
          <w:trHeight w:val="114"/>
        </w:trPr>
        <w:tc>
          <w:tcPr>
            <w:tcW w:w="8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Belgium</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331.6</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3"/>
        </w:trPr>
        <w:tc>
          <w:tcPr>
            <w:tcW w:w="8400" w:type="dxa"/>
            <w:vAlign w:val="bottom"/>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1,150.3</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8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VodafoneZiggo JV</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502.8</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net earnings to Adjusted EBITDA:</w:t>
      </w:r>
    </w:p>
    <w:p>
      <w:pPr>
        <w:spacing w:after="0" w:line="141" w:lineRule="exact"/>
        <w:rPr>
          <w:sz w:val="20"/>
          <w:szCs w:val="20"/>
          <w:color w:val="auto"/>
        </w:rPr>
      </w:pPr>
    </w:p>
    <w:p>
      <w:pPr>
        <w:jc w:val="center"/>
        <w:ind w:left="8300"/>
        <w:spacing w:after="0"/>
        <w:rPr>
          <w:sz w:val="20"/>
          <w:szCs w:val="20"/>
          <w:color w:val="auto"/>
        </w:rPr>
      </w:pPr>
      <w:r>
        <w:rPr>
          <w:rFonts w:ascii="Arial" w:cs="Arial" w:eastAsia="Arial" w:hAnsi="Arial"/>
          <w:sz w:val="16"/>
          <w:szCs w:val="16"/>
          <w:b w:val="1"/>
          <w:bCs w:val="1"/>
          <w:color w:val="auto"/>
        </w:rPr>
        <w:t>Three months ended</w:t>
      </w:r>
    </w:p>
    <w:p>
      <w:pPr>
        <w:jc w:val="center"/>
        <w:ind w:left="83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206"/>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7"/>
                <w:szCs w:val="17"/>
                <w:color w:val="auto"/>
              </w:rPr>
            </w:pPr>
          </w:p>
        </w:tc>
      </w:tr>
      <w:tr>
        <w:trPr>
          <w:trHeight w:val="168"/>
        </w:trPr>
        <w:tc>
          <w:tcPr>
            <w:tcW w:w="8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1,017.7</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Share of results of affiliates,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debt extinguishment, net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w w:val="99"/>
              </w:rPr>
              <w:t>Realized and unrealized losses (gains) due to changes in fair values of certain investments and debt,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529.8</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transaction gains,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Realized and unrealized gains on derivative instruments,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(1,237.3)</w:t>
            </w: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r>
      <w:tr>
        <w:trPr>
          <w:trHeight w:val="223"/>
        </w:trPr>
        <w:tc>
          <w:tcPr>
            <w:tcW w:w="83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280.6</w:t>
            </w: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634.2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783.5</w:t>
            </w: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23"/>
        </w:trPr>
        <w:tc>
          <w:tcPr>
            <w:tcW w:w="8320" w:type="dxa"/>
            <w:vAlign w:val="bottom"/>
          </w:tcPr>
          <w:p>
            <w:pPr>
              <w:ind w:left="30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1,150.3</w:t>
            </w: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property and equipment additions of our reportable segments (including capital additions financed under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 respectively.</w:t>
      </w:r>
    </w:p>
    <w:p>
      <w:pPr>
        <w:spacing w:after="0" w:line="64" w:lineRule="exact"/>
        <w:rPr>
          <w:sz w:val="20"/>
          <w:szCs w:val="20"/>
          <w:color w:val="auto"/>
        </w:rPr>
      </w:pPr>
    </w:p>
    <w:p>
      <w:pPr>
        <w:jc w:val="center"/>
        <w:ind w:left="8300"/>
        <w:spacing w:after="0"/>
        <w:rPr>
          <w:sz w:val="20"/>
          <w:szCs w:val="20"/>
          <w:color w:val="auto"/>
        </w:rPr>
      </w:pPr>
      <w:r>
        <w:rPr>
          <w:rFonts w:ascii="Arial" w:cs="Arial" w:eastAsia="Arial" w:hAnsi="Arial"/>
          <w:sz w:val="16"/>
          <w:szCs w:val="16"/>
          <w:b w:val="1"/>
          <w:bCs w:val="1"/>
          <w:color w:val="auto"/>
        </w:rPr>
        <w:t>Three months ended</w:t>
      </w:r>
    </w:p>
    <w:p>
      <w:pPr>
        <w:jc w:val="center"/>
        <w:ind w:left="83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6"/>
        </w:trPr>
        <w:tc>
          <w:tcPr>
            <w:tcW w:w="52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3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Belgium</w:t>
            </w:r>
          </w:p>
        </w:tc>
        <w:tc>
          <w:tcPr>
            <w:tcW w:w="3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3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3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 (a)</w:t>
            </w:r>
          </w:p>
        </w:tc>
        <w:tc>
          <w:tcPr>
            <w:tcW w:w="30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property and equipment additions</w:t>
            </w:r>
          </w:p>
        </w:tc>
        <w:tc>
          <w:tcPr>
            <w:tcW w:w="3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746.6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654.4</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Assets acquired under capital-related vendor financing arrangements</w:t>
            </w:r>
          </w:p>
        </w:tc>
        <w:tc>
          <w:tcPr>
            <w:tcW w:w="3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Assets acquired under finance leases</w:t>
            </w:r>
          </w:p>
        </w:tc>
        <w:tc>
          <w:tcPr>
            <w:tcW w:w="3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30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23"/>
        </w:trPr>
        <w:tc>
          <w:tcPr>
            <w:tcW w:w="5260" w:type="dxa"/>
            <w:vAlign w:val="bottom"/>
          </w:tcPr>
          <w:p>
            <w:pPr>
              <w:ind w:left="220"/>
              <w:spacing w:after="0"/>
              <w:rPr>
                <w:sz w:val="20"/>
                <w:szCs w:val="20"/>
                <w:color w:val="auto"/>
              </w:rPr>
            </w:pPr>
            <w:r>
              <w:rPr>
                <w:rFonts w:ascii="Arial" w:cs="Arial" w:eastAsia="Arial" w:hAnsi="Arial"/>
                <w:sz w:val="18"/>
                <w:szCs w:val="18"/>
                <w:color w:val="auto"/>
              </w:rPr>
              <w:t>Total capital expenditures, net</w:t>
            </w:r>
          </w:p>
        </w:tc>
        <w:tc>
          <w:tcPr>
            <w:tcW w:w="30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Property and equipment additions - VodafoneZiggo JV</w:t>
            </w:r>
          </w:p>
        </w:tc>
        <w:tc>
          <w:tcPr>
            <w:tcW w:w="3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234.5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3060" w:type="dxa"/>
            <w:vAlign w:val="bottom"/>
            <w:vMerge w:val="restart"/>
          </w:tcPr>
          <w:p>
            <w:pPr>
              <w:jc w:val="right"/>
              <w:ind w:right="2510"/>
              <w:spacing w:after="0"/>
              <w:rPr>
                <w:sz w:val="20"/>
                <w:szCs w:val="20"/>
                <w:color w:val="auto"/>
              </w:rPr>
            </w:pPr>
            <w:r>
              <w:rPr>
                <w:rFonts w:ascii="Arial" w:cs="Arial" w:eastAsia="Arial" w:hAnsi="Arial"/>
                <w:sz w:val="18"/>
                <w:szCs w:val="18"/>
                <w:color w:val="auto"/>
              </w:rPr>
              <w:t>41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right="20" w:hanging="492"/>
        <w:spacing w:after="0" w:line="277" w:lineRule="auto"/>
        <w:tabs>
          <w:tab w:leader="none" w:pos="4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(i) property and equipment additions representing centrally-owned assets that benefit our operating segments and (ii) the net impact of certain centrally-procured network equipment that is ultimately transferred to our operating segments.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41" w:lineRule="exact"/>
        <w:rPr>
          <w:sz w:val="20"/>
          <w:szCs w:val="20"/>
          <w:color w:val="auto"/>
        </w:rPr>
      </w:pPr>
    </w:p>
    <w:p>
      <w:pPr>
        <w:jc w:val="center"/>
        <w:ind w:left="8300"/>
        <w:spacing w:after="0"/>
        <w:rPr>
          <w:sz w:val="20"/>
          <w:szCs w:val="20"/>
          <w:color w:val="auto"/>
        </w:rPr>
      </w:pPr>
      <w:r>
        <w:rPr>
          <w:rFonts w:ascii="Arial" w:cs="Arial" w:eastAsia="Arial" w:hAnsi="Arial"/>
          <w:sz w:val="16"/>
          <w:szCs w:val="16"/>
          <w:b w:val="1"/>
          <w:bCs w:val="1"/>
          <w:color w:val="auto"/>
        </w:rPr>
        <w:t>Three months ended</w:t>
      </w:r>
    </w:p>
    <w:p>
      <w:pPr>
        <w:jc w:val="center"/>
        <w:ind w:left="83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206"/>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7"/>
                <w:szCs w:val="17"/>
                <w:color w:val="auto"/>
              </w:rPr>
            </w:pPr>
          </w:p>
        </w:tc>
      </w:tr>
      <w:tr>
        <w:trPr>
          <w:trHeight w:val="60"/>
        </w:trPr>
        <w:tc>
          <w:tcPr>
            <w:tcW w:w="8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Residential cable revenue (a):</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Broadband internet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926.8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796.8</w:t>
            </w: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Video</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w:t>
            </w:r>
          </w:p>
        </w:tc>
      </w:tr>
      <w:tr>
        <w:trPr>
          <w:trHeight w:val="229"/>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Fixed-line telephony</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w:t>
            </w:r>
          </w:p>
        </w:tc>
      </w:tr>
      <w:tr>
        <w:trPr>
          <w:trHeight w:val="223"/>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subscription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1,818.1</w:t>
            </w:r>
          </w:p>
        </w:tc>
      </w:tr>
      <w:tr>
        <w:trPr>
          <w:trHeight w:val="229"/>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r>
      <w:tr>
        <w:trPr>
          <w:trHeight w:val="223"/>
        </w:trPr>
        <w:tc>
          <w:tcPr>
            <w:tcW w:w="8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residential cable revenue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1,871.1</w:t>
            </w:r>
          </w:p>
        </w:tc>
      </w:tr>
      <w:tr>
        <w:trPr>
          <w:trHeight w:val="210"/>
        </w:trPr>
        <w:tc>
          <w:tcPr>
            <w:tcW w:w="8320" w:type="dxa"/>
            <w:vAlign w:val="bottom"/>
          </w:tcPr>
          <w:p>
            <w:pPr>
              <w:ind w:left="140"/>
              <w:spacing w:after="0"/>
              <w:rPr>
                <w:sz w:val="20"/>
                <w:szCs w:val="20"/>
                <w:color w:val="auto"/>
              </w:rPr>
            </w:pPr>
            <w:r>
              <w:rPr>
                <w:rFonts w:ascii="Arial" w:cs="Arial" w:eastAsia="Arial" w:hAnsi="Arial"/>
                <w:sz w:val="18"/>
                <w:szCs w:val="18"/>
                <w:color w:val="auto"/>
              </w:rPr>
              <w:t>Residential mobile revenue (c):</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r>
      <w:tr>
        <w:trPr>
          <w:trHeight w:val="230"/>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r>
      <w:tr>
        <w:trPr>
          <w:trHeight w:val="223"/>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residential mobile revenue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w:t>
            </w:r>
          </w:p>
        </w:tc>
      </w:tr>
      <w:tr>
        <w:trPr>
          <w:trHeight w:val="223"/>
        </w:trPr>
        <w:tc>
          <w:tcPr>
            <w:tcW w:w="83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residential revenue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2,252.3</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B2B revenue (d):</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r>
      <w:tr>
        <w:trPr>
          <w:trHeight w:val="223"/>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B2B revenue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474.1</w:t>
            </w: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 (e)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r>
      <w:tr>
        <w:trPr>
          <w:trHeight w:val="223"/>
        </w:trPr>
        <w:tc>
          <w:tcPr>
            <w:tcW w:w="8320" w:type="dxa"/>
            <w:vAlign w:val="bottom"/>
          </w:tcPr>
          <w:p>
            <w:pPr>
              <w:ind w:left="4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2,875.8</w:t>
            </w: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63" w:lineRule="auto"/>
        <w:tabs>
          <w:tab w:leader="none" w:pos="4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210" w:lineRule="exact"/>
        <w:rPr>
          <w:rFonts w:ascii="Arial" w:cs="Arial" w:eastAsia="Arial" w:hAnsi="Arial"/>
          <w:sz w:val="18"/>
          <w:szCs w:val="18"/>
          <w:color w:val="auto"/>
        </w:rPr>
      </w:pPr>
    </w:p>
    <w:p>
      <w:pPr>
        <w:jc w:val="both"/>
        <w:ind w:left="500" w:hanging="492"/>
        <w:spacing w:after="0" w:line="286" w:lineRule="auto"/>
        <w:tabs>
          <w:tab w:leader="none" w:pos="494"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92" w:lineRule="exact"/>
        <w:rPr>
          <w:rFonts w:ascii="Arial" w:cs="Arial" w:eastAsia="Arial" w:hAnsi="Arial"/>
          <w:sz w:val="17"/>
          <w:szCs w:val="17"/>
          <w:color w:val="auto"/>
        </w:rPr>
      </w:pPr>
    </w:p>
    <w:p>
      <w:pPr>
        <w:ind w:left="500" w:hanging="492"/>
        <w:spacing w:after="0" w:line="308" w:lineRule="auto"/>
        <w:tabs>
          <w:tab w:leader="none" w:pos="497"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500" w:hanging="492"/>
        <w:spacing w:after="0" w:line="258" w:lineRule="auto"/>
        <w:tabs>
          <w:tab w:leader="none" w:pos="4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B2B subscription revenue represents revenue from services to certain small or home office (</w:t>
      </w:r>
      <w:r>
        <w:rPr>
          <w:rFonts w:ascii="Arial" w:cs="Arial" w:eastAsia="Arial" w:hAnsi="Arial"/>
          <w:sz w:val="18"/>
          <w:szCs w:val="18"/>
          <w:b w:val="1"/>
          <w:bCs w:val="1"/>
          <w:color w:val="auto"/>
        </w:rPr>
        <w:t>SOHO</w:t>
      </w:r>
      <w:r>
        <w:rPr>
          <w:rFonts w:ascii="Arial" w:cs="Arial" w:eastAsia="Arial" w:hAnsi="Arial"/>
          <w:sz w:val="18"/>
          <w:szCs w:val="18"/>
          <w:color w:val="auto"/>
        </w:rPr>
        <w:t>) subscribers.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(i) revenue from business broadband internet, video, fixed-line telephony, mobile and data services offered to medium to large enterprises and, on a wholesale basis, to other operators and (ii) revenue from long-term leases of portions of our network.</w:t>
      </w:r>
    </w:p>
    <w:p>
      <w:pPr>
        <w:spacing w:after="0" w:line="214" w:lineRule="exact"/>
        <w:rPr>
          <w:rFonts w:ascii="Arial" w:cs="Arial" w:eastAsia="Arial" w:hAnsi="Arial"/>
          <w:sz w:val="18"/>
          <w:szCs w:val="18"/>
          <w:color w:val="auto"/>
        </w:rPr>
      </w:pPr>
    </w:p>
    <w:p>
      <w:pPr>
        <w:jc w:val="both"/>
        <w:ind w:left="500" w:hanging="492"/>
        <w:spacing w:after="0" w:line="263" w:lineRule="auto"/>
        <w:tabs>
          <w:tab w:leader="none" w:pos="497"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revenue includes, among other items, (i) broadcasting revenue in Belgium and Ireland, (ii) revenue earned from the JV Services and the sale of customer premises equipment to the VodafoneZiggo JV and (iii) revenue earned from transitional and other services provided to various third parties.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41" w:lineRule="exact"/>
        <w:rPr>
          <w:sz w:val="20"/>
          <w:szCs w:val="20"/>
          <w:color w:val="auto"/>
        </w:rPr>
      </w:pPr>
    </w:p>
    <w:p>
      <w:pPr>
        <w:jc w:val="center"/>
        <w:ind w:left="8300"/>
        <w:spacing w:after="0"/>
        <w:rPr>
          <w:sz w:val="20"/>
          <w:szCs w:val="20"/>
          <w:color w:val="auto"/>
        </w:rPr>
      </w:pPr>
      <w:r>
        <w:rPr>
          <w:rFonts w:ascii="Arial" w:cs="Arial" w:eastAsia="Arial" w:hAnsi="Arial"/>
          <w:sz w:val="16"/>
          <w:szCs w:val="16"/>
          <w:b w:val="1"/>
          <w:bCs w:val="1"/>
          <w:color w:val="auto"/>
        </w:rPr>
        <w:t>Three months ended</w:t>
      </w:r>
    </w:p>
    <w:p>
      <w:pPr>
        <w:jc w:val="center"/>
        <w:ind w:left="83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206"/>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7"/>
                <w:szCs w:val="17"/>
                <w:color w:val="auto"/>
              </w:rPr>
            </w:pPr>
          </w:p>
        </w:tc>
      </w:tr>
      <w:tr>
        <w:trPr>
          <w:trHeight w:val="154"/>
        </w:trPr>
        <w:tc>
          <w:tcPr>
            <w:tcW w:w="8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1,496.4</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Belgium</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772.7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718.1</w:t>
            </w: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Ireland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124.2</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Poland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Slovakia</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including intersegment eliminations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23"/>
        </w:trPr>
        <w:tc>
          <w:tcPr>
            <w:tcW w:w="8320" w:type="dxa"/>
            <w:vAlign w:val="bottom"/>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2,875.8</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VodafoneZiggo JV (the Netherlands)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1,097.1</w:t>
            </w:r>
          </w:p>
        </w:tc>
      </w:tr>
      <w:tr>
        <w:trPr>
          <w:trHeight w:val="21"/>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discussion and analysis, which should be read in conjunction with our condensed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211" w:lineRule="exact"/>
        <w:rPr>
          <w:sz w:val="20"/>
          <w:szCs w:val="20"/>
          <w:color w:val="auto"/>
        </w:rPr>
      </w:pPr>
    </w:p>
    <w:p>
      <w:pPr>
        <w:ind w:left="660" w:right="2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This section provides a description of certain factors that could cause actual results or events to differ materially</w:t>
      </w:r>
      <w:r>
        <w:rPr>
          <w:rFonts w:ascii="Arial" w:cs="Arial" w:eastAsia="Arial" w:hAnsi="Arial"/>
          <w:sz w:val="18"/>
          <w:szCs w:val="18"/>
          <w:i w:val="1"/>
          <w:iCs w:val="1"/>
          <w:color w:val="auto"/>
        </w:rPr>
        <w:t xml:space="preserve"> </w:t>
      </w:r>
      <w:r>
        <w:rPr>
          <w:rFonts w:ascii="Arial" w:cs="Arial" w:eastAsia="Arial" w:hAnsi="Arial"/>
          <w:sz w:val="18"/>
          <w:szCs w:val="18"/>
          <w:color w:val="auto"/>
        </w:rPr>
        <w:t>from anticipated results or events.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Results of Operations. </w:t>
      </w:r>
      <w:r>
        <w:rPr>
          <w:rFonts w:ascii="Arial" w:cs="Arial" w:eastAsia="Arial" w:hAnsi="Arial"/>
          <w:sz w:val="18"/>
          <w:szCs w:val="18"/>
          <w:color w:val="auto"/>
        </w:rPr>
        <w:t>This section provides an analysis of our results of operations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Financial Condition. </w:t>
      </w:r>
      <w:r>
        <w:rPr>
          <w:rFonts w:ascii="Arial" w:cs="Arial" w:eastAsia="Arial" w:hAnsi="Arial"/>
          <w:sz w:val="18"/>
          <w:szCs w:val="18"/>
          <w:color w:val="auto"/>
        </w:rPr>
        <w:t>This section provides an analysis of our corporate and subsidiary liquidity,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 and contractual commitments.</w:t>
      </w:r>
    </w:p>
    <w:p>
      <w:pPr>
        <w:spacing w:after="0" w:line="19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March 31,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Arial" w:cs="Arial" w:eastAsia="Arial" w:hAnsi="Arial"/>
          <w:sz w:val="16"/>
          <w:szCs w:val="16"/>
          <w:i w:val="1"/>
          <w:iCs w:val="1"/>
          <w:color w:val="auto"/>
        </w:rPr>
        <w:t>Part I, Item 2. Management’s Discussion and Analysis of Financial Condition and Results of Operations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Part I, Item 3. Quantitative and Qualitative Disclosures About Market Risk </w:t>
      </w:r>
      <w:r>
        <w:rPr>
          <w:rFonts w:ascii="Arial" w:cs="Arial" w:eastAsia="Arial" w:hAnsi="Arial"/>
          <w:sz w:val="16"/>
          <w:szCs w:val="16"/>
          <w:color w:val="auto"/>
        </w:rPr>
        <w:t>may contain forward-looking statements, including statements regarding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product, foreign currency and finance strategies, our property and equipment additions (including with respect to the Network Extensions, as defined below), subscriber growth and retention rates, competitive, regulatory and economic factors, the timing and impacts of proposed transactions, the maturity of our markets, the potential impact of COVID-19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our 10-K, as well as the following list of some but not all of the factors that could cause actual results or events to differ materially from anticipated results or events:</w:t>
      </w:r>
    </w:p>
    <w:p>
      <w:pPr>
        <w:spacing w:after="0" w:line="198"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competitive environment in the industries in the countries in which we or our affiliates operate, including competitor responses to our products and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consumer television viewing and broadband usage preferences and habits;</w:t>
      </w:r>
    </w:p>
    <w:p>
      <w:pPr>
        <w:spacing w:after="0" w:line="11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broadband internet, cable television, fixed-line telephony, mobile and business service offerings, and of new technology, programming alternatives and other products and services that we may offer in the future;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manage rapid technological changes;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6" w:name="page47"/>
    <w:bookmarkEnd w:id="46"/>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broadband internet, cable television, fixed-line telephony and mobile service offerings and our average revenue per household;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in the countries in which we or our affiliates operate and adverse outcomes from regulatory proceedings;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government intervention that requires opening our broadband distribution networks to competitors, such as the obligations imposed in Belgium;</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regulatory approval and shareholder approval and satisfy other conditions necessary to close acquisitions and dispositions and the impact of conditions imposed by competition and other regulatory authorities in connection with acquisitions;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laws and government regulations that may impact the availability and cost of capital and the derivative instruments that hedge certain of our financial risks;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providers under our mobile virtual network operator arrangements) to timely deliver quality products, equipment, software, services and access;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retransmission and copyright fees payable to public and private broadcasters;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adequately forecast and plan future network requirements, including the costs and benefits associated with our network extension programs;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availability of capital for the acquisition and/or development of telecommunications networks and services;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equity capital structure;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events that are outside of our control, such as political unrest in international markets, terrorist attacks, malicious human acts, natural disasters, epidemics, pandemics (such as COVID-19) and other similar events.</w:t>
      </w:r>
    </w:p>
    <w:p>
      <w:pPr>
        <w:spacing w:after="0" w:line="19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an international provider of broadband internet, video, fixed-line telephony and mobile communications services to residential customers and businesses in Europe. Our operations comprise businesses that provide residential and B2B communications services in (i) the U.K. through Virgin Media,</w:t>
      </w:r>
    </w:p>
    <w:p>
      <w:pPr>
        <w:jc w:val="both"/>
        <w:ind w:firstLine="8"/>
        <w:spacing w:after="0" w:line="323" w:lineRule="auto"/>
        <w:tabs>
          <w:tab w:leader="none" w:pos="278" w:val="left"/>
        </w:tabs>
        <w:numPr>
          <w:ilvl w:val="0"/>
          <w:numId w:val="43"/>
        </w:numPr>
        <w:rPr>
          <w:rFonts w:ascii="Arial" w:cs="Arial" w:eastAsia="Arial" w:hAnsi="Arial"/>
          <w:sz w:val="16"/>
          <w:szCs w:val="16"/>
          <w:color w:val="auto"/>
        </w:rPr>
      </w:pPr>
      <w:r>
        <w:rPr>
          <w:rFonts w:ascii="Arial" w:cs="Arial" w:eastAsia="Arial" w:hAnsi="Arial"/>
          <w:sz w:val="16"/>
          <w:szCs w:val="16"/>
          <w:color w:val="auto"/>
        </w:rPr>
        <w:t>Ireland through another wholly-owned subsidiary, (iii) Belgium through Telenet and (iv) Switzerland, Poland and Slovakia through UPC Holding. In addition, we own a 50% noncontrolling interest in the VodafoneZiggo JV, which provides residential and B2B communications services in the Netherlands.</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May 7, 2020, in connection with the pending formation of the U.K. JV, we began accounting for the U.K. JV Entities as held for sale. Accordingly, the assets and liabilities of the U.K. JV Entities are included in assets held for sale and liabilities associated with assets held for sale, respectively, on our March 31, 2021 condensed consolidated balance sheet. Consistent with the applicable guidance, we have not reflected similar reclassifications in our condensed consolidated statements of operations or cash flows. For further information regarding the pending formation of the U.K. JV, see note 4 to our condensed consolidated financial statements.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Operations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March 31, 2021, our consolidated operations owned and operated networks that passed 26,461,000 homes and served 11,341,700 fixed-line customers and 8,622,000 mobile subscribers.</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currently are engaged in certain network extension programs across our footprint, which we collectively refer to as the “</w:t>
      </w:r>
      <w:r>
        <w:rPr>
          <w:rFonts w:ascii="Arial" w:cs="Arial" w:eastAsia="Arial" w:hAnsi="Arial"/>
          <w:sz w:val="18"/>
          <w:szCs w:val="18"/>
          <w:b w:val="1"/>
          <w:bCs w:val="1"/>
          <w:color w:val="auto"/>
        </w:rPr>
        <w:t>Network Extensions</w:t>
      </w:r>
      <w:r>
        <w:rPr>
          <w:rFonts w:ascii="Arial" w:cs="Arial" w:eastAsia="Arial" w:hAnsi="Arial"/>
          <w:sz w:val="18"/>
          <w:szCs w:val="18"/>
          <w:color w:val="auto"/>
        </w:rPr>
        <w:t>.” During the first three months of 2021, pursuant to the Network Extensions, we connected approximately 113,000 additional residential and commercial premises (excluding upgrades) to our two-way networks, including approximately 80,000 residential and commercial premises connected by Virgin Media in the U.K. and Ireland. Depending on a variety of factors, including the financial and operational results of these programs, the Network Extensions may be continued, modified or cancelled at our discretion.</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Arial" w:cs="Arial" w:eastAsia="Arial" w:hAnsi="Arial"/>
          <w:sz w:val="17"/>
          <w:szCs w:val="17"/>
          <w:b w:val="1"/>
          <w:bCs w:val="1"/>
          <w:color w:val="auto"/>
        </w:rPr>
        <w:t>ARPU</w:t>
      </w:r>
      <w:r>
        <w:rPr>
          <w:rFonts w:ascii="Arial" w:cs="Arial" w:eastAsia="Arial" w:hAnsi="Arial"/>
          <w:sz w:val="17"/>
          <w:szCs w:val="17"/>
          <w:color w:val="auto"/>
        </w:rPr>
        <w:t xml:space="preserve">). For additional information regarding the revenue impact of changes in fixed-line customers and ARPU of our consolidated reportable segments, see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below</w:t>
      </w:r>
      <w:r>
        <w:rPr>
          <w:rFonts w:ascii="Arial" w:cs="Arial" w:eastAsia="Arial" w:hAnsi="Arial"/>
          <w:sz w:val="17"/>
          <w:szCs w:val="17"/>
          <w:i w:val="1"/>
          <w:iCs w:val="1"/>
          <w:color w:val="auto"/>
        </w:rPr>
        <w:t>.</w:t>
      </w:r>
    </w:p>
    <w:p>
      <w:pPr>
        <w:spacing w:after="0" w:line="19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The global COVID-19 pandemic continues to adversely impact the economies of the countries in which we operate. However, during the first quarter of 2021, the adverse impact on our company continued to be relatively minimal as demand for our products and services remained strong. It is not currently possible to estimate the duration and severity of the COVID-19 pandemic or the adverse economic impact resulting from the preventative measures taken to contain or mitigate its outbreak, therefore no assurance can be given that an extended period of global economic disruption would not have a material adverse impact on our business, financial condition and results of operations in future periods. For further information regarding the COVID-19 pandemic, see the discussion under </w:t>
      </w:r>
      <w:r>
        <w:rPr>
          <w:rFonts w:ascii="Arial" w:cs="Arial" w:eastAsia="Arial" w:hAnsi="Arial"/>
          <w:sz w:val="16"/>
          <w:szCs w:val="16"/>
          <w:i w:val="1"/>
          <w:iCs w:val="1"/>
          <w:color w:val="auto"/>
        </w:rPr>
        <w:t>Part II, Item 7. Management’s Discussion and Analysis of Financial Condition and Results of Operations - Overview</w:t>
      </w:r>
      <w:r>
        <w:rPr>
          <w:rFonts w:ascii="Arial" w:cs="Arial" w:eastAsia="Arial" w:hAnsi="Arial"/>
          <w:sz w:val="16"/>
          <w:szCs w:val="16"/>
          <w:color w:val="auto"/>
        </w:rPr>
        <w:t xml:space="preserve"> included in our 2020 Annual Report on Form 10-K, as amended. For additional information regarding the impact of COVID-19 on our results of operations for the three months ended March 31, 2021, see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completed a number of transactions that impact the comparability of our results of operations, the most notable of which is the Sunrise Acquisition on November 11, 2020. For further information, see note 4 to our condensed consolidated financial statements.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In the following discussion, we quantify the estimated impact of acquisitions (the </w:t>
      </w:r>
      <w:r>
        <w:rPr>
          <w:rFonts w:ascii="Arial" w:cs="Arial" w:eastAsia="Arial" w:hAnsi="Arial"/>
          <w:sz w:val="18"/>
          <w:szCs w:val="18"/>
          <w:b w:val="1"/>
          <w:bCs w:val="1"/>
          <w:color w:val="auto"/>
        </w:rPr>
        <w:t>Acquisition Impact</w:t>
      </w:r>
      <w:r>
        <w:rPr>
          <w:rFonts w:ascii="Arial" w:cs="Arial" w:eastAsia="Arial" w:hAnsi="Arial"/>
          <w:sz w:val="18"/>
          <w:szCs w:val="18"/>
          <w:color w:val="auto"/>
        </w:rPr>
        <w:t>)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8" w:name="page49"/>
    <w:bookmarkEnd w:id="48"/>
    <w:p>
      <w:pPr>
        <w:jc w:val="both"/>
        <w:spacing w:after="0" w:line="279" w:lineRule="auto"/>
        <w:rPr>
          <w:sz w:val="20"/>
          <w:szCs w:val="20"/>
          <w:color w:val="auto"/>
        </w:rPr>
      </w:pPr>
      <w:r>
        <w:rPr>
          <w:rFonts w:ascii="Arial" w:cs="Arial" w:eastAsia="Arial" w:hAnsi="Arial"/>
          <w:sz w:val="17"/>
          <w:szCs w:val="17"/>
          <w:color w:val="auto"/>
        </w:rPr>
        <w:t>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w:t>
      </w:r>
    </w:p>
    <w:p>
      <w:pPr>
        <w:spacing w:after="0" w:line="19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6"/>
          <w:szCs w:val="16"/>
          <w:b w:val="1"/>
          <w:bCs w:val="1"/>
          <w:color w:val="auto"/>
        </w:rPr>
        <w:t>FX</w:t>
      </w:r>
      <w:r>
        <w:rPr>
          <w:rFonts w:ascii="Arial" w:cs="Arial" w:eastAsia="Arial" w:hAnsi="Arial"/>
          <w:sz w:val="16"/>
          <w:szCs w:val="16"/>
          <w:color w:val="auto"/>
        </w:rPr>
        <w:t xml:space="preserve">) risk during the three months ended March 31, 2021 was to the British pound sterling, euro and Swiss franc as 45.2%, 28.3% and 23.3% of our reported revenue during the period was derived from subsidiaries whose functional currencies are the British pound sterling, euro and Swiss franc,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Discussion and Analysis of our 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Operating Results </w:t>
      </w:r>
      <w:r>
        <w:rPr>
          <w:rFonts w:ascii="Arial" w:cs="Arial" w:eastAsia="Arial" w:hAnsi="Arial"/>
          <w:sz w:val="16"/>
          <w:szCs w:val="16"/>
          <w:color w:val="auto"/>
        </w:rPr>
        <w:t>below. For information regarding our foreign currency risks and the applicable foreign currency exchange rates in effect for the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covered by this Quarterly Report, see Part I, Item 3. </w:t>
      </w:r>
      <w:r>
        <w:rPr>
          <w:rFonts w:ascii="Arial" w:cs="Arial" w:eastAsia="Arial" w:hAnsi="Arial"/>
          <w:sz w:val="16"/>
          <w:szCs w:val="16"/>
          <w:i w:val="1"/>
          <w:iCs w:val="1"/>
          <w:color w:val="auto"/>
        </w:rPr>
        <w:t>Quantitative and Qualitative Disclosures about Market Risk — Foreign Currency Risk</w:t>
      </w:r>
      <w:r>
        <w:rPr>
          <w:rFonts w:ascii="Arial" w:cs="Arial" w:eastAsia="Arial" w:hAnsi="Arial"/>
          <w:sz w:val="16"/>
          <w:szCs w:val="16"/>
          <w:color w:val="auto"/>
        </w:rPr>
        <w:t xml:space="preserve"> below.</w:t>
      </w:r>
    </w:p>
    <w:p>
      <w:pPr>
        <w:spacing w:after="0" w:line="1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amounts presented and discussed below represent 100% of each of our consolidated reportable segment’s results of operations.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All of our reportable segments derive their revenue primarily from residential and B2B communications services, including broadband internet, video, fixed-line telephony and mobile services. For detailed information regarding the composition of our reportable segments and how we define and categorize our revenue components, see note 16 to our condensed consolidated financial statements. For information regarding the results of operations of the VodafoneZiggo JV, refer to </w:t>
      </w:r>
      <w:r>
        <w:rPr>
          <w:rFonts w:ascii="Arial" w:cs="Arial" w:eastAsia="Arial" w:hAnsi="Arial"/>
          <w:sz w:val="17"/>
          <w:szCs w:val="17"/>
          <w:i w:val="1"/>
          <w:iCs w:val="1"/>
          <w:color w:val="auto"/>
        </w:rPr>
        <w:t>Discussion and Analysis of our Consolidated Operating Results — Share of results of affiliates</w:t>
      </w:r>
      <w:r>
        <w:rPr>
          <w:rFonts w:ascii="Arial" w:cs="Arial" w:eastAsia="Arial" w:hAnsi="Arial"/>
          <w:sz w:val="17"/>
          <w:szCs w:val="17"/>
          <w:color w:val="auto"/>
        </w:rPr>
        <w:t xml:space="preserve"> below.</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tables presented below in this section provide the details of the revenue and Adjusted EBITDA of our consolidated reportable segments for the three months ended March 31, 2021 and 2020. These tables present (i) the amounts reported for the current and comparative periods, (ii) the reported U.S. dollar change and percentage change from period to period and (iii) the organic U.S. dollar change and percentage change from period to period. For our organic comparisons, which exclude the impact of FX, we assume that exchange rates remained constant at the prior-year rate during all periods presented. We also provide a table showing the Adjusted EBITDA margins of our consolidated reportable segments for three months ended March 31, 2021 and 2020 at the end of this section.</w:t>
      </w:r>
    </w:p>
    <w:p>
      <w:pPr>
        <w:spacing w:after="0" w:line="21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 The following table provides a reconciliation of net earnings to Adjusted EBITDA:</w:t>
      </w:r>
    </w:p>
    <w:p>
      <w:pPr>
        <w:spacing w:after="0" w:line="73" w:lineRule="exact"/>
        <w:rPr>
          <w:sz w:val="20"/>
          <w:szCs w:val="20"/>
          <w:color w:val="auto"/>
        </w:rPr>
      </w:pPr>
    </w:p>
    <w:p>
      <w:pPr>
        <w:jc w:val="center"/>
        <w:ind w:left="8260"/>
        <w:spacing w:after="0"/>
        <w:rPr>
          <w:sz w:val="20"/>
          <w:szCs w:val="20"/>
          <w:color w:val="auto"/>
        </w:rPr>
      </w:pPr>
      <w:r>
        <w:rPr>
          <w:rFonts w:ascii="Arial" w:cs="Arial" w:eastAsia="Arial" w:hAnsi="Arial"/>
          <w:sz w:val="16"/>
          <w:szCs w:val="16"/>
          <w:b w:val="1"/>
          <w:bCs w:val="1"/>
          <w:color w:val="auto"/>
        </w:rPr>
        <w:t>Three months ended</w:t>
      </w:r>
    </w:p>
    <w:p>
      <w:pPr>
        <w:jc w:val="center"/>
        <w:ind w:left="826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20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7"/>
                <w:szCs w:val="17"/>
                <w:color w:val="auto"/>
              </w:rPr>
            </w:pPr>
          </w:p>
        </w:tc>
      </w:tr>
      <w:tr>
        <w:trPr>
          <w:trHeight w:val="154"/>
        </w:trPr>
        <w:tc>
          <w:tcPr>
            <w:tcW w:w="8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1,017.7</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Share of results of affiliates,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debt extinguishment, net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w w:val="98"/>
              </w:rPr>
              <w:t>Realized and unrealized losses (gains) due to changes in fair values of certain investments and debt,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transaction gains,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Realized and unrealized gains on derivative instruments,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(811.1)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(1,237.3)</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r>
      <w:tr>
        <w:trPr>
          <w:trHeight w:val="223"/>
        </w:trPr>
        <w:tc>
          <w:tcPr>
            <w:tcW w:w="82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625.3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634.2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783.5</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23"/>
        </w:trPr>
        <w:tc>
          <w:tcPr>
            <w:tcW w:w="8260" w:type="dxa"/>
            <w:vAlign w:val="bottom"/>
          </w:tcPr>
          <w:p>
            <w:pPr>
              <w:ind w:left="30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1,367.3</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1,150.3</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ind w:left="180"/>
        <w:spacing w:after="0"/>
        <w:rPr>
          <w:sz w:val="20"/>
          <w:szCs w:val="20"/>
          <w:color w:val="auto"/>
        </w:rPr>
      </w:pPr>
      <w:r>
        <w:rPr>
          <w:rFonts w:ascii="Arial" w:cs="Arial" w:eastAsia="Arial" w:hAnsi="Arial"/>
          <w:sz w:val="18"/>
          <w:szCs w:val="18"/>
          <w:b w:val="1"/>
          <w:bCs w:val="1"/>
          <w:i w:val="1"/>
          <w:iCs w:val="1"/>
          <w:color w:val="auto"/>
        </w:rPr>
        <w:t>Revenue of our Consolidated Reportable Segments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consolidated reportable segments,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experiencing competition in all of our markets. This competition has an adverse impact on our ability to increase or maintain our total number of customers and/or our ARPU.</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cable and mobile products within a segment during the period.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100" w:type="dxa"/>
            <w:vAlign w:val="bottom"/>
            <w:gridSpan w:val="4"/>
            <w:vMerge w:val="restart"/>
          </w:tcPr>
          <w:p>
            <w:pPr>
              <w:jc w:val="center"/>
              <w:ind w:right="420"/>
              <w:spacing w:after="0"/>
              <w:rPr>
                <w:sz w:val="20"/>
                <w:szCs w:val="20"/>
                <w:color w:val="auto"/>
              </w:rPr>
            </w:pPr>
            <w:r>
              <w:rPr>
                <w:rFonts w:ascii="Arial" w:cs="Arial" w:eastAsia="Arial" w:hAnsi="Arial"/>
                <w:sz w:val="16"/>
                <w:szCs w:val="16"/>
                <w:b w:val="1"/>
                <w:bCs w:val="1"/>
                <w:color w:val="auto"/>
                <w:w w:val="88"/>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1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3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9"/>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1"/>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100" w:type="dxa"/>
            <w:vAlign w:val="bottom"/>
          </w:tcPr>
          <w:p>
            <w:pPr>
              <w:jc w:val="center"/>
              <w:ind w:left="611"/>
              <w:spacing w:after="0"/>
              <w:rPr>
                <w:sz w:val="20"/>
                <w:szCs w:val="20"/>
                <w:color w:val="auto"/>
              </w:rPr>
            </w:pPr>
            <w:r>
              <w:rPr>
                <w:rFonts w:ascii="Arial" w:cs="Arial" w:eastAsia="Arial" w:hAnsi="Arial"/>
                <w:sz w:val="18"/>
                <w:szCs w:val="18"/>
                <w:color w:val="auto"/>
                <w:w w:val="97"/>
              </w:rPr>
              <w:t>(1.3)</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97"/>
              </w:rPr>
              <w:t>(5.3)</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100" w:type="dxa"/>
            <w:vAlign w:val="bottom"/>
          </w:tcPr>
          <w:p>
            <w:pPr>
              <w:jc w:val="center"/>
              <w:ind w:left="631"/>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 (a)</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97"/>
              </w:rPr>
              <w:t>(2.4)</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center"/>
              <w:ind w:left="611"/>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jc w:val="both"/>
        <w:ind w:left="500" w:hanging="492"/>
        <w:spacing w:after="0" w:line="263" w:lineRule="auto"/>
        <w:tabs>
          <w:tab w:leader="none" w:pos="4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primarily include revenue earned from transition and other services provided to the VodafoneZiggo JV and various third parties and the sale of customer premises equipment to the VodafoneZiggo JV. For additional information, see notes 4 and 5 to our condensed consolidated financial statements.</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U.K./Ireland. </w:t>
      </w:r>
      <w:r>
        <w:rPr>
          <w:rFonts w:ascii="Arial" w:cs="Arial" w:eastAsia="Arial" w:hAnsi="Arial"/>
          <w:sz w:val="18"/>
          <w:szCs w:val="18"/>
          <w:color w:val="auto"/>
        </w:rPr>
        <w:t>The details of the increase in U.K./Ireland</w:t>
      </w:r>
      <w:r>
        <w:rPr>
          <w:rFonts w:ascii="Arial" w:cs="Arial" w:eastAsia="Arial" w:hAnsi="Arial"/>
          <w:sz w:val="18"/>
          <w:szCs w:val="18"/>
          <w:color w:val="2C2C2C"/>
        </w:rPr>
        <w:t>’s revenue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2021</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 in </w:t>
      </w:r>
      <w:r>
        <w:rPr>
          <w:rFonts w:ascii="Arial" w:cs="Arial" w:eastAsia="Arial" w:hAnsi="Arial"/>
          <w:sz w:val="18"/>
          <w:szCs w:val="18"/>
          <w:color w:val="2C2C2C"/>
        </w:rPr>
        <w:t>2020, are set f</w:t>
      </w:r>
      <w:r>
        <w:rPr>
          <w:rFonts w:ascii="Arial" w:cs="Arial" w:eastAsia="Arial" w:hAnsi="Arial"/>
          <w:sz w:val="18"/>
          <w:szCs w:val="18"/>
          <w:color w:val="auto"/>
        </w:rPr>
        <w:t>orth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7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7"/>
        </w:trPr>
        <w:tc>
          <w:tcPr>
            <w:tcW w:w="7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210"/>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2"/>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cable subscription revenue due to change in (a):</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748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Increase in residential cable non-subscription revenue (b)</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74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increase (decrease) in residential cable revenue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Increase (decrease) in residential mobile revenue (c)</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 (d)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Decrease in other revenue</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4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r>
      <w:tr>
        <w:trPr>
          <w:trHeight w:val="248"/>
        </w:trPr>
        <w:tc>
          <w:tcPr>
            <w:tcW w:w="7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Amount includes the adverse impact of regulated contract notifications, as further described under </w:t>
      </w:r>
      <w:r>
        <w:rPr>
          <w:rFonts w:ascii="Arial" w:cs="Arial" w:eastAsia="Arial" w:hAnsi="Arial"/>
          <w:sz w:val="18"/>
          <w:szCs w:val="18"/>
          <w:i w:val="1"/>
          <w:iCs w:val="1"/>
          <w:color w:val="auto"/>
        </w:rPr>
        <w:t>Legal and Regulatory</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1" w:name="page52"/>
    <w:bookmarkEnd w:id="51"/>
    <w:p>
      <w:pPr>
        <w:ind w:left="500"/>
        <w:spacing w:after="0"/>
        <w:rPr>
          <w:sz w:val="20"/>
          <w:szCs w:val="20"/>
          <w:color w:val="auto"/>
        </w:rPr>
      </w:pPr>
      <w:r>
        <w:rPr>
          <w:rFonts w:ascii="Arial" w:cs="Arial" w:eastAsia="Arial" w:hAnsi="Arial"/>
          <w:sz w:val="18"/>
          <w:szCs w:val="18"/>
          <w:i w:val="1"/>
          <w:iCs w:val="1"/>
          <w:color w:val="auto"/>
        </w:rPr>
        <w:t xml:space="preserve">Proceedings and Other Contingencies - Other Regulatory Matters </w:t>
      </w:r>
      <w:r>
        <w:rPr>
          <w:rFonts w:ascii="Arial" w:cs="Arial" w:eastAsia="Arial" w:hAnsi="Arial"/>
          <w:sz w:val="18"/>
          <w:szCs w:val="18"/>
          <w:color w:val="auto"/>
        </w:rPr>
        <w:t>in note 15 to our condensed consolidated financial statements.</w:t>
      </w:r>
    </w:p>
    <w:p>
      <w:pPr>
        <w:spacing w:after="0" w:line="252"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increase in residential cable non-subscription revenue is primarily attributable to an increase in installation revenue in the U.K.</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increase in residential mobile non-subscription revenue is primarily attributable to an increase in revenue from mobile handset sales in the U.K.</w:t>
      </w:r>
    </w:p>
    <w:p>
      <w:pPr>
        <w:spacing w:after="0" w:line="275" w:lineRule="exact"/>
        <w:rPr>
          <w:rFonts w:ascii="Arial" w:cs="Arial" w:eastAsia="Arial" w:hAnsi="Arial"/>
          <w:sz w:val="16"/>
          <w:szCs w:val="16"/>
          <w:color w:val="auto"/>
        </w:rPr>
      </w:pPr>
    </w:p>
    <w:p>
      <w:pPr>
        <w:jc w:val="both"/>
        <w:ind w:left="500" w:hanging="492"/>
        <w:spacing w:after="0" w:line="263" w:lineRule="auto"/>
        <w:tabs>
          <w:tab w:leader="none" w:pos="4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due to an increase in the average number of SOHO customers in the U.K. The increase in B2B non-subscription revenue is primarily attributable to our operations in the U.K., including the net effect of (i) an increase in revenue associated with long-term leases of a portion of our network and (ii) lower revenue from data services.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Belgium. </w:t>
      </w:r>
      <w:r>
        <w:rPr>
          <w:rFonts w:ascii="Arial" w:cs="Arial" w:eastAsia="Arial" w:hAnsi="Arial"/>
          <w:sz w:val="16"/>
          <w:szCs w:val="16"/>
          <w:color w:val="auto"/>
        </w:rPr>
        <w:t>The details of the increase in Belgium’s revenue during the three months ended March 31, 2021</w:t>
      </w:r>
      <w:r>
        <w:rPr>
          <w:rFonts w:ascii="Arial" w:cs="Arial" w:eastAsia="Arial" w:hAnsi="Arial"/>
          <w:sz w:val="16"/>
          <w:szCs w:val="16"/>
          <w:color w:val="2C2C2C"/>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corresponding period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C2C2C"/>
        </w:rPr>
        <w:t>2020</w:t>
      </w:r>
      <w:r>
        <w:rPr>
          <w:rFonts w:ascii="Arial" w:cs="Arial" w:eastAsia="Arial" w:hAnsi="Arial"/>
          <w:sz w:val="18"/>
          <w:szCs w:val="18"/>
          <w:color w:val="000000"/>
        </w:rPr>
        <w:t>, are set forth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7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7"/>
        </w:trPr>
        <w:tc>
          <w:tcPr>
            <w:tcW w:w="7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210"/>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2"/>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748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Decrease in residential cable non-subscription revenue</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74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decrease in residential cable revenue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Decrease in residential mobile revenue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 (a)</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7480" w:type="dxa"/>
            <w:vAlign w:val="bottom"/>
          </w:tcPr>
          <w:p>
            <w:pPr>
              <w:ind w:left="300"/>
              <w:spacing w:after="0"/>
              <w:rPr>
                <w:sz w:val="20"/>
                <w:szCs w:val="20"/>
                <w:color w:val="auto"/>
              </w:rPr>
            </w:pPr>
            <w:r>
              <w:rPr>
                <w:rFonts w:ascii="Arial" w:cs="Arial" w:eastAsia="Arial" w:hAnsi="Arial"/>
                <w:sz w:val="18"/>
                <w:szCs w:val="18"/>
                <w:color w:val="auto"/>
              </w:rPr>
              <w:t>Total organic decrease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dispositions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r>
      <w:tr>
        <w:trPr>
          <w:trHeight w:val="248"/>
        </w:trPr>
        <w:tc>
          <w:tcPr>
            <w:tcW w:w="7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due to an increase in the average number of SOHO customers. The decrease in B2B non-subscription revenue is primarily attributable to lower interconnect revenue.</w:t>
      </w:r>
    </w:p>
    <w:p>
      <w:pPr>
        <w:spacing w:after="0" w:line="197"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 xml:space="preserve">For information concerning certain regulatory developments that could have an adverse impact on our revenue in Belgium, see </w:t>
      </w:r>
      <w:r>
        <w:rPr>
          <w:rFonts w:ascii="Arial" w:cs="Arial" w:eastAsia="Arial" w:hAnsi="Arial"/>
          <w:sz w:val="16"/>
          <w:szCs w:val="16"/>
          <w:i w:val="1"/>
          <w:iCs w:val="1"/>
          <w:color w:val="auto"/>
        </w:rPr>
        <w:t>Legal and Regulatory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Proceedings and Other Contingencies - Belgium Regulatory Developments </w:t>
      </w:r>
      <w:r>
        <w:rPr>
          <w:rFonts w:ascii="Arial" w:cs="Arial" w:eastAsia="Arial" w:hAnsi="Arial"/>
          <w:sz w:val="16"/>
          <w:szCs w:val="16"/>
          <w:color w:val="auto"/>
        </w:rPr>
        <w:t>in note 15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2" w:name="page53"/>
    <w:bookmarkEnd w:id="52"/>
    <w:p>
      <w:pPr>
        <w:ind w:firstLine="324"/>
        <w:spacing w:after="0" w:line="277"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increase in Switzerland’s revenue during the three months ended March 31, 2021</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 in </w:t>
      </w:r>
      <w:r>
        <w:rPr>
          <w:rFonts w:ascii="Arial" w:cs="Arial" w:eastAsia="Arial" w:hAnsi="Arial"/>
          <w:sz w:val="18"/>
          <w:szCs w:val="18"/>
          <w:color w:val="2C2C2C"/>
        </w:rPr>
        <w:t>2020</w:t>
      </w:r>
      <w:r>
        <w:rPr>
          <w:rFonts w:ascii="Arial" w:cs="Arial" w:eastAsia="Arial" w:hAnsi="Arial"/>
          <w:sz w:val="18"/>
          <w:szCs w:val="18"/>
          <w:color w:val="auto"/>
        </w:rPr>
        <w:t>, are set forth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7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7"/>
        </w:trPr>
        <w:tc>
          <w:tcPr>
            <w:tcW w:w="7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210"/>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2"/>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cable subscription revenue due to change in:</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748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Decrease in residential cable non-subscription revenue (a)</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74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decrease in residential cable revenue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Increase (decrease) in residential mobile revenue (b)</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B2B revenue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Increase in other revenue</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4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decrease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486.7</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23"/>
        </w:trPr>
        <w:tc>
          <w:tcPr>
            <w:tcW w:w="7480" w:type="dxa"/>
            <w:vAlign w:val="bottom"/>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r>
      <w:tr>
        <w:trPr>
          <w:trHeight w:val="21"/>
        </w:trPr>
        <w:tc>
          <w:tcPr>
            <w:tcW w:w="7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59" w:lineRule="auto"/>
        <w:tabs>
          <w:tab w:leader="none" w:pos="497"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decrease in residential cable non-subscription is primarily attributable to a decrease in revenue associated with our Swiss sports channels, including a $1.8 million decrease associated with the acceleration of revenue from our distribution partner in the first quarter of 2020 for the broadcast of ice hockey in Switzerland, as further described under </w:t>
      </w:r>
      <w:r>
        <w:rPr>
          <w:rFonts w:ascii="Arial" w:cs="Arial" w:eastAsia="Arial" w:hAnsi="Arial"/>
          <w:sz w:val="18"/>
          <w:szCs w:val="18"/>
          <w:i w:val="1"/>
          <w:iCs w:val="1"/>
          <w:color w:val="auto"/>
        </w:rPr>
        <w:t>Discussion and Analysis of our Consolidated Operating Results — Programming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direct costs of services </w:t>
      </w:r>
      <w:r>
        <w:rPr>
          <w:rFonts w:ascii="Arial" w:cs="Arial" w:eastAsia="Arial" w:hAnsi="Arial"/>
          <w:sz w:val="18"/>
          <w:szCs w:val="18"/>
          <w:color w:val="auto"/>
        </w:rPr>
        <w:t>below.</w:t>
      </w:r>
    </w:p>
    <w:p>
      <w:pPr>
        <w:spacing w:after="0" w:line="213" w:lineRule="exact"/>
        <w:rPr>
          <w:rFonts w:ascii="Arial" w:cs="Arial" w:eastAsia="Arial" w:hAnsi="Arial"/>
          <w:sz w:val="18"/>
          <w:szCs w:val="18"/>
          <w:color w:val="auto"/>
        </w:rPr>
      </w:pPr>
    </w:p>
    <w:p>
      <w:pPr>
        <w:ind w:left="500" w:hanging="492"/>
        <w:spacing w:after="0" w:line="308" w:lineRule="auto"/>
        <w:tabs>
          <w:tab w:leader="none" w:pos="494"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increase in residential mobile subscription revenue is primarily due to an increase in the average number of mobile subscribers. The decrease in residential mobile non-subscription revenue is largely attributable to a decrease in revenue from mobile handset sales.</w:t>
      </w:r>
    </w:p>
    <w:p>
      <w:pPr>
        <w:spacing w:after="0" w:line="1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Central and Eastern Europe. </w:t>
      </w:r>
      <w:r>
        <w:rPr>
          <w:rFonts w:ascii="Arial" w:cs="Arial" w:eastAsia="Arial" w:hAnsi="Arial"/>
          <w:sz w:val="18"/>
          <w:szCs w:val="18"/>
          <w:color w:val="auto"/>
        </w:rPr>
        <w:t>The details of the increase in Central and Eastern Europe’s revenue during the three months ended March 31, 2021</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the corresponding period in </w:t>
      </w:r>
      <w:r>
        <w:rPr>
          <w:rFonts w:ascii="Arial" w:cs="Arial" w:eastAsia="Arial" w:hAnsi="Arial"/>
          <w:sz w:val="18"/>
          <w:szCs w:val="18"/>
          <w:color w:val="2C2C2C"/>
        </w:rPr>
        <w:t>2020</w:t>
      </w:r>
      <w:r>
        <w:rPr>
          <w:rFonts w:ascii="Arial" w:cs="Arial" w:eastAsia="Arial" w:hAnsi="Arial"/>
          <w:sz w:val="18"/>
          <w:szCs w:val="18"/>
          <w:color w:val="auto"/>
        </w:rPr>
        <w:t>, are set forth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7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7"/>
        </w:trPr>
        <w:tc>
          <w:tcPr>
            <w:tcW w:w="7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Total</w:t>
            </w:r>
          </w:p>
        </w:tc>
      </w:tr>
      <w:tr>
        <w:trPr>
          <w:trHeight w:val="210"/>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2"/>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residential cable subscription revenue due to change in:</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748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391"/>
              <w:spacing w:after="0"/>
              <w:rPr>
                <w:sz w:val="20"/>
                <w:szCs w:val="20"/>
                <w:color w:val="auto"/>
              </w:rPr>
            </w:pPr>
            <w:r>
              <w:rPr>
                <w:rFonts w:ascii="Arial" w:cs="Arial" w:eastAsia="Arial" w:hAnsi="Arial"/>
                <w:sz w:val="18"/>
                <w:szCs w:val="18"/>
                <w:color w:val="auto"/>
                <w:w w:val="87"/>
              </w:rPr>
              <w:t>2.0</w:t>
            </w:r>
          </w:p>
        </w:tc>
      </w:tr>
      <w:tr>
        <w:trPr>
          <w:trHeight w:val="230"/>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91"/>
              <w:spacing w:after="0"/>
              <w:rPr>
                <w:sz w:val="20"/>
                <w:szCs w:val="20"/>
                <w:color w:val="auto"/>
              </w:rPr>
            </w:pPr>
            <w:r>
              <w:rPr>
                <w:rFonts w:ascii="Arial" w:cs="Arial" w:eastAsia="Arial" w:hAnsi="Arial"/>
                <w:sz w:val="18"/>
                <w:szCs w:val="18"/>
                <w:color w:val="auto"/>
                <w:w w:val="87"/>
              </w:rPr>
              <w:t>0.4</w:t>
            </w:r>
          </w:p>
        </w:tc>
      </w:tr>
      <w:tr>
        <w:trPr>
          <w:trHeight w:val="223"/>
        </w:trPr>
        <w:tc>
          <w:tcPr>
            <w:tcW w:w="7480" w:type="dxa"/>
            <w:vAlign w:val="bottom"/>
          </w:tcPr>
          <w:p>
            <w:pPr>
              <w:ind w:left="300"/>
              <w:spacing w:after="0"/>
              <w:rPr>
                <w:sz w:val="20"/>
                <w:szCs w:val="20"/>
                <w:color w:val="auto"/>
              </w:rPr>
            </w:pPr>
            <w:r>
              <w:rPr>
                <w:rFonts w:ascii="Arial" w:cs="Arial" w:eastAsia="Arial" w:hAnsi="Arial"/>
                <w:sz w:val="18"/>
                <w:szCs w:val="18"/>
                <w:color w:val="auto"/>
              </w:rPr>
              <w:t>Total increase in residential cable revenue</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center"/>
              <w:ind w:left="391"/>
              <w:spacing w:after="0"/>
              <w:rPr>
                <w:sz w:val="20"/>
                <w:szCs w:val="20"/>
                <w:color w:val="auto"/>
              </w:rPr>
            </w:pPr>
            <w:r>
              <w:rPr>
                <w:rFonts w:ascii="Arial" w:cs="Arial" w:eastAsia="Arial" w:hAnsi="Arial"/>
                <w:sz w:val="18"/>
                <w:szCs w:val="18"/>
                <w:color w:val="auto"/>
                <w:w w:val="87"/>
              </w:rPr>
              <w:t>2.4</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residential mobile revenue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91"/>
              <w:spacing w:after="0"/>
              <w:rPr>
                <w:sz w:val="20"/>
                <w:szCs w:val="20"/>
                <w:color w:val="auto"/>
              </w:rPr>
            </w:pPr>
            <w:r>
              <w:rPr>
                <w:rFonts w:ascii="Arial" w:cs="Arial" w:eastAsia="Arial" w:hAnsi="Arial"/>
                <w:sz w:val="18"/>
                <w:szCs w:val="18"/>
                <w:color w:val="auto"/>
                <w:w w:val="87"/>
              </w:rPr>
              <w:t>0.7</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Increase in B2B revenue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center"/>
              <w:ind w:left="391"/>
              <w:spacing w:after="0"/>
              <w:rPr>
                <w:sz w:val="20"/>
                <w:szCs w:val="20"/>
                <w:color w:val="auto"/>
              </w:rPr>
            </w:pPr>
            <w:r>
              <w:rPr>
                <w:rFonts w:ascii="Arial" w:cs="Arial" w:eastAsia="Arial" w:hAnsi="Arial"/>
                <w:sz w:val="18"/>
                <w:szCs w:val="18"/>
                <w:color w:val="auto"/>
                <w:w w:val="87"/>
              </w:rPr>
              <w:t>1.1</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other revenue</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7"/>
              </w:rPr>
              <w:t>(0.3)</w:t>
            </w:r>
          </w:p>
        </w:tc>
      </w:tr>
      <w:tr>
        <w:trPr>
          <w:trHeight w:val="223"/>
        </w:trPr>
        <w:tc>
          <w:tcPr>
            <w:tcW w:w="7480" w:type="dxa"/>
            <w:vAlign w:val="bottom"/>
          </w:tcPr>
          <w:p>
            <w:pPr>
              <w:ind w:left="300"/>
              <w:spacing w:after="0"/>
              <w:rPr>
                <w:sz w:val="20"/>
                <w:szCs w:val="20"/>
                <w:color w:val="auto"/>
              </w:rPr>
            </w:pPr>
            <w:r>
              <w:rPr>
                <w:rFonts w:ascii="Arial" w:cs="Arial" w:eastAsia="Arial" w:hAnsi="Arial"/>
                <w:sz w:val="18"/>
                <w:szCs w:val="18"/>
                <w:color w:val="auto"/>
              </w:rPr>
              <w:t>Total organic increase</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center"/>
              <w:ind w:left="391"/>
              <w:spacing w:after="0"/>
              <w:rPr>
                <w:sz w:val="20"/>
                <w:szCs w:val="20"/>
                <w:color w:val="auto"/>
              </w:rPr>
            </w:pPr>
            <w:r>
              <w:rPr>
                <w:rFonts w:ascii="Arial" w:cs="Arial" w:eastAsia="Arial" w:hAnsi="Arial"/>
                <w:sz w:val="18"/>
                <w:szCs w:val="18"/>
                <w:color w:val="auto"/>
                <w:w w:val="87"/>
              </w:rPr>
              <w:t>3.9</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91"/>
              <w:spacing w:after="0"/>
              <w:rPr>
                <w:sz w:val="20"/>
                <w:szCs w:val="20"/>
                <w:color w:val="auto"/>
              </w:rPr>
            </w:pPr>
            <w:r>
              <w:rPr>
                <w:rFonts w:ascii="Arial" w:cs="Arial" w:eastAsia="Arial" w:hAnsi="Arial"/>
                <w:sz w:val="18"/>
                <w:szCs w:val="18"/>
                <w:color w:val="auto"/>
                <w:w w:val="87"/>
              </w:rPr>
              <w:t>5.6</w:t>
            </w:r>
          </w:p>
        </w:tc>
      </w:tr>
      <w:tr>
        <w:trPr>
          <w:trHeight w:val="223"/>
        </w:trPr>
        <w:tc>
          <w:tcPr>
            <w:tcW w:w="7480" w:type="dxa"/>
            <w:vAlign w:val="bottom"/>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87"/>
              </w:rPr>
              <w:t>9.5</w:t>
            </w:r>
          </w:p>
        </w:tc>
      </w:tr>
      <w:tr>
        <w:trPr>
          <w:trHeight w:val="20"/>
        </w:trPr>
        <w:tc>
          <w:tcPr>
            <w:tcW w:w="7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Programming and Other Direct Costs of Services, Other Operating Expenses and SG&amp;A Expenses of our Consolidated Reportable Segments</w:t>
      </w:r>
    </w:p>
    <w:p>
      <w:pPr>
        <w:spacing w:after="0" w:line="2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3" w:name="page54"/>
    <w:bookmarkEnd w:id="53"/>
    <w:p>
      <w:pPr>
        <w:ind w:left="180"/>
        <w:spacing w:after="0"/>
        <w:rPr>
          <w:sz w:val="20"/>
          <w:szCs w:val="20"/>
          <w:color w:val="auto"/>
        </w:rPr>
      </w:pPr>
      <w:r>
        <w:rPr>
          <w:rFonts w:ascii="Arial" w:cs="Arial" w:eastAsia="Arial" w:hAnsi="Arial"/>
          <w:sz w:val="18"/>
          <w:szCs w:val="18"/>
          <w:b w:val="1"/>
          <w:bCs w:val="1"/>
          <w:i w:val="1"/>
          <w:iCs w:val="1"/>
          <w:color w:val="auto"/>
        </w:rPr>
        <w:t>Adjusted EBITDA of our Consolidated Reportable Segments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tables set forth the Adjusted EBITDA of our consolidated reportable segments: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100" w:type="dxa"/>
            <w:vAlign w:val="bottom"/>
            <w:gridSpan w:val="4"/>
            <w:vMerge w:val="restart"/>
          </w:tcPr>
          <w:p>
            <w:pPr>
              <w:jc w:val="center"/>
              <w:ind w:right="400"/>
              <w:spacing w:after="0"/>
              <w:rPr>
                <w:sz w:val="20"/>
                <w:szCs w:val="20"/>
                <w:color w:val="auto"/>
              </w:rPr>
            </w:pPr>
            <w:r>
              <w:rPr>
                <w:rFonts w:ascii="Arial" w:cs="Arial" w:eastAsia="Arial" w:hAnsi="Arial"/>
                <w:sz w:val="16"/>
                <w:szCs w:val="16"/>
                <w:b w:val="1"/>
                <w:bCs w:val="1"/>
                <w:color w:val="auto"/>
                <w:w w:val="89"/>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1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8"/>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Adjusted EBITDA margins (Adjusted EBITDA divided by revenue) of each of our consolidated reportable segments:</w:t>
      </w:r>
    </w:p>
    <w:p>
      <w:pPr>
        <w:spacing w:after="0" w:line="164" w:lineRule="exact"/>
        <w:rPr>
          <w:sz w:val="20"/>
          <w:szCs w:val="20"/>
          <w:color w:val="auto"/>
        </w:rPr>
      </w:pPr>
    </w:p>
    <w:p>
      <w:pPr>
        <w:jc w:val="center"/>
        <w:ind w:left="8540"/>
        <w:spacing w:after="0"/>
        <w:rPr>
          <w:sz w:val="20"/>
          <w:szCs w:val="20"/>
          <w:color w:val="auto"/>
        </w:rPr>
      </w:pPr>
      <w:r>
        <w:rPr>
          <w:rFonts w:ascii="Arial" w:cs="Arial" w:eastAsia="Arial" w:hAnsi="Arial"/>
          <w:sz w:val="16"/>
          <w:szCs w:val="16"/>
          <w:b w:val="1"/>
          <w:bCs w:val="1"/>
          <w:color w:val="auto"/>
        </w:rPr>
        <w:t>Three months ended</w:t>
      </w:r>
    </w:p>
    <w:p>
      <w:pPr>
        <w:jc w:val="center"/>
        <w:ind w:left="85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6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r>
      <w:tr>
        <w:trPr>
          <w:trHeight w:val="253"/>
        </w:trPr>
        <w:tc>
          <w:tcPr>
            <w:tcW w:w="8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40.5 %</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Belgium</w:t>
            </w:r>
          </w:p>
        </w:tc>
        <w:tc>
          <w:tcPr>
            <w:tcW w:w="1320" w:type="dxa"/>
            <w:vAlign w:val="bottom"/>
          </w:tcPr>
          <w:p>
            <w:pPr>
              <w:jc w:val="right"/>
              <w:spacing w:after="0"/>
              <w:rPr>
                <w:sz w:val="20"/>
                <w:szCs w:val="20"/>
                <w:color w:val="auto"/>
              </w:rPr>
            </w:pPr>
            <w:r>
              <w:rPr>
                <w:rFonts w:ascii="Arial" w:cs="Arial" w:eastAsia="Arial" w:hAnsi="Arial"/>
                <w:sz w:val="18"/>
                <w:szCs w:val="18"/>
                <w:color w:val="auto"/>
              </w:rPr>
              <w:t>48.1 %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46.2 %</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42.3 %</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44.3 %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45.6 %</w:t>
            </w:r>
          </w:p>
        </w:tc>
      </w:tr>
    </w:tbl>
    <w:p>
      <w:pPr>
        <w:spacing w:after="0" w:line="3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addition to organic changes in the revenue, operating and SG&amp;A expenses of our consolidated reportable segments, the Adjusted EBITDA margins presented above include the impact of acquisitions. In this regard, the Sunrise Acquisition had a significant adverse impact on the Adjusted EBITDA margin in Switzerland, as the acquired Sunrise mobile business generates a relatively lower Adjusted EBITDA margin than our legacy cable operations in Switzerland. For discussion of the factors contributing to the changes in the Adjusted EBITDA margins of our consolidated reportable segments, see the analysis of our revenue included in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 and the analysis of our expenses included in </w:t>
      </w:r>
      <w:r>
        <w:rPr>
          <w:rFonts w:ascii="Arial" w:cs="Arial" w:eastAsia="Arial" w:hAnsi="Arial"/>
          <w:sz w:val="18"/>
          <w:szCs w:val="18"/>
          <w:i w:val="1"/>
          <w:iCs w:val="1"/>
          <w:color w:val="auto"/>
        </w:rPr>
        <w:t>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our Consolidated Operating Results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is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40" w:type="dxa"/>
            <w:vAlign w:val="bottom"/>
            <w:gridSpan w:val="3"/>
            <w:vMerge w:val="restart"/>
          </w:tcPr>
          <w:p>
            <w:pPr>
              <w:ind w:left="540"/>
              <w:spacing w:after="0"/>
              <w:rPr>
                <w:sz w:val="20"/>
                <w:szCs w:val="20"/>
                <w:color w:val="auto"/>
              </w:rPr>
            </w:pPr>
            <w:r>
              <w:rPr>
                <w:rFonts w:ascii="Arial" w:cs="Arial" w:eastAsia="Arial" w:hAnsi="Arial"/>
                <w:sz w:val="16"/>
                <w:szCs w:val="16"/>
                <w:b w:val="1"/>
                <w:bCs w:val="1"/>
                <w:color w:val="auto"/>
              </w:rPr>
              <w:t>Increase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3"/>
            <w:vMerge w:val="restart"/>
          </w:tcPr>
          <w:p>
            <w:pPr>
              <w:jc w:val="right"/>
              <w:ind w:right="51"/>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6"/>
          </w:tcPr>
          <w:p>
            <w:pPr>
              <w:spacing w:after="0"/>
              <w:rPr>
                <w:sz w:val="20"/>
                <w:szCs w:val="20"/>
                <w:color w:val="auto"/>
              </w:rPr>
            </w:pPr>
            <w:r>
              <w:rPr>
                <w:rFonts w:ascii="Arial" w:cs="Arial" w:eastAsia="Arial" w:hAnsi="Arial"/>
                <w:sz w:val="16"/>
                <w:szCs w:val="16"/>
                <w:b w:val="1"/>
                <w:bCs w:val="1"/>
                <w:color w:val="auto"/>
                <w:w w:val="99"/>
              </w:rPr>
              <w:t>in millions, except percentages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Residential cable revenue (a):</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60"/>
              <w:spacing w:after="0"/>
              <w:rPr>
                <w:sz w:val="20"/>
                <w:szCs w:val="20"/>
                <w:color w:val="auto"/>
              </w:rPr>
            </w:pPr>
            <w:r>
              <w:rPr>
                <w:rFonts w:ascii="Arial" w:cs="Arial" w:eastAsia="Arial" w:hAnsi="Arial"/>
                <w:sz w:val="18"/>
                <w:szCs w:val="18"/>
                <w:color w:val="auto"/>
              </w:rPr>
              <w:t>Broadband internet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926.8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796.8</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Video</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Fixed-line telephony</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subscription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residential cable revenue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4120" w:type="dxa"/>
            <w:vAlign w:val="bottom"/>
          </w:tcPr>
          <w:p>
            <w:pPr>
              <w:ind w:left="140"/>
              <w:spacing w:after="0"/>
              <w:rPr>
                <w:sz w:val="20"/>
                <w:szCs w:val="20"/>
                <w:color w:val="auto"/>
              </w:rPr>
            </w:pPr>
            <w:r>
              <w:rPr>
                <w:rFonts w:ascii="Arial" w:cs="Arial" w:eastAsia="Arial" w:hAnsi="Arial"/>
                <w:sz w:val="18"/>
                <w:szCs w:val="18"/>
                <w:color w:val="auto"/>
              </w:rPr>
              <w:t>Residential mobile revenue (c):</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residential mobile revenue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residential revenue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B2B revenue (d):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B2B revenue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 (e)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120" w:type="dxa"/>
            <w:vAlign w:val="bottom"/>
          </w:tcPr>
          <w:p>
            <w:pPr>
              <w:ind w:left="4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2,875.8</w:t>
            </w:r>
          </w:p>
        </w:tc>
        <w:tc>
          <w:tcPr>
            <w:tcW w:w="12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63" w:lineRule="auto"/>
        <w:tabs>
          <w:tab w:leader="none" w:pos="4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210" w:lineRule="exact"/>
        <w:rPr>
          <w:rFonts w:ascii="Arial" w:cs="Arial" w:eastAsia="Arial" w:hAnsi="Arial"/>
          <w:sz w:val="18"/>
          <w:szCs w:val="18"/>
          <w:color w:val="auto"/>
        </w:rPr>
      </w:pPr>
    </w:p>
    <w:p>
      <w:pPr>
        <w:jc w:val="both"/>
        <w:ind w:left="500" w:hanging="492"/>
        <w:spacing w:after="0" w:line="286" w:lineRule="auto"/>
        <w:tabs>
          <w:tab w:leader="none" w:pos="494"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92" w:lineRule="exact"/>
        <w:rPr>
          <w:rFonts w:ascii="Arial" w:cs="Arial" w:eastAsia="Arial" w:hAnsi="Arial"/>
          <w:sz w:val="17"/>
          <w:szCs w:val="17"/>
          <w:color w:val="auto"/>
        </w:rPr>
      </w:pPr>
    </w:p>
    <w:p>
      <w:pPr>
        <w:jc w:val="both"/>
        <w:ind w:left="500" w:hanging="492"/>
        <w:spacing w:after="0" w:line="286" w:lineRule="auto"/>
        <w:tabs>
          <w:tab w:leader="none" w:pos="497"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$77.6 million and $59.6 million during the three months ended March 31, 2021 and 2020, respectively.</w:t>
      </w:r>
    </w:p>
    <w:p>
      <w:pPr>
        <w:spacing w:after="0" w:line="192" w:lineRule="exact"/>
        <w:rPr>
          <w:rFonts w:ascii="Arial" w:cs="Arial" w:eastAsia="Arial" w:hAnsi="Arial"/>
          <w:sz w:val="17"/>
          <w:szCs w:val="17"/>
          <w:color w:val="auto"/>
        </w:rPr>
      </w:pPr>
    </w:p>
    <w:p>
      <w:pPr>
        <w:jc w:val="both"/>
        <w:ind w:left="500" w:hanging="492"/>
        <w:spacing w:after="0" w:line="255" w:lineRule="auto"/>
        <w:tabs>
          <w:tab w:leader="none" w:pos="494" w:val="left"/>
        </w:tabs>
        <w:numPr>
          <w:ilvl w:val="0"/>
          <w:numId w:val="49"/>
        </w:numPr>
        <w:rPr>
          <w:rFonts w:ascii="Arial" w:cs="Arial" w:eastAsia="Arial" w:hAnsi="Arial"/>
          <w:sz w:val="18"/>
          <w:szCs w:val="18"/>
          <w:color w:val="auto"/>
        </w:rPr>
      </w:pPr>
      <w:r>
        <w:rPr>
          <w:rFonts w:ascii="Arial" w:cs="Arial" w:eastAsia="Arial" w:hAnsi="Arial"/>
          <w:sz w:val="18"/>
          <w:szCs w:val="18"/>
          <w:color w:val="auto"/>
        </w:rPr>
        <w:t>B2B subscription revenue represents revenue from SOHO subscribers. SOHO subscribers pay a premium price to receive expanded service levels along with broadband internet, video fixed-line telephony or mobile services that are the same or similar to the mass marketed products offered to our residential subscribers. A portion of the increase in our B2B subscription revenue is attributable to the conversion of certain residential subscribers to SOHO subscribers. B2B non-subscription revenue includes (i) revenue from business broadband internet, video, fixed-line telephony, mobile and data services offered to medium to large enterprises and, on a wholesale basis, to other operators and (ii) revenue from long-term leases of portions of our network.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5" w:name="page56"/>
    <w:bookmarkEnd w:id="55"/>
    <w:p>
      <w:pPr>
        <w:jc w:val="both"/>
        <w:ind w:left="500" w:hanging="492"/>
        <w:spacing w:after="0" w:line="263" w:lineRule="auto"/>
        <w:tabs>
          <w:tab w:leader="none" w:pos="4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revenue includes, among other items, (i) broadcasting revenue in Belgium and Ireland, (ii) revenue earned from the JV Services and the sale of customer premises equipment to the VodafoneZiggo JV and (iii) revenue earned from transitional and other services provided to various third parties.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Our consolidated revenue increased $739.5 million or 25.7% during the three months ended March 31, 2021,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period in 2020. This increase includes an increase of $486.7 million attributable to the impact of the Sunrise Acquisition. On an organic basis, our consolidated revenue decreased $5.2 million or 0.2%.</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Residential revenue. </w:t>
      </w:r>
      <w:r>
        <w:rPr>
          <w:rFonts w:ascii="Arial" w:cs="Arial" w:eastAsia="Arial" w:hAnsi="Arial"/>
          <w:sz w:val="18"/>
          <w:szCs w:val="18"/>
          <w:color w:val="auto"/>
        </w:rPr>
        <w:t>The details of the increase in our consolidated residential revenue during the three months ended March 31, 2021,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corresponding period in 2020, are as follows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9840" w:type="dxa"/>
            <w:vAlign w:val="bottom"/>
          </w:tcPr>
          <w:p>
            <w:pPr>
              <w:ind w:left="140"/>
              <w:spacing w:after="0"/>
              <w:rPr>
                <w:sz w:val="20"/>
                <w:szCs w:val="20"/>
                <w:color w:val="auto"/>
              </w:rPr>
            </w:pPr>
            <w:r>
              <w:rPr>
                <w:rFonts w:ascii="Arial" w:cs="Arial" w:eastAsia="Arial" w:hAnsi="Arial"/>
                <w:sz w:val="18"/>
                <w:szCs w:val="18"/>
                <w:color w:val="auto"/>
              </w:rPr>
              <w:t>Average number of customers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ARPU</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in residential cable non-subscription revenue</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9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decrease in residential cable revenue</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Increase in residential mobile subscription revenue</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residential mobile non-subscription revenue</w:t>
            </w: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50"/>
        </w:trPr>
        <w:tc>
          <w:tcPr>
            <w:tcW w:w="9840" w:type="dxa"/>
            <w:vAlign w:val="bottom"/>
          </w:tcPr>
          <w:p>
            <w:pPr>
              <w:ind w:left="400"/>
              <w:spacing w:after="0"/>
              <w:rPr>
                <w:sz w:val="20"/>
                <w:szCs w:val="20"/>
                <w:color w:val="auto"/>
              </w:rPr>
            </w:pPr>
            <w:r>
              <w:rPr>
                <w:rFonts w:ascii="Arial" w:cs="Arial" w:eastAsia="Arial" w:hAnsi="Arial"/>
                <w:sz w:val="18"/>
                <w:szCs w:val="18"/>
                <w:color w:val="auto"/>
              </w:rPr>
              <w:t>Total organic decrease in residential revenue</w:t>
            </w: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acquisitions and dispositions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r>
      <w:tr>
        <w:trPr>
          <w:trHeight w:val="248"/>
        </w:trPr>
        <w:tc>
          <w:tcPr>
            <w:tcW w:w="9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increase in residential revenue</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On an organic basis, our consolidated residential cable subscription revenue decreased $41.0 million or 2.3% during the three months ended March 31, 2021, as compared to the corresponding period in 2020, primarily attributable to decreases in </w:t>
      </w:r>
      <w:r>
        <w:rPr>
          <w:rFonts w:ascii="Arial" w:cs="Arial" w:eastAsia="Arial" w:hAnsi="Arial"/>
          <w:sz w:val="18"/>
          <w:szCs w:val="18"/>
          <w:color w:val="2C2C2C"/>
        </w:rPr>
        <w:t>U.K./Ireland and Switzerland</w:t>
      </w:r>
      <w:r>
        <w:rPr>
          <w:rFonts w:ascii="Arial" w:cs="Arial" w:eastAsia="Arial" w:hAnsi="Arial"/>
          <w:sz w:val="18"/>
          <w:szCs w:val="18"/>
          <w:color w:val="auto"/>
        </w:rPr>
        <w:t>.</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On an organic basis, our consolidated residential cable non-subscription revenue increased $1.2 million or 2.3% during the three months ended March 31, 2021, as compared to the corresponding period in 2020, primarily due to the net effect of (i) an increase in </w:t>
      </w:r>
      <w:r>
        <w:rPr>
          <w:rFonts w:ascii="Arial" w:cs="Arial" w:eastAsia="Arial" w:hAnsi="Arial"/>
          <w:sz w:val="18"/>
          <w:szCs w:val="18"/>
          <w:color w:val="2C2C2C"/>
        </w:rPr>
        <w:t>U.K./Ireland and (ii)</w:t>
      </w:r>
      <w:r>
        <w:rPr>
          <w:rFonts w:ascii="Arial" w:cs="Arial" w:eastAsia="Arial" w:hAnsi="Arial"/>
          <w:sz w:val="18"/>
          <w:szCs w:val="18"/>
          <w:color w:val="auto"/>
        </w:rPr>
        <w:t xml:space="preserve"> a decrease in Switzerland.</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 organic basis, our consolidated residential mobile subscription revenue increased $1.2 million or 0.5% during the three months ended March 31, 2021, as compared to the corresponding period in 2020, primarily attributable to an increase in Switzerland.</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On an organic basis, our consolidated residential mobile non-subscription revenue increased $19.5 million or 13.4% during the three months ended March 31, 2021, as compared to the corresponding period in 2020, primarily due to an increase in </w:t>
      </w:r>
      <w:r>
        <w:rPr>
          <w:rFonts w:ascii="Arial" w:cs="Arial" w:eastAsia="Arial" w:hAnsi="Arial"/>
          <w:sz w:val="18"/>
          <w:szCs w:val="18"/>
          <w:color w:val="2C2C2C"/>
        </w:rPr>
        <w:t>U.K./Ireland</w:t>
      </w:r>
      <w:r>
        <w:rPr>
          <w:rFonts w:ascii="Arial" w:cs="Arial" w:eastAsia="Arial" w:hAnsi="Arial"/>
          <w:sz w:val="18"/>
          <w:szCs w:val="18"/>
          <w:color w:val="auto"/>
        </w:rPr>
        <w:t>.</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On an organic basis, our consolidated B2B subscription revenue increased $9.0 million or 7.2% during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2021, as compared to the corresponding period in 2020, primarily attributable to increases in </w:t>
      </w:r>
      <w:r>
        <w:rPr>
          <w:rFonts w:ascii="Arial" w:cs="Arial" w:eastAsia="Arial" w:hAnsi="Arial"/>
          <w:sz w:val="18"/>
          <w:szCs w:val="18"/>
          <w:color w:val="2C2C2C"/>
        </w:rPr>
        <w:t>U.K./Ireland and Belgium</w:t>
      </w:r>
      <w:r>
        <w:rPr>
          <w:rFonts w:ascii="Arial" w:cs="Arial" w:eastAsia="Arial" w:hAnsi="Arial"/>
          <w:sz w:val="18"/>
          <w:szCs w:val="18"/>
          <w:color w:val="auto"/>
        </w:rPr>
        <w:t>.</w:t>
      </w:r>
    </w:p>
    <w:p>
      <w:pPr>
        <w:spacing w:after="0" w:line="19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On an organic basis, our consolidated B2B non-subscription revenue increased $6.8 million or 1.9% during the three months ended March 31, 2021, as compared to the corresponding period in 2020, primarily due to the net effect of (i) an increase in </w:t>
      </w:r>
      <w:r>
        <w:rPr>
          <w:rFonts w:ascii="Arial" w:cs="Arial" w:eastAsia="Arial" w:hAnsi="Arial"/>
          <w:sz w:val="16"/>
          <w:szCs w:val="16"/>
          <w:color w:val="2C2C2C"/>
        </w:rPr>
        <w:t>U.K./Ireland</w:t>
      </w:r>
      <w:r>
        <w:rPr>
          <w:rFonts w:ascii="Arial" w:cs="Arial" w:eastAsia="Arial" w:hAnsi="Arial"/>
          <w:sz w:val="16"/>
          <w:szCs w:val="16"/>
          <w:color w:val="auto"/>
        </w:rPr>
        <w:t xml:space="preserve"> and (ii) a decrease in Belgium.</w:t>
      </w:r>
    </w:p>
    <w:p>
      <w:pPr>
        <w:spacing w:after="0" w:line="15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On an organic basis, our consolidated other revenue decreased $1.9 million or 1.3% during the three months ended March 31, 2021,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corresponding period in 2020, primarily attributable to a decrease in Central and Corporate related to revenue earned from the sale of customer premises equipment to the VodafoneZiggo JV.</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concerning the changes in our residential, B2B and other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6" w:name="page57"/>
    <w:bookmarkEnd w:id="56"/>
    <w:p>
      <w:pPr>
        <w:ind w:left="18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Programming and other direct costs of services include programming and copyright costs, interconnect and access costs, costs of mobile handsets and other devices and other direct costs related to our operations.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programming and other direct costs of services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100" w:type="dxa"/>
            <w:vAlign w:val="bottom"/>
            <w:gridSpan w:val="4"/>
            <w:vMerge w:val="restart"/>
          </w:tcPr>
          <w:p>
            <w:pPr>
              <w:jc w:val="center"/>
              <w:ind w:right="400"/>
              <w:spacing w:after="0"/>
              <w:rPr>
                <w:sz w:val="20"/>
                <w:szCs w:val="20"/>
                <w:color w:val="auto"/>
              </w:rPr>
            </w:pPr>
            <w:r>
              <w:rPr>
                <w:rFonts w:ascii="Arial" w:cs="Arial" w:eastAsia="Arial" w:hAnsi="Arial"/>
                <w:sz w:val="16"/>
                <w:szCs w:val="16"/>
                <w:b w:val="1"/>
                <w:bCs w:val="1"/>
                <w:color w:val="auto"/>
                <w:w w:val="89"/>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1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8"/>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programming and other direct costs of services increased $255.5 million or 29.9% during the three months ended March 31, 2021, as compared to the corresponding period in 2020. This increase includes an increase of $189.6 million attributable to the impact of the Sunrise Acquisition. On an organic basis, our programming and other direct costs of services decreased $17.2 million or 2.0%. This decrease includes the following factors:</w:t>
      </w:r>
    </w:p>
    <w:p>
      <w:pPr>
        <w:spacing w:after="0" w:line="176" w:lineRule="exact"/>
        <w:rPr>
          <w:sz w:val="20"/>
          <w:szCs w:val="20"/>
          <w:color w:val="auto"/>
        </w:rPr>
      </w:pPr>
    </w:p>
    <w:p>
      <w:pPr>
        <w:jc w:val="both"/>
        <w:ind w:left="660" w:hanging="328"/>
        <w:spacing w:after="0" w:line="286"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decrease in interconnect and access costs of $33.7 million or 15.7%, primarily due to lower interconnect and mobile roaming costs in Belgium, U.K./Ireland and Switzerland. Across all of our markets, interconnect and mobile roaming costs have been impacted by changes in usage per subscriber associated with factors such as lower travel and the use of WiFi alternatives during the COVID-19 pandemic;</w:t>
      </w:r>
    </w:p>
    <w:p>
      <w:pPr>
        <w:spacing w:after="0" w:line="192" w:lineRule="exact"/>
        <w:rPr>
          <w:rFonts w:ascii="Arial" w:cs="Arial" w:eastAsia="Arial" w:hAnsi="Arial"/>
          <w:sz w:val="17"/>
          <w:szCs w:val="17"/>
          <w:color w:val="auto"/>
        </w:rPr>
      </w:pPr>
    </w:p>
    <w:p>
      <w:pPr>
        <w:ind w:left="660" w:hanging="328"/>
        <w:spacing w:after="0" w:line="308"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 increase in mobile handset and other device costs of $15.6 million or 19.8%, primarily due to (i) a higher average cost per handset sold in U.K./Ireland and (ii) higher sales volumes, as an increase in U.K./Ireland was only partially offset by a decrease in Switzerland; and</w:t>
      </w:r>
    </w:p>
    <w:p>
      <w:pPr>
        <w:spacing w:after="0" w:line="173" w:lineRule="exact"/>
        <w:rPr>
          <w:rFonts w:ascii="Arial" w:cs="Arial" w:eastAsia="Arial" w:hAnsi="Arial"/>
          <w:sz w:val="17"/>
          <w:szCs w:val="17"/>
          <w:color w:val="auto"/>
        </w:rPr>
      </w:pPr>
    </w:p>
    <w:p>
      <w:pPr>
        <w:jc w:val="both"/>
        <w:ind w:left="660" w:hanging="328"/>
        <w:spacing w:after="0" w:line="255"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decrease in programming and copyright costs of $8.9 million or 1.9%, primarily due to lower costs for certain premium and/or basic content, as decreases in Belgium and Switzerland were only partially offset by an increase in U.K./Ireland. The decreases in Belgium and Switzerland include decreases of $10.6 million and $4.1 million, respectively, due to the acceleration of certain costs for sports rights during the first quarter of 2020 as a result of the COVID-19 pandemic. In this respect, certain sports leagues in Belgium and Switzerland were cancelled during 2020. Accordingly, the prepaid amounts for the associated sports rights that were previously scheduled to be expensed during the second quarter of 2020 were recognized during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7" w:name="page58"/>
    <w:bookmarkEnd w:id="57"/>
    <w:p>
      <w:pPr>
        <w:ind w:left="180"/>
        <w:spacing w:after="0"/>
        <w:rPr>
          <w:sz w:val="20"/>
          <w:szCs w:val="20"/>
          <w:color w:val="auto"/>
        </w:rPr>
      </w:pPr>
      <w:r>
        <w:rPr>
          <w:rFonts w:ascii="Arial" w:cs="Arial" w:eastAsia="Arial" w:hAnsi="Arial"/>
          <w:sz w:val="18"/>
          <w:szCs w:val="18"/>
          <w:i w:val="1"/>
          <w:iCs w:val="1"/>
          <w:color w:val="auto"/>
        </w:rPr>
        <w:t>Other operating expenses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other operating expenses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000" w:type="dxa"/>
            <w:vAlign w:val="bottom"/>
            <w:gridSpan w:val="3"/>
            <w:vMerge w:val="restart"/>
          </w:tcPr>
          <w:p>
            <w:pPr>
              <w:jc w:val="right"/>
              <w:ind w:right="391"/>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1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jc w:val="right"/>
              <w:ind w:right="11"/>
              <w:spacing w:after="0"/>
              <w:rPr>
                <w:sz w:val="20"/>
                <w:szCs w:val="20"/>
                <w:color w:val="auto"/>
              </w:rPr>
            </w:pPr>
            <w:r>
              <w:rPr>
                <w:rFonts w:ascii="Arial" w:cs="Arial" w:eastAsia="Arial" w:hAnsi="Arial"/>
                <w:sz w:val="16"/>
                <w:szCs w:val="16"/>
                <w:b w:val="1"/>
                <w:bCs w:val="1"/>
                <w:color w:val="auto"/>
                <w:w w:val="91"/>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6"/>
        </w:trPr>
        <w:tc>
          <w:tcPr>
            <w:tcW w:w="414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w w:val="91"/>
              </w:rPr>
              <w:t>Total other operating expenses excluding share-based</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compensation expense</w:t>
            </w: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other operating expenses (exclusive of share-based compensation expense) increased $103.5 million or 24.7% during the three months ended March 31, 2021, as compared to the corresponding period in 2020. This increase includes an increase of $52.9 million attributable to the impact of the Sunrise Acquisition. On an organic basis, our other operating expenses increased $11.9 million or 2.8%, respectively. This increase includes the following factors:</w:t>
      </w:r>
    </w:p>
    <w:p>
      <w:pPr>
        <w:spacing w:after="0" w:line="214" w:lineRule="exact"/>
        <w:rPr>
          <w:sz w:val="20"/>
          <w:szCs w:val="20"/>
          <w:color w:val="auto"/>
        </w:rPr>
      </w:pPr>
    </w:p>
    <w:p>
      <w:pPr>
        <w:jc w:val="both"/>
        <w:ind w:left="660" w:hanging="328"/>
        <w:spacing w:after="0" w:line="26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personnel costs of $7.6 million or 6.0%, primarily due to the net effect of (i) higher staffing levels, as an increase in U.K./Ireland was only partially offset by a decrease in Switzerland, (ii) lower costs due to higher capitalizable activities in U.K./Ireland and (iii) higher average costs per employee, primarily due to an increase in U.K./Ireland; and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core network and information technology-related costs of $4.6 million or 6.7%, primarily due to (i) higher network maintenance costs in Central and Corporate and (ii) higher information technology-related expenses, primarily due to an increase in U.K./Ireland that was only partially offset by decreases in Switzerland and Central and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8" w:name="page59"/>
    <w:bookmarkEnd w:id="58"/>
    <w:p>
      <w:pPr>
        <w:ind w:left="180"/>
        <w:spacing w:after="0"/>
        <w:rPr>
          <w:sz w:val="20"/>
          <w:szCs w:val="20"/>
          <w:color w:val="auto"/>
        </w:rPr>
      </w:pPr>
      <w:r>
        <w:rPr>
          <w:rFonts w:ascii="Arial" w:cs="Arial" w:eastAsia="Arial" w:hAnsi="Arial"/>
          <w:sz w:val="18"/>
          <w:szCs w:val="18"/>
          <w:i w:val="1"/>
          <w:iCs w:val="1"/>
          <w:color w:val="auto"/>
        </w:rPr>
        <w:t>SG&amp;A expenses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SG&amp;A expenses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300" w:type="dxa"/>
            <w:vAlign w:val="bottom"/>
          </w:tcPr>
          <w:p>
            <w:pPr>
              <w:spacing w:after="0"/>
              <w:rPr>
                <w:sz w:val="16"/>
                <w:szCs w:val="16"/>
                <w:color w:val="auto"/>
              </w:rPr>
            </w:pPr>
          </w:p>
        </w:tc>
        <w:tc>
          <w:tcPr>
            <w:tcW w:w="2000" w:type="dxa"/>
            <w:vAlign w:val="bottom"/>
            <w:gridSpan w:val="4"/>
            <w:vMerge w:val="restart"/>
          </w:tcPr>
          <w:p>
            <w:pPr>
              <w:jc w:val="center"/>
              <w:ind w:right="211"/>
              <w:spacing w:after="0"/>
              <w:rPr>
                <w:sz w:val="20"/>
                <w:szCs w:val="20"/>
                <w:color w:val="auto"/>
              </w:rPr>
            </w:pPr>
            <w:r>
              <w:rPr>
                <w:rFonts w:ascii="Arial" w:cs="Arial" w:eastAsia="Arial" w:hAnsi="Arial"/>
                <w:sz w:val="16"/>
                <w:szCs w:val="16"/>
                <w:b w:val="1"/>
                <w:bCs w:val="1"/>
                <w:color w:val="auto"/>
                <w:w w:val="89"/>
              </w:rPr>
              <w:t>Increase (decrease)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12"/>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6"/>
                <w:szCs w:val="16"/>
                <w:b w:val="1"/>
                <w:bCs w:val="1"/>
                <w:color w:val="auto"/>
                <w:w w:val="94"/>
              </w:rPr>
              <w:t>March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55"/>
        </w:trPr>
        <w:tc>
          <w:tcPr>
            <w:tcW w:w="4140" w:type="dxa"/>
            <w:vAlign w:val="bottom"/>
          </w:tcPr>
          <w:p>
            <w:pPr>
              <w:ind w:left="140"/>
              <w:spacing w:after="0" w:line="156" w:lineRule="exact"/>
              <w:rPr>
                <w:sz w:val="20"/>
                <w:szCs w:val="20"/>
                <w:color w:val="auto"/>
              </w:rPr>
            </w:pPr>
            <w:r>
              <w:rPr>
                <w:rFonts w:ascii="Arial" w:cs="Arial" w:eastAsia="Arial" w:hAnsi="Arial"/>
                <w:sz w:val="18"/>
                <w:szCs w:val="18"/>
                <w:color w:val="auto"/>
              </w:rPr>
              <w:t>Total SG&amp;A expenses excluding share-based</w:t>
            </w: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614.5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36.3</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4140" w:type="dxa"/>
            <w:vAlign w:val="bottom"/>
          </w:tcPr>
          <w:p>
            <w:pPr>
              <w:ind w:left="300"/>
              <w:spacing w:after="0" w:line="202" w:lineRule="exact"/>
              <w:rPr>
                <w:sz w:val="20"/>
                <w:szCs w:val="20"/>
                <w:color w:val="auto"/>
              </w:rPr>
            </w:pPr>
            <w:r>
              <w:rPr>
                <w:rFonts w:ascii="Arial" w:cs="Arial" w:eastAsia="Arial" w:hAnsi="Arial"/>
                <w:sz w:val="18"/>
                <w:szCs w:val="18"/>
                <w:color w:val="auto"/>
              </w:rPr>
              <w:t>compensation expense</w:t>
            </w: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tcPr>
          <w:p>
            <w:pPr>
              <w:ind w:left="180"/>
              <w:spacing w:after="0"/>
              <w:rPr>
                <w:sz w:val="20"/>
                <w:szCs w:val="20"/>
                <w:color w:val="auto"/>
              </w:rPr>
            </w:pPr>
            <w:r>
              <w:rPr>
                <w:rFonts w:ascii="Arial" w:cs="Arial" w:eastAsia="Arial" w:hAnsi="Arial"/>
                <w:sz w:val="18"/>
                <w:szCs w:val="18"/>
                <w:i w:val="1"/>
                <w:iCs w:val="1"/>
                <w:color w:val="auto"/>
              </w:rPr>
              <w:t>Supplemental SG&amp;A expense information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300" w:type="dxa"/>
            <w:vAlign w:val="bottom"/>
          </w:tcPr>
          <w:p>
            <w:pPr>
              <w:spacing w:after="0"/>
              <w:rPr>
                <w:sz w:val="16"/>
                <w:szCs w:val="16"/>
                <w:color w:val="auto"/>
              </w:rPr>
            </w:pPr>
          </w:p>
        </w:tc>
        <w:tc>
          <w:tcPr>
            <w:tcW w:w="1260" w:type="dxa"/>
            <w:vAlign w:val="bottom"/>
            <w:gridSpan w:val="3"/>
            <w:vMerge w:val="restart"/>
          </w:tcPr>
          <w:p>
            <w:pPr>
              <w:jc w:val="center"/>
              <w:ind w:left="352"/>
              <w:spacing w:after="0"/>
              <w:rPr>
                <w:sz w:val="20"/>
                <w:szCs w:val="20"/>
                <w:color w:val="auto"/>
              </w:rPr>
            </w:pPr>
            <w:r>
              <w:rPr>
                <w:rFonts w:ascii="Arial" w:cs="Arial" w:eastAsia="Arial" w:hAnsi="Arial"/>
                <w:sz w:val="16"/>
                <w:szCs w:val="16"/>
                <w:b w:val="1"/>
                <w:bCs w:val="1"/>
                <w:color w:val="auto"/>
                <w:w w:val="89"/>
              </w:rPr>
              <w:t>Increase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472"/>
              <w:spacing w:after="0"/>
              <w:rPr>
                <w:sz w:val="20"/>
                <w:szCs w:val="20"/>
                <w:color w:val="auto"/>
              </w:rPr>
            </w:pPr>
            <w:r>
              <w:rPr>
                <w:rFonts w:ascii="Arial" w:cs="Arial" w:eastAsia="Arial" w:hAnsi="Arial"/>
                <w:sz w:val="16"/>
                <w:szCs w:val="16"/>
                <w:b w:val="1"/>
                <w:bCs w:val="1"/>
                <w:color w:val="auto"/>
              </w:rPr>
              <w:t>Organic increase</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6"/>
                <w:szCs w:val="16"/>
                <w:b w:val="1"/>
                <w:bCs w:val="1"/>
                <w:color w:val="auto"/>
                <w:w w:val="94"/>
              </w:rPr>
              <w:t>March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External sales and marketing</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19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SG&amp;A expenses (exclusive of share-based compensation expense) increased $163.5 million or 36.3% during the three months ended March 31, 2021, as compared to the corresponding period in 2020. This increase includes an increase of $97.0 million attributable to the impact of the Sunrise Acquisition. On an organic basis, our SG&amp;A expenses increased $22.3 million or 4.9%, respectively. This increase includes the following factors:</w:t>
      </w:r>
    </w:p>
    <w:p>
      <w:pPr>
        <w:spacing w:after="0" w:line="176" w:lineRule="exact"/>
        <w:rPr>
          <w:sz w:val="20"/>
          <w:szCs w:val="20"/>
          <w:color w:val="auto"/>
        </w:rPr>
      </w:pPr>
    </w:p>
    <w:p>
      <w:pPr>
        <w:ind w:left="66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core network and information technology-related costs of $20.0 million or 45.1%, primarily due to higher information technology-related expenses in U.K./Ireland, Central and Corporate and Switzerland;</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personnel costs of $16.0 million or 7.7%, primarily due to the net effect of (i) higher staffing levels, primarily due to increases in Central and Corporate, Belgium and Switzerland that were only partially offset by a decrease in U.K./Ireland, (ii) lower average costs per employee, primarily due to a decrease in Central and Corporate that was only partially offset by increases in U.K./Ireland and Switzerland, and (iii) an increase in temporary personnel costs in U.K./Ireland; and</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9" w:name="page60"/>
    <w:bookmarkEnd w:id="59"/>
    <w:p>
      <w:pPr>
        <w:jc w:val="both"/>
        <w:ind w:left="66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decrease in business service costs of $8.2 million or 15.5%, primarily due the net effect of (i) a decrease in travel and entertainment expenses as a result of the COVID-19 pandemic, primarily in Central and Corporate and U.K./Ireland and (ii) higher consulting costs, as increases in U.K./Ireland and Switzerland were only partially offset by a decrease in Belgium.</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Share-based compensation expense</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86"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color w:val="auto"/>
        </w:rPr>
        <w:t>Three months ended</w:t>
      </w:r>
    </w:p>
    <w:p>
      <w:pPr>
        <w:jc w:val="center"/>
        <w:ind w:left="87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6"/>
        </w:trPr>
        <w:tc>
          <w:tcPr>
            <w:tcW w:w="8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60" w:type="dxa"/>
            <w:vAlign w:val="bottom"/>
          </w:tcPr>
          <w:p>
            <w:pPr>
              <w:ind w:left="140"/>
              <w:spacing w:after="0"/>
              <w:rPr>
                <w:sz w:val="20"/>
                <w:szCs w:val="20"/>
                <w:color w:val="auto"/>
              </w:rPr>
            </w:pPr>
            <w:r>
              <w:rPr>
                <w:rFonts w:ascii="Arial" w:cs="Arial" w:eastAsia="Arial" w:hAnsi="Arial"/>
                <w:sz w:val="18"/>
                <w:szCs w:val="18"/>
                <w:color w:val="auto"/>
              </w:rPr>
              <w:t>Performance-based incentive awards (a)</w:t>
            </w: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24.0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Non-performance based incentive awards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(b)</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Liberty Global</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7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7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8"/>
        </w:trPr>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PSUs.</w:t>
      </w:r>
    </w:p>
    <w:p>
      <w:pPr>
        <w:spacing w:after="0" w:line="252" w:lineRule="exact"/>
        <w:rPr>
          <w:rFonts w:ascii="Arial" w:cs="Arial" w:eastAsia="Arial" w:hAnsi="Arial"/>
          <w:sz w:val="18"/>
          <w:szCs w:val="18"/>
          <w:color w:val="auto"/>
        </w:rPr>
      </w:pPr>
    </w:p>
    <w:p>
      <w:pPr>
        <w:jc w:val="both"/>
        <w:ind w:left="500" w:hanging="492"/>
        <w:spacing w:after="0" w:line="259" w:lineRule="auto"/>
        <w:tabs>
          <w:tab w:leader="none" w:pos="494"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regarding our share-based compensation expense, see note 13 to our condensed consolidated financial statements.</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depreciation and amortization expense was $634.2 million and $783.5 million for the three months ended March 31, 2021 and 2020, respectively. Excluding the effects of FX, depreciation and amortization expense decreased $191.6 million or 24.5% during the three months ended March 31, 2021, respectively, as compared to the corresponding period in 2020. This decrease is primarily due to the net effect of (i) a decrease in U.K./Ireland of $413.5 million as a result of the held-for-sale presentation of the U.K. JV Entities effective May 7, 2020, (ii) an increase due to the Sunrise Acquisition, (iii) a decrease associated with certain assets becoming fully depreciated, primarily in Central and Corporate and Switzerland and (iv) an increase associated with property and equipment additions related to the installation of customer premises equipment, the expansion and upgrade of our networks and other capital initiatives, primarily in Central and Corporate, Switzerland and Belgium. For information regarding the held-for-sale presentation of the U.K. JV Entities, see note 4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60" w:name="page61"/>
    <w:bookmarkEnd w:id="60"/>
    <w:p>
      <w:pPr>
        <w:ind w:left="18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recognized impairment, restructuring and other operating items, net, of $44.4 million and $31.0 million during the three months ended March 31, 2021 and 2020, respectively.</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amount for the 2021 period includes (i) restructuring charges of $31.3 million, including $28.4 million of employee severance and termination costs related to certain reorganization activities, primarily in Switzerland and Central and Corporate, and (ii) direct acquisition and disposition costs of $18.4 million, primarily related to costs incurred in connection with the pending formation of the U.K. JV.</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amount for the 2020 period includes (i) restructuring charges of $21.2 million, including $19.8 million of employee severance and termination costs related to certain reorganization activities, primarily in Switzerland, U.K./Ireland and Central and Corporate, (ii) direct acquisition and disposition costs of $6.3 million and (iii) impairment charges of $5.6 million, primarily in Belgium.</w:t>
      </w:r>
    </w:p>
    <w:p>
      <w:pPr>
        <w:spacing w:after="0" w:line="2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recognized interest expense of $335.1 million and $313.3 million during the three months ended March 31, 2021 and 2020, respectively, including interest expense of the U.K. JV Entities. Excluding the effects of FX, interest expense decreased $25.7 million or 8.2% during the three months ended March 31, 2021, as compared to the corresponding period in 2020. This decrease is primarily attributable to a lower weighted average interest rate, partially offset by a higher average outstanding debt balance. For additional information regarding our outstanding indebtedness, see note 9 to our condensed consolidated financial statements.</w:t>
      </w:r>
    </w:p>
    <w:p>
      <w:pPr>
        <w:spacing w:after="0" w:line="21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7"/>
          <w:szCs w:val="17"/>
          <w:i w:val="1"/>
          <w:iCs w:val="1"/>
          <w:color w:val="auto"/>
        </w:rPr>
        <w:t xml:space="preserve">Quantitative and Qualitative Disclosures about Market Risk </w:t>
      </w:r>
      <w:r>
        <w:rPr>
          <w:rFonts w:ascii="Arial" w:cs="Arial" w:eastAsia="Arial" w:hAnsi="Arial"/>
          <w:sz w:val="17"/>
          <w:szCs w:val="17"/>
          <w:color w:val="auto"/>
        </w:rPr>
        <w:t>below, we use derivative instruments to manage our interest rate risks.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Realized and unrealized gains on derivative instruments, net</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on derivative instruments, net, are as follows:</w:t>
      </w:r>
    </w:p>
    <w:p>
      <w:pPr>
        <w:spacing w:after="0" w:line="81"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r>
      <w:tr>
        <w:trPr>
          <w:trHeight w:val="206"/>
        </w:trPr>
        <w:tc>
          <w:tcPr>
            <w:tcW w:w="8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8"/>
        </w:trPr>
        <w:tc>
          <w:tcPr>
            <w:tcW w:w="8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 (a)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w:t>
            </w:r>
          </w:p>
        </w:tc>
      </w:tr>
      <w:tr>
        <w:trPr>
          <w:trHeight w:val="209"/>
        </w:trPr>
        <w:tc>
          <w:tcPr>
            <w:tcW w:w="8620" w:type="dxa"/>
            <w:vAlign w:val="bottom"/>
          </w:tcPr>
          <w:p>
            <w:pPr>
              <w:ind w:left="20"/>
              <w:spacing w:after="0"/>
              <w:rPr>
                <w:sz w:val="20"/>
                <w:szCs w:val="20"/>
                <w:color w:val="auto"/>
              </w:rPr>
            </w:pPr>
            <w:r>
              <w:rPr>
                <w:rFonts w:ascii="Arial" w:cs="Arial" w:eastAsia="Arial" w:hAnsi="Arial"/>
                <w:sz w:val="18"/>
                <w:szCs w:val="18"/>
                <w:color w:val="auto"/>
              </w:rPr>
              <w:t>Equity-related derivative instruments: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ITV Collar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r>
      <w:tr>
        <w:trPr>
          <w:trHeight w:val="230"/>
        </w:trPr>
        <w:tc>
          <w:tcPr>
            <w:tcW w:w="8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equity-related derivative instruments (b)</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r>
      <w:tr>
        <w:trPr>
          <w:trHeight w:val="223"/>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forward and option contracts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1,237.3</w:t>
            </w:r>
          </w:p>
        </w:tc>
      </w:tr>
      <w:tr>
        <w:trPr>
          <w:trHeight w:val="20"/>
        </w:trPr>
        <w:tc>
          <w:tcPr>
            <w:tcW w:w="8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are attributable to net gains associated with (i) changes in the relative value of certain currencies and (ii)</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1" w:name="page62"/>
    <w:bookmarkEnd w:id="61"/>
    <w:p>
      <w:pPr>
        <w:ind w:left="500"/>
        <w:spacing w:after="0" w:line="277" w:lineRule="auto"/>
        <w:rPr>
          <w:sz w:val="20"/>
          <w:szCs w:val="20"/>
          <w:color w:val="auto"/>
        </w:rPr>
      </w:pPr>
      <w:r>
        <w:rPr>
          <w:rFonts w:ascii="Arial" w:cs="Arial" w:eastAsia="Arial" w:hAnsi="Arial"/>
          <w:sz w:val="18"/>
          <w:szCs w:val="18"/>
          <w:color w:val="auto"/>
        </w:rPr>
        <w:t>changes in certain market interest rates. In addition, the gains during the 2021 and 2020 periods include a net gain (loss) of ($39.0 million) and $66.3 million, respectively, resulting from changes in our credit risk valuation adjustments.</w:t>
      </w:r>
    </w:p>
    <w:p>
      <w:pPr>
        <w:spacing w:after="0" w:line="197" w:lineRule="exact"/>
        <w:rPr>
          <w:sz w:val="20"/>
          <w:szCs w:val="20"/>
          <w:color w:val="auto"/>
        </w:rPr>
      </w:pPr>
    </w:p>
    <w:p>
      <w:pPr>
        <w:ind w:left="480" w:hanging="472"/>
        <w:spacing w:after="0"/>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recurring fair value measurements of our equity-related derivative instruments are based on Black-Scholes pricing models.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information concerning our derivative instruments, see notes 6 and 7 to our condensed consolidated financial statements and Part I, Item</w:t>
      </w:r>
    </w:p>
    <w:p>
      <w:pPr>
        <w:spacing w:after="0" w:line="46" w:lineRule="exact"/>
        <w:rPr>
          <w:sz w:val="20"/>
          <w:szCs w:val="20"/>
          <w:color w:val="auto"/>
        </w:rPr>
      </w:pPr>
    </w:p>
    <w:p>
      <w:pPr>
        <w:ind w:left="180" w:right="6200" w:hanging="172"/>
        <w:spacing w:after="0" w:line="523" w:lineRule="auto"/>
        <w:tabs>
          <w:tab w:leader="none" w:pos="198"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below.</w:t>
      </w:r>
      <w:r>
        <w:rPr>
          <w:rFonts w:ascii="Arial" w:cs="Arial" w:eastAsia="Arial" w:hAnsi="Arial"/>
          <w:sz w:val="18"/>
          <w:szCs w:val="18"/>
          <w:i w:val="1"/>
          <w:iCs w:val="1"/>
          <w:color w:val="auto"/>
        </w:rPr>
        <w:t xml:space="preserve"> Foreign currency transaction gains (losses), net</w:t>
      </w:r>
    </w:p>
    <w:p>
      <w:pPr>
        <w:spacing w:after="0" w:line="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net, are as follows:</w:t>
      </w:r>
    </w:p>
    <w:p>
      <w:pPr>
        <w:spacing w:after="0" w:line="102"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r>
      <w:tr>
        <w:trPr>
          <w:trHeight w:val="206"/>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8"/>
        </w:trPr>
        <w:tc>
          <w:tcPr>
            <w:tcW w:w="8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Intercompany payables and receivables denominated in a currency other than the entity’s functional currency (a)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U.S. dollar-denominated debt issued by euro functional currency entities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dollar-denominated debt issued by British pound sterling functional currency entities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British pound sterling-denominated debt issued by a U.S. dollar functional currency entity</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Euro-denominated debt issued by British pound sterling functional currency entities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48"/>
        </w:trPr>
        <w:tc>
          <w:tcPr>
            <w:tcW w:w="8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right="20" w:hanging="492"/>
        <w:spacing w:after="0" w:line="342" w:lineRule="auto"/>
        <w:tabs>
          <w:tab w:leader="none" w:pos="497" w:val="left"/>
        </w:tabs>
        <w:numPr>
          <w:ilvl w:val="0"/>
          <w:numId w:val="60"/>
        </w:numPr>
        <w:rPr>
          <w:rFonts w:ascii="Arial" w:cs="Arial" w:eastAsia="Arial" w:hAnsi="Arial"/>
          <w:sz w:val="16"/>
          <w:szCs w:val="16"/>
          <w:color w:val="auto"/>
        </w:rPr>
      </w:pPr>
      <w:r>
        <w:rPr>
          <w:rFonts w:ascii="Arial" w:cs="Arial" w:eastAsia="Arial" w:hAnsi="Arial"/>
          <w:sz w:val="16"/>
          <w:szCs w:val="16"/>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2" w:name="page63"/>
    <w:bookmarkEnd w:id="62"/>
    <w:p>
      <w:pPr>
        <w:ind w:left="180"/>
        <w:spacing w:after="0"/>
        <w:rPr>
          <w:sz w:val="20"/>
          <w:szCs w:val="20"/>
          <w:color w:val="auto"/>
        </w:rPr>
      </w:pPr>
      <w:r>
        <w:rPr>
          <w:rFonts w:ascii="Arial" w:cs="Arial" w:eastAsia="Arial" w:hAnsi="Arial"/>
          <w:sz w:val="18"/>
          <w:szCs w:val="18"/>
          <w:i w:val="1"/>
          <w:iCs w:val="1"/>
          <w:color w:val="auto"/>
        </w:rPr>
        <w:t>Realized and unrealized gains (losses) due to changes in fair values of certain investments and debt, net</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5, 7 and 9, respectively, to our condensed consolidated financial statements. The details of our realized and unrealized gains (losses) due to changes in fair values of certain investments and debt, net, are as follows:</w:t>
      </w:r>
    </w:p>
    <w:p>
      <w:pPr>
        <w:spacing w:after="0" w:line="73"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Three months ended</w:t>
      </w:r>
    </w:p>
    <w:p>
      <w:pPr>
        <w:jc w:val="center"/>
        <w:ind w:left="858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r>
      <w:tr>
        <w:trPr>
          <w:trHeight w:val="206"/>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168"/>
        </w:trPr>
        <w:tc>
          <w:tcPr>
            <w:tcW w:w="8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ITV</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79.8</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(471.9)</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Plume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Lionsgate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EdgeConneX</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86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Losses on debt extinguishment,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net losses on debt extinguishment of nil and $54.5 million during the three months ended March 31, 2021 and 2020, respectively.</w:t>
      </w:r>
    </w:p>
    <w:p>
      <w:pPr>
        <w:spacing w:after="0" w:line="2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loss during the three months ended March 31, 2020 is attributable to (i) the payment of $30.7 million of redemption premiums and (ii) the write-off of $23.8 million of net unamortized deferred financing costs, discounts and premiums.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of results of affiliates,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41" w:lineRule="exact"/>
        <w:rPr>
          <w:sz w:val="20"/>
          <w:szCs w:val="20"/>
          <w:color w:val="auto"/>
        </w:rPr>
      </w:pPr>
    </w:p>
    <w:p>
      <w:pPr>
        <w:jc w:val="center"/>
        <w:ind w:left="8900"/>
        <w:spacing w:after="0"/>
        <w:rPr>
          <w:sz w:val="20"/>
          <w:szCs w:val="20"/>
          <w:color w:val="auto"/>
        </w:rPr>
      </w:pPr>
      <w:r>
        <w:rPr>
          <w:rFonts w:ascii="Arial" w:cs="Arial" w:eastAsia="Arial" w:hAnsi="Arial"/>
          <w:sz w:val="16"/>
          <w:szCs w:val="16"/>
          <w:b w:val="1"/>
          <w:bCs w:val="1"/>
          <w:color w:val="auto"/>
        </w:rPr>
        <w:t>Three months ended</w:t>
      </w:r>
    </w:p>
    <w:p>
      <w:pPr>
        <w:jc w:val="center"/>
        <w:ind w:left="89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95"/>
              </w:rPr>
              <w:t>2020</w:t>
            </w:r>
          </w:p>
        </w:tc>
      </w:tr>
      <w:tr>
        <w:trPr>
          <w:trHeight w:val="206"/>
        </w:trPr>
        <w:tc>
          <w:tcPr>
            <w:tcW w:w="8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b w:val="1"/>
                <w:bCs w:val="1"/>
                <w:color w:val="auto"/>
                <w:w w:val="98"/>
              </w:rPr>
              <w:t>in millions</w:t>
            </w:r>
          </w:p>
        </w:tc>
        <w:tc>
          <w:tcPr>
            <w:tcW w:w="760" w:type="dxa"/>
            <w:vAlign w:val="bottom"/>
          </w:tcPr>
          <w:p>
            <w:pPr>
              <w:spacing w:after="0"/>
              <w:rPr>
                <w:sz w:val="17"/>
                <w:szCs w:val="17"/>
                <w:color w:val="auto"/>
              </w:rPr>
            </w:pPr>
          </w:p>
        </w:tc>
      </w:tr>
      <w:tr>
        <w:trPr>
          <w:trHeight w:val="154"/>
        </w:trPr>
        <w:tc>
          <w:tcPr>
            <w:tcW w:w="8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9"/>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All3Media</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8920" w:type="dxa"/>
            <w:vAlign w:val="bottom"/>
          </w:tcPr>
          <w:p>
            <w:pPr>
              <w:ind w:left="20"/>
              <w:spacing w:after="0"/>
              <w:rPr>
                <w:sz w:val="20"/>
                <w:szCs w:val="20"/>
                <w:color w:val="auto"/>
              </w:rPr>
            </w:pPr>
            <w:r>
              <w:rPr>
                <w:rFonts w:ascii="Arial" w:cs="Arial" w:eastAsia="Arial" w:hAnsi="Arial"/>
                <w:sz w:val="18"/>
                <w:szCs w:val="18"/>
                <w:color w:val="auto"/>
              </w:rPr>
              <w:t>Formula E</w:t>
            </w:r>
          </w:p>
        </w:tc>
        <w:tc>
          <w:tcPr>
            <w:tcW w:w="7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5"/>
              </w:rPr>
              <w:t>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VodafoneZiggo JV (a)</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8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63" w:lineRule="auto"/>
        <w:tabs>
          <w:tab w:leader="none" w:pos="49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include the net effect of (i) interest income of $13.4 million and $10.8 million, respectively, representing 100% of the interest earned on the VodafoneZiggo JV Receivables and (ii) our 50% share of the results of operations of the VodafoneZiggo JV. The summarized results of operations of the VodafoneZiggo JV are set forth below:</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3" w:name="page64"/>
    <w:bookmarkEnd w:id="63"/>
    <w:p>
      <w:pPr>
        <w:jc w:val="center"/>
        <w:ind w:left="7600"/>
        <w:spacing w:after="0"/>
        <w:rPr>
          <w:sz w:val="20"/>
          <w:szCs w:val="20"/>
          <w:color w:val="auto"/>
        </w:rPr>
      </w:pPr>
      <w:r>
        <w:rPr>
          <w:rFonts w:ascii="Arial" w:cs="Arial" w:eastAsia="Arial" w:hAnsi="Arial"/>
          <w:sz w:val="16"/>
          <w:szCs w:val="16"/>
          <w:b w:val="1"/>
          <w:bCs w:val="1"/>
          <w:color w:val="auto"/>
        </w:rPr>
        <w:t>Three months ended</w:t>
      </w:r>
    </w:p>
    <w:p>
      <w:pPr>
        <w:jc w:val="center"/>
        <w:ind w:left="76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7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565.2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(expense) (1)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Includes interest expense of $152.2 million and $151.7 million, respectively.</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recognized other income, net, of $10.1 million and $52.4 million for the three months ended March 31, 2021 and 2020, respectively. These amounts include (i) credits related to the non-service components of our net periodic pension costs of $8.6 million and $4.5 million, respectively and (ii) interest and dividend income of $4.0 million and $31.6 million, respectively,. In addition, other income, net for the three months ended March 31, 2020 includes a $15.3 million gain related to certain assets that were contributed to a joint venture.</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income tax expense of $170.5 million and $80.1 million during the three months ended March 31, 2021 and 2020, respectively.</w:t>
      </w:r>
    </w:p>
    <w:p>
      <w:pPr>
        <w:spacing w:after="0" w:line="264"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The income tax expense during the three months ended March 31, 2021 differs from the expected income tax expense of $306.1 million (based on the U.K. statutory income tax rate of 19.0%) primarily due to the net positive impact of non-deductible or non-taxable foreign currency exchange results.</w:t>
      </w:r>
    </w:p>
    <w:p>
      <w:pPr>
        <w:jc w:val="both"/>
        <w:ind w:firstLine="324"/>
        <w:spacing w:after="0" w:line="281" w:lineRule="auto"/>
        <w:rPr>
          <w:sz w:val="20"/>
          <w:szCs w:val="20"/>
          <w:color w:val="auto"/>
        </w:rPr>
      </w:pPr>
      <w:r>
        <w:rPr>
          <w:rFonts w:ascii="Arial" w:cs="Arial" w:eastAsia="Arial" w:hAnsi="Arial"/>
          <w:sz w:val="16"/>
          <w:szCs w:val="16"/>
          <w:color w:val="auto"/>
        </w:rPr>
        <w:t>The income tax expense during the three months ended March 31, 2020 differs from the expected income tax expense of $192.1 million (based on the U.K. blended income tax rate of 17.5%) primarily due to the net positive impact of (i) non-deductible or non-taxable foreign currency exchange results and</w:t>
      </w:r>
    </w:p>
    <w:p>
      <w:pPr>
        <w:spacing w:after="0" w:line="1" w:lineRule="exact"/>
        <w:rPr>
          <w:sz w:val="20"/>
          <w:szCs w:val="20"/>
          <w:color w:val="auto"/>
        </w:rPr>
      </w:pPr>
    </w:p>
    <w:p>
      <w:pPr>
        <w:ind w:right="20" w:firstLine="8"/>
        <w:spacing w:after="0" w:line="260" w:lineRule="auto"/>
        <w:tabs>
          <w:tab w:leader="none" w:pos="26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tax benefits associated with technology innovation incentives. The net positive impact of these items was partially offset by the net negative impact of a net increase in valuation allowances.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concerning our income taxes, see note 11 to our condensed consolidated financial statements.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earnings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2021 and 2020, we reported net earnings of $1,440.3 million and $1,017.7 million, respectively, consisting of (i) operating income of $625.3 million and $280.6 million, respectively, (ii) net non-operating expense of $985.5 million and $817.2 million, respectively, and (iii) income tax expense of $170.5 million and $80.1 million, respectively.</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Due largely to the fact that we seek to maintain our debt at levels that provide for attractive equity returns, as discussed below under </w:t>
      </w:r>
      <w:r>
        <w:rPr>
          <w:rFonts w:ascii="Arial" w:cs="Arial" w:eastAsia="Arial" w:hAnsi="Arial"/>
          <w:sz w:val="18"/>
          <w:szCs w:val="18"/>
          <w:i w:val="1"/>
          <w:iCs w:val="1"/>
          <w:color w:val="auto"/>
        </w:rPr>
        <w:t>Material Changes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Financial Condition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Capitalization</w:t>
      </w:r>
      <w:r>
        <w:rPr>
          <w:rFonts w:ascii="Arial" w:cs="Arial" w:eastAsia="Arial" w:hAnsi="Arial"/>
          <w:sz w:val="18"/>
          <w:szCs w:val="18"/>
          <w:color w:val="auto"/>
        </w:rPr>
        <w:t>, we expect we will continue to report significant levels of interest expense for the foreseeable future.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concerning our expectations with respect to trends that may affect certain aspects of our operating results in future periods, see the discussion under </w:t>
      </w:r>
      <w:r>
        <w:rPr>
          <w:rFonts w:ascii="Arial" w:cs="Arial" w:eastAsia="Arial" w:hAnsi="Arial"/>
          <w:sz w:val="18"/>
          <w:szCs w:val="18"/>
          <w:i w:val="1"/>
          <w:iCs w:val="1"/>
          <w:color w:val="auto"/>
        </w:rPr>
        <w:t>Overview</w:t>
      </w:r>
      <w:r>
        <w:rPr>
          <w:rFonts w:ascii="Arial" w:cs="Arial" w:eastAsia="Arial" w:hAnsi="Arial"/>
          <w:sz w:val="18"/>
          <w:szCs w:val="18"/>
          <w:color w:val="auto"/>
        </w:rPr>
        <w:t xml:space="preserve"> above. For information concerning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64" w:name="page65"/>
    <w:bookmarkEnd w:id="64"/>
    <w:p>
      <w:pPr>
        <w:jc w:val="both"/>
        <w:ind w:right="20"/>
        <w:spacing w:after="0" w:line="277" w:lineRule="auto"/>
        <w:rPr>
          <w:sz w:val="20"/>
          <w:szCs w:val="20"/>
          <w:color w:val="auto"/>
        </w:rPr>
      </w:pPr>
      <w:r>
        <w:rPr>
          <w:rFonts w:ascii="Arial" w:cs="Arial" w:eastAsia="Arial" w:hAnsi="Arial"/>
          <w:sz w:val="18"/>
          <w:szCs w:val="18"/>
          <w:color w:val="auto"/>
        </w:rPr>
        <w:t xml:space="preserve">the reasons for changes in specific line items in our condensed consolidated statements of operations, see </w:t>
      </w:r>
      <w:r>
        <w:rPr>
          <w:rFonts w:ascii="Arial" w:cs="Arial" w:eastAsia="Arial" w:hAnsi="Arial"/>
          <w:sz w:val="18"/>
          <w:szCs w:val="18"/>
          <w:i w:val="1"/>
          <w:iCs w:val="1"/>
          <w:color w:val="auto"/>
        </w:rPr>
        <w:t>Discussion and Analysis of our Reportable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Segments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Discussion and Analysis of our Consolidated Operating Results </w:t>
      </w:r>
      <w:r>
        <w:rPr>
          <w:rFonts w:ascii="Arial" w:cs="Arial" w:eastAsia="Arial" w:hAnsi="Arial"/>
          <w:sz w:val="18"/>
          <w:szCs w:val="18"/>
          <w:color w:val="auto"/>
        </w:rPr>
        <w:t>above.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earnings attributable to noncontrolling interests decreased $13.0 million during the three months ended March 31, 2021, as compared to the corresponding period in 2020, primarily attributable to the results of operations of Telenet.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Telenet, Virgin Media and UPC Holding.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and cash equivalents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details of the U.S. dollar equivalent balances of our consolidated cash and cash equivalents at March 31, 2021 are set forth in the following table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by:</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9880" w:type="dxa"/>
            <w:vAlign w:val="bottom"/>
          </w:tcPr>
          <w:p>
            <w:pPr>
              <w:ind w:left="140"/>
              <w:spacing w:after="0"/>
              <w:rPr>
                <w:sz w:val="20"/>
                <w:szCs w:val="20"/>
                <w:color w:val="auto"/>
              </w:rPr>
            </w:pPr>
            <w:r>
              <w:rPr>
                <w:rFonts w:ascii="Arial" w:cs="Arial" w:eastAsia="Arial" w:hAnsi="Arial"/>
                <w:sz w:val="18"/>
                <w:szCs w:val="18"/>
                <w:color w:val="auto"/>
              </w:rPr>
              <w:t>Liberty Global and unrestricted subsidiaries:</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Liberty Global (a)</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Unrestricted subsidiaries (b)</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618.4</w:t>
            </w:r>
          </w:p>
        </w:tc>
      </w:tr>
      <w:tr>
        <w:trPr>
          <w:trHeight w:val="223"/>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Liberty Global and unrestricted subsidiaries</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r>
      <w:tr>
        <w:trPr>
          <w:trHeight w:val="210"/>
        </w:trPr>
        <w:tc>
          <w:tcPr>
            <w:tcW w:w="9880" w:type="dxa"/>
            <w:vAlign w:val="bottom"/>
          </w:tcPr>
          <w:p>
            <w:pPr>
              <w:ind w:left="140"/>
              <w:spacing w:after="0"/>
              <w:rPr>
                <w:sz w:val="20"/>
                <w:szCs w:val="20"/>
                <w:color w:val="auto"/>
              </w:rPr>
            </w:pPr>
            <w:r>
              <w:rPr>
                <w:rFonts w:ascii="Arial" w:cs="Arial" w:eastAsia="Arial" w:hAnsi="Arial"/>
                <w:sz w:val="18"/>
                <w:szCs w:val="18"/>
                <w:color w:val="auto"/>
              </w:rPr>
              <w:t>Borrowing groups (c):</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Telenet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r>
      <w:tr>
        <w:trPr>
          <w:trHeight w:val="230"/>
        </w:trPr>
        <w:tc>
          <w:tcPr>
            <w:tcW w:w="9880" w:type="dxa"/>
            <w:vAlign w:val="bottom"/>
          </w:tcPr>
          <w:p>
            <w:pPr>
              <w:ind w:left="220"/>
              <w:spacing w:after="0"/>
              <w:rPr>
                <w:sz w:val="20"/>
                <w:szCs w:val="20"/>
                <w:color w:val="auto"/>
              </w:rPr>
            </w:pPr>
            <w:r>
              <w:rPr>
                <w:rFonts w:ascii="Arial" w:cs="Arial" w:eastAsia="Arial" w:hAnsi="Arial"/>
                <w:sz w:val="18"/>
                <w:szCs w:val="18"/>
                <w:color w:val="auto"/>
              </w:rPr>
              <w:t>UPC Holding</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Virgin Media (d)</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98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borrowing groups</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r>
      <w:tr>
        <w:trPr>
          <w:trHeight w:val="248"/>
        </w:trPr>
        <w:tc>
          <w:tcPr>
            <w:tcW w:w="9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cash and cash equivalents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928.7</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Except as otherwise noted, represents the aggregate amounts held by the parent entity and restricted subsidiaries of our borrowing groups.</w:t>
      </w:r>
    </w:p>
    <w:p>
      <w:pPr>
        <w:spacing w:after="0" w:line="263" w:lineRule="exact"/>
        <w:rPr>
          <w:rFonts w:ascii="Arial" w:cs="Arial" w:eastAsia="Arial" w:hAnsi="Arial"/>
          <w:sz w:val="17"/>
          <w:szCs w:val="17"/>
          <w:color w:val="auto"/>
        </w:rPr>
      </w:pPr>
    </w:p>
    <w:p>
      <w:pPr>
        <w:jc w:val="both"/>
        <w:ind w:left="500" w:hanging="492"/>
        <w:spacing w:after="0" w:line="279" w:lineRule="auto"/>
        <w:tabs>
          <w:tab w:leader="none" w:pos="494"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Represents the cash and cash equivalents of the Virgin Media borrowing group, which includes (i) certain subsidiaries of Virgin Media, but excludes the parent entity, Virgin Media Inc., and (ii) the cash and cash equivalents of the U.K. JV Entities, as such cash and cash equivalents will be retained by Liberty Global upon the formation of the U.K. JV and are therefore not classified as held for sale. Amount also excludes proceeds held in escrow associated with certain senior secured notes issued in connection with the pending U.K. JV transaction.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5" w:name="page66"/>
    <w:bookmarkEnd w:id="65"/>
    <w:p>
      <w:pPr>
        <w:ind w:left="180"/>
        <w:spacing w:after="0"/>
        <w:rPr>
          <w:sz w:val="20"/>
          <w:szCs w:val="20"/>
          <w:color w:val="auto"/>
        </w:rPr>
      </w:pPr>
      <w:r>
        <w:rPr>
          <w:rFonts w:ascii="Arial" w:cs="Arial" w:eastAsia="Arial" w:hAnsi="Arial"/>
          <w:sz w:val="18"/>
          <w:szCs w:val="18"/>
          <w:i w:val="1"/>
          <w:iCs w:val="1"/>
          <w:color w:val="auto"/>
        </w:rPr>
        <w:t>Liquidity of Liberty Global and its unrestricted subsidiaries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$32.0 million of cash and cash equivalents held by Liberty Global and, subject to certain tax and legal considerations, the $618.4 million of aggregate cash and cash equivalents held by unrestricted subsidiaries, together with the $1,961.2 million of investments held under SMAs, represented available liquidity at the corporate level at March 31, 2021. Our remaining cash and cash equivalents of $278.3 million at March 31, 2021 were held by our borrowing groups, as set forth in the table above. As noted above, various factors may limit our ability to access the cash of our borrowing groups. For information regarding certain limitations imposed by our subsidiaries’ debt instruments at March 31, 2021, see note 9 to our condensed consolidated financial statements.</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current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dividends received from the VodafoneZiggo JV, (iv) cash received with respect to transitional and other services provided to various third parties and (v) interest payments received with respect to the VodafoneZiggo JV Receivables.</w:t>
      </w:r>
    </w:p>
    <w:p>
      <w:pPr>
        <w:spacing w:after="0" w:line="2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time to time, Liberty Global and its unrestricted subsidiaries may also receive (i) proceeds in the form of distributions or loan repayments from Liberty Global’s borrowing groups or affiliates (including amounts from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22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At March 31, 2021, our consolidated cash and cash equivalents balance included $888.7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corporate liquidity requirements include corporate general and administrative expenses and, from time to time, cash requirements in connection with (i) the repayment of third-party and intercompany debt, (ii) the satisfaction of contingent liabilities, (iii) acquisitions, (iv) the repurchase of equity and debt securities, (v) other investment opportunities, (vi) any funding requirements of our subsidiaries and affiliates or (vii) income tax payments. In addition, our parent entity uses available liquidity to make interest and principal payments on notes payable to certain of our unrestricted subsidiaries (aggregate outstanding principal of $9.9 billion at March 31, 2021 with varying maturity dates).</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2021, the aggregate amount of our share repurchases was $323.4 million, including direct acquisition costs. At March 31, 2021, the remaining amount authorized for share repurchases was $678.4 million. For additional information, see note 12 to our condensed consolidated financial statements.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of borrowing groups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March 31, 2021, see note 9 to our condensed consolidated financial statements. The aforementioned sources of liquidity may be supplemented in certain cases by contributions and/or loans from Liberty Global and its unrestricted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6" w:name="page67"/>
    <w:bookmarkEnd w:id="66"/>
    <w:p>
      <w:pPr>
        <w:jc w:val="both"/>
        <w:ind w:firstLine="324"/>
        <w:spacing w:after="0" w:line="287" w:lineRule="auto"/>
        <w:rPr>
          <w:sz w:val="20"/>
          <w:szCs w:val="20"/>
          <w:color w:val="auto"/>
        </w:rPr>
      </w:pPr>
      <w:r>
        <w:rPr>
          <w:rFonts w:ascii="Arial" w:cs="Arial" w:eastAsia="Arial" w:hAnsi="Arial"/>
          <w:sz w:val="16"/>
          <w:szCs w:val="16"/>
          <w:color w:val="auto"/>
        </w:rPr>
        <w:t>The liquidity of our borrowing groups generally is used to fund (i) property and equipment additions, (ii) debt service requirements and (iii) income tax payments, as well as to settle certain obligations that are not included on our March 31, 2021 condensed consolidated balance sheet. In this regard, we have significant commitments related to (a) programming, studio output and sports rights contracts, (b) certain operating costs associated with our networks and</w:t>
      </w:r>
    </w:p>
    <w:p>
      <w:pPr>
        <w:spacing w:after="0" w:line="2" w:lineRule="exact"/>
        <w:rPr>
          <w:sz w:val="20"/>
          <w:szCs w:val="20"/>
          <w:color w:val="auto"/>
        </w:rPr>
      </w:pPr>
    </w:p>
    <w:p>
      <w:pPr>
        <w:jc w:val="both"/>
        <w:ind w:firstLine="8"/>
        <w:spacing w:after="0" w:line="255" w:lineRule="auto"/>
        <w:tabs>
          <w:tab w:leader="none" w:pos="2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purchase obligations associated with customer premises equipment and certain service-related commitments. These obligations are expected to represent a significant liquidity requirement of our borrowing groups, the majority of which is due over the next 12 to 24 months. For additional information regarding our commitments, see note 15 to our condensed consolidated financial statements.</w:t>
      </w:r>
    </w:p>
    <w:p>
      <w:pPr>
        <w:spacing w:after="0" w:line="2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additional information regarding our consolidated cash flows, see the discussion under </w:t>
      </w:r>
      <w:r>
        <w:rPr>
          <w:rFonts w:ascii="Arial" w:cs="Arial" w:eastAsia="Arial" w:hAnsi="Arial"/>
          <w:sz w:val="16"/>
          <w:szCs w:val="16"/>
          <w:i w:val="1"/>
          <w:iCs w:val="1"/>
          <w:color w:val="auto"/>
        </w:rPr>
        <w:t>Condensed Consolidated Statements of Cash Flows</w:t>
      </w:r>
      <w:r>
        <w:rPr>
          <w:rFonts w:ascii="Arial" w:cs="Arial" w:eastAsia="Arial" w:hAnsi="Arial"/>
          <w:sz w:val="16"/>
          <w:szCs w:val="16"/>
          <w:color w:val="auto"/>
        </w:rPr>
        <w:t xml:space="preserve"> below.</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seek to maintain our debt at levels that provide for attractive equity returns without assuming undue risk. In this regard, we generally seek to cause our operating subsidiaries to maintain their debt at levels that result in a consolidated debt balance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w:t>
      </w:r>
    </w:p>
    <w:p>
      <w:pPr>
        <w:spacing w:after="0" w:line="20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plc.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March 31, 2021,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21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March 31, 2021, the outstanding principal amount of our consolidated debt, together with our finance lease obligations, aggregated $14.4 billion, including $1.1 billion that is classified as current on our condensed consolidated balance sheet and $12.8 billion that is not due until 2027 or thereafter. All of our consolidated debt and finance lease obligations have been borrowed or incurred by our subsidiaries at March 31, 2021.</w:t>
      </w:r>
    </w:p>
    <w:p>
      <w:pPr>
        <w:spacing w:after="0" w:line="19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(including with respect to the COVID-19 pandemic),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7" w:name="page68"/>
    <w:bookmarkEnd w:id="67"/>
    <w:p>
      <w:pPr>
        <w:jc w:val="both"/>
        <w:ind w:right="20"/>
        <w:spacing w:after="0" w:line="277" w:lineRule="auto"/>
        <w:rPr>
          <w:sz w:val="20"/>
          <w:szCs w:val="20"/>
          <w:color w:val="auto"/>
        </w:rPr>
      </w:pPr>
      <w:r>
        <w:rPr>
          <w:rFonts w:ascii="Arial" w:cs="Arial" w:eastAsia="Arial" w:hAnsi="Arial"/>
          <w:sz w:val="18"/>
          <w:szCs w:val="18"/>
          <w:color w:val="auto"/>
        </w:rPr>
        <w:t>contingent or other obligations, and sustained or increased competition, particularly in combination with adverse economic or regulatory developments, could have an unfavorable impact on our cash flows and liquidity.</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concerning our debt and finance lease obligations, see notes 9 and 10, respectively, to our condensed consolidated financial statements.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Summary. </w:t>
      </w:r>
      <w:r>
        <w:rPr>
          <w:rFonts w:ascii="Arial" w:cs="Arial" w:eastAsia="Arial" w:hAnsi="Arial"/>
          <w:sz w:val="16"/>
          <w:szCs w:val="16"/>
          <w:color w:val="auto"/>
        </w:rPr>
        <w:t>Our condensed consolidated statements of cash flows for the three months ended March 31, 2021 and 2020 are summarized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3"/>
        </w:trPr>
        <w:tc>
          <w:tcPr>
            <w:tcW w:w="74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Change</w:t>
            </w:r>
          </w:p>
        </w:tc>
      </w:tr>
      <w:tr>
        <w:trPr>
          <w:trHeight w:val="207"/>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68"/>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1,839.8</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by financing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48"/>
        </w:trPr>
        <w:tc>
          <w:tcPr>
            <w:tcW w:w="7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decrease in cash and cash equivalents and restricted cash</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The increase in net cash provided by our operating activities is primarily attributable to (i) an increase in cash provided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Adjusted EBITDA and related working capital items, (ii) an increase in cash provided due to lower cash payments related to derivative instruments and (iii) an increase due to FX. Consolidated Adjusted EBITDA is a non-GAAP measure, which investors should view as a supplement to, and not a substitute for, GAAP measures of performance included in our condensed consolidated statements of operations.</w:t>
      </w:r>
    </w:p>
    <w:p>
      <w:pPr>
        <w:spacing w:after="0" w:line="19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The decrease in net cash used by our investing activities is primarily attributable to the net effect of (i) a decrease in cash used of</w:t>
      </w:r>
      <w:r>
        <w:rPr>
          <w:rFonts w:ascii="Arial" w:cs="Arial" w:eastAsia="Arial" w:hAnsi="Arial"/>
          <w:sz w:val="17"/>
          <w:szCs w:val="17"/>
          <w:i w:val="1"/>
          <w:iCs w:val="1"/>
          <w:color w:val="auto"/>
        </w:rPr>
        <w:t xml:space="preserve"> </w:t>
      </w:r>
      <w:r>
        <w:rPr>
          <w:rFonts w:ascii="Arial" w:cs="Arial" w:eastAsia="Arial" w:hAnsi="Arial"/>
          <w:sz w:val="17"/>
          <w:szCs w:val="17"/>
          <w:color w:val="auto"/>
        </w:rPr>
        <w:t>$1,988.7 million associated with lower net cash paid for investments, primarily related to our investments held under SMAs, and (ii) an increase in cash used of $128.0 million due to higher capital expenditures. Capital expenditures increased from $347.8 million during the first three months of 2020 to $475.8 million during the first three months of 2021 due to (a) an increase in our net local currency capital expenditures and related working capital movements, including the impact of higher capital-related vendor financing, and (b) an increase due to FX.</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16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8" w:name="page69"/>
    <w:bookmarkEnd w:id="68"/>
    <w:p>
      <w:pPr>
        <w:jc w:val="both"/>
        <w:ind w:firstLine="324"/>
        <w:spacing w:after="0" w:line="274" w:lineRule="auto"/>
        <w:rPr>
          <w:sz w:val="20"/>
          <w:szCs w:val="20"/>
          <w:color w:val="auto"/>
        </w:rPr>
      </w:pPr>
      <w:r>
        <w:rPr>
          <w:rFonts w:ascii="Arial" w:cs="Arial" w:eastAsia="Arial" w:hAnsi="Arial"/>
          <w:sz w:val="18"/>
          <w:szCs w:val="18"/>
          <w:color w:val="auto"/>
        </w:rPr>
        <w:t>A reconciliation of our consolidated property and equipment additions to our consolidated capital expenditures, as reported in our condensed consolidated statements of cash flows, is set forth below:</w:t>
      </w:r>
    </w:p>
    <w:p>
      <w:pPr>
        <w:jc w:val="center"/>
        <w:ind w:left="8660"/>
        <w:spacing w:after="0" w:line="235" w:lineRule="auto"/>
        <w:rPr>
          <w:sz w:val="20"/>
          <w:szCs w:val="20"/>
          <w:color w:val="auto"/>
        </w:rPr>
      </w:pPr>
      <w:r>
        <w:rPr>
          <w:rFonts w:ascii="Arial" w:cs="Arial" w:eastAsia="Arial" w:hAnsi="Arial"/>
          <w:sz w:val="16"/>
          <w:szCs w:val="16"/>
          <w:b w:val="1"/>
          <w:bCs w:val="1"/>
          <w:color w:val="auto"/>
        </w:rPr>
        <w:t>Three months ended</w:t>
      </w:r>
    </w:p>
    <w:p>
      <w:pPr>
        <w:jc w:val="center"/>
        <w:ind w:left="866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06"/>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r>
      <w:tr>
        <w:trPr>
          <w:trHeight w:val="114"/>
        </w:trPr>
        <w:tc>
          <w:tcPr>
            <w:tcW w:w="8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(370.9)</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finance leases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r>
      <w:tr>
        <w:trPr>
          <w:trHeight w:val="248"/>
        </w:trPr>
        <w:tc>
          <w:tcPr>
            <w:tcW w:w="8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Capital expenditures,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increase in our property and equipment additions during the three months ended March 31, 2021, as compared to the corresponding period in 2020, is primarily due to (i) an increase in local currency expenditures of our subsidiaries due to the net effect of (a) an increase in baseline expenditures, including network improvements and expenditures for property and facilities and information technology systems, (b) a decrease in expenditures for new build and upgrade projects and (c) an increase in expenditures to support new customer products and operational efficiency initiatives, and (ii) an increase due to FX.</w:t>
      </w:r>
    </w:p>
    <w:p>
      <w:pPr>
        <w:spacing w:after="0" w:line="21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The decrease in net cash used by our financing activities is primarily attributable to the net effect of (i) a decrease in cash used of</w:t>
      </w:r>
      <w:r>
        <w:rPr>
          <w:rFonts w:ascii="Arial" w:cs="Arial" w:eastAsia="Arial" w:hAnsi="Arial"/>
          <w:sz w:val="16"/>
          <w:szCs w:val="16"/>
          <w:i w:val="1"/>
          <w:iCs w:val="1"/>
          <w:color w:val="auto"/>
        </w:rPr>
        <w:t xml:space="preserve"> </w:t>
      </w:r>
      <w:r>
        <w:rPr>
          <w:rFonts w:ascii="Arial" w:cs="Arial" w:eastAsia="Arial" w:hAnsi="Arial"/>
          <w:sz w:val="16"/>
          <w:szCs w:val="16"/>
          <w:color w:val="auto"/>
        </w:rPr>
        <w:t>$122.1 million due to lower net repayments of debt and finance lease obligations, (ii) an increase in cash used of $111.9 million due to higher repurchases of Liberty Global ordinary shares and (iii) a decrease in cash used of $40.3 million due to lower payments for financing costs and debt premiums.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define adjusted free cash flow as net cash provided by the operating activities of our continuing operations, plus (i) cash payments for third-party costs directly associated with successful and unsuccessful acquisitions and dispositions and (ii) expenses financed by an intermediary, less (a) capital expenditures, as reported in our condensed consolidated statements of cash flows, (b) principal payments on amounts financed by vendors and intermediaries and (c) principal payments on finance leases (exclusive of the portions of the network lease in Belgium that we assumed in connection with an acquisition), with each item excluding any cash provided or used by our discontinued operations. We believe our presentation of adjusted free cash flow provides useful information to our investors because this measure can be used to gauge our ability to service debt and fund new investment opportunities. Adjusted free cash flow, which is a non-GAAP measure, should not be understood to represent our ability to fund discretionary amounts, as we have various mandatory and contractual obligations, including debt repayments, that are not deducted to arrive at this amount. Investors should view adjusted free cash flow as a supplement to, and not a substitute for, GAAP measures of liquidity included in our condensed consolidated statements of cash flows.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46"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r>
      <w:tr>
        <w:trPr>
          <w:trHeight w:val="206"/>
        </w:trPr>
        <w:tc>
          <w:tcPr>
            <w:tcW w:w="8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14"/>
        </w:trPr>
        <w:tc>
          <w:tcPr>
            <w:tcW w:w="8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Cash payments for direct acquisition and disposition costs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financed by an intermediary (a)</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w:t>
            </w: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Capital expenditures,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(347.8)</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amounts financed by vendors and intermediaries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Principal payments on certain finance leases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48"/>
        </w:trPr>
        <w:tc>
          <w:tcPr>
            <w:tcW w:w="8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Adjusted free cash flow</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52" w:lineRule="exact"/>
        <w:rPr>
          <w:sz w:val="20"/>
          <w:szCs w:val="20"/>
          <w:color w:val="auto"/>
        </w:rPr>
      </w:pPr>
    </w:p>
    <w:p>
      <w:pPr>
        <w:jc w:val="both"/>
        <w:ind w:left="500" w:hanging="492"/>
        <w:spacing w:after="0" w:line="263" w:lineRule="auto"/>
        <w:tabs>
          <w:tab w:leader="none" w:pos="497"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purposes of our condensed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69" w:name="page70"/>
    <w:bookmarkEnd w:id="69"/>
    <w:p>
      <w:pPr>
        <w:spacing w:after="0" w:line="277" w:lineRule="auto"/>
        <w:rPr>
          <w:sz w:val="20"/>
          <w:szCs w:val="20"/>
          <w:color w:val="auto"/>
        </w:rPr>
      </w:pPr>
      <w:r>
        <w:rPr>
          <w:rFonts w:ascii="Arial" w:cs="Arial" w:eastAsia="Arial" w:hAnsi="Arial"/>
          <w:sz w:val="18"/>
          <w:szCs w:val="18"/>
          <w:color w:val="auto"/>
        </w:rPr>
        <w:t>flows. For purposes of our adjusted free cash flow definition, we add back the hypothetical operating cash outflow when these financed expenses are incurred and deduct the financing cash outflows when we pay the financing intermediary.</w:t>
      </w:r>
    </w:p>
    <w:p>
      <w:pPr>
        <w:spacing w:after="0" w:line="200" w:lineRule="exact"/>
        <w:rPr>
          <w:sz w:val="20"/>
          <w:szCs w:val="20"/>
          <w:color w:val="auto"/>
        </w:rPr>
      </w:pPr>
    </w:p>
    <w:p>
      <w:pPr>
        <w:spacing w:after="0" w:line="34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935" w:right="339" w:bottom="1440" w:gutter="0" w:footer="0" w:header="0"/>
        </w:sectPr>
      </w:pPr>
    </w:p>
    <w:bookmarkStart w:id="70" w:name="page71"/>
    <w:bookmarkEnd w:id="70"/>
    <w:p>
      <w:pPr>
        <w:spacing w:after="0"/>
        <w:tabs>
          <w:tab w:leader="none" w:pos="6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1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 xml:space="preserve">The information in this section should be read in conjunction with the more complete discussion that appears under Part II, Item 7A.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Qualitative Disclosures About Market Risk </w:t>
      </w:r>
      <w:r>
        <w:rPr>
          <w:rFonts w:ascii="Arial" w:cs="Arial" w:eastAsia="Arial" w:hAnsi="Arial"/>
          <w:sz w:val="17"/>
          <w:szCs w:val="17"/>
          <w:color w:val="auto"/>
        </w:rPr>
        <w:t>in our 10-K. The following discussion updates selected numerical information to March 31, 2021.</w:t>
      </w:r>
    </w:p>
    <w:p>
      <w:pPr>
        <w:spacing w:after="0" w:line="1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March 31, 2021.</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w:t>
      </w:r>
    </w:p>
    <w:p>
      <w:pPr>
        <w:spacing w:after="0" w:line="25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March 31, 2021, $361.2 million or 38.9%, $310.9 million or 33.5% and $229.4 million or 24.7% of our consolidated cash balances were denominated in euros, British pound sterling and U.S. dollars, respectively.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ind w:left="200"/>
              <w:spacing w:after="0"/>
              <w:rPr>
                <w:sz w:val="20"/>
                <w:szCs w:val="20"/>
                <w:color w:val="auto"/>
              </w:rPr>
            </w:pPr>
            <w:r>
              <w:rPr>
                <w:rFonts w:ascii="Arial" w:cs="Arial" w:eastAsia="Arial" w:hAnsi="Arial"/>
                <w:sz w:val="16"/>
                <w:szCs w:val="16"/>
                <w:b w:val="1"/>
                <w:bCs w:val="1"/>
                <w:color w:val="auto"/>
              </w:rPr>
              <w:t>March 31,</w:t>
            </w:r>
          </w:p>
        </w:tc>
        <w:tc>
          <w:tcPr>
            <w:tcW w:w="60" w:type="dxa"/>
            <w:vAlign w:val="bottom"/>
          </w:tcPr>
          <w:p>
            <w:pPr>
              <w:spacing w:after="0"/>
              <w:rPr>
                <w:sz w:val="16"/>
                <w:szCs w:val="16"/>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3620" w:type="dxa"/>
            <w:vAlign w:val="bottom"/>
          </w:tcPr>
          <w:p>
            <w:pPr>
              <w:spacing w:after="0"/>
              <w:rPr>
                <w:sz w:val="18"/>
                <w:szCs w:val="18"/>
                <w:color w:val="auto"/>
              </w:rPr>
            </w:pPr>
          </w:p>
        </w:tc>
        <w:tc>
          <w:tcPr>
            <w:tcW w:w="614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199"/>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Spot rates:</w:t>
            </w:r>
          </w:p>
        </w:tc>
        <w:tc>
          <w:tcPr>
            <w:tcW w:w="47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33"/>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w:t>
            </w:r>
          </w:p>
        </w:tc>
        <w:tc>
          <w:tcPr>
            <w:tcW w:w="6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0.8511</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0.8180</w:t>
            </w: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British pound sterling</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0.7246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0.7325</w:t>
            </w: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Swiss franc</w:t>
            </w:r>
          </w:p>
        </w:tc>
        <w:tc>
          <w:tcPr>
            <w:tcW w:w="6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0.9421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0.8852</w:t>
            </w: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Polish zloty</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3.9423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3.7363</w:t>
            </w:r>
          </w:p>
        </w:tc>
      </w:tr>
      <w:tr>
        <w:trPr>
          <w:trHeight w:val="506"/>
        </w:trPr>
        <w:tc>
          <w:tcPr>
            <w:tcW w:w="36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r>
      <w:tr>
        <w:trPr>
          <w:trHeight w:val="219"/>
        </w:trPr>
        <w:tc>
          <w:tcPr>
            <w:tcW w:w="36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tcBorders>
              <w:bottom w:val="single" w:sz="8" w:color="auto"/>
            </w:tcBorders>
            <w:gridSpan w:val="5"/>
          </w:tcPr>
          <w:p>
            <w:pPr>
              <w:jc w:val="right"/>
              <w:ind w:right="919"/>
              <w:spacing w:after="0"/>
              <w:rPr>
                <w:sz w:val="20"/>
                <w:szCs w:val="20"/>
                <w:color w:val="auto"/>
              </w:rPr>
            </w:pPr>
            <w:r>
              <w:rPr>
                <w:rFonts w:ascii="Arial" w:cs="Arial" w:eastAsia="Arial" w:hAnsi="Arial"/>
                <w:sz w:val="16"/>
                <w:szCs w:val="16"/>
                <w:b w:val="1"/>
                <w:bCs w:val="1"/>
                <w:color w:val="auto"/>
              </w:rPr>
              <w:t>March 31,</w:t>
            </w:r>
          </w:p>
        </w:tc>
      </w:tr>
      <w:tr>
        <w:trPr>
          <w:trHeight w:val="207"/>
        </w:trPr>
        <w:tc>
          <w:tcPr>
            <w:tcW w:w="3620" w:type="dxa"/>
            <w:vAlign w:val="bottom"/>
          </w:tcPr>
          <w:p>
            <w:pPr>
              <w:spacing w:after="0"/>
              <w:rPr>
                <w:sz w:val="17"/>
                <w:szCs w:val="17"/>
                <w:color w:val="auto"/>
              </w:rPr>
            </w:pPr>
          </w:p>
        </w:tc>
        <w:tc>
          <w:tcPr>
            <w:tcW w:w="4920" w:type="dxa"/>
            <w:vAlign w:val="bottom"/>
            <w:gridSpan w:val="2"/>
          </w:tcPr>
          <w:p>
            <w:pPr>
              <w:spacing w:after="0"/>
              <w:rPr>
                <w:sz w:val="17"/>
                <w:szCs w:val="17"/>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199"/>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Average rates:</w:t>
            </w:r>
          </w:p>
        </w:tc>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33"/>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w:t>
            </w:r>
          </w:p>
        </w:tc>
        <w:tc>
          <w:tcPr>
            <w:tcW w:w="6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0.8296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0.9075</w:t>
            </w: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British pound sterling</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0.7252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0.7819</w:t>
            </w: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Swiss franc</w:t>
            </w:r>
          </w:p>
        </w:tc>
        <w:tc>
          <w:tcPr>
            <w:tcW w:w="6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0.9048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0.9683</w:t>
            </w: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Polish zloty</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3.7690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3.9220</w:t>
            </w:r>
          </w:p>
        </w:tc>
      </w:tr>
      <w:tr>
        <w:trPr>
          <w:trHeight w:val="904"/>
        </w:trPr>
        <w:tc>
          <w:tcPr>
            <w:tcW w:w="3620" w:type="dxa"/>
            <w:vAlign w:val="bottom"/>
          </w:tcPr>
          <w:p>
            <w:pPr>
              <w:spacing w:after="0"/>
              <w:rPr>
                <w:sz w:val="24"/>
                <w:szCs w:val="24"/>
                <w:color w:val="auto"/>
              </w:rPr>
            </w:pPr>
          </w:p>
        </w:tc>
        <w:tc>
          <w:tcPr>
            <w:tcW w:w="4780" w:type="dxa"/>
            <w:vAlign w:val="bottom"/>
          </w:tcPr>
          <w:p>
            <w:pPr>
              <w:jc w:val="right"/>
              <w:ind w:right="2591"/>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1" w:name="page72"/>
    <w:bookmarkEnd w:id="71"/>
    <w:p>
      <w:pPr>
        <w:ind w:left="18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21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We also use interest rate cap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generally for five years, with the later years covered primarily by swaptions. As such, the final maturity dates of our various portfolios of interest rate derivative instruments generally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19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has announced that measures will need to be undertaken by the end of 2021 to reform EURIBOR to ensure compliance with E.U. Benchmarks Regulation. In November 2020, ICE Benchmark administration (the entity that administers LIBOR) announced its intention to continue publishing USD LIBOR rates until June 30, 2023, with the exception of the one-week and two-month rates which, along with all GBP LIBOR rates, it intends to cease publishing after December 31, 2021. While this extension allows additional runway on existing contracts using USD LIBOR rates, companies are still encouraged to transition away from using USD LIBOR as soon as practicable and should not enter into new contracts that use USD LIBOR after 2021. The methodology for EURIBOR has been reformed and EURIBOR has been granted regulatory approval to continue to be used. Currently, it is not possible to predict the exact transitional arrangements for calculating applicable reference rates that may be made in the U.K., the U.S., the Eurozone or elsewhere given that a number of outcomes are possible, including the cessation of the publication of one or more reference rates.</w:t>
      </w:r>
    </w:p>
    <w:p>
      <w:pPr>
        <w:spacing w:after="0" w:line="19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October 2020, the International Swaps and Derivatives Association (the </w:t>
      </w:r>
      <w:r>
        <w:rPr>
          <w:rFonts w:ascii="Arial" w:cs="Arial" w:eastAsia="Arial" w:hAnsi="Arial"/>
          <w:sz w:val="17"/>
          <w:szCs w:val="17"/>
          <w:b w:val="1"/>
          <w:bCs w:val="1"/>
          <w:color w:val="auto"/>
        </w:rPr>
        <w:t>ISDA</w:t>
      </w:r>
      <w:r>
        <w:rPr>
          <w:rFonts w:ascii="Arial" w:cs="Arial" w:eastAsia="Arial" w:hAnsi="Arial"/>
          <w:sz w:val="17"/>
          <w:szCs w:val="17"/>
          <w:color w:val="auto"/>
        </w:rPr>
        <w:t>) launched a new supplement (the Fallback Supplement), which effective January 25, 2021, will amend the standard definitions for interest rate derivatives to incorporate fallbacks for derivatives linked to certain key interbank offered rates (IBORs). The ISDA also launched a new protocol (the Fallback Protocol), also effective January 25, 2021, that will enable market participants to incorporate these revisions into their legacy non-cleared derivatives with other counterparties that choose to adhere to the protocol. The fallbacks for a particular currency will apply following a permanent cessation of the IBOR in that currency and will be adjusted versions of the risk-free rates identified in each currency. Our loan documents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loan documents in the event that either the LIBOR rate or the EURIBOR rate is not available. It is possible, however, that any new reference rate that applies to our LIBOR-indexed or EURIBOR-indexed debt could be different than any new reference rate that applies to our LIBOR-indexed or EURIBOR-indexed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 the company may incur significant associated costs.</w:t>
      </w:r>
    </w:p>
    <w:p>
      <w:pPr>
        <w:spacing w:after="0" w:line="20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Weighted Average Variable Interest Rate. </w:t>
      </w:r>
      <w:r>
        <w:rPr>
          <w:rFonts w:ascii="Arial" w:cs="Arial" w:eastAsia="Arial" w:hAnsi="Arial"/>
          <w:sz w:val="17"/>
          <w:szCs w:val="17"/>
          <w:color w:val="auto"/>
        </w:rPr>
        <w:t>At March 31, 2021, the outstanding principal amount of our variable-rate indebtedness aggregated $9.5</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and the weighted average interest rate (including margin) on such variable-rate indebtedness was approximately 2.8%,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72" w:name="page73"/>
    <w:bookmarkEnd w:id="72"/>
    <w:p>
      <w:pPr>
        <w:jc w:val="both"/>
        <w:spacing w:after="0" w:line="259" w:lineRule="auto"/>
        <w:rPr>
          <w:sz w:val="20"/>
          <w:szCs w:val="20"/>
          <w:color w:val="auto"/>
        </w:rPr>
      </w:pPr>
      <w:r>
        <w:rPr>
          <w:rFonts w:ascii="Arial" w:cs="Arial" w:eastAsia="Arial" w:hAnsi="Arial"/>
          <w:sz w:val="18"/>
          <w:szCs w:val="18"/>
          <w:color w:val="auto"/>
        </w:rPr>
        <w:t>$47.5 million. As discussed above and in note 6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52"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March 31, 2021:</w:t>
      </w:r>
    </w:p>
    <w:p>
      <w:pPr>
        <w:spacing w:after="0" w:line="252" w:lineRule="exact"/>
        <w:rPr>
          <w:sz w:val="20"/>
          <w:szCs w:val="20"/>
          <w:color w:val="auto"/>
        </w:rPr>
      </w:pPr>
    </w:p>
    <w:p>
      <w:pPr>
        <w:jc w:val="both"/>
        <w:ind w:left="820" w:hanging="488"/>
        <w:spacing w:after="0" w:line="263" w:lineRule="auto"/>
        <w:tabs>
          <w:tab w:leader="none" w:pos="814"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Swiss franc and Polish zloty relative to the euro would have decreased (increased) the aggregate fair value of the UPC Holding cross-currency and interest rate derivative contracts by approximately €461 million ($541 million);</w:t>
      </w:r>
    </w:p>
    <w:p>
      <w:pPr>
        <w:spacing w:after="0" w:line="210" w:lineRule="exact"/>
        <w:rPr>
          <w:rFonts w:ascii="Arial" w:cs="Arial" w:eastAsia="Arial" w:hAnsi="Arial"/>
          <w:sz w:val="18"/>
          <w:szCs w:val="18"/>
          <w:color w:val="auto"/>
        </w:rPr>
      </w:pPr>
    </w:p>
    <w:p>
      <w:pPr>
        <w:jc w:val="both"/>
        <w:ind w:left="820" w:hanging="488"/>
        <w:spacing w:after="0" w:line="342" w:lineRule="auto"/>
        <w:tabs>
          <w:tab w:leader="none" w:pos="81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Swiss franc relative to the U.S. dollar would have decreased (increased) the aggregate fair value of the UPC Holding cross-currency and interest rate derivative contracts by approximately €385 million ($452 million); and</w:t>
      </w:r>
    </w:p>
    <w:p>
      <w:pPr>
        <w:spacing w:after="0" w:line="150" w:lineRule="exact"/>
        <w:rPr>
          <w:rFonts w:ascii="Arial" w:cs="Arial" w:eastAsia="Arial" w:hAnsi="Arial"/>
          <w:sz w:val="16"/>
          <w:szCs w:val="16"/>
          <w:color w:val="auto"/>
        </w:rPr>
      </w:pPr>
    </w:p>
    <w:p>
      <w:pPr>
        <w:ind w:left="820" w:right="20" w:hanging="488"/>
        <w:spacing w:after="0" w:line="308" w:lineRule="auto"/>
        <w:tabs>
          <w:tab w:leader="none" w:pos="8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decreased (increased) the aggregate fair value of the UPC Holding cross-currency and interest rate derivative contracts by approximately €112 million ($131 million).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March 31, 2021:</w:t>
      </w:r>
    </w:p>
    <w:p>
      <w:pPr>
        <w:spacing w:after="0" w:line="252" w:lineRule="exact"/>
        <w:rPr>
          <w:sz w:val="20"/>
          <w:szCs w:val="20"/>
          <w:color w:val="auto"/>
        </w:rPr>
      </w:pPr>
    </w:p>
    <w:p>
      <w:pPr>
        <w:ind w:left="820" w:right="20" w:hanging="488"/>
        <w:spacing w:after="0" w:line="308" w:lineRule="auto"/>
        <w:tabs>
          <w:tab w:leader="none" w:pos="814"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euro relative to the U.S. dollar would have decreased (increased) the aggregate fair value of the Telenet cross-currency and interest rate derivative contracts by approximately €358 million ($420 million); and</w:t>
      </w:r>
    </w:p>
    <w:p>
      <w:pPr>
        <w:spacing w:after="0" w:line="173" w:lineRule="exact"/>
        <w:rPr>
          <w:rFonts w:ascii="Arial" w:cs="Arial" w:eastAsia="Arial" w:hAnsi="Arial"/>
          <w:sz w:val="17"/>
          <w:szCs w:val="17"/>
          <w:color w:val="auto"/>
        </w:rPr>
      </w:pPr>
    </w:p>
    <w:p>
      <w:pPr>
        <w:ind w:left="820" w:hanging="488"/>
        <w:spacing w:after="0" w:line="308" w:lineRule="auto"/>
        <w:tabs>
          <w:tab w:leader="none" w:pos="81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decreased (increased) the aggregate fair value of the Telenet cross-currency and interest rate derivative contracts by approximately €90 million ($106 million).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3" w:name="page74"/>
    <w:bookmarkEnd w:id="73"/>
    <w:p>
      <w:pPr>
        <w:ind w:left="18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provides information regarding the projected cash flows associated with our derivative instruments. The U.S. dollar equivalents presented below are based on interest rate projections and exchange rates as of March 31, 2021. These amounts are presented for illustrative purposes only and will likely differ from the actual cash payments or receipts required in future periods. For additional information regarding our derivative instruments, see note 6 to our condensed consolidated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ind w:left="180"/>
              <w:spacing w:after="0"/>
              <w:rPr>
                <w:sz w:val="20"/>
                <w:szCs w:val="20"/>
                <w:color w:val="auto"/>
              </w:rPr>
            </w:pPr>
            <w:r>
              <w:rPr>
                <w:rFonts w:ascii="Arial" w:cs="Arial" w:eastAsia="Arial" w:hAnsi="Arial"/>
                <w:sz w:val="16"/>
                <w:szCs w:val="16"/>
                <w:b w:val="1"/>
                <w:bCs w:val="1"/>
                <w:color w:val="auto"/>
              </w:rPr>
              <w:t>Payments (receipts) due during:</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Remainder</w:t>
            </w:r>
          </w:p>
        </w:tc>
        <w:tc>
          <w:tcPr>
            <w:tcW w:w="200" w:type="dxa"/>
            <w:vAlign w:val="bottom"/>
          </w:tcPr>
          <w:p>
            <w:pPr>
              <w:spacing w:after="0"/>
              <w:rPr>
                <w:sz w:val="20"/>
                <w:szCs w:val="20"/>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20"/>
                <w:szCs w:val="20"/>
                <w:color w:val="auto"/>
              </w:rPr>
            </w:pPr>
          </w:p>
        </w:tc>
        <w:tc>
          <w:tcPr>
            <w:tcW w:w="86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of 2021</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ind w:left="50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line="182" w:lineRule="exact"/>
              <w:rPr>
                <w:sz w:val="20"/>
                <w:szCs w:val="20"/>
                <w:color w:val="auto"/>
              </w:rPr>
            </w:pPr>
            <w:r>
              <w:rPr>
                <w:rFonts w:ascii="Arial" w:cs="Arial" w:eastAsia="Arial" w:hAnsi="Arial"/>
                <w:sz w:val="18"/>
                <w:szCs w:val="18"/>
                <w:color w:val="auto"/>
                <w:w w:val="93"/>
              </w:rPr>
              <w:t>Projected derivative cash payments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(receipts), net: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Interest-related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29"/>
        </w:trPr>
        <w:tc>
          <w:tcPr>
            <w:tcW w:w="2700" w:type="dxa"/>
            <w:vAlign w:val="bottom"/>
          </w:tcPr>
          <w:p>
            <w:pPr>
              <w:ind w:left="220"/>
              <w:spacing w:after="0"/>
              <w:rPr>
                <w:sz w:val="20"/>
                <w:szCs w:val="20"/>
                <w:color w:val="auto"/>
              </w:rPr>
            </w:pPr>
            <w:r>
              <w:rPr>
                <w:rFonts w:ascii="Arial" w:cs="Arial" w:eastAsia="Arial" w:hAnsi="Arial"/>
                <w:sz w:val="18"/>
                <w:szCs w:val="18"/>
                <w:color w:val="auto"/>
              </w:rPr>
              <w:t>Principal-related (b)</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70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floor and swap contracts and (ii) the interest-related cash flows of our cross-currency and interest rate swap contracts.</w:t>
      </w:r>
    </w:p>
    <w:p>
      <w:pPr>
        <w:spacing w:after="0" w:line="197" w:lineRule="exact"/>
        <w:rPr>
          <w:rFonts w:ascii="Arial" w:cs="Arial" w:eastAsia="Arial" w:hAnsi="Arial"/>
          <w:sz w:val="18"/>
          <w:szCs w:val="18"/>
          <w:color w:val="auto"/>
        </w:rPr>
      </w:pPr>
    </w:p>
    <w:p>
      <w:pPr>
        <w:ind w:left="480" w:hanging="472"/>
        <w:spacing w:after="0"/>
        <w:tabs>
          <w:tab w:leader="none" w:pos="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52" w:lineRule="exact"/>
        <w:rPr>
          <w:rFonts w:ascii="Arial" w:cs="Arial" w:eastAsia="Arial" w:hAnsi="Arial"/>
          <w:sz w:val="18"/>
          <w:szCs w:val="18"/>
          <w:color w:val="auto"/>
        </w:rPr>
      </w:pPr>
    </w:p>
    <w:p>
      <w:pPr>
        <w:ind w:left="500" w:hanging="492"/>
        <w:spacing w:after="0" w:line="277" w:lineRule="auto"/>
        <w:tabs>
          <w:tab w:leader="none" w:pos="49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amounts related to our equity-related derivative instruments and foreign currency forward contracts. We may elect to use cash or the collective value of the related shares and equity-related derivative instrument to settle the ITV Collar Loan.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accordance with Exchange Act Rule 13a-15, we carried out an evaluation, under the supervision and with the participation of management, including our chief executive officer and chief financial officer (the </w:t>
      </w:r>
      <w:r>
        <w:rPr>
          <w:rFonts w:ascii="Arial" w:cs="Arial" w:eastAsia="Arial" w:hAnsi="Arial"/>
          <w:sz w:val="17"/>
          <w:szCs w:val="17"/>
          <w:b w:val="1"/>
          <w:bCs w:val="1"/>
          <w:color w:val="auto"/>
        </w:rPr>
        <w:t>Executives</w:t>
      </w:r>
      <w:r>
        <w:rPr>
          <w:rFonts w:ascii="Arial" w:cs="Arial" w:eastAsia="Arial" w:hAnsi="Arial"/>
          <w:sz w:val="17"/>
          <w:szCs w:val="17"/>
          <w:color w:val="auto"/>
        </w:rPr>
        <w:t>), of the effectiveness of our disclosure controls and procedures as of March 31, 2021.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March 31, 2021 effectively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From time to time, our subsidiaries and affiliates have become involved in litigation relating to claims arising out of their operations in the normal course of business. For additional information, see note 15 to our condensed consolidated financial statements in Part I of this Quarterly Report on Form 10-Q.</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i w:val="1"/>
          <w:iCs w:val="1"/>
          <w:color w:val="auto"/>
        </w:rPr>
        <w:t>Issuer Purchases of Equity Securities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Total number of</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7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86"/>
              </w:rPr>
              <w:t>shares purchased as</w:t>
            </w:r>
          </w:p>
        </w:tc>
        <w:tc>
          <w:tcPr>
            <w:tcW w:w="17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shares that may</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4"/>
                <w:szCs w:val="14"/>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Average price</w:t>
            </w:r>
          </w:p>
        </w:tc>
        <w:tc>
          <w:tcPr>
            <w:tcW w:w="170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4"/>
              </w:rPr>
              <w:t>part of publicly</w:t>
            </w:r>
          </w:p>
        </w:tc>
        <w:tc>
          <w:tcPr>
            <w:tcW w:w="17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yet be purchased</w:t>
            </w:r>
          </w:p>
        </w:tc>
        <w:tc>
          <w:tcPr>
            <w:tcW w:w="0" w:type="dxa"/>
            <w:vAlign w:val="bottom"/>
          </w:tcPr>
          <w:p>
            <w:pPr>
              <w:spacing w:after="0"/>
              <w:rPr>
                <w:sz w:val="1"/>
                <w:szCs w:val="1"/>
                <w:color w:val="auto"/>
              </w:rPr>
            </w:pPr>
          </w:p>
        </w:tc>
      </w:tr>
      <w:tr>
        <w:trPr>
          <w:trHeight w:val="162"/>
        </w:trPr>
        <w:tc>
          <w:tcPr>
            <w:tcW w:w="45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7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announced plans</w:t>
            </w:r>
          </w:p>
        </w:tc>
        <w:tc>
          <w:tcPr>
            <w:tcW w:w="17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13"/>
        </w:trPr>
        <w:tc>
          <w:tcPr>
            <w:tcW w:w="4540" w:type="dxa"/>
            <w:vAlign w:val="bottom"/>
            <w:gridSpan w:val="2"/>
            <w:vMerge w:val="continue"/>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shares purchased</w:t>
            </w: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paid per share (a)</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or programs</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2"/>
              </w:rPr>
              <w:t>programs</w:t>
            </w:r>
          </w:p>
        </w:tc>
        <w:tc>
          <w:tcPr>
            <w:tcW w:w="0" w:type="dxa"/>
            <w:vAlign w:val="bottom"/>
          </w:tcPr>
          <w:p>
            <w:pPr>
              <w:spacing w:after="0"/>
              <w:rPr>
                <w:sz w:val="1"/>
                <w:szCs w:val="1"/>
                <w:color w:val="auto"/>
              </w:rPr>
            </w:pPr>
          </w:p>
        </w:tc>
      </w:tr>
      <w:tr>
        <w:trPr>
          <w:trHeight w:val="37"/>
        </w:trPr>
        <w:tc>
          <w:tcPr>
            <w:tcW w:w="2080" w:type="dxa"/>
            <w:vAlign w:val="bottom"/>
            <w:tcBorders>
              <w:top w:val="single" w:sz="8" w:color="auto"/>
            </w:tcBorders>
          </w:tcPr>
          <w:p>
            <w:pPr>
              <w:spacing w:after="0"/>
              <w:rPr>
                <w:sz w:val="3"/>
                <w:szCs w:val="3"/>
                <w:color w:val="auto"/>
              </w:rPr>
            </w:pPr>
          </w:p>
        </w:tc>
        <w:tc>
          <w:tcPr>
            <w:tcW w:w="2460" w:type="dxa"/>
            <w:vAlign w:val="bottom"/>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2021 through January 31, 2021:</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3,105,600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3,105,600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February 1, 2021 through February 28, 2021:</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666,600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tcPr>
          <w:p>
            <w:pPr>
              <w:jc w:val="right"/>
              <w:spacing w:after="0"/>
              <w:rPr>
                <w:sz w:val="20"/>
                <w:szCs w:val="20"/>
                <w:color w:val="auto"/>
              </w:rPr>
            </w:pPr>
            <w:r>
              <w:rPr>
                <w:rFonts w:ascii="Arial" w:cs="Arial" w:eastAsia="Arial" w:hAnsi="Arial"/>
                <w:sz w:val="18"/>
                <w:szCs w:val="18"/>
                <w:color w:val="auto"/>
              </w:rPr>
              <w:t>3,039,600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3,039,600</w:t>
            </w: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2021 through March 31, 2021:</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6,066,100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28"/>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Total — January 1, 2021 through March 31, 2021:</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666,600</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tcPr>
          <w:p>
            <w:pPr>
              <w:jc w:val="right"/>
              <w:spacing w:after="0"/>
              <w:rPr>
                <w:sz w:val="20"/>
                <w:szCs w:val="20"/>
                <w:color w:val="auto"/>
              </w:rPr>
            </w:pPr>
            <w:r>
              <w:rPr>
                <w:rFonts w:ascii="Arial" w:cs="Arial" w:eastAsia="Arial" w:hAnsi="Arial"/>
                <w:sz w:val="18"/>
                <w:szCs w:val="18"/>
                <w:color w:val="auto"/>
              </w:rPr>
              <w:t>12,211,300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12,211,300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w:t>
      </w:r>
    </w:p>
    <w:p>
      <w:pPr>
        <w:spacing w:after="0" w:line="252"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w:t>
      </w:r>
    </w:p>
    <w:p>
      <w:pPr>
        <w:spacing w:after="0" w:line="248" w:lineRule="exact"/>
        <w:rPr>
          <w:rFonts w:ascii="Arial" w:cs="Arial" w:eastAsia="Arial" w:hAnsi="Arial"/>
          <w:sz w:val="18"/>
          <w:szCs w:val="18"/>
          <w:color w:val="auto"/>
        </w:rPr>
      </w:pPr>
    </w:p>
    <w:p>
      <w:pPr>
        <w:ind w:left="540" w:hanging="532"/>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March 31, 2021, the remaining amount authorized for share repurchases was $678.4 million</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the exhibits filed as part of this Quarterly Report (according to the number assigned to them in Item 601 of Regulation S-K):</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 — Instruments Defining the Rights of Securities Holders, including Indentures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40" w:type="dxa"/>
            <w:vAlign w:val="bottom"/>
          </w:tcPr>
          <w:p>
            <w:pPr>
              <w:jc w:val="center"/>
              <w:ind w:right="290"/>
              <w:spacing w:after="0"/>
              <w:rPr>
                <w:sz w:val="20"/>
                <w:szCs w:val="20"/>
                <w:color w:val="auto"/>
              </w:rPr>
            </w:pPr>
            <w:r>
              <w:rPr>
                <w:rFonts w:ascii="Arial" w:cs="Arial" w:eastAsia="Arial" w:hAnsi="Arial"/>
                <w:sz w:val="18"/>
                <w:szCs w:val="18"/>
                <w:color w:val="auto"/>
                <w:w w:val="95"/>
              </w:rPr>
              <w:t>4.1</w:t>
            </w:r>
          </w:p>
        </w:tc>
        <w:tc>
          <w:tcPr>
            <w:tcW w:w="9860" w:type="dxa"/>
            <w:vAlign w:val="bottom"/>
            <w:gridSpan w:val="22"/>
          </w:tcPr>
          <w:p>
            <w:pPr>
              <w:spacing w:after="0"/>
              <w:rPr>
                <w:rFonts w:ascii="Arial" w:cs="Arial" w:eastAsia="Arial" w:hAnsi="Arial"/>
                <w:sz w:val="18"/>
                <w:szCs w:val="18"/>
                <w:color w:val="0000FF"/>
                <w:w w:val="99"/>
              </w:rPr>
            </w:pPr>
            <w:hyperlink r:id="rId93">
              <w:r>
                <w:rPr>
                  <w:rFonts w:ascii="Arial" w:cs="Arial" w:eastAsia="Arial" w:hAnsi="Arial"/>
                  <w:sz w:val="18"/>
                  <w:szCs w:val="18"/>
                  <w:color w:val="0000FF"/>
                  <w:w w:val="99"/>
                </w:rPr>
                <w:t>Additional Facility AV2 Accession Agreement dated April 12, 2021 and entered into between, among others, UPC Financing</w:t>
              </w:r>
            </w:hyperlink>
          </w:p>
        </w:tc>
      </w:tr>
      <w:tr>
        <w:trPr>
          <w:trHeight w:val="156"/>
        </w:trPr>
        <w:tc>
          <w:tcPr>
            <w:tcW w:w="154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6" w:lineRule="exact"/>
              <w:rPr>
                <w:rFonts w:ascii="Arial" w:cs="Arial" w:eastAsia="Arial" w:hAnsi="Arial"/>
                <w:sz w:val="18"/>
                <w:szCs w:val="18"/>
                <w:color w:val="0000FF"/>
                <w:w w:val="96"/>
              </w:rPr>
            </w:pPr>
            <w:hyperlink r:id="rId93">
              <w:r>
                <w:rPr>
                  <w:rFonts w:ascii="Arial" w:cs="Arial" w:eastAsia="Arial" w:hAnsi="Arial"/>
                  <w:sz w:val="18"/>
                  <w:szCs w:val="18"/>
                  <w:color w:val="0000FF"/>
                  <w:w w:val="96"/>
                </w:rPr>
                <w:t>Partnership as the Borrower and The Bank of Nova Scotia as the Facility Agent (incorporated by reference to Exhibit 4.1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78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3"/>
              </w:rPr>
            </w:pPr>
            <w:hyperlink r:id="rId93">
              <w:r>
                <w:rPr>
                  <w:rFonts w:ascii="Arial" w:cs="Arial" w:eastAsia="Arial" w:hAnsi="Arial"/>
                  <w:sz w:val="18"/>
                  <w:szCs w:val="18"/>
                  <w:color w:val="0000FF"/>
                  <w:w w:val="93"/>
                </w:rPr>
                <w:t>Registrant’s Current Report on Form 8-K filed April 16, 2021 (File No. 001-35961) (the April 16, 2021 8-K).</w:t>
              </w:r>
            </w:hyperlink>
          </w:p>
        </w:tc>
        <w:tc>
          <w:tcPr>
            <w:tcW w:w="18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540" w:type="dxa"/>
            <w:vAlign w:val="bottom"/>
          </w:tcPr>
          <w:p>
            <w:pPr>
              <w:jc w:val="center"/>
              <w:ind w:right="290"/>
              <w:spacing w:after="0"/>
              <w:rPr>
                <w:sz w:val="20"/>
                <w:szCs w:val="20"/>
                <w:color w:val="auto"/>
              </w:rPr>
            </w:pPr>
            <w:r>
              <w:rPr>
                <w:rFonts w:ascii="Arial" w:cs="Arial" w:eastAsia="Arial" w:hAnsi="Arial"/>
                <w:sz w:val="18"/>
                <w:szCs w:val="18"/>
                <w:color w:val="auto"/>
                <w:w w:val="95"/>
              </w:rPr>
              <w:t>4.2</w:t>
            </w:r>
          </w:p>
        </w:tc>
        <w:tc>
          <w:tcPr>
            <w:tcW w:w="9860" w:type="dxa"/>
            <w:vAlign w:val="bottom"/>
            <w:gridSpan w:val="22"/>
          </w:tcPr>
          <w:p>
            <w:pPr>
              <w:spacing w:after="0"/>
              <w:rPr>
                <w:rFonts w:ascii="Arial" w:cs="Arial" w:eastAsia="Arial" w:hAnsi="Arial"/>
                <w:sz w:val="18"/>
                <w:szCs w:val="18"/>
                <w:color w:val="0000FF"/>
                <w:w w:val="98"/>
              </w:rPr>
            </w:pPr>
            <w:hyperlink r:id="rId94">
              <w:r>
                <w:rPr>
                  <w:rFonts w:ascii="Arial" w:cs="Arial" w:eastAsia="Arial" w:hAnsi="Arial"/>
                  <w:sz w:val="18"/>
                  <w:szCs w:val="18"/>
                  <w:color w:val="0000FF"/>
                  <w:w w:val="98"/>
                </w:rPr>
                <w:t>Additional Facility AW2 Accession Agreement dated April 12, 2021 and entered into between, among others, UPC Broadband</w:t>
              </w:r>
            </w:hyperlink>
          </w:p>
        </w:tc>
      </w:tr>
      <w:tr>
        <w:trPr>
          <w:trHeight w:val="156"/>
        </w:trPr>
        <w:tc>
          <w:tcPr>
            <w:tcW w:w="1540" w:type="dxa"/>
            <w:vAlign w:val="bottom"/>
          </w:tcPr>
          <w:p>
            <w:pPr>
              <w:spacing w:after="0"/>
              <w:rPr>
                <w:sz w:val="13"/>
                <w:szCs w:val="13"/>
                <w:color w:val="auto"/>
              </w:rPr>
            </w:pPr>
          </w:p>
        </w:tc>
        <w:tc>
          <w:tcPr>
            <w:tcW w:w="9680" w:type="dxa"/>
            <w:vAlign w:val="bottom"/>
            <w:tcBorders>
              <w:top w:val="single" w:sz="8" w:color="0000FF"/>
            </w:tcBorders>
            <w:gridSpan w:val="13"/>
          </w:tcPr>
          <w:p>
            <w:pPr>
              <w:spacing w:after="0" w:line="156" w:lineRule="exact"/>
              <w:rPr>
                <w:rFonts w:ascii="Arial" w:cs="Arial" w:eastAsia="Arial" w:hAnsi="Arial"/>
                <w:sz w:val="18"/>
                <w:szCs w:val="18"/>
                <w:color w:val="0000FF"/>
                <w:w w:val="95"/>
              </w:rPr>
            </w:pPr>
            <w:hyperlink r:id="rId94">
              <w:r>
                <w:rPr>
                  <w:rFonts w:ascii="Arial" w:cs="Arial" w:eastAsia="Arial" w:hAnsi="Arial"/>
                  <w:sz w:val="18"/>
                  <w:szCs w:val="18"/>
                  <w:color w:val="0000FF"/>
                  <w:w w:val="95"/>
                </w:rPr>
                <w:t>Holding B.V. as the Borrower and The Bank of Nova Scotia as the Facility Agent (incorporated by reference to Exhibit 4.2 to the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4"/>
              </w:rPr>
            </w:pPr>
            <w:hyperlink r:id="rId94">
              <w:r>
                <w:rPr>
                  <w:rFonts w:ascii="Arial" w:cs="Arial" w:eastAsia="Arial" w:hAnsi="Arial"/>
                  <w:sz w:val="18"/>
                  <w:szCs w:val="18"/>
                  <w:color w:val="0000FF"/>
                  <w:w w:val="94"/>
                </w:rPr>
                <w:t>April 16, 2021 8-K).</w:t>
              </w:r>
            </w:hyperlink>
          </w:p>
        </w:tc>
        <w:tc>
          <w:tcPr>
            <w:tcW w:w="818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540" w:type="dxa"/>
            <w:vAlign w:val="bottom"/>
          </w:tcPr>
          <w:p>
            <w:pPr>
              <w:jc w:val="center"/>
              <w:ind w:right="290"/>
              <w:spacing w:after="0"/>
              <w:rPr>
                <w:sz w:val="20"/>
                <w:szCs w:val="20"/>
                <w:color w:val="auto"/>
              </w:rPr>
            </w:pPr>
            <w:r>
              <w:rPr>
                <w:rFonts w:ascii="Arial" w:cs="Arial" w:eastAsia="Arial" w:hAnsi="Arial"/>
                <w:sz w:val="18"/>
                <w:szCs w:val="18"/>
                <w:color w:val="auto"/>
                <w:w w:val="95"/>
              </w:rPr>
              <w:t>4.3</w:t>
            </w:r>
          </w:p>
        </w:tc>
        <w:tc>
          <w:tcPr>
            <w:tcW w:w="9860" w:type="dxa"/>
            <w:vAlign w:val="bottom"/>
            <w:gridSpan w:val="22"/>
          </w:tcPr>
          <w:p>
            <w:pPr>
              <w:spacing w:after="0"/>
              <w:rPr>
                <w:rFonts w:ascii="Arial" w:cs="Arial" w:eastAsia="Arial" w:hAnsi="Arial"/>
                <w:sz w:val="18"/>
                <w:szCs w:val="18"/>
                <w:color w:val="0000FF"/>
                <w:w w:val="98"/>
              </w:rPr>
            </w:pPr>
            <w:hyperlink r:id="rId95">
              <w:r>
                <w:rPr>
                  <w:rFonts w:ascii="Arial" w:cs="Arial" w:eastAsia="Arial" w:hAnsi="Arial"/>
                  <w:sz w:val="18"/>
                  <w:szCs w:val="18"/>
                  <w:color w:val="0000FF"/>
                  <w:w w:val="98"/>
                </w:rPr>
                <w:t>Amended Credit Agreement dated April 12, 2021 and entered into between, amongst others, UPC Broadband as the Upsizing</w:t>
              </w:r>
            </w:hyperlink>
          </w:p>
        </w:tc>
      </w:tr>
      <w:tr>
        <w:trPr>
          <w:trHeight w:val="156"/>
        </w:trPr>
        <w:tc>
          <w:tcPr>
            <w:tcW w:w="154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4"/>
              </w:rPr>
            </w:pPr>
            <w:hyperlink r:id="rId95">
              <w:r>
                <w:rPr>
                  <w:rFonts w:ascii="Arial" w:cs="Arial" w:eastAsia="Arial" w:hAnsi="Arial"/>
                  <w:sz w:val="18"/>
                  <w:szCs w:val="18"/>
                  <w:color w:val="0000FF"/>
                  <w:w w:val="94"/>
                </w:rPr>
                <w:t>Revolving Facility Lenders (named therein) and The Bank of Nova Scotia as the Facility Agent and Security Agent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840" w:type="dxa"/>
            <w:vAlign w:val="bottom"/>
            <w:gridSpan w:val="21"/>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reference to Exhibit 4.3 to the April 16, 2021 8-K).</w:t>
              </w:r>
            </w:hyperlink>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1540" w:type="dxa"/>
            <w:vAlign w:val="bottom"/>
          </w:tcPr>
          <w:p>
            <w:pPr>
              <w:jc w:val="center"/>
              <w:ind w:right="290"/>
              <w:spacing w:after="0"/>
              <w:rPr>
                <w:sz w:val="20"/>
                <w:szCs w:val="20"/>
                <w:color w:val="auto"/>
              </w:rPr>
            </w:pPr>
            <w:r>
              <w:rPr>
                <w:rFonts w:ascii="Arial" w:cs="Arial" w:eastAsia="Arial" w:hAnsi="Arial"/>
                <w:sz w:val="18"/>
                <w:szCs w:val="18"/>
                <w:color w:val="auto"/>
                <w:w w:val="95"/>
              </w:rPr>
              <w:t>4.4</w:t>
            </w:r>
          </w:p>
        </w:tc>
        <w:tc>
          <w:tcPr>
            <w:tcW w:w="9860" w:type="dxa"/>
            <w:vAlign w:val="bottom"/>
            <w:gridSpan w:val="22"/>
          </w:tcPr>
          <w:p>
            <w:pPr>
              <w:spacing w:after="0"/>
              <w:rPr>
                <w:rFonts w:ascii="Arial" w:cs="Arial" w:eastAsia="Arial" w:hAnsi="Arial"/>
                <w:sz w:val="18"/>
                <w:szCs w:val="18"/>
                <w:color w:val="0000FF"/>
              </w:rPr>
            </w:pPr>
            <w:hyperlink r:id="rId96">
              <w:r>
                <w:rPr>
                  <w:rFonts w:ascii="Arial" w:cs="Arial" w:eastAsia="Arial" w:hAnsi="Arial"/>
                  <w:sz w:val="18"/>
                  <w:szCs w:val="18"/>
                  <w:color w:val="0000FF"/>
                </w:rPr>
                <w:t>Additional Facility AX Accession Agreement dated April 20, 2021 and entered into between, among others, UPC Financing</w:t>
              </w:r>
            </w:hyperlink>
          </w:p>
        </w:tc>
      </w:tr>
      <w:tr>
        <w:trPr>
          <w:trHeight w:val="155"/>
        </w:trPr>
        <w:tc>
          <w:tcPr>
            <w:tcW w:w="1540" w:type="dxa"/>
            <w:vAlign w:val="bottom"/>
          </w:tcPr>
          <w:p>
            <w:pPr>
              <w:spacing w:after="0"/>
              <w:rPr>
                <w:sz w:val="13"/>
                <w:szCs w:val="13"/>
                <w:color w:val="auto"/>
              </w:rPr>
            </w:pPr>
          </w:p>
        </w:tc>
        <w:tc>
          <w:tcPr>
            <w:tcW w:w="9780" w:type="dxa"/>
            <w:vAlign w:val="bottom"/>
            <w:tcBorders>
              <w:top w:val="single" w:sz="8" w:color="0000FF"/>
            </w:tcBorders>
            <w:gridSpan w:val="18"/>
          </w:tcPr>
          <w:p>
            <w:pPr>
              <w:spacing w:after="0" w:line="156" w:lineRule="exact"/>
              <w:rPr>
                <w:rFonts w:ascii="Arial" w:cs="Arial" w:eastAsia="Arial" w:hAnsi="Arial"/>
                <w:sz w:val="18"/>
                <w:szCs w:val="18"/>
                <w:color w:val="0000FF"/>
                <w:w w:val="97"/>
              </w:rPr>
            </w:pPr>
            <w:hyperlink r:id="rId96">
              <w:r>
                <w:rPr>
                  <w:rFonts w:ascii="Arial" w:cs="Arial" w:eastAsia="Arial" w:hAnsi="Arial"/>
                  <w:sz w:val="18"/>
                  <w:szCs w:val="18"/>
                  <w:color w:val="0000FF"/>
                  <w:w w:val="97"/>
                </w:rPr>
                <w:t>Partnership as the Borrower and The Bank of Nova Scotia as the Facility Agent (incorporated by reference to Exhibit 4.1 to the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78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3"/>
              </w:rPr>
            </w:pPr>
            <w:hyperlink r:id="rId96">
              <w:r>
                <w:rPr>
                  <w:rFonts w:ascii="Arial" w:cs="Arial" w:eastAsia="Arial" w:hAnsi="Arial"/>
                  <w:sz w:val="18"/>
                  <w:szCs w:val="18"/>
                  <w:color w:val="0000FF"/>
                  <w:w w:val="93"/>
                </w:rPr>
                <w:t>Registrant’s Current Report on Form 8-K filed April 26, 2021 (File No. 001-35961) (the April 26, 2021 8-K).</w:t>
              </w:r>
            </w:hyperlink>
          </w:p>
        </w:tc>
        <w:tc>
          <w:tcPr>
            <w:tcW w:w="18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4"/>
        </w:trPr>
        <w:tc>
          <w:tcPr>
            <w:tcW w:w="1540" w:type="dxa"/>
            <w:vAlign w:val="bottom"/>
          </w:tcPr>
          <w:p>
            <w:pPr>
              <w:jc w:val="center"/>
              <w:ind w:right="290"/>
              <w:spacing w:after="0"/>
              <w:rPr>
                <w:sz w:val="20"/>
                <w:szCs w:val="20"/>
                <w:color w:val="auto"/>
              </w:rPr>
            </w:pPr>
            <w:r>
              <w:rPr>
                <w:rFonts w:ascii="Arial" w:cs="Arial" w:eastAsia="Arial" w:hAnsi="Arial"/>
                <w:sz w:val="18"/>
                <w:szCs w:val="18"/>
                <w:color w:val="auto"/>
                <w:w w:val="95"/>
              </w:rPr>
              <w:t>4.5</w:t>
            </w:r>
          </w:p>
        </w:tc>
        <w:tc>
          <w:tcPr>
            <w:tcW w:w="9860" w:type="dxa"/>
            <w:vAlign w:val="bottom"/>
            <w:gridSpan w:val="22"/>
          </w:tcPr>
          <w:p>
            <w:pPr>
              <w:spacing w:after="0"/>
              <w:rPr>
                <w:rFonts w:ascii="Arial" w:cs="Arial" w:eastAsia="Arial" w:hAnsi="Arial"/>
                <w:sz w:val="18"/>
                <w:szCs w:val="18"/>
                <w:color w:val="0000FF"/>
                <w:w w:val="93"/>
              </w:rPr>
            </w:pPr>
            <w:hyperlink r:id="rId97">
              <w:r>
                <w:rPr>
                  <w:rFonts w:ascii="Arial" w:cs="Arial" w:eastAsia="Arial" w:hAnsi="Arial"/>
                  <w:sz w:val="18"/>
                  <w:szCs w:val="18"/>
                  <w:color w:val="0000FF"/>
                  <w:w w:val="93"/>
                </w:rPr>
                <w:t>Additional Facility AY Accession Agreement dated April 20, 2021 and entered into between, among others, UPC Broadband Holding</w:t>
              </w:r>
            </w:hyperlink>
          </w:p>
        </w:tc>
      </w:tr>
      <w:tr>
        <w:trPr>
          <w:trHeight w:val="156"/>
        </w:trPr>
        <w:tc>
          <w:tcPr>
            <w:tcW w:w="154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5"/>
              </w:rPr>
            </w:pPr>
            <w:hyperlink r:id="rId97">
              <w:r>
                <w:rPr>
                  <w:rFonts w:ascii="Arial" w:cs="Arial" w:eastAsia="Arial" w:hAnsi="Arial"/>
                  <w:sz w:val="18"/>
                  <w:szCs w:val="18"/>
                  <w:color w:val="0000FF"/>
                  <w:w w:val="95"/>
                </w:rPr>
                <w:t>B.V. as the Borrower and The Bank of Nova Scotia as the Facility Agent (incorporated by reference to Exhibit 4.2 to the April 26,</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9800" w:type="dxa"/>
            <w:vAlign w:val="bottom"/>
            <w:gridSpan w:val="19"/>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2021 8-K).</w:t>
              </w:r>
            </w:hyperlink>
          </w:p>
        </w:tc>
        <w:tc>
          <w:tcPr>
            <w:tcW w:w="60" w:type="dxa"/>
            <w:vAlign w:val="bottom"/>
            <w:gridSpan w:val="3"/>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64"/>
        </w:trPr>
        <w:tc>
          <w:tcPr>
            <w:tcW w:w="1540" w:type="dxa"/>
            <w:vAlign w:val="bottom"/>
          </w:tcPr>
          <w:p>
            <w:pPr>
              <w:jc w:val="center"/>
              <w:ind w:right="290"/>
              <w:spacing w:after="0"/>
              <w:rPr>
                <w:sz w:val="20"/>
                <w:szCs w:val="20"/>
                <w:color w:val="auto"/>
              </w:rPr>
            </w:pPr>
            <w:r>
              <w:rPr>
                <w:rFonts w:ascii="Arial" w:cs="Arial" w:eastAsia="Arial" w:hAnsi="Arial"/>
                <w:sz w:val="18"/>
                <w:szCs w:val="18"/>
                <w:color w:val="auto"/>
                <w:w w:val="95"/>
              </w:rPr>
              <w:t>4.6</w:t>
            </w:r>
          </w:p>
        </w:tc>
        <w:tc>
          <w:tcPr>
            <w:tcW w:w="9860" w:type="dxa"/>
            <w:vAlign w:val="bottom"/>
            <w:gridSpan w:val="22"/>
          </w:tcPr>
          <w:p>
            <w:pPr>
              <w:spacing w:after="0"/>
              <w:rPr>
                <w:rFonts w:ascii="Arial" w:cs="Arial" w:eastAsia="Arial" w:hAnsi="Arial"/>
                <w:sz w:val="18"/>
                <w:szCs w:val="18"/>
                <w:color w:val="0000FF"/>
                <w:w w:val="96"/>
              </w:rPr>
            </w:pPr>
            <w:hyperlink r:id="rId98">
              <w:r>
                <w:rPr>
                  <w:rFonts w:ascii="Arial" w:cs="Arial" w:eastAsia="Arial" w:hAnsi="Arial"/>
                  <w:sz w:val="18"/>
                  <w:szCs w:val="18"/>
                  <w:color w:val="0000FF"/>
                  <w:w w:val="96"/>
                </w:rPr>
                <w:t>Additional Facility AZ Accession Agreement dated April 21, 2021 and entered into between UPC Broadband Holding B.V. as the</w:t>
              </w:r>
            </w:hyperlink>
          </w:p>
        </w:tc>
      </w:tr>
      <w:tr>
        <w:trPr>
          <w:trHeight w:val="156"/>
        </w:trPr>
        <w:tc>
          <w:tcPr>
            <w:tcW w:w="1540" w:type="dxa"/>
            <w:vAlign w:val="bottom"/>
          </w:tcPr>
          <w:p>
            <w:pPr>
              <w:spacing w:after="0"/>
              <w:rPr>
                <w:sz w:val="13"/>
                <w:szCs w:val="13"/>
                <w:color w:val="auto"/>
              </w:rPr>
            </w:pPr>
          </w:p>
        </w:tc>
        <w:tc>
          <w:tcPr>
            <w:tcW w:w="9840" w:type="dxa"/>
            <w:vAlign w:val="bottom"/>
            <w:tcBorders>
              <w:top w:val="single" w:sz="8" w:color="0000FF"/>
            </w:tcBorders>
            <w:gridSpan w:val="21"/>
          </w:tcPr>
          <w:p>
            <w:pPr>
              <w:spacing w:after="0" w:line="156" w:lineRule="exact"/>
              <w:rPr>
                <w:rFonts w:ascii="Arial" w:cs="Arial" w:eastAsia="Arial" w:hAnsi="Arial"/>
                <w:sz w:val="18"/>
                <w:szCs w:val="18"/>
                <w:color w:val="0000FF"/>
                <w:w w:val="94"/>
              </w:rPr>
            </w:pPr>
            <w:hyperlink r:id="rId98">
              <w:r>
                <w:rPr>
                  <w:rFonts w:ascii="Arial" w:cs="Arial" w:eastAsia="Arial" w:hAnsi="Arial"/>
                  <w:sz w:val="18"/>
                  <w:szCs w:val="18"/>
                  <w:color w:val="0000FF"/>
                  <w:w w:val="94"/>
                </w:rPr>
                <w:t>Company, UPC Financing Partnership as Borrower, The Bank of Nova Scotia as the Facility Agent and UPC Broadband Finco B.V.</w:t>
              </w:r>
            </w:hyperlink>
          </w:p>
        </w:tc>
        <w:tc>
          <w:tcPr>
            <w:tcW w:w="20" w:type="dxa"/>
            <w:vAlign w:val="bottom"/>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76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as the Additional Facility AZ Lender (incorporated by reference to Exhibit 4.3 to the April 26, 2021 8-K).</w:t>
              </w:r>
            </w:hyperlink>
          </w:p>
        </w:tc>
        <w:tc>
          <w:tcPr>
            <w:tcW w:w="2100" w:type="dxa"/>
            <w:vAlign w:val="bottom"/>
            <w:tcBorders>
              <w:top w:val="single" w:sz="8" w:color="0000FF"/>
            </w:tcBorders>
            <w:gridSpan w:val="7"/>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304"/>
        </w:trPr>
        <w:tc>
          <w:tcPr>
            <w:tcW w:w="11400" w:type="dxa"/>
            <w:vAlign w:val="bottom"/>
            <w:gridSpan w:val="23"/>
          </w:tcPr>
          <w:p>
            <w:pPr>
              <w:spacing w:after="0"/>
              <w:rPr>
                <w:sz w:val="20"/>
                <w:szCs w:val="20"/>
                <w:color w:val="auto"/>
              </w:rPr>
            </w:pPr>
            <w:r>
              <w:rPr>
                <w:rFonts w:ascii="Arial" w:cs="Arial" w:eastAsia="Arial" w:hAnsi="Arial"/>
                <w:sz w:val="18"/>
                <w:szCs w:val="18"/>
                <w:color w:val="auto"/>
              </w:rPr>
              <w:t>10 — Material Contracts</w:t>
            </w:r>
          </w:p>
        </w:tc>
      </w:tr>
      <w:tr>
        <w:trPr>
          <w:trHeight w:val="243"/>
        </w:trPr>
        <w:tc>
          <w:tcPr>
            <w:tcW w:w="1540" w:type="dxa"/>
            <w:vAlign w:val="bottom"/>
          </w:tcPr>
          <w:p>
            <w:pPr>
              <w:jc w:val="center"/>
              <w:ind w:right="290"/>
              <w:spacing w:after="0"/>
              <w:rPr>
                <w:sz w:val="20"/>
                <w:szCs w:val="20"/>
                <w:color w:val="auto"/>
              </w:rPr>
            </w:pPr>
            <w:r>
              <w:rPr>
                <w:rFonts w:ascii="Arial" w:cs="Arial" w:eastAsia="Arial" w:hAnsi="Arial"/>
                <w:sz w:val="18"/>
                <w:szCs w:val="18"/>
                <w:color w:val="auto"/>
                <w:w w:val="91"/>
              </w:rPr>
              <w:t>10.1</w:t>
            </w:r>
          </w:p>
        </w:tc>
        <w:tc>
          <w:tcPr>
            <w:tcW w:w="9860" w:type="dxa"/>
            <w:vAlign w:val="bottom"/>
            <w:gridSpan w:val="22"/>
          </w:tcPr>
          <w:p>
            <w:pPr>
              <w:spacing w:after="0"/>
              <w:rPr>
                <w:rFonts w:ascii="Arial" w:cs="Arial" w:eastAsia="Arial" w:hAnsi="Arial"/>
                <w:sz w:val="18"/>
                <w:szCs w:val="18"/>
                <w:color w:val="0000FF"/>
                <w:w w:val="94"/>
              </w:rPr>
            </w:pPr>
            <w:hyperlink r:id="rId99">
              <w:r>
                <w:rPr>
                  <w:rFonts w:ascii="Arial" w:cs="Arial" w:eastAsia="Arial" w:hAnsi="Arial"/>
                  <w:sz w:val="18"/>
                  <w:szCs w:val="18"/>
                  <w:color w:val="0000FF"/>
                  <w:w w:val="94"/>
                </w:rPr>
                <w:t>Liberty Global 2021 Long-Term Equity Incentive Program for executive officers under the Company’s 2021 long-term incentive plan</w:t>
              </w:r>
            </w:hyperlink>
          </w:p>
        </w:tc>
      </w:tr>
      <w:tr>
        <w:trPr>
          <w:trHeight w:val="155"/>
        </w:trPr>
        <w:tc>
          <w:tcPr>
            <w:tcW w:w="1540" w:type="dxa"/>
            <w:vAlign w:val="bottom"/>
          </w:tcPr>
          <w:p>
            <w:pPr>
              <w:spacing w:after="0"/>
              <w:rPr>
                <w:sz w:val="13"/>
                <w:szCs w:val="13"/>
                <w:color w:val="auto"/>
              </w:rPr>
            </w:pPr>
          </w:p>
        </w:tc>
        <w:tc>
          <w:tcPr>
            <w:tcW w:w="9600" w:type="dxa"/>
            <w:vAlign w:val="bottom"/>
            <w:tcBorders>
              <w:top w:val="single" w:sz="8" w:color="0000FF"/>
            </w:tcBorders>
            <w:gridSpan w:val="11"/>
          </w:tcPr>
          <w:p>
            <w:pPr>
              <w:spacing w:after="0" w:line="156" w:lineRule="exact"/>
              <w:rPr>
                <w:rFonts w:ascii="Arial" w:cs="Arial" w:eastAsia="Arial" w:hAnsi="Arial"/>
                <w:sz w:val="18"/>
                <w:szCs w:val="18"/>
                <w:color w:val="0000FF"/>
                <w:w w:val="93"/>
              </w:rPr>
            </w:pPr>
            <w:hyperlink r:id="rId99">
              <w:r>
                <w:rPr>
                  <w:rFonts w:ascii="Arial" w:cs="Arial" w:eastAsia="Arial" w:hAnsi="Arial"/>
                  <w:sz w:val="18"/>
                  <w:szCs w:val="18"/>
                  <w:color w:val="0000FF"/>
                  <w:w w:val="93"/>
                </w:rPr>
                <w:t>(description of said plan is incorporated by reference to the description thereof included in Item 5.02(e) of the Registrant’s Current</w:t>
              </w:r>
            </w:hyperlink>
          </w:p>
        </w:tc>
        <w:tc>
          <w:tcPr>
            <w:tcW w:w="260" w:type="dxa"/>
            <w:vAlign w:val="bottom"/>
            <w:gridSpan w:val="11"/>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93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Report on Form 8-K filed April 15, 2021 (File No. 001-35961)).</w:t>
              </w:r>
            </w:hyperlink>
          </w:p>
        </w:tc>
        <w:tc>
          <w:tcPr>
            <w:tcW w:w="480" w:type="dxa"/>
            <w:vAlign w:val="bottom"/>
            <w:gridSpan w:val="12"/>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0" w:type="dxa"/>
            <w:vAlign w:val="bottom"/>
            <w:gridSpan w:val="15"/>
          </w:tcPr>
          <w:p>
            <w:pPr>
              <w:spacing w:after="0" w:line="20" w:lineRule="exact"/>
              <w:rPr>
                <w:sz w:val="1"/>
                <w:szCs w:val="1"/>
                <w:color w:val="auto"/>
              </w:rPr>
            </w:pPr>
          </w:p>
        </w:tc>
      </w:tr>
      <w:tr>
        <w:trPr>
          <w:trHeight w:val="304"/>
        </w:trPr>
        <w:tc>
          <w:tcPr>
            <w:tcW w:w="11400" w:type="dxa"/>
            <w:vAlign w:val="bottom"/>
            <w:gridSpan w:val="23"/>
          </w:tcPr>
          <w:p>
            <w:pPr>
              <w:spacing w:after="0"/>
              <w:rPr>
                <w:sz w:val="20"/>
                <w:szCs w:val="20"/>
                <w:color w:val="auto"/>
              </w:rPr>
            </w:pPr>
            <w:r>
              <w:rPr>
                <w:rFonts w:ascii="Arial" w:cs="Arial" w:eastAsia="Arial" w:hAnsi="Arial"/>
                <w:sz w:val="18"/>
                <w:szCs w:val="18"/>
                <w:color w:val="auto"/>
              </w:rPr>
              <w:t>31 — Rule 13a-14(a)/15d-14(a) Certification:</w:t>
            </w:r>
          </w:p>
        </w:tc>
      </w:tr>
      <w:tr>
        <w:trPr>
          <w:trHeight w:val="243"/>
        </w:trPr>
        <w:tc>
          <w:tcPr>
            <w:tcW w:w="1540" w:type="dxa"/>
            <w:vAlign w:val="bottom"/>
          </w:tcPr>
          <w:p>
            <w:pPr>
              <w:jc w:val="center"/>
              <w:ind w:right="290"/>
              <w:spacing w:after="0"/>
              <w:rPr>
                <w:sz w:val="20"/>
                <w:szCs w:val="20"/>
                <w:color w:val="auto"/>
              </w:rPr>
            </w:pPr>
            <w:r>
              <w:rPr>
                <w:rFonts w:ascii="Arial" w:cs="Arial" w:eastAsia="Arial" w:hAnsi="Arial"/>
                <w:sz w:val="18"/>
                <w:szCs w:val="18"/>
                <w:color w:val="auto"/>
                <w:w w:val="91"/>
              </w:rPr>
              <w:t>31.1</w:t>
            </w:r>
          </w:p>
        </w:tc>
        <w:tc>
          <w:tcPr>
            <w:tcW w:w="398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78">
              <w:r>
                <w:rPr>
                  <w:rFonts w:ascii="Arial" w:cs="Arial" w:eastAsia="Arial" w:hAnsi="Arial"/>
                  <w:sz w:val="18"/>
                  <w:szCs w:val="18"/>
                  <w:color w:val="0000FF"/>
                  <w:w w:val="92"/>
                </w:rPr>
                <w:t>Certification of President and Chief Executive Officer*</w:t>
              </w:r>
            </w:hyperlink>
          </w:p>
        </w:tc>
        <w:tc>
          <w:tcPr>
            <w:tcW w:w="5880" w:type="dxa"/>
            <w:vAlign w:val="bottom"/>
            <w:gridSpan w:val="17"/>
          </w:tcPr>
          <w:p>
            <w:pPr>
              <w:spacing w:after="0"/>
              <w:rPr>
                <w:sz w:val="21"/>
                <w:szCs w:val="21"/>
                <w:color w:val="auto"/>
              </w:rPr>
            </w:pPr>
          </w:p>
        </w:tc>
      </w:tr>
      <w:tr>
        <w:trPr>
          <w:trHeight w:val="263"/>
        </w:trPr>
        <w:tc>
          <w:tcPr>
            <w:tcW w:w="1540" w:type="dxa"/>
            <w:vAlign w:val="bottom"/>
          </w:tcPr>
          <w:p>
            <w:pPr>
              <w:jc w:val="center"/>
              <w:ind w:right="290"/>
              <w:spacing w:after="0"/>
              <w:rPr>
                <w:sz w:val="20"/>
                <w:szCs w:val="20"/>
                <w:color w:val="auto"/>
              </w:rPr>
            </w:pPr>
            <w:r>
              <w:rPr>
                <w:rFonts w:ascii="Arial" w:cs="Arial" w:eastAsia="Arial" w:hAnsi="Arial"/>
                <w:sz w:val="18"/>
                <w:szCs w:val="18"/>
                <w:color w:val="auto"/>
                <w:w w:val="91"/>
              </w:rPr>
              <w:t>31.2</w:t>
            </w:r>
          </w:p>
        </w:tc>
        <w:tc>
          <w:tcPr>
            <w:tcW w:w="9860" w:type="dxa"/>
            <w:vAlign w:val="bottom"/>
            <w:gridSpan w:val="22"/>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Certification of Executive Vice President and Chief Financial Officer*</w:t>
              </w:r>
            </w:hyperlink>
          </w:p>
        </w:tc>
      </w:tr>
      <w:tr>
        <w:trPr>
          <w:trHeight w:val="20"/>
        </w:trPr>
        <w:tc>
          <w:tcPr>
            <w:tcW w:w="15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4800" w:type="dxa"/>
            <w:vAlign w:val="bottom"/>
            <w:gridSpan w:val="15"/>
          </w:tcPr>
          <w:p>
            <w:pPr>
              <w:spacing w:after="0" w:line="20" w:lineRule="exact"/>
              <w:rPr>
                <w:sz w:val="1"/>
                <w:szCs w:val="1"/>
                <w:color w:val="auto"/>
              </w:rPr>
            </w:pPr>
          </w:p>
        </w:tc>
      </w:tr>
      <w:tr>
        <w:trPr>
          <w:trHeight w:val="263"/>
        </w:trPr>
        <w:tc>
          <w:tcPr>
            <w:tcW w:w="2540" w:type="dxa"/>
            <w:vAlign w:val="bottom"/>
            <w:tcBorders>
              <w:bottom w:val="single" w:sz="8" w:color="0000FF"/>
            </w:tcBorders>
            <w:gridSpan w:val="3"/>
          </w:tcPr>
          <w:p>
            <w:pPr>
              <w:spacing w:after="0"/>
              <w:rPr>
                <w:rFonts w:ascii="Arial" w:cs="Arial" w:eastAsia="Arial" w:hAnsi="Arial"/>
                <w:sz w:val="18"/>
                <w:szCs w:val="18"/>
                <w:color w:val="0000FF"/>
                <w:w w:val="94"/>
              </w:rPr>
            </w:pPr>
            <w:hyperlink w:anchor="page80">
              <w:r>
                <w:rPr>
                  <w:rFonts w:ascii="Arial" w:cs="Arial" w:eastAsia="Arial" w:hAnsi="Arial"/>
                  <w:sz w:val="18"/>
                  <w:szCs w:val="18"/>
                  <w:color w:val="0000FF"/>
                  <w:w w:val="94"/>
                </w:rPr>
                <w:t>32 — Section 1350 Certification**</w:t>
              </w:r>
            </w:hyperlink>
          </w:p>
        </w:tc>
        <w:tc>
          <w:tcPr>
            <w:tcW w:w="8860" w:type="dxa"/>
            <w:vAlign w:val="bottom"/>
            <w:gridSpan w:val="20"/>
          </w:tcPr>
          <w:p>
            <w:pPr>
              <w:spacing w:after="0"/>
              <w:rPr>
                <w:sz w:val="22"/>
                <w:szCs w:val="22"/>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154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4"/>
        </w:trPr>
        <w:tc>
          <w:tcPr>
            <w:tcW w:w="154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22"/>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53" w:lineRule="exact"/>
        <w:rPr>
          <w:sz w:val="20"/>
          <w:szCs w:val="20"/>
          <w:color w:val="auto"/>
        </w:rPr>
      </w:pPr>
    </w:p>
    <w:p>
      <w:pPr>
        <w:ind w:left="1560" w:hanging="1534"/>
        <w:spacing w:after="0"/>
        <w:tabs>
          <w:tab w:leader="none" w:pos="1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w:t>
      </w:r>
    </w:p>
    <w:p>
      <w:pPr>
        <w:spacing w:after="0" w:line="130"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144"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LIBERTY GLOBAL PLC</w:t>
      </w:r>
    </w:p>
    <w:p>
      <w:pPr>
        <w:spacing w:after="0" w:line="293" w:lineRule="exact"/>
        <w:rPr>
          <w:sz w:val="20"/>
          <w:szCs w:val="20"/>
          <w:color w:val="auto"/>
        </w:rPr>
      </w:pPr>
    </w:p>
    <w:p>
      <w:pPr>
        <w:ind w:left="220"/>
        <w:spacing w:after="0"/>
        <w:tabs>
          <w:tab w:leader="none" w:pos="6880" w:val="left"/>
          <w:tab w:leader="none" w:pos="7240" w:val="left"/>
        </w:tabs>
        <w:rPr>
          <w:sz w:val="20"/>
          <w:szCs w:val="20"/>
          <w:color w:val="auto"/>
        </w:rPr>
      </w:pPr>
      <w:r>
        <w:rPr>
          <w:rFonts w:ascii="Arial" w:cs="Arial" w:eastAsia="Arial" w:hAnsi="Arial"/>
          <w:sz w:val="18"/>
          <w:szCs w:val="18"/>
          <w:color w:val="auto"/>
        </w:rPr>
        <w:t>Dated: May 5,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T. F</w:t>
      </w:r>
      <w:r>
        <w:rPr>
          <w:rFonts w:ascii="Arial" w:cs="Arial" w:eastAsia="Arial" w:hAnsi="Arial"/>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23495</wp:posOffset>
            </wp:positionV>
            <wp:extent cx="40201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14" w:lineRule="exact"/>
        <w:rPr>
          <w:sz w:val="20"/>
          <w:szCs w:val="20"/>
          <w:color w:val="auto"/>
        </w:rPr>
      </w:pPr>
    </w:p>
    <w:p>
      <w:pPr>
        <w:jc w:val="center"/>
        <w:ind w:left="4520"/>
        <w:spacing w:after="0"/>
        <w:rPr>
          <w:sz w:val="20"/>
          <w:szCs w:val="20"/>
          <w:color w:val="auto"/>
        </w:rPr>
      </w:pPr>
      <w:r>
        <w:rPr>
          <w:rFonts w:ascii="Arial" w:cs="Arial" w:eastAsia="Arial" w:hAnsi="Arial"/>
          <w:sz w:val="18"/>
          <w:szCs w:val="18"/>
          <w:color w:val="auto"/>
        </w:rPr>
        <w:t>Michael T. Fries</w:t>
      </w:r>
    </w:p>
    <w:p>
      <w:pPr>
        <w:jc w:val="center"/>
        <w:ind w:left="45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90" w:lineRule="exact"/>
        <w:rPr>
          <w:sz w:val="20"/>
          <w:szCs w:val="20"/>
          <w:color w:val="auto"/>
        </w:rPr>
      </w:pPr>
    </w:p>
    <w:p>
      <w:pPr>
        <w:ind w:left="220"/>
        <w:spacing w:after="0"/>
        <w:tabs>
          <w:tab w:leader="none" w:pos="6640" w:val="left"/>
          <w:tab w:leader="none" w:pos="6980" w:val="left"/>
        </w:tabs>
        <w:rPr>
          <w:sz w:val="20"/>
          <w:szCs w:val="20"/>
          <w:color w:val="auto"/>
        </w:rPr>
      </w:pPr>
      <w:r>
        <w:rPr>
          <w:rFonts w:ascii="Arial" w:cs="Arial" w:eastAsia="Arial" w:hAnsi="Arial"/>
          <w:sz w:val="18"/>
          <w:szCs w:val="18"/>
          <w:color w:val="auto"/>
        </w:rPr>
        <w:t>Dated: May 5,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HARLES</w:t>
      </w:r>
      <w:r>
        <w:rPr>
          <w:rFonts w:ascii="Arial" w:cs="Arial" w:eastAsia="Arial" w:hAnsi="Arial"/>
          <w:sz w:val="17"/>
          <w:szCs w:val="17"/>
          <w:color w:val="auto"/>
        </w:rPr>
        <w:t xml:space="preserve"> H.R. B</w:t>
      </w:r>
      <w:r>
        <w:rPr>
          <w:rFonts w:ascii="Arial" w:cs="Arial" w:eastAsia="Arial" w:hAnsi="Arial"/>
          <w:sz w:val="13"/>
          <w:szCs w:val="13"/>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23495</wp:posOffset>
            </wp:positionV>
            <wp:extent cx="40201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14" w:lineRule="exact"/>
        <w:rPr>
          <w:sz w:val="20"/>
          <w:szCs w:val="20"/>
          <w:color w:val="auto"/>
        </w:rPr>
      </w:pPr>
    </w:p>
    <w:p>
      <w:pPr>
        <w:jc w:val="center"/>
        <w:ind w:left="4520"/>
        <w:spacing w:after="0"/>
        <w:rPr>
          <w:sz w:val="20"/>
          <w:szCs w:val="20"/>
          <w:color w:val="auto"/>
        </w:rPr>
      </w:pPr>
      <w:r>
        <w:rPr>
          <w:rFonts w:ascii="Arial" w:cs="Arial" w:eastAsia="Arial" w:hAnsi="Arial"/>
          <w:sz w:val="18"/>
          <w:szCs w:val="18"/>
          <w:color w:val="auto"/>
        </w:rPr>
        <w:t>Charles H.R. Bracken</w:t>
      </w:r>
    </w:p>
    <w:p>
      <w:pPr>
        <w:jc w:val="center"/>
        <w:ind w:left="4520"/>
        <w:spacing w:after="0" w:line="203" w:lineRule="auto"/>
        <w:rPr>
          <w:sz w:val="20"/>
          <w:szCs w:val="20"/>
          <w:color w:val="auto"/>
        </w:rPr>
      </w:pPr>
      <w:r>
        <w:rPr>
          <w:rFonts w:ascii="Arial" w:cs="Arial" w:eastAsia="Arial" w:hAnsi="Arial"/>
          <w:sz w:val="18"/>
          <w:szCs w:val="18"/>
          <w:i w:val="1"/>
          <w:iCs w:val="1"/>
          <w:color w:val="auto"/>
        </w:rPr>
        <w:t>Executive Vice President and Chief</w:t>
      </w:r>
    </w:p>
    <w:p>
      <w:pPr>
        <w:jc w:val="center"/>
        <w:ind w:left="4520"/>
        <w:spacing w:after="0"/>
        <w:rPr>
          <w:sz w:val="20"/>
          <w:szCs w:val="20"/>
          <w:color w:val="auto"/>
        </w:rPr>
      </w:pPr>
      <w:r>
        <w:rPr>
          <w:rFonts w:ascii="Arial" w:cs="Arial" w:eastAsia="Arial" w:hAnsi="Arial"/>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93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90"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Arial" w:cs="Arial" w:eastAsia="Arial" w:hAnsi="Arial"/>
          <w:sz w:val="18"/>
          <w:szCs w:val="18"/>
          <w:color w:val="auto"/>
        </w:rPr>
      </w:pPr>
    </w:p>
    <w:p>
      <w:pPr>
        <w:ind w:left="660" w:hanging="328"/>
        <w:spacing w:after="0" w:line="334"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328"/>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1" w:lineRule="exact"/>
        <w:rPr>
          <w:rFonts w:ascii="Arial" w:cs="Arial" w:eastAsia="Arial" w:hAnsi="Arial"/>
          <w:sz w:val="17"/>
          <w:szCs w:val="17"/>
          <w:color w:val="auto"/>
        </w:rPr>
      </w:pPr>
    </w:p>
    <w:p>
      <w:pPr>
        <w:ind w:left="1300" w:hanging="320"/>
        <w:spacing w:after="0" w:line="308" w:lineRule="auto"/>
        <w:tabs>
          <w:tab w:leader="none" w:pos="1291"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right="20" w:hanging="320"/>
        <w:spacing w:after="0" w:line="277" w:lineRule="auto"/>
        <w:tabs>
          <w:tab w:leader="none" w:pos="128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5, 2021</w:t>
      </w:r>
    </w:p>
    <w:p>
      <w:pPr>
        <w:spacing w:after="0" w:line="185"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27432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43"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90"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Arial" w:cs="Arial" w:eastAsia="Arial" w:hAnsi="Arial"/>
          <w:sz w:val="18"/>
          <w:szCs w:val="18"/>
          <w:color w:val="auto"/>
        </w:rPr>
      </w:pPr>
    </w:p>
    <w:p>
      <w:pPr>
        <w:ind w:left="660" w:hanging="328"/>
        <w:spacing w:after="0" w:line="334"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1" w:lineRule="exact"/>
        <w:rPr>
          <w:rFonts w:ascii="Arial" w:cs="Arial" w:eastAsia="Arial" w:hAnsi="Arial"/>
          <w:sz w:val="17"/>
          <w:szCs w:val="17"/>
          <w:color w:val="auto"/>
        </w:rPr>
      </w:pPr>
    </w:p>
    <w:p>
      <w:pPr>
        <w:ind w:left="1300" w:hanging="320"/>
        <w:spacing w:after="0" w:line="308" w:lineRule="auto"/>
        <w:tabs>
          <w:tab w:leader="none" w:pos="1291"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right="20" w:hanging="320"/>
        <w:spacing w:after="0" w:line="277" w:lineRule="auto"/>
        <w:tabs>
          <w:tab w:leader="none" w:pos="1288"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18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27432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4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Quarterly Report on Form 10-Q for the period ended March 31, 2021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March 31, 2021 and December 31, 2020, and for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900"/>
        <w:spacing w:after="0"/>
        <w:tabs>
          <w:tab w:leader="none" w:pos="6200" w:val="left"/>
        </w:tabs>
        <w:rPr>
          <w:sz w:val="20"/>
          <w:szCs w:val="20"/>
          <w:color w:val="auto"/>
        </w:rPr>
      </w:pPr>
      <w:r>
        <w:rPr>
          <w:rFonts w:ascii="Arial" w:cs="Arial" w:eastAsia="Arial" w:hAnsi="Arial"/>
          <w:sz w:val="18"/>
          <w:szCs w:val="18"/>
          <w:color w:val="auto"/>
        </w:rPr>
        <w:t>Dated: May 5, 2021</w:t>
      </w:r>
      <w:r>
        <w:rPr>
          <w:sz w:val="20"/>
          <w:szCs w:val="20"/>
          <w:color w:val="auto"/>
        </w:rPr>
        <w:tab/>
      </w:r>
      <w:r>
        <w:rPr>
          <w:rFonts w:ascii="Arial" w:cs="Arial" w:eastAsia="Arial" w:hAnsi="Arial"/>
          <w:sz w:val="16"/>
          <w:szCs w:val="16"/>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14605</wp:posOffset>
            </wp:positionV>
            <wp:extent cx="31032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43"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900"/>
        <w:spacing w:after="0"/>
        <w:tabs>
          <w:tab w:leader="none" w:pos="6000" w:val="left"/>
        </w:tabs>
        <w:rPr>
          <w:sz w:val="20"/>
          <w:szCs w:val="20"/>
          <w:color w:val="auto"/>
        </w:rPr>
      </w:pPr>
      <w:r>
        <w:rPr>
          <w:rFonts w:ascii="Arial" w:cs="Arial" w:eastAsia="Arial" w:hAnsi="Arial"/>
          <w:sz w:val="18"/>
          <w:szCs w:val="18"/>
          <w:color w:val="auto"/>
        </w:rPr>
        <w:t>Dated: May 5, 2021</w:t>
      </w:r>
      <w:r>
        <w:rPr>
          <w:sz w:val="20"/>
          <w:szCs w:val="20"/>
          <w:color w:val="auto"/>
        </w:rPr>
        <w:tab/>
      </w:r>
      <w:r>
        <w:rPr>
          <w:rFonts w:ascii="Arial" w:cs="Arial" w:eastAsia="Arial" w:hAnsi="Arial"/>
          <w:sz w:val="16"/>
          <w:szCs w:val="16"/>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14605</wp:posOffset>
            </wp:positionV>
            <wp:extent cx="31032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43"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Executive Vice President and Chief Financial Officer</w:t>
      </w:r>
    </w:p>
    <w:p>
      <w:pPr>
        <w:spacing w:after="0" w:line="3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1)"/>
      <w:numFmt w:val="decimal"/>
      <w:start w:val="2"/>
    </w:lvl>
  </w:abstractNum>
  <w:abstractNum w:abstractNumId="4">
    <w:nsid w:val="2463B9EA"/>
    <w:multiLevelType w:val="hybridMultilevel"/>
    <w:lvl w:ilvl="0">
      <w:lvlJc w:val="left"/>
      <w:lvlText w:val="(%1)"/>
      <w:numFmt w:val="decimal"/>
      <w:start w:val="3"/>
    </w:lvl>
  </w:abstractNum>
  <w:abstractNum w:abstractNumId="5">
    <w:nsid w:val="5E884ADC"/>
    <w:multiLevelType w:val="hybridMultilevel"/>
    <w:lvl w:ilvl="0">
      <w:lvlJc w:val="left"/>
      <w:lvlText w:val="(%1)"/>
      <w:numFmt w:val="decimal"/>
      <w:start w:val="4"/>
    </w:lvl>
  </w:abstractNum>
  <w:abstractNum w:abstractNumId="6">
    <w:nsid w:val="51EAD36B"/>
    <w:multiLevelType w:val="hybridMultilevel"/>
    <w:lvl w:ilvl="0">
      <w:lvlJc w:val="left"/>
      <w:lvlText w:val="(%1)"/>
      <w:numFmt w:val="lowerLetter"/>
      <w:start w:val="1"/>
    </w:lvl>
  </w:abstractNum>
  <w:abstractNum w:abstractNumId="7">
    <w:nsid w:val="2D517796"/>
    <w:multiLevelType w:val="hybridMultilevel"/>
    <w:lvl w:ilvl="0">
      <w:lvlJc w:val="left"/>
      <w:lvlText w:val="(%1)"/>
      <w:numFmt w:val="lowerLetter"/>
      <w:start w:val="1"/>
    </w:lvl>
    <w:lvl w:ilvl="1">
      <w:lvlJc w:val="left"/>
      <w:lvlText w:val="(%2)"/>
      <w:numFmt w:val="lowerLetter"/>
      <w:start w:val="35"/>
    </w:lvl>
  </w:abstractNum>
  <w:abstractNum w:abstractNumId="8">
    <w:nsid w:val="580BD78F"/>
    <w:multiLevelType w:val="hybridMultilevel"/>
    <w:lvl w:ilvl="0">
      <w:lvlJc w:val="left"/>
      <w:lvlText w:val="(%1)"/>
      <w:numFmt w:val="lowerLetter"/>
      <w:start w:val="4"/>
    </w:lvl>
  </w:abstractNum>
  <w:abstractNum w:abstractNumId="9">
    <w:nsid w:val="153EA438"/>
    <w:multiLevelType w:val="hybridMultilevel"/>
    <w:lvl w:ilvl="0">
      <w:lvlJc w:val="left"/>
      <w:lvlText w:val="(%1)"/>
      <w:numFmt w:val="lowerLetter"/>
      <w:start w:val="1"/>
    </w:lvl>
  </w:abstractNum>
  <w:abstractNum w:abstractNumId="10">
    <w:nsid w:val="3855585C"/>
    <w:multiLevelType w:val="hybridMultilevel"/>
    <w:lvl w:ilvl="0">
      <w:lvlJc w:val="left"/>
      <w:lvlText w:val="(%1)"/>
      <w:numFmt w:val="decimal"/>
      <w:start w:val="6"/>
    </w:lvl>
  </w:abstractNum>
  <w:abstractNum w:abstractNumId="11">
    <w:nsid w:val="70A64E2A"/>
    <w:multiLevelType w:val="hybridMultilevel"/>
    <w:lvl w:ilvl="0">
      <w:lvlJc w:val="left"/>
      <w:lvlText w:val="(%1)"/>
      <w:numFmt w:val="lowerLetter"/>
      <w:start w:val="1"/>
    </w:lvl>
  </w:abstractNum>
  <w:abstractNum w:abstractNumId="12">
    <w:nsid w:val="6A2342EC"/>
    <w:multiLevelType w:val="hybridMultilevel"/>
    <w:lvl w:ilvl="0">
      <w:lvlJc w:val="left"/>
      <w:lvlText w:val="(%1)"/>
      <w:numFmt w:val="lowerLetter"/>
      <w:start w:val="1"/>
    </w:lvl>
  </w:abstractNum>
  <w:abstractNum w:abstractNumId="13">
    <w:nsid w:val="2A487CB0"/>
    <w:multiLevelType w:val="hybridMultilevel"/>
    <w:lvl w:ilvl="0">
      <w:lvlJc w:val="left"/>
      <w:lvlText w:val="(%1)"/>
      <w:numFmt w:val="lowerLetter"/>
      <w:start w:val="1"/>
    </w:lvl>
  </w:abstractNum>
  <w:abstractNum w:abstractNumId="14">
    <w:nsid w:val="1D4ED43B"/>
    <w:multiLevelType w:val="hybridMultilevel"/>
    <w:lvl w:ilvl="0">
      <w:lvlJc w:val="left"/>
      <w:lvlText w:val="(%1)"/>
      <w:numFmt w:val="lowerLetter"/>
      <w:start w:val="1"/>
    </w:lvl>
  </w:abstractNum>
  <w:abstractNum w:abstractNumId="15">
    <w:nsid w:val="725A06FB"/>
    <w:multiLevelType w:val="hybridMultilevel"/>
    <w:lvl w:ilvl="0">
      <w:lvlJc w:val="left"/>
      <w:lvlText w:val="(%1)"/>
      <w:numFmt w:val="lowerLetter"/>
      <w:start w:val="1"/>
    </w:lvl>
  </w:abstractNum>
  <w:abstractNum w:abstractNumId="16">
    <w:nsid w:val="2CD89A32"/>
    <w:multiLevelType w:val="hybridMultilevel"/>
    <w:lvl w:ilvl="0">
      <w:lvlJc w:val="left"/>
      <w:lvlText w:val="(%1)"/>
      <w:numFmt w:val="decimal"/>
      <w:start w:val="7"/>
    </w:lvl>
  </w:abstractNum>
  <w:abstractNum w:abstractNumId="17">
    <w:nsid w:val="57E4CCAF"/>
    <w:multiLevelType w:val="hybridMultilevel"/>
    <w:lvl w:ilvl="0">
      <w:lvlJc w:val="left"/>
      <w:lvlText w:val="(%1)"/>
      <w:numFmt w:val="lowerLetter"/>
      <w:start w:val="1"/>
    </w:lvl>
  </w:abstractNum>
  <w:abstractNum w:abstractNumId="18">
    <w:nsid w:val="7A6D8D3C"/>
    <w:multiLevelType w:val="hybridMultilevel"/>
    <w:lvl w:ilvl="0">
      <w:lvlJc w:val="left"/>
      <w:lvlText w:val="(%1)"/>
      <w:numFmt w:val="decimal"/>
      <w:start w:val="9"/>
    </w:lvl>
  </w:abstractNum>
  <w:abstractNum w:abstractNumId="19">
    <w:nsid w:val="4B588F54"/>
    <w:multiLevelType w:val="hybridMultilevel"/>
    <w:lvl w:ilvl="0">
      <w:lvlJc w:val="left"/>
      <w:lvlText w:val="(%1)"/>
      <w:numFmt w:val="lowerLetter"/>
      <w:start w:val="1"/>
    </w:lvl>
  </w:abstractNum>
  <w:abstractNum w:abstractNumId="20">
    <w:nsid w:val="542289EC"/>
    <w:multiLevelType w:val="hybridMultilevel"/>
    <w:lvl w:ilvl="0">
      <w:lvlJc w:val="left"/>
      <w:lvlText w:val="(%1)"/>
      <w:numFmt w:val="lowerLetter"/>
      <w:start w:val="1"/>
    </w:lvl>
  </w:abstractNum>
  <w:abstractNum w:abstractNumId="21">
    <w:nsid w:val="6DE91B18"/>
    <w:multiLevelType w:val="hybridMultilevel"/>
    <w:lvl w:ilvl="0">
      <w:lvlJc w:val="left"/>
      <w:lvlText w:val="(%1)"/>
      <w:numFmt w:val="decimal"/>
      <w:start w:val="10"/>
    </w:lvl>
  </w:abstractNum>
  <w:abstractNum w:abstractNumId="22">
    <w:nsid w:val="38437FDB"/>
    <w:multiLevelType w:val="hybridMultilevel"/>
    <w:lvl w:ilvl="0">
      <w:lvlJc w:val="left"/>
      <w:lvlText w:val="(%1)"/>
      <w:numFmt w:val="lowerLetter"/>
      <w:start w:val="1"/>
    </w:lvl>
  </w:abstractNum>
  <w:abstractNum w:abstractNumId="23">
    <w:nsid w:val="7644A45C"/>
    <w:multiLevelType w:val="hybridMultilevel"/>
    <w:lvl w:ilvl="0">
      <w:lvlJc w:val="left"/>
      <w:lvlText w:val="(%1)"/>
      <w:numFmt w:val="lowerLetter"/>
      <w:start w:val="1"/>
    </w:lvl>
  </w:abstractNum>
  <w:abstractNum w:abstractNumId="24">
    <w:nsid w:val="32FFF902"/>
    <w:multiLevelType w:val="hybridMultilevel"/>
    <w:lvl w:ilvl="0">
      <w:lvlJc w:val="left"/>
      <w:lvlText w:val="(%1)"/>
      <w:numFmt w:val="decimal"/>
      <w:start w:val="11"/>
    </w:lvl>
  </w:abstractNum>
  <w:abstractNum w:abstractNumId="25">
    <w:nsid w:val="684A481A"/>
    <w:multiLevelType w:val="hybridMultilevel"/>
    <w:lvl w:ilvl="0">
      <w:lvlJc w:val="left"/>
      <w:lvlText w:val="(%1)"/>
      <w:numFmt w:val="lowerLetter"/>
      <w:start w:val="1"/>
    </w:lvl>
  </w:abstractNum>
  <w:abstractNum w:abstractNumId="26">
    <w:nsid w:val="579478FE"/>
    <w:multiLevelType w:val="hybridMultilevel"/>
    <w:lvl w:ilvl="0">
      <w:lvlJc w:val="left"/>
      <w:lvlText w:val="(%1)"/>
      <w:numFmt w:val="lowerLetter"/>
      <w:start w:val="2"/>
    </w:lvl>
  </w:abstractNum>
  <w:abstractNum w:abstractNumId="27">
    <w:nsid w:val="749ABB43"/>
    <w:multiLevelType w:val="hybridMultilevel"/>
    <w:lvl w:ilvl="0">
      <w:lvlJc w:val="left"/>
      <w:lvlText w:val="(%1)"/>
      <w:numFmt w:val="decimal"/>
      <w:start w:val="12"/>
    </w:lvl>
  </w:abstractNum>
  <w:abstractNum w:abstractNumId="28">
    <w:nsid w:val="3DC240FB"/>
    <w:multiLevelType w:val="hybridMultilevel"/>
    <w:lvl w:ilvl="0">
      <w:lvlJc w:val="left"/>
      <w:lvlText w:val="(%1)"/>
      <w:numFmt w:val="decimal"/>
      <w:start w:val="13"/>
    </w:lvl>
  </w:abstractNum>
  <w:abstractNum w:abstractNumId="29">
    <w:nsid w:val="1BA026FA"/>
    <w:multiLevelType w:val="hybridMultilevel"/>
    <w:lvl w:ilvl="0">
      <w:lvlJc w:val="left"/>
      <w:lvlText w:val="(%1)"/>
      <w:numFmt w:val="lowerLetter"/>
      <w:start w:val="1"/>
    </w:lvl>
  </w:abstractNum>
  <w:abstractNum w:abstractNumId="30">
    <w:nsid w:val="79A1DEAA"/>
    <w:multiLevelType w:val="hybridMultilevel"/>
    <w:lvl w:ilvl="0">
      <w:lvlJc w:val="left"/>
      <w:lvlText w:val="(%1)"/>
      <w:numFmt w:val="lowerLetter"/>
      <w:start w:val="1"/>
    </w:lvl>
  </w:abstractNum>
  <w:abstractNum w:abstractNumId="31">
    <w:nsid w:val="75C6C33A"/>
    <w:multiLevelType w:val="hybridMultilevel"/>
    <w:lvl w:ilvl="0">
      <w:lvlJc w:val="left"/>
      <w:lvlText w:val="(%1)"/>
      <w:numFmt w:val="decimal"/>
      <w:start w:val="14"/>
    </w:lvl>
  </w:abstractNum>
  <w:abstractNum w:abstractNumId="32">
    <w:nsid w:val="12E685FB"/>
    <w:multiLevelType w:val="hybridMultilevel"/>
    <w:lvl w:ilvl="0">
      <w:lvlJc w:val="left"/>
      <w:lvlText w:val="(%1)"/>
      <w:numFmt w:val="decimal"/>
      <w:start w:val="15"/>
    </w:lvl>
  </w:abstractNum>
  <w:abstractNum w:abstractNumId="33">
    <w:nsid w:val="70C6A529"/>
    <w:multiLevelType w:val="hybridMultilevel"/>
    <w:lvl w:ilvl="0">
      <w:lvlJc w:val="left"/>
      <w:lvlText w:val="(%1)"/>
      <w:numFmt w:val="decimal"/>
      <w:start w:val="16"/>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1)"/>
      <w:numFmt w:val="lowerLetter"/>
      <w:start w:val="1"/>
    </w:lvl>
  </w:abstractNum>
  <w:abstractNum w:abstractNumId="37">
    <w:nsid w:val="23F9C13C"/>
    <w:multiLevelType w:val="hybridMultilevel"/>
    <w:lvl w:ilvl="0">
      <w:lvlJc w:val="left"/>
      <w:lvlText w:val="(%1)"/>
      <w:numFmt w:val="lowerLetter"/>
      <w:start w:val="1"/>
    </w:lvl>
  </w:abstractNum>
  <w:abstractNum w:abstractNumId="38">
    <w:nsid w:val="649BB77C"/>
    <w:multiLevelType w:val="hybridMultilevel"/>
    <w:lvl w:ilvl="0">
      <w:lvlJc w:val="left"/>
      <w:lvlText w:val="(%1)"/>
      <w:numFmt w:val="lowerLetter"/>
      <w:start w:val="4"/>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1)"/>
      <w:numFmt w:val="lowerRoman"/>
      <w:start w:val="2"/>
    </w:lvl>
  </w:abstractNum>
  <w:abstractNum w:abstractNumId="43">
    <w:nsid w:val="235BA861"/>
    <w:multiLevelType w:val="hybridMultilevel"/>
    <w:lvl w:ilvl="0">
      <w:lvlJc w:val="left"/>
      <w:lvlText w:val="(%1)"/>
      <w:numFmt w:val="lowerLetter"/>
      <w:start w:val="1"/>
    </w:lvl>
  </w:abstractNum>
  <w:abstractNum w:abstractNumId="44">
    <w:nsid w:val="47398C89"/>
    <w:multiLevelType w:val="hybridMultilevel"/>
    <w:lvl w:ilvl="0">
      <w:lvlJc w:val="left"/>
      <w:lvlText w:val="(%1)"/>
      <w:numFmt w:val="lowerLetter"/>
      <w:start w:val="1"/>
    </w:lvl>
  </w:abstractNum>
  <w:abstractNum w:abstractNumId="45">
    <w:nsid w:val="354FE9F9"/>
    <w:multiLevelType w:val="hybridMultilevel"/>
    <w:lvl w:ilvl="0">
      <w:lvlJc w:val="left"/>
      <w:lvlText w:val="(%1)"/>
      <w:numFmt w:val="lowerLetter"/>
      <w:start w:val="2"/>
    </w:lvl>
  </w:abstractNum>
  <w:abstractNum w:abstractNumId="46">
    <w:nsid w:val="15B5AF5C"/>
    <w:multiLevelType w:val="hybridMultilevel"/>
    <w:lvl w:ilvl="0">
      <w:lvlJc w:val="left"/>
      <w:lvlText w:val="(%1)"/>
      <w:numFmt w:val="lowerLetter"/>
      <w:start w:val="1"/>
    </w:lvl>
  </w:abstractNum>
  <w:abstractNum w:abstractNumId="47">
    <w:nsid w:val="741226BB"/>
    <w:multiLevelType w:val="hybridMultilevel"/>
    <w:lvl w:ilvl="0">
      <w:lvlJc w:val="left"/>
      <w:lvlText w:val="(%1)"/>
      <w:numFmt w:val="lowerLetter"/>
      <w:start w:val="1"/>
    </w:lvl>
  </w:abstractNum>
  <w:abstractNum w:abstractNumId="48">
    <w:nsid w:val="D34B6A8"/>
    <w:multiLevelType w:val="hybridMultilevel"/>
    <w:lvl w:ilvl="0">
      <w:lvlJc w:val="left"/>
      <w:lvlText w:val="(%1)"/>
      <w:numFmt w:val="lowerLetter"/>
      <w:start w:val="1"/>
    </w:lvl>
  </w:abstractNum>
  <w:abstractNum w:abstractNumId="49">
    <w:nsid w:val="10233C99"/>
    <w:multiLevelType w:val="hybridMultilevel"/>
    <w:lvl w:ilvl="0">
      <w:lvlJc w:val="left"/>
      <w:lvlText w:val="(%1)"/>
      <w:numFmt w:val="lowerLetter"/>
      <w:start w:val="5"/>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lowerLetter"/>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1)"/>
      <w:numFmt w:val="lowerLetter"/>
      <w:start w:val="1"/>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lowerLetter"/>
      <w:start w:val="2"/>
    </w:lvl>
  </w:abstractNum>
  <w:abstractNum w:abstractNumId="58">
    <w:nsid w:val="25A70BF7"/>
    <w:multiLevelType w:val="hybridMultilevel"/>
    <w:lvl w:ilvl="0">
      <w:lvlJc w:val="left"/>
      <w:lvlText w:val="%1."/>
      <w:numFmt w:val="decimal"/>
      <w:start w:val="3"/>
    </w:lvl>
  </w:abstractNum>
  <w:abstractNum w:abstractNumId="59">
    <w:nsid w:val="1DBABF00"/>
    <w:multiLevelType w:val="hybridMultilevel"/>
    <w:lvl w:ilvl="0">
      <w:lvlJc w:val="left"/>
      <w:lvlText w:val="(%1)"/>
      <w:numFmt w:val="lowerLetter"/>
      <w:start w:val="1"/>
    </w:lvl>
  </w:abstractNum>
  <w:abstractNum w:abstractNumId="60">
    <w:nsid w:val="4AD084E9"/>
    <w:multiLevelType w:val="hybridMultilevel"/>
    <w:lvl w:ilvl="0">
      <w:lvlJc w:val="left"/>
      <w:lvlText w:val="(%1)"/>
      <w:numFmt w:val="lowerLetter"/>
      <w:start w:val="1"/>
    </w:lvl>
  </w:abstractNum>
  <w:abstractNum w:abstractNumId="61">
    <w:nsid w:val="1F48EAA1"/>
    <w:multiLevelType w:val="hybridMultilevel"/>
    <w:lvl w:ilvl="0">
      <w:lvlJc w:val="left"/>
      <w:lvlText w:val="(%1)"/>
      <w:numFmt w:val="lowerRoman"/>
      <w:start w:val="2"/>
    </w:lvl>
  </w:abstractNum>
  <w:abstractNum w:abstractNumId="62">
    <w:nsid w:val="1381823A"/>
    <w:multiLevelType w:val="hybridMultilevel"/>
    <w:lvl w:ilvl="0">
      <w:lvlJc w:val="left"/>
      <w:lvlText w:val="(%1)"/>
      <w:numFmt w:val="lowerLetter"/>
      <w:start w:val="1"/>
    </w:lvl>
  </w:abstractNum>
  <w:abstractNum w:abstractNumId="63">
    <w:nsid w:val="5DB70AE5"/>
    <w:multiLevelType w:val="hybridMultilevel"/>
    <w:lvl w:ilvl="0">
      <w:lvlJc w:val="left"/>
      <w:lvlText w:val="(%1)"/>
      <w:numFmt w:val="lowerLetter"/>
      <w:start w:val="3"/>
    </w:lvl>
  </w:abstractNum>
  <w:abstractNum w:abstractNumId="64">
    <w:nsid w:val="100F8FCA"/>
    <w:multiLevelType w:val="hybridMultilevel"/>
    <w:lvl w:ilvl="0">
      <w:lvlJc w:val="left"/>
      <w:lvlText w:val="(%1)"/>
      <w:numFmt w:val="lowerLetter"/>
      <w:start w:val="1"/>
    </w:lvl>
  </w:abstractNum>
  <w:abstractNum w:abstractNumId="65">
    <w:nsid w:val="6590700B"/>
    <w:multiLevelType w:val="hybridMultilevel"/>
    <w:lvl w:ilvl="0">
      <w:lvlJc w:val="left"/>
      <w:lvlText w:val="(%1)"/>
      <w:numFmt w:val="lowerRoman"/>
      <w:start w:val="1"/>
    </w:lvl>
  </w:abstractNum>
  <w:abstractNum w:abstractNumId="66">
    <w:nsid w:val="15014ACB"/>
    <w:multiLevelType w:val="hybridMultilevel"/>
    <w:lvl w:ilvl="0">
      <w:lvlJc w:val="left"/>
      <w:lvlText w:val="(%1)"/>
      <w:numFmt w:val="lowerRoman"/>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lowerLetter"/>
      <w:start w:val="1"/>
    </w:lvl>
  </w:abstractNum>
  <w:abstractNum w:abstractNumId="69">
    <w:nsid w:val="799D0247"/>
    <w:multiLevelType w:val="hybridMultilevel"/>
    <w:lvl w:ilvl="0">
      <w:lvlJc w:val="left"/>
      <w:lvlText w:val="%1"/>
      <w:numFmt w:val="decimal"/>
      <w:start w:val="104"/>
    </w:lvl>
  </w:abstractNum>
  <w:abstractNum w:abstractNumId="70">
    <w:nsid w:val="6B94764"/>
    <w:multiLevelType w:val="hybridMultilevel"/>
    <w:lvl w:ilvl="0">
      <w:lvlJc w:val="left"/>
      <w:lvlText w:val="%1."/>
      <w:numFmt w:val="decimal"/>
      <w:start w:val="1"/>
    </w:lvl>
    <w:lvl w:ilvl="1">
      <w:lvlJc w:val="left"/>
      <w:lvlText w:val="%2)"/>
      <w:numFmt w:val="lowerLetter"/>
      <w:start w:val="1"/>
    </w:lvl>
  </w:abstractNum>
  <w:abstractNum w:abstractNumId="71">
    <w:nsid w:val="42C296B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93" Type="http://schemas.openxmlformats.org/officeDocument/2006/relationships/hyperlink" Target="https://www.sec.gov/ix?doc=/Archives/edgar/data/1570585/000157058521000134/lbtya-20210412.htm" TargetMode="External"/><Relationship Id="rId94" Type="http://schemas.openxmlformats.org/officeDocument/2006/relationships/hyperlink" Target="https://www.sec.gov/Archives/edgar/data/1570585/000157058521000134/exhibit42upcfacilityaw2.htm" TargetMode="External"/><Relationship Id="rId95" Type="http://schemas.openxmlformats.org/officeDocument/2006/relationships/hyperlink" Target="https://www.sec.gov/Archives/edgar/data/1570585/000157058521000134/exhibit43upcrcfamendment.htm" TargetMode="External"/><Relationship Id="rId96" Type="http://schemas.openxmlformats.org/officeDocument/2006/relationships/hyperlink" Target="https://www.sec.gov/ix?doc=/Archives/edgar/data/1570585/000157058521000139/lbtya-20210420.htm" TargetMode="External"/><Relationship Id="rId97" Type="http://schemas.openxmlformats.org/officeDocument/2006/relationships/hyperlink" Target="https://www.sec.gov/Archives/edgar/data/1570585/000157058521000139/exhibit42facilityay.htm" TargetMode="External"/><Relationship Id="rId98" Type="http://schemas.openxmlformats.org/officeDocument/2006/relationships/hyperlink" Target="https://www.sec.gov/Archives/edgar/data/1570585/000157058521000139/exhibit43facilityaz.htm" TargetMode="External"/><Relationship Id="rId99" Type="http://schemas.openxmlformats.org/officeDocument/2006/relationships/hyperlink" Target="https://www.sec.gov/ix?doc=/Archives/edgar/data/1570585/000157058521000115/lbtya-202104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2021-05-05T15:43:08Z</dcterms:created>
  <dcterms:modified xsi:type="dcterms:W3CDTF">2021-05-05T15:43:08Z</dcterms:modified>
</cp:coreProperties>
</file>