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219710</wp:posOffset>
            </wp:positionH>
            <wp:positionV relativeFrom="page">
              <wp:posOffset>720090</wp:posOffset>
            </wp:positionV>
            <wp:extent cx="714057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34290"/>
                    </a:xfrm>
                    <a:prstGeom prst="rect">
                      <a:avLst/>
                    </a:prstGeom>
                    <a:noFill/>
                  </pic:spPr>
                </pic:pic>
              </a:graphicData>
            </a:graphic>
          </wp:anchor>
        </w:drawing>
        <w:drawing>
          <wp:anchor simplePos="0" relativeHeight="251657728" behindDoc="1" locked="0" layoutInCell="0" allowOverlap="1">
            <wp:simplePos x="0" y="0"/>
            <wp:positionH relativeFrom="page">
              <wp:posOffset>219710</wp:posOffset>
            </wp:positionH>
            <wp:positionV relativeFrom="page">
              <wp:posOffset>763270</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jc w:val="center"/>
        <w:ind w:right="-6"/>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113030</wp:posOffset>
            </wp:positionV>
            <wp:extent cx="290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27"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138430</wp:posOffset>
            </wp:positionV>
            <wp:extent cx="2905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4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3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122555</wp:posOffset>
            </wp:positionV>
            <wp:extent cx="2905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9"/>
          <w:szCs w:val="29"/>
          <w:b w:val="1"/>
          <w:bCs w:val="1"/>
          <w:color w:val="auto"/>
        </w:rPr>
        <w:t>Liberty Global Ltd.</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111760</wp:posOffset>
            </wp:positionV>
            <wp:extent cx="2905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867" w:type="dxa"/>
        <w:tblCellMar>
          <w:top w:w="0" w:type="dxa"/>
          <w:left w:w="0" w:type="dxa"/>
          <w:bottom w:w="0" w:type="dxa"/>
          <w:right w:w="0" w:type="dxa"/>
        </w:tblCellMar>
      </w:tblPr>
      <w:tr>
        <w:trPr>
          <w:trHeight w:val="212"/>
        </w:trPr>
        <w:tc>
          <w:tcPr>
            <w:tcW w:w="2780" w:type="dxa"/>
            <w:vAlign w:val="bottom"/>
          </w:tcPr>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Bermuda</w:t>
            </w:r>
          </w:p>
        </w:tc>
        <w:tc>
          <w:tcPr>
            <w:tcW w:w="4100" w:type="dxa"/>
            <w:vAlign w:val="bottom"/>
          </w:tcPr>
          <w:p>
            <w:pPr>
              <w:jc w:val="right"/>
              <w:ind w:right="1699"/>
              <w:spacing w:after="0"/>
              <w:rPr>
                <w:sz w:val="20"/>
                <w:szCs w:val="20"/>
                <w:color w:val="auto"/>
              </w:rPr>
            </w:pPr>
            <w:r>
              <w:rPr>
                <w:rFonts w:ascii="Times New Roman" w:cs="Times New Roman" w:eastAsia="Times New Roman" w:hAnsi="Times New Roman"/>
                <w:sz w:val="16"/>
                <w:szCs w:val="16"/>
                <w:b w:val="1"/>
                <w:bCs w:val="1"/>
                <w:color w:val="auto"/>
              </w:rPr>
              <w:t>001-35961</w:t>
            </w:r>
          </w:p>
        </w:tc>
        <w:tc>
          <w:tcPr>
            <w:tcW w:w="2280" w:type="dxa"/>
            <w:vAlign w:val="bottom"/>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rPr>
              <w:t>98-1750381</w:t>
            </w:r>
          </w:p>
        </w:tc>
      </w:tr>
      <w:tr>
        <w:trPr>
          <w:trHeight w:val="168"/>
        </w:trPr>
        <w:tc>
          <w:tcPr>
            <w:tcW w:w="2780" w:type="dxa"/>
            <w:vAlign w:val="bottom"/>
          </w:tcPr>
          <w:p>
            <w:pPr>
              <w:jc w:val="center"/>
              <w:ind w:right="999"/>
              <w:spacing w:after="0" w:line="168" w:lineRule="exact"/>
              <w:rPr>
                <w:sz w:val="20"/>
                <w:szCs w:val="20"/>
                <w:color w:val="auto"/>
              </w:rPr>
            </w:pPr>
            <w:r>
              <w:rPr>
                <w:rFonts w:ascii="Times New Roman" w:cs="Times New Roman" w:eastAsia="Times New Roman" w:hAnsi="Times New Roman"/>
                <w:sz w:val="16"/>
                <w:szCs w:val="16"/>
                <w:color w:val="auto"/>
              </w:rPr>
              <w:t>(State or other jurisdiction</w:t>
            </w:r>
          </w:p>
        </w:tc>
        <w:tc>
          <w:tcPr>
            <w:tcW w:w="410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 File Number)</w:t>
            </w:r>
          </w:p>
        </w:tc>
        <w:tc>
          <w:tcPr>
            <w:tcW w:w="2280" w:type="dxa"/>
            <w:vAlign w:val="bottom"/>
          </w:tcPr>
          <w:p>
            <w:pPr>
              <w:jc w:val="center"/>
              <w:ind w:left="113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780" w:type="dxa"/>
            <w:vAlign w:val="bottom"/>
          </w:tcPr>
          <w:p>
            <w:pPr>
              <w:jc w:val="center"/>
              <w:ind w:right="999"/>
              <w:spacing w:after="0"/>
              <w:rPr>
                <w:sz w:val="20"/>
                <w:szCs w:val="20"/>
                <w:color w:val="auto"/>
              </w:rPr>
            </w:pPr>
            <w:r>
              <w:rPr>
                <w:rFonts w:ascii="Times New Roman" w:cs="Times New Roman" w:eastAsia="Times New Roman" w:hAnsi="Times New Roman"/>
                <w:sz w:val="16"/>
                <w:szCs w:val="16"/>
                <w:color w:val="auto"/>
              </w:rPr>
              <w:t>of incorporation)</w:t>
            </w:r>
          </w:p>
        </w:tc>
        <w:tc>
          <w:tcPr>
            <w:tcW w:w="4100" w:type="dxa"/>
            <w:vAlign w:val="bottom"/>
          </w:tcPr>
          <w:p>
            <w:pPr>
              <w:spacing w:after="0"/>
              <w:rPr>
                <w:sz w:val="18"/>
                <w:szCs w:val="18"/>
                <w:color w:val="auto"/>
              </w:rPr>
            </w:pPr>
          </w:p>
        </w:tc>
        <w:tc>
          <w:tcPr>
            <w:tcW w:w="2280" w:type="dxa"/>
            <w:vAlign w:val="bottom"/>
          </w:tcPr>
          <w:p>
            <w:pPr>
              <w:jc w:val="center"/>
              <w:ind w:left="1159"/>
              <w:spacing w:after="0"/>
              <w:rPr>
                <w:sz w:val="20"/>
                <w:szCs w:val="20"/>
                <w:color w:val="auto"/>
              </w:rPr>
            </w:pPr>
            <w:r>
              <w:rPr>
                <w:rFonts w:ascii="Times New Roman" w:cs="Times New Roman" w:eastAsia="Times New Roman" w:hAnsi="Times New Roman"/>
                <w:sz w:val="16"/>
                <w:szCs w:val="16"/>
                <w:color w:val="auto"/>
              </w:rPr>
              <w:t>Identification #)</w:t>
            </w:r>
          </w:p>
        </w:tc>
      </w:tr>
    </w:tbl>
    <w:p>
      <w:pPr>
        <w:spacing w:after="0" w:line="29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Clarendon House, 2 Church Street, Hamilton HM 11, Bermuda</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9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+1.303.220.6600</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3" w:lineRule="exact"/>
        <w:rPr>
          <w:sz w:val="24"/>
          <w:szCs w:val="24"/>
          <w:color w:val="auto"/>
        </w:rPr>
      </w:pPr>
    </w:p>
    <w:tbl>
      <w:tblPr>
        <w:tblLayout w:type="fixed"/>
        <w:tblInd w:w="1667"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6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43"/>
        </w:trPr>
        <w:tc>
          <w:tcPr>
            <w:tcW w:w="184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900" w:type="dxa"/>
            <w:vAlign w:val="bottom"/>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50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70"/>
        </w:trPr>
        <w:tc>
          <w:tcPr>
            <w:tcW w:w="18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Class A common shares</w:t>
            </w:r>
          </w:p>
        </w:tc>
        <w:tc>
          <w:tcPr>
            <w:tcW w:w="290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w w:val="97"/>
              </w:rPr>
              <w:t>LBTYA</w:t>
            </w:r>
          </w:p>
        </w:tc>
        <w:tc>
          <w:tcPr>
            <w:tcW w:w="350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6"/>
        </w:trPr>
        <w:tc>
          <w:tcPr>
            <w:tcW w:w="18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Class B common shares</w:t>
            </w:r>
          </w:p>
        </w:tc>
        <w:tc>
          <w:tcPr>
            <w:tcW w:w="290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w w:val="99"/>
              </w:rPr>
              <w:t>LBTYB</w:t>
            </w:r>
          </w:p>
        </w:tc>
        <w:tc>
          <w:tcPr>
            <w:tcW w:w="350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6"/>
        </w:trPr>
        <w:tc>
          <w:tcPr>
            <w:tcW w:w="18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Class C common shares</w:t>
            </w:r>
          </w:p>
        </w:tc>
        <w:tc>
          <w:tcPr>
            <w:tcW w:w="29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LBTYK</w:t>
            </w:r>
          </w:p>
        </w:tc>
        <w:tc>
          <w:tcPr>
            <w:tcW w:w="350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95" w:lineRule="exact"/>
        <w:rPr>
          <w:sz w:val="24"/>
          <w:szCs w:val="24"/>
          <w:color w:val="auto"/>
        </w:rPr>
      </w:pPr>
    </w:p>
    <w:p>
      <w:pPr>
        <w:ind w:left="7"/>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07"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48" w:lineRule="exact"/>
        <w:rPr>
          <w:sz w:val="24"/>
          <w:szCs w:val="24"/>
          <w:color w:val="auto"/>
        </w:rPr>
      </w:pPr>
    </w:p>
    <w:p>
      <w:pPr>
        <w:ind w:left="7" w:right="10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4"/>
          <w:szCs w:val="24"/>
          <w:color w:val="auto"/>
        </w:rPr>
      </w:pPr>
    </w:p>
    <w:p>
      <w:pPr>
        <w:ind w:left="7"/>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44" w:lineRule="exact"/>
        <w:rPr>
          <w:sz w:val="24"/>
          <w:szCs w:val="24"/>
          <w:color w:val="auto"/>
        </w:rPr>
      </w:pPr>
    </w:p>
    <w:p>
      <w:pPr>
        <w:ind w:left="7"/>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866140</wp:posOffset>
            </wp:positionV>
            <wp:extent cx="71831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55880</wp:posOffset>
            </wp:positionV>
            <wp:extent cx="7140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73025</wp:posOffset>
            </wp:positionV>
            <wp:extent cx="714057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34290"/>
                    </a:xfrm>
                    <a:prstGeom prst="rect">
                      <a:avLst/>
                    </a:prstGeom>
                    <a:noFill/>
                  </pic:spPr>
                </pic:pic>
              </a:graphicData>
            </a:graphic>
          </wp:anchor>
        </w:drawing>
      </w:r>
    </w:p>
    <w:p>
      <w:pPr>
        <w:sectPr>
          <w:pgSz w:w="11920" w:h="16838" w:orient="portrait"/>
          <w:cols w:equalWidth="0" w:num="1">
            <w:col w:w="11247"/>
          </w:cols>
          <w:pgMar w:left="333" w:top="1440" w:right="338"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On June 23, 2026, Liberty Global Ltd. (“Liberty Global”) held its annual general meeting of shareholders. We had approximately 86% of our outstanding shares entitled to vote present at the meeting (either in person or by proxy). At the meeting, the following four matters were considered and voted on.</w:t>
      </w:r>
    </w:p>
    <w:p>
      <w:pPr>
        <w:spacing w:after="0" w:line="213" w:lineRule="exact"/>
        <w:rPr>
          <w:sz w:val="20"/>
          <w:szCs w:val="20"/>
          <w:color w:val="auto"/>
        </w:rPr>
      </w:pPr>
    </w:p>
    <w:p>
      <w:pPr>
        <w:ind w:left="64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of Miranda Curtis CMG, J David Wargo and Anthony G. Werner as directors of Liberty Global for a term expiring at the annual general meeting to be held in 2029 or until a successor in interest is appointed.</w:t>
      </w:r>
    </w:p>
    <w:p>
      <w:pPr>
        <w:spacing w:after="0" w:line="202" w:lineRule="exact"/>
        <w:rPr>
          <w:rFonts w:ascii="Times New Roman" w:cs="Times New Roman" w:eastAsia="Times New Roman" w:hAnsi="Times New Roman"/>
          <w:sz w:val="18"/>
          <w:szCs w:val="18"/>
          <w:color w:val="auto"/>
        </w:rPr>
      </w:pPr>
    </w:p>
    <w:p>
      <w:pPr>
        <w:jc w:val="both"/>
        <w:ind w:left="640" w:hanging="323"/>
        <w:spacing w:after="0" w:line="244" w:lineRule="auto"/>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To appoint KPMG LLP as Liberty Global’s independent registered public accounting firm for the fiscal year ending December 31, 2026, and to authorize the board of directors of Liberty Global, acting by the audit committee, to determine the independent auditors’ remuneration (the “Auditors Appointment Proposal”).</w:t>
      </w:r>
    </w:p>
    <w:p>
      <w:pPr>
        <w:spacing w:after="0" w:line="222" w:lineRule="exact"/>
        <w:rPr>
          <w:rFonts w:ascii="Times New Roman" w:cs="Times New Roman" w:eastAsia="Times New Roman" w:hAnsi="Times New Roman"/>
          <w:sz w:val="20"/>
          <w:szCs w:val="20"/>
          <w:color w:val="auto"/>
        </w:rPr>
      </w:pPr>
    </w:p>
    <w:p>
      <w:pPr>
        <w:jc w:val="both"/>
        <w:ind w:left="640" w:hanging="323"/>
        <w:spacing w:after="0" w:line="258"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Liberty Global’s named executive officers as described in Liberty Global’s definitive proxy statement for the 2026 Annual General Meeting of Shareholders under the heading “Executive Officers and Directors Compensation” (the “Say-on-Pay Proposal”).</w:t>
      </w:r>
    </w:p>
    <w:p>
      <w:pPr>
        <w:spacing w:after="0" w:line="20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frequency at which future say-on-pay votes will be held (the “Say-on-Frequency Proposal”).</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vote results detailed below represent the final results as certified by the Inspector of Elections. The number of votes cast for, against or withheld, as well as the number of abstentions and broker non-votes as to each proposal are set forth below.</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Proposal 1 – Election of the Following Nominees to Liberty Global’s Board of Directors: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58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080" w:type="dxa"/>
            <w:vAlign w:val="bottom"/>
          </w:tcPr>
          <w:p>
            <w:pPr>
              <w:spacing w:after="0"/>
              <w:rPr>
                <w:sz w:val="21"/>
                <w:szCs w:val="21"/>
                <w:color w:val="auto"/>
              </w:rPr>
            </w:pPr>
          </w:p>
        </w:tc>
        <w:tc>
          <w:tcPr>
            <w:tcW w:w="25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BROKER NON-VOTE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Miranda Curtis CMG</w:t>
            </w:r>
          </w:p>
        </w:tc>
        <w:tc>
          <w:tcPr>
            <w:tcW w:w="2580" w:type="dxa"/>
            <w:vAlign w:val="bottom"/>
            <w:tcBorders>
              <w:bottom w:val="single" w:sz="8" w:color="CCEEFF"/>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201,371,126</w:t>
            </w:r>
          </w:p>
        </w:tc>
        <w:tc>
          <w:tcPr>
            <w:tcW w:w="10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8"/>
              </w:rPr>
              <w:t>52,635,932</w:t>
            </w:r>
          </w:p>
        </w:tc>
        <w:tc>
          <w:tcPr>
            <w:tcW w:w="2560" w:type="dxa"/>
            <w:vAlign w:val="bottom"/>
            <w:tcBorders>
              <w:bottom w:val="single" w:sz="8" w:color="CCEEFF"/>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9,710,318</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J David Wargo</w:t>
            </w:r>
          </w:p>
        </w:tc>
        <w:tc>
          <w:tcPr>
            <w:tcW w:w="25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236,625,544</w:t>
            </w:r>
          </w:p>
        </w:tc>
        <w:tc>
          <w:tcPr>
            <w:tcW w:w="1080" w:type="dxa"/>
            <w:vAlign w:val="bottom"/>
          </w:tcPr>
          <w:p>
            <w:pPr>
              <w:spacing w:after="0"/>
              <w:rPr>
                <w:sz w:val="20"/>
                <w:szCs w:val="20"/>
                <w:color w:val="auto"/>
              </w:rPr>
            </w:pPr>
          </w:p>
        </w:tc>
        <w:tc>
          <w:tcPr>
            <w:tcW w:w="25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17,381,514</w:t>
            </w:r>
          </w:p>
        </w:tc>
        <w:tc>
          <w:tcPr>
            <w:tcW w:w="2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9,710,318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G. Werner</w:t>
            </w:r>
          </w:p>
        </w:tc>
        <w:tc>
          <w:tcPr>
            <w:tcW w:w="2580" w:type="dxa"/>
            <w:vAlign w:val="bottom"/>
            <w:tcBorders>
              <w:bottom w:val="single" w:sz="8" w:color="CCEEFF"/>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241,196,514</w:t>
            </w:r>
          </w:p>
        </w:tc>
        <w:tc>
          <w:tcPr>
            <w:tcW w:w="10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8"/>
              </w:rPr>
              <w:t>12,810,544</w:t>
            </w:r>
          </w:p>
        </w:tc>
        <w:tc>
          <w:tcPr>
            <w:tcW w:w="2560" w:type="dxa"/>
            <w:vAlign w:val="bottom"/>
            <w:tcBorders>
              <w:bottom w:val="single" w:sz="8" w:color="CCEEFF"/>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9,710,318</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2 – Approval of the Auditors Appointment Proposal:</w:t>
            </w:r>
          </w:p>
        </w:tc>
        <w:tc>
          <w:tcPr>
            <w:tcW w:w="1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VOTES FOR</w:t>
            </w:r>
          </w:p>
        </w:tc>
        <w:tc>
          <w:tcPr>
            <w:tcW w:w="25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1080" w:type="dxa"/>
            <w:vAlign w:val="bottom"/>
          </w:tcPr>
          <w:p>
            <w:pPr>
              <w:spacing w:after="0"/>
              <w:rPr>
                <w:sz w:val="21"/>
                <w:szCs w:val="21"/>
                <w:color w:val="auto"/>
              </w:rPr>
            </w:pPr>
          </w:p>
        </w:tc>
        <w:tc>
          <w:tcPr>
            <w:tcW w:w="25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ABSTENTIONS</w:t>
            </w:r>
          </w:p>
        </w:tc>
        <w:tc>
          <w:tcPr>
            <w:tcW w:w="2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BROKER NON-VOTE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2440" w:type="dxa"/>
            <w:vAlign w:val="bottom"/>
            <w:tcBorders>
              <w:bottom w:val="single" w:sz="8" w:color="CCEEFF"/>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258,541,472</w:t>
            </w:r>
          </w:p>
        </w:tc>
        <w:tc>
          <w:tcPr>
            <w:tcW w:w="2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2,155,021</w:t>
            </w:r>
          </w:p>
        </w:tc>
        <w:tc>
          <w:tcPr>
            <w:tcW w:w="10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3,021,069</w:t>
            </w:r>
          </w:p>
        </w:tc>
        <w:tc>
          <w:tcPr>
            <w:tcW w:w="2560" w:type="dxa"/>
            <w:vAlign w:val="bottom"/>
            <w:tcBorders>
              <w:bottom w:val="single" w:sz="8" w:color="CCEEFF"/>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Proposal 3 – Approval of the Say-On-Pay Proposal:</w:t>
            </w:r>
          </w:p>
        </w:tc>
        <w:tc>
          <w:tcPr>
            <w:tcW w:w="1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VOTES FOR</w:t>
            </w:r>
          </w:p>
        </w:tc>
        <w:tc>
          <w:tcPr>
            <w:tcW w:w="258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1080" w:type="dxa"/>
            <w:vAlign w:val="bottom"/>
          </w:tcPr>
          <w:p>
            <w:pPr>
              <w:spacing w:after="0"/>
              <w:rPr>
                <w:sz w:val="21"/>
                <w:szCs w:val="21"/>
                <w:color w:val="auto"/>
              </w:rPr>
            </w:pPr>
          </w:p>
        </w:tc>
        <w:tc>
          <w:tcPr>
            <w:tcW w:w="25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ABSTENTIONS</w:t>
            </w:r>
          </w:p>
        </w:tc>
        <w:tc>
          <w:tcPr>
            <w:tcW w:w="2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BROKER NON-VOTE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2440" w:type="dxa"/>
            <w:vAlign w:val="bottom"/>
            <w:tcBorders>
              <w:bottom w:val="single" w:sz="8" w:color="CCEEFF"/>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212,405,221</w:t>
            </w:r>
          </w:p>
        </w:tc>
        <w:tc>
          <w:tcPr>
            <w:tcW w:w="2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33,998,202</w:t>
            </w:r>
          </w:p>
        </w:tc>
        <w:tc>
          <w:tcPr>
            <w:tcW w:w="10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7,603,821</w:t>
            </w:r>
          </w:p>
        </w:tc>
        <w:tc>
          <w:tcPr>
            <w:tcW w:w="256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9,710,318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Proposal 4 – Approval of the Say-On-Frequency Proposal:</w:t>
            </w:r>
          </w:p>
        </w:tc>
        <w:tc>
          <w:tcPr>
            <w:tcW w:w="1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 YEAR</w:t>
            </w:r>
          </w:p>
        </w:tc>
        <w:tc>
          <w:tcPr>
            <w:tcW w:w="25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2 YEARS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25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ABSTENTIONS</w:t>
            </w:r>
          </w:p>
        </w:tc>
        <w:tc>
          <w:tcPr>
            <w:tcW w:w="2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BROKER NON-VOTE</w:t>
            </w:r>
          </w:p>
        </w:tc>
        <w:tc>
          <w:tcPr>
            <w:tcW w:w="0" w:type="dxa"/>
            <w:vAlign w:val="bottom"/>
          </w:tcPr>
          <w:p>
            <w:pPr>
              <w:spacing w:after="0"/>
              <w:rPr>
                <w:sz w:val="1"/>
                <w:szCs w:val="1"/>
                <w:color w:val="auto"/>
              </w:rPr>
            </w:pPr>
          </w:p>
        </w:tc>
      </w:tr>
      <w:tr>
        <w:trPr>
          <w:trHeight w:val="27"/>
        </w:trPr>
        <w:tc>
          <w:tcPr>
            <w:tcW w:w="246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46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92,432,324</w:t>
            </w:r>
          </w:p>
        </w:tc>
        <w:tc>
          <w:tcPr>
            <w:tcW w:w="258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28,718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158,763,697</w:t>
            </w:r>
          </w:p>
        </w:tc>
        <w:tc>
          <w:tcPr>
            <w:tcW w:w="25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2,782,505</w:t>
            </w:r>
          </w:p>
        </w:tc>
        <w:tc>
          <w:tcPr>
            <w:tcW w:w="25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9,710,318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Each of the first three resolutions listed above was approved and on the fourth resolution on the frequency of say-on-pay votes at three years received the majority of the votes. Accordingly, each of Ms. Curtis CMG, Mr. Wargo and Mr. Werner will be serving an additional three year term as director and the frequency at which future say-on-pay votes will be held is every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2082800</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868" w:right="318" w:bottom="1440" w:gutter="0" w:footer="0" w:header="0"/>
        </w:sectPr>
      </w:pPr>
    </w:p>
    <w:bookmarkStart w:id="2" w:name="page3"/>
    <w:bookmarkEnd w:id="2"/>
    <w:p>
      <w:pPr>
        <w:ind w:left="7"/>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27" w:hanging="427"/>
        <w:spacing w:after="0"/>
        <w:tabs>
          <w:tab w:leader="none" w:pos="4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30" w:lineRule="exact"/>
        <w:rPr>
          <w:sz w:val="20"/>
          <w:szCs w:val="20"/>
          <w:color w:val="auto"/>
        </w:rPr>
      </w:pPr>
    </w:p>
    <w:tbl>
      <w:tblPr>
        <w:tblLayout w:type="fixed"/>
        <w:tblInd w:w="7" w:type="dxa"/>
        <w:tblCellMar>
          <w:top w:w="0" w:type="dxa"/>
          <w:left w:w="0" w:type="dxa"/>
          <w:bottom w:w="0" w:type="dxa"/>
          <w:right w:w="0" w:type="dxa"/>
        </w:tblCellMar>
      </w:tblPr>
      <w:tr>
        <w:trPr>
          <w:trHeight w:val="215"/>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40" w:type="dxa"/>
            <w:vAlign w:val="bottom"/>
          </w:tcPr>
          <w:p>
            <w:pPr>
              <w:spacing w:after="0"/>
              <w:rPr>
                <w:sz w:val="18"/>
                <w:szCs w:val="18"/>
                <w:color w:val="auto"/>
              </w:rPr>
            </w:pPr>
          </w:p>
        </w:tc>
        <w:tc>
          <w:tcPr>
            <w:tcW w:w="782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6"/>
                <w:szCs w:val="16"/>
                <w:b w:val="1"/>
                <w:bCs w:val="1"/>
                <w:color w:val="auto"/>
              </w:rPr>
              <w:t>Exhibit Name</w:t>
            </w:r>
          </w:p>
        </w:tc>
        <w:tc>
          <w:tcPr>
            <w:tcW w:w="2060" w:type="dxa"/>
            <w:vAlign w:val="bottom"/>
          </w:tcPr>
          <w:p>
            <w:pPr>
              <w:spacing w:after="0"/>
              <w:rPr>
                <w:sz w:val="18"/>
                <w:szCs w:val="18"/>
                <w:color w:val="auto"/>
              </w:rPr>
            </w:pPr>
          </w:p>
        </w:tc>
      </w:tr>
      <w:tr>
        <w:trPr>
          <w:trHeight w:val="49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9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9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9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9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978"/>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7"/>
          </w:cols>
          <w:pgMar w:left="333" w:top="1368" w:right="318" w:bottom="1440" w:gutter="0" w:footer="0" w:header="0"/>
        </w:sectPr>
      </w:pPr>
    </w:p>
    <w:bookmarkStart w:id="3" w:name="page4"/>
    <w:bookmarkEnd w:id="3"/>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LIBERTY GLOBAL LTD.</w:t>
      </w:r>
    </w:p>
    <w:p>
      <w:pPr>
        <w:spacing w:after="0" w:line="333" w:lineRule="exact"/>
        <w:rPr>
          <w:sz w:val="20"/>
          <w:szCs w:val="20"/>
          <w:color w:val="auto"/>
        </w:rPr>
      </w:pPr>
    </w:p>
    <w:p>
      <w:pPr>
        <w:ind w:left="432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34290</wp:posOffset>
            </wp:positionV>
            <wp:extent cx="27349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spacing w:after="0" w:line="4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Randy L. Lazzell</w:t>
      </w:r>
    </w:p>
    <w:p>
      <w:pPr>
        <w:spacing w:after="0" w:line="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Vice President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sectPr>
      <w:pgSz w:w="11920" w:h="16838" w:orient="portrait"/>
      <w:cols w:equalWidth="0" w:num="1">
        <w:col w:w="10660"/>
      </w:cols>
      <w:pgMar w:left="340" w:top="882" w:right="9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2026-06-25T15:39:36Z</dcterms:created>
  <dcterms:modified xsi:type="dcterms:W3CDTF">2026-06-25T15:39:36Z</dcterms:modified>
</cp:coreProperties>
</file>