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545"/>
        <w:gridCol w:w="1530"/>
        <w:gridCol w:w="1530"/>
        <w:gridCol w:w="1545"/>
        <w:gridCol w:w="1530"/>
        <w:gridCol w:w="2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100" w:after="283"/>
              <w:jc w:val="right"/>
              <w:rPr>
                <w:rFonts w:ascii="Times New Roman;serif" w:hAnsi="Times New Roman;serif"/>
                <w:b/>
                <w:color w:val="000000"/>
                <w:sz w:val="18"/>
              </w:rPr>
            </w:pPr>
            <w:r>
              <w:rPr>
                <w:rFonts w:ascii="Times New Roman;serif" w:hAnsi="Times New Roman;serif"/>
                <w:b/>
                <w:color w:val="000000"/>
                <w:sz w:val="18"/>
              </w:rPr>
              <w:t>For the quarterly period ended</w:t>
            </w:r>
          </w:p>
        </w:tc>
        <w:tc>
          <w:tcPr>
            <w:tcW w:w="5258"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18"/>
              </w:rPr>
            </w:pPr>
            <w:r>
              <w:rPr>
                <w:rFonts w:ascii="Times New Roman;serif" w:hAnsi="Times New Roman;serif"/>
                <w:b/>
                <w:color w:val="000000"/>
                <w:sz w:val="18"/>
              </w:rPr>
              <w:t>March 31, 2026</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60"/>
        <w:gridCol w:w="2858"/>
        <w:gridCol w:w="4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001-35961 </w:t>
      </w:r>
    </w:p>
    <w:p>
      <w:pPr>
        <w:pStyle w:val="TextBody"/>
        <w:bidi w:val="0"/>
        <w:spacing w:before="60" w:after="283"/>
        <w:jc w:val="center"/>
        <w:rPr/>
      </w:pPr>
      <w:r>
        <w:rPr/>
        <w:drawing>
          <wp:inline distT="0" distB="0" distL="0" distR="0">
            <wp:extent cx="771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1525" cy="771525"/>
                    </a:xfrm>
                    <a:prstGeom prst="rect">
                      <a:avLst/>
                    </a:prstGeom>
                  </pic:spPr>
                </pic:pic>
              </a:graphicData>
            </a:graphic>
          </wp:inline>
        </w:drawing>
      </w:r>
      <w:bookmarkStart w:id="0" w:name="i-1"/>
      <w:bookmarkEnd w:id="0"/>
    </w:p>
    <w:p>
      <w:pPr>
        <w:pStyle w:val="TextBody"/>
        <w:bidi w:val="0"/>
        <w:spacing w:lineRule="auto" w:line="288" w:before="40" w:after="283"/>
        <w:jc w:val="center"/>
        <w:rPr/>
      </w:pPr>
      <w:r>
        <w:rPr>
          <w:rFonts w:ascii="Times New Roman;serif" w:hAnsi="Times New Roman;serif"/>
          <w:b/>
          <w:color w:val="000000"/>
          <w:sz w:val="28"/>
        </w:rPr>
        <w:t>Liberty Global Ltd.</w:t>
      </w:r>
      <w:r>
        <w:rPr>
          <w:color w:val="000000"/>
        </w:rPr>
        <w:t xml:space="preserve"> </w:t>
      </w:r>
    </w:p>
    <w:p>
      <w:pPr>
        <w:pStyle w:val="TextBody"/>
        <w:bidi w:val="0"/>
        <w:spacing w:lineRule="auto" w:line="288" w:before="40" w:after="283"/>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3612" w:type="dxa"/>
        <w:jc w:val="center"/>
        <w:tblInd w:w="0" w:type="dxa"/>
        <w:tblLayout w:type="fixed"/>
        <w:tblCellMar>
          <w:top w:w="28" w:type="dxa"/>
          <w:left w:w="28" w:type="dxa"/>
          <w:bottom w:w="28" w:type="dxa"/>
          <w:right w:w="28" w:type="dxa"/>
        </w:tblCellMar>
      </w:tblPr>
      <w:tblGrid>
        <w:gridCol w:w="726"/>
        <w:gridCol w:w="638"/>
        <w:gridCol w:w="646"/>
        <w:gridCol w:w="109"/>
        <w:gridCol w:w="109"/>
        <w:gridCol w:w="109"/>
        <w:gridCol w:w="373"/>
        <w:gridCol w:w="373"/>
        <w:gridCol w:w="529"/>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98-1750381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(I.R.S. Employer</w:t>
              <w:br/>
              <w:t>Identification No.)</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Clarendon House, 2 Church Street, Hamilton HM 11, Bermuda</w:t>
      </w:r>
    </w:p>
    <w:p>
      <w:pPr>
        <w:pStyle w:val="TextBody"/>
        <w:bidi w:val="0"/>
        <w:spacing w:lineRule="auto" w:line="288" w:before="100" w:after="283"/>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+1.303.220.6600</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00" w:after="283"/>
        <w:jc w:val="left"/>
        <w:rPr/>
      </w:pPr>
      <w:r>
        <w:rPr/>
      </w:r>
    </w:p>
    <w:p>
      <w:pPr>
        <w:pStyle w:val="TextBody"/>
        <w:bidi w:val="0"/>
        <w:spacing w:lineRule="auto" w:line="288" w:before="100" w:after="283"/>
        <w:jc w:val="center"/>
        <w:rPr/>
      </w:pPr>
      <w:r>
        <w:rPr>
          <w:rFonts w:ascii="Times New Roman;serif" w:hAnsi="Times New Roman;serif"/>
          <w:b w:val="false"/>
          <w:color w:val="000000"/>
          <w:sz w:val="18"/>
        </w:rPr>
        <w:t>Large Accelerated Filer  </w:t>
      </w:r>
      <w:r>
        <w:rPr>
          <w:color w:val="000000"/>
        </w:rPr>
        <w:t xml:space="preserve">☑ </w:t>
      </w:r>
      <w:r>
        <w:rPr>
          <w:rFonts w:ascii="Times New Roman;serif" w:hAnsi="Times New Roman;serif"/>
          <w:b w:val="false"/>
          <w:color w:val="000000"/>
          <w:sz w:val="18"/>
        </w:rPr>
        <w:t xml:space="preserve">Accelerated Filer </w:t>
      </w:r>
      <w:r>
        <w:rPr>
          <w:color w:val="000000"/>
        </w:rPr>
        <w:t>☐  </w:t>
      </w:r>
      <w:r>
        <w:rPr>
          <w:rFonts w:ascii="Times New Roman;serif" w:hAnsi="Times New Roman;serif"/>
          <w:b w:val="false"/>
          <w:color w:val="000000"/>
          <w:sz w:val="18"/>
        </w:rPr>
        <w:t>Non-Accelerated Filer </w:t>
      </w:r>
      <w:r>
        <w:rPr>
          <w:color w:val="000000"/>
        </w:rPr>
        <w:t>☐  </w:t>
      </w:r>
    </w:p>
    <w:p>
      <w:pPr>
        <w:pStyle w:val="TextBody"/>
        <w:bidi w:val="0"/>
        <w:spacing w:lineRule="auto" w:line="288" w:before="100" w:after="283"/>
        <w:jc w:val="center"/>
        <w:rPr/>
      </w:pP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Emerging Growth Company  </w:t>
      </w:r>
      <w:r>
        <w:rPr>
          <w:color w:val="000000"/>
        </w:rPr>
        <w:t xml:space="preserve">☐ </w:t>
      </w:r>
    </w:p>
    <w:p>
      <w:pPr>
        <w:pStyle w:val="TextBody"/>
        <w:bidi w:val="0"/>
        <w:spacing w:before="100" w:after="283"/>
        <w:jc w:val="center"/>
        <w:rPr/>
      </w:pPr>
      <w:r>
        <w:rPr/>
      </w:r>
    </w:p>
    <w:p>
      <w:pPr>
        <w:pStyle w:val="TextBody"/>
        <w:bidi w:val="0"/>
        <w:spacing w:lineRule="auto" w:line="288" w:before="10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number of outstanding common shares of Liberty Global Ltd. as of April 24, 2026</w:t>
      </w:r>
      <w:r>
        <w:rPr>
          <w:color w:val="000000"/>
        </w:rPr>
        <w:t xml:space="preserve"> </w:t>
      </w:r>
      <w:r>
        <w:rPr>
          <w:rFonts w:ascii="Times New Roman;serif" w:hAnsi="Times New Roman;serif"/>
          <w:b w:val="false"/>
          <w:color w:val="000000"/>
          <w:sz w:val="18"/>
        </w:rPr>
        <w:t>was: 175,460,330 class A common shares, 12,968,658 class B common shares and 149,668,449 class C common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7"/>
        <w:gridCol w:w="235"/>
        <w:gridCol w:w="237"/>
        <w:gridCol w:w="2892"/>
        <w:gridCol w:w="2884"/>
        <w:gridCol w:w="2890"/>
        <w:gridCol w:w="233"/>
        <w:gridCol w:w="233"/>
        <w:gridCol w:w="334"/>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10">
              <w:r>
                <w:rPr>
                  <w:rStyle w:val="InternetLink"/>
                  <w:rFonts w:ascii="Times New Roman;serif" w:hAnsi="Times New Roman;serif"/>
                  <w:b w:val="false"/>
                  <w:color w:val="000080"/>
                  <w:sz w:val="20"/>
                  <w:u w:val="single"/>
                </w:rPr>
                <w:t xml:space="preserve">Condensed Consolidated Balance Sheets as of </w:t>
              </w:r>
            </w:hyperlink>
            <w:hyperlink w:anchor="id3fd30269d4242b5a00206dbc9029016_10">
              <w:r>
                <w:rPr>
                  <w:rStyle w:val="InternetLink"/>
                  <w:rFonts w:ascii="Times New Roman;serif" w:hAnsi="Times New Roman;serif"/>
                  <w:b w:val="false"/>
                  <w:color w:val="000080"/>
                  <w:sz w:val="20"/>
                  <w:u w:val="single"/>
                </w:rPr>
                <w:t>March 31</w:t>
              </w:r>
            </w:hyperlink>
            <w:hyperlink w:anchor="id3fd30269d4242b5a00206dbc9029016_10">
              <w:r>
                <w:rPr>
                  <w:rStyle w:val="InternetLink"/>
                  <w:rFonts w:ascii="Times New Roman;serif" w:hAnsi="Times New Roman;serif"/>
                  <w:b w:val="false"/>
                  <w:color w:val="000080"/>
                  <w:sz w:val="20"/>
                  <w:u w:val="single"/>
                </w:rPr>
                <w:t>, 202</w:t>
              </w:r>
            </w:hyperlink>
            <w:hyperlink w:anchor="id3fd30269d4242b5a00206dbc9029016_10">
              <w:r>
                <w:rPr>
                  <w:rStyle w:val="InternetLink"/>
                  <w:rFonts w:ascii="Times New Roman;serif" w:hAnsi="Times New Roman;serif"/>
                  <w:b w:val="false"/>
                  <w:color w:val="000080"/>
                  <w:sz w:val="20"/>
                  <w:u w:val="single"/>
                </w:rPr>
                <w:t>6</w:t>
              </w:r>
            </w:hyperlink>
            <w:hyperlink w:anchor="id3fd30269d4242b5a00206dbc9029016_10">
              <w:r>
                <w:rPr>
                  <w:rStyle w:val="InternetLink"/>
                  <w:rFonts w:ascii="Times New Roman;serif" w:hAnsi="Times New Roman;serif"/>
                  <w:b w:val="false"/>
                  <w:color w:val="000080"/>
                  <w:sz w:val="20"/>
                  <w:u w:val="single"/>
                </w:rPr>
                <w:t xml:space="preserve"> and December 31, 202</w:t>
              </w:r>
            </w:hyperlink>
            <w:hyperlink w:anchor="id3fd30269d4242b5a00206dbc9029016_10">
              <w:r>
                <w:rPr>
                  <w:rStyle w:val="InternetLink"/>
                  <w:rFonts w:ascii="Times New Roman;serif" w:hAnsi="Times New Roman;serif"/>
                  <w:b w:val="false"/>
                  <w:color w:val="000080"/>
                  <w:sz w:val="20"/>
                  <w:u w:val="single"/>
                </w:rPr>
                <w:t>5</w:t>
              </w:r>
            </w:hyperlink>
            <w:hyperlink w:anchor="id3fd30269d4242b5a00206dbc9029016_10">
              <w:r>
                <w:rPr>
                  <w:rStyle w:val="InternetLink"/>
                  <w:rFonts w:ascii="Times New Roman;serif" w:hAnsi="Times New Roman;serif"/>
                  <w:b w:val="false"/>
                  <w:color w:val="000080"/>
                  <w:sz w:val="20"/>
                  <w:u w:val="single"/>
                </w:rPr>
                <w:t xml:space="preserve">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10">
              <w:r>
                <w:rPr>
                  <w:rStyle w:val="InternetLink"/>
                  <w:rFonts w:ascii="Times New Roman;serif" w:hAnsi="Times New Roman;serif"/>
                  <w:b w:val="false"/>
                  <w:color w:val="0000FF"/>
                  <w:sz w:val="20"/>
                  <w:u w:val="single"/>
                </w:rPr>
                <w:t>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13">
              <w:r>
                <w:rPr>
                  <w:rStyle w:val="InternetLink"/>
                  <w:rFonts w:ascii="Times New Roman;serif" w:hAnsi="Times New Roman;serif"/>
                  <w:b w:val="false"/>
                  <w:color w:val="000080"/>
                  <w:sz w:val="20"/>
                  <w:u w:val="single"/>
                </w:rPr>
                <w:t xml:space="preserve">Condensed Consolidated Statements of Operations for the Three </w:t>
              </w:r>
            </w:hyperlink>
            <w:hyperlink w:anchor="id3fd30269d4242b5a00206dbc9029016_13">
              <w:r>
                <w:rPr>
                  <w:rStyle w:val="InternetLink"/>
                  <w:rFonts w:ascii="Times New Roman;serif" w:hAnsi="Times New Roman;serif"/>
                  <w:b w:val="false"/>
                  <w:color w:val="000080"/>
                  <w:sz w:val="20"/>
                  <w:u w:val="single"/>
                </w:rPr>
                <w:t xml:space="preserve">Months Ended </w:t>
              </w:r>
            </w:hyperlink>
            <w:hyperlink w:anchor="id3fd30269d4242b5a00206dbc9029016_13">
              <w:r>
                <w:rPr>
                  <w:rStyle w:val="InternetLink"/>
                  <w:rFonts w:ascii="Times New Roman;serif" w:hAnsi="Times New Roman;serif"/>
                  <w:b w:val="false"/>
                  <w:color w:val="000080"/>
                  <w:sz w:val="20"/>
                  <w:u w:val="single"/>
                </w:rPr>
                <w:t>March 31</w:t>
              </w:r>
            </w:hyperlink>
            <w:hyperlink w:anchor="id3fd30269d4242b5a00206dbc9029016_13">
              <w:r>
                <w:rPr>
                  <w:rStyle w:val="InternetLink"/>
                  <w:rFonts w:ascii="Times New Roman;serif" w:hAnsi="Times New Roman;serif"/>
                  <w:b w:val="false"/>
                  <w:color w:val="000080"/>
                  <w:sz w:val="20"/>
                  <w:u w:val="single"/>
                </w:rPr>
                <w:t>, 202</w:t>
              </w:r>
            </w:hyperlink>
            <w:hyperlink w:anchor="id3fd30269d4242b5a00206dbc9029016_13">
              <w:r>
                <w:rPr>
                  <w:rStyle w:val="InternetLink"/>
                  <w:rFonts w:ascii="Times New Roman;serif" w:hAnsi="Times New Roman;serif"/>
                  <w:b w:val="false"/>
                  <w:color w:val="000080"/>
                  <w:sz w:val="20"/>
                  <w:u w:val="single"/>
                </w:rPr>
                <w:t>6</w:t>
              </w:r>
            </w:hyperlink>
            <w:hyperlink w:anchor="id3fd30269d4242b5a00206dbc9029016_13">
              <w:r>
                <w:rPr>
                  <w:rStyle w:val="InternetLink"/>
                  <w:rFonts w:ascii="Times New Roman;serif" w:hAnsi="Times New Roman;serif"/>
                  <w:b w:val="false"/>
                  <w:color w:val="000080"/>
                  <w:sz w:val="20"/>
                  <w:u w:val="single"/>
                </w:rPr>
                <w:t xml:space="preserve"> and 202</w:t>
              </w:r>
            </w:hyperlink>
            <w:hyperlink w:anchor="id3fd30269d4242b5a00206dbc9029016_13">
              <w:r>
                <w:rPr>
                  <w:rStyle w:val="InternetLink"/>
                  <w:rFonts w:ascii="Times New Roman;serif" w:hAnsi="Times New Roman;serif"/>
                  <w:b w:val="false"/>
                  <w:color w:val="000080"/>
                  <w:sz w:val="20"/>
                  <w:u w:val="single"/>
                </w:rPr>
                <w:t>5</w:t>
              </w:r>
            </w:hyperlink>
            <w:hyperlink w:anchor="id3fd30269d4242b5a00206dbc9029016_13">
              <w:r>
                <w:rPr>
                  <w:rStyle w:val="InternetLink"/>
                  <w:rFonts w:ascii="Times New Roman;serif" w:hAnsi="Times New Roman;serif"/>
                  <w:b w:val="false"/>
                  <w:color w:val="000080"/>
                  <w:sz w:val="20"/>
                  <w:u w:val="single"/>
                </w:rPr>
                <w:t xml:space="preserve">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13">
              <w:r>
                <w:rPr>
                  <w:rStyle w:val="InternetLink"/>
                  <w:rFonts w:ascii="Times New Roman;serif" w:hAnsi="Times New Roman;serif"/>
                  <w:b w:val="false"/>
                  <w:color w:val="0000FF"/>
                  <w:sz w:val="20"/>
                  <w:u w:val="single"/>
                </w:rPr>
                <w:t>3</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19">
              <w:r>
                <w:rPr>
                  <w:rStyle w:val="InternetLink"/>
                  <w:rFonts w:ascii="Times New Roman;serif" w:hAnsi="Times New Roman;serif"/>
                  <w:b w:val="false"/>
                  <w:color w:val="000080"/>
                  <w:sz w:val="20"/>
                  <w:u w:val="single"/>
                </w:rPr>
                <w:t xml:space="preserve">Condensed Consolidated Statements of Comprehensive </w:t>
              </w:r>
            </w:hyperlink>
            <w:hyperlink w:anchor="id3fd30269d4242b5a00206dbc9029016_19">
              <w:r>
                <w:rPr>
                  <w:rStyle w:val="InternetLink"/>
                  <w:rFonts w:ascii="Times New Roman;serif" w:hAnsi="Times New Roman;serif"/>
                  <w:b w:val="false"/>
                  <w:color w:val="000080"/>
                  <w:sz w:val="20"/>
                  <w:u w:val="single"/>
                </w:rPr>
                <w:t>Earnings (Loss)</w:t>
              </w:r>
            </w:hyperlink>
            <w:hyperlink w:anchor="id3fd30269d4242b5a00206dbc9029016_19">
              <w:r>
                <w:rPr>
                  <w:rStyle w:val="InternetLink"/>
                  <w:rFonts w:ascii="Times New Roman;serif" w:hAnsi="Times New Roman;serif"/>
                  <w:b w:val="false"/>
                  <w:color w:val="000080"/>
                  <w:sz w:val="20"/>
                  <w:u w:val="single"/>
                </w:rPr>
                <w:t xml:space="preserve"> for the Three </w:t>
              </w:r>
            </w:hyperlink>
            <w:hyperlink w:anchor="id3fd30269d4242b5a00206dbc9029016_19">
              <w:r>
                <w:rPr>
                  <w:rStyle w:val="InternetLink"/>
                  <w:rFonts w:ascii="Times New Roman;serif" w:hAnsi="Times New Roman;serif"/>
                  <w:b w:val="false"/>
                  <w:color w:val="000080"/>
                  <w:sz w:val="20"/>
                  <w:u w:val="single"/>
                </w:rPr>
                <w:t xml:space="preserve">Months Ended </w:t>
              </w:r>
            </w:hyperlink>
            <w:hyperlink w:anchor="id3fd30269d4242b5a00206dbc9029016_19">
              <w:r>
                <w:rPr>
                  <w:rStyle w:val="InternetLink"/>
                  <w:rFonts w:ascii="Times New Roman;serif" w:hAnsi="Times New Roman;serif"/>
                  <w:b w:val="false"/>
                  <w:color w:val="000080"/>
                  <w:sz w:val="20"/>
                  <w:u w:val="single"/>
                </w:rPr>
                <w:t>March</w:t>
              </w:r>
            </w:hyperlink>
            <w:hyperlink w:anchor="id3fd30269d4242b5a00206dbc9029016_19">
              <w:r>
                <w:rPr>
                  <w:rStyle w:val="InternetLink"/>
                  <w:rFonts w:ascii="Times New Roman;serif" w:hAnsi="Times New Roman;serif"/>
                  <w:b w:val="false"/>
                  <w:color w:val="000080"/>
                  <w:sz w:val="20"/>
                  <w:u w:val="single"/>
                </w:rPr>
                <w:t xml:space="preserve"> 3</w:t>
              </w:r>
            </w:hyperlink>
            <w:hyperlink w:anchor="id3fd30269d4242b5a00206dbc9029016_19">
              <w:r>
                <w:rPr>
                  <w:rStyle w:val="InternetLink"/>
                  <w:rFonts w:ascii="Times New Roman;serif" w:hAnsi="Times New Roman;serif"/>
                  <w:b w:val="false"/>
                  <w:color w:val="000080"/>
                  <w:sz w:val="20"/>
                  <w:u w:val="single"/>
                </w:rPr>
                <w:t>1</w:t>
              </w:r>
            </w:hyperlink>
            <w:hyperlink w:anchor="id3fd30269d4242b5a00206dbc9029016_19">
              <w:r>
                <w:rPr>
                  <w:rStyle w:val="InternetLink"/>
                  <w:rFonts w:ascii="Times New Roman;serif" w:hAnsi="Times New Roman;serif"/>
                  <w:b w:val="false"/>
                  <w:color w:val="000080"/>
                  <w:sz w:val="20"/>
                  <w:u w:val="single"/>
                </w:rPr>
                <w:t>, 202</w:t>
              </w:r>
            </w:hyperlink>
            <w:hyperlink w:anchor="id3fd30269d4242b5a00206dbc9029016_19">
              <w:r>
                <w:rPr>
                  <w:rStyle w:val="InternetLink"/>
                  <w:rFonts w:ascii="Times New Roman;serif" w:hAnsi="Times New Roman;serif"/>
                  <w:b w:val="false"/>
                  <w:color w:val="000080"/>
                  <w:sz w:val="20"/>
                  <w:u w:val="single"/>
                </w:rPr>
                <w:t>6</w:t>
              </w:r>
            </w:hyperlink>
            <w:hyperlink w:anchor="id3fd30269d4242b5a00206dbc9029016_19">
              <w:r>
                <w:rPr>
                  <w:rStyle w:val="InternetLink"/>
                  <w:rFonts w:ascii="Times New Roman;serif" w:hAnsi="Times New Roman;serif"/>
                  <w:b w:val="false"/>
                  <w:color w:val="000080"/>
                  <w:sz w:val="20"/>
                  <w:u w:val="single"/>
                </w:rPr>
                <w:t xml:space="preserve"> and 202</w:t>
              </w:r>
            </w:hyperlink>
            <w:hyperlink w:anchor="id3fd30269d4242b5a00206dbc9029016_19">
              <w:r>
                <w:rPr>
                  <w:rStyle w:val="InternetLink"/>
                  <w:rFonts w:ascii="Times New Roman;serif" w:hAnsi="Times New Roman;serif"/>
                  <w:b w:val="false"/>
                  <w:color w:val="000080"/>
                  <w:sz w:val="20"/>
                  <w:u w:val="single"/>
                </w:rPr>
                <w:t>5</w:t>
              </w:r>
            </w:hyperlink>
            <w:hyperlink w:anchor="id3fd30269d4242b5a00206dbc9029016_19">
              <w:r>
                <w:rPr>
                  <w:rStyle w:val="InternetLink"/>
                  <w:rFonts w:ascii="Times New Roman;serif" w:hAnsi="Times New Roman;serif"/>
                  <w:b w:val="false"/>
                  <w:color w:val="000080"/>
                  <w:sz w:val="20"/>
                  <w:u w:val="single"/>
                </w:rPr>
                <w:t xml:space="preserve">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19">
              <w:r>
                <w:rPr>
                  <w:rStyle w:val="InternetLink"/>
                  <w:rFonts w:ascii="Times New Roman;serif" w:hAnsi="Times New Roman;serif"/>
                  <w:b w:val="false"/>
                  <w:color w:val="0000FF"/>
                  <w:sz w:val="20"/>
                  <w:u w:val="single"/>
                </w:rPr>
                <w:t>4</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22">
              <w:r>
                <w:rPr>
                  <w:rStyle w:val="InternetLink"/>
                  <w:rFonts w:ascii="Times New Roman;serif" w:hAnsi="Times New Roman;serif"/>
                  <w:b w:val="false"/>
                  <w:color w:val="000080"/>
                  <w:sz w:val="20"/>
                  <w:u w:val="single"/>
                </w:rPr>
                <w:t>Condensed Consolidated Statements of Equity for the Three</w:t>
              </w:r>
            </w:hyperlink>
            <w:hyperlink w:anchor="id3fd30269d4242b5a00206dbc9029016_22">
              <w:r>
                <w:rPr>
                  <w:rStyle w:val="InternetLink"/>
                  <w:rFonts w:ascii="Times New Roman;serif" w:hAnsi="Times New Roman;serif"/>
                  <w:b w:val="false"/>
                  <w:color w:val="000080"/>
                  <w:sz w:val="20"/>
                  <w:u w:val="single"/>
                </w:rPr>
                <w:t xml:space="preserve"> Months Ended </w:t>
              </w:r>
            </w:hyperlink>
            <w:hyperlink w:anchor="id3fd30269d4242b5a00206dbc9029016_22">
              <w:r>
                <w:rPr>
                  <w:rStyle w:val="InternetLink"/>
                  <w:rFonts w:ascii="Times New Roman;serif" w:hAnsi="Times New Roman;serif"/>
                  <w:b w:val="false"/>
                  <w:color w:val="000080"/>
                  <w:sz w:val="20"/>
                  <w:u w:val="single"/>
                </w:rPr>
                <w:t>March 31</w:t>
              </w:r>
            </w:hyperlink>
            <w:hyperlink w:anchor="id3fd30269d4242b5a00206dbc9029016_22">
              <w:r>
                <w:rPr>
                  <w:rStyle w:val="InternetLink"/>
                  <w:rFonts w:ascii="Times New Roman;serif" w:hAnsi="Times New Roman;serif"/>
                  <w:b w:val="false"/>
                  <w:color w:val="000080"/>
                  <w:sz w:val="20"/>
                  <w:u w:val="single"/>
                </w:rPr>
                <w:t>, 202</w:t>
              </w:r>
            </w:hyperlink>
            <w:hyperlink w:anchor="id3fd30269d4242b5a00206dbc9029016_22">
              <w:r>
                <w:rPr>
                  <w:rStyle w:val="InternetLink"/>
                  <w:rFonts w:ascii="Times New Roman;serif" w:hAnsi="Times New Roman;serif"/>
                  <w:b w:val="false"/>
                  <w:color w:val="000080"/>
                  <w:sz w:val="20"/>
                  <w:u w:val="single"/>
                </w:rPr>
                <w:t>6</w:t>
              </w:r>
            </w:hyperlink>
            <w:hyperlink w:anchor="id3fd30269d4242b5a00206dbc9029016_22">
              <w:r>
                <w:rPr>
                  <w:rStyle w:val="InternetLink"/>
                  <w:rFonts w:ascii="Times New Roman;serif" w:hAnsi="Times New Roman;serif"/>
                  <w:b w:val="false"/>
                  <w:color w:val="000080"/>
                  <w:sz w:val="20"/>
                  <w:u w:val="single"/>
                </w:rPr>
                <w:t xml:space="preserve"> and 202</w:t>
              </w:r>
            </w:hyperlink>
            <w:hyperlink w:anchor="id3fd30269d4242b5a00206dbc9029016_22">
              <w:r>
                <w:rPr>
                  <w:rStyle w:val="InternetLink"/>
                  <w:rFonts w:ascii="Times New Roman;serif" w:hAnsi="Times New Roman;serif"/>
                  <w:b w:val="false"/>
                  <w:color w:val="000080"/>
                  <w:sz w:val="20"/>
                  <w:u w:val="single"/>
                </w:rPr>
                <w:t>5</w:t>
              </w:r>
            </w:hyperlink>
            <w:hyperlink w:anchor="id3fd30269d4242b5a00206dbc9029016_22">
              <w:r>
                <w:rPr>
                  <w:rStyle w:val="InternetLink"/>
                  <w:rFonts w:ascii="Times New Roman;serif" w:hAnsi="Times New Roman;serif"/>
                  <w:b w:val="false"/>
                  <w:color w:val="000080"/>
                  <w:sz w:val="20"/>
                  <w:u w:val="single"/>
                </w:rPr>
                <w:t xml:space="preserve">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2">
              <w:r>
                <w:rPr>
                  <w:rStyle w:val="InternetLink"/>
                  <w:rFonts w:ascii="Times New Roman;serif" w:hAnsi="Times New Roman;serif"/>
                  <w:b w:val="false"/>
                  <w:color w:val="0000FF"/>
                  <w:sz w:val="20"/>
                  <w:u w:val="single"/>
                </w:rPr>
                <w:t>5</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25">
              <w:r>
                <w:rPr>
                  <w:rStyle w:val="InternetLink"/>
                  <w:rFonts w:ascii="Times New Roman;serif" w:hAnsi="Times New Roman;serif"/>
                  <w:b w:val="false"/>
                  <w:color w:val="000080"/>
                  <w:sz w:val="20"/>
                  <w:u w:val="single"/>
                </w:rPr>
                <w:t xml:space="preserve">Condensed Consolidated Statements of Cash Flows for the </w:t>
              </w:r>
            </w:hyperlink>
            <w:hyperlink w:anchor="id3fd30269d4242b5a00206dbc9029016_25">
              <w:r>
                <w:rPr>
                  <w:rStyle w:val="InternetLink"/>
                  <w:rFonts w:ascii="Times New Roman;serif" w:hAnsi="Times New Roman;serif"/>
                  <w:b w:val="false"/>
                  <w:color w:val="000080"/>
                  <w:sz w:val="20"/>
                  <w:u w:val="single"/>
                </w:rPr>
                <w:t>Three</w:t>
              </w:r>
            </w:hyperlink>
            <w:hyperlink w:anchor="id3fd30269d4242b5a00206dbc9029016_25">
              <w:r>
                <w:rPr>
                  <w:rStyle w:val="InternetLink"/>
                  <w:rFonts w:ascii="Times New Roman;serif" w:hAnsi="Times New Roman;serif"/>
                  <w:b w:val="false"/>
                  <w:color w:val="000080"/>
                  <w:sz w:val="20"/>
                  <w:u w:val="single"/>
                </w:rPr>
                <w:t xml:space="preserve"> Months Ended </w:t>
              </w:r>
            </w:hyperlink>
            <w:hyperlink w:anchor="id3fd30269d4242b5a00206dbc9029016_25">
              <w:r>
                <w:rPr>
                  <w:rStyle w:val="InternetLink"/>
                  <w:rFonts w:ascii="Times New Roman;serif" w:hAnsi="Times New Roman;serif"/>
                  <w:b w:val="false"/>
                  <w:color w:val="000080"/>
                  <w:sz w:val="20"/>
                  <w:u w:val="single"/>
                </w:rPr>
                <w:t>March 31</w:t>
              </w:r>
            </w:hyperlink>
            <w:hyperlink w:anchor="id3fd30269d4242b5a00206dbc9029016_25">
              <w:r>
                <w:rPr>
                  <w:rStyle w:val="InternetLink"/>
                  <w:rFonts w:ascii="Times New Roman;serif" w:hAnsi="Times New Roman;serif"/>
                  <w:b w:val="false"/>
                  <w:color w:val="000080"/>
                  <w:sz w:val="20"/>
                  <w:u w:val="single"/>
                </w:rPr>
                <w:t>, 202</w:t>
              </w:r>
            </w:hyperlink>
            <w:hyperlink w:anchor="id3fd30269d4242b5a00206dbc9029016_25">
              <w:r>
                <w:rPr>
                  <w:rStyle w:val="InternetLink"/>
                  <w:rFonts w:ascii="Times New Roman;serif" w:hAnsi="Times New Roman;serif"/>
                  <w:b w:val="false"/>
                  <w:color w:val="000080"/>
                  <w:sz w:val="20"/>
                  <w:u w:val="single"/>
                </w:rPr>
                <w:t>6</w:t>
              </w:r>
            </w:hyperlink>
            <w:hyperlink w:anchor="id3fd30269d4242b5a00206dbc9029016_25">
              <w:r>
                <w:rPr>
                  <w:rStyle w:val="InternetLink"/>
                  <w:rFonts w:ascii="Times New Roman;serif" w:hAnsi="Times New Roman;serif"/>
                  <w:b w:val="false"/>
                  <w:color w:val="000080"/>
                  <w:sz w:val="20"/>
                  <w:u w:val="single"/>
                </w:rPr>
                <w:t xml:space="preserve"> and 202</w:t>
              </w:r>
            </w:hyperlink>
            <w:hyperlink w:anchor="id3fd30269d4242b5a00206dbc9029016_25">
              <w:r>
                <w:rPr>
                  <w:rStyle w:val="InternetLink"/>
                  <w:rFonts w:ascii="Times New Roman;serif" w:hAnsi="Times New Roman;serif"/>
                  <w:b w:val="false"/>
                  <w:color w:val="000080"/>
                  <w:sz w:val="20"/>
                  <w:u w:val="single"/>
                </w:rPr>
                <w:t>5</w:t>
              </w:r>
            </w:hyperlink>
            <w:hyperlink w:anchor="id3fd30269d4242b5a00206dbc9029016_25">
              <w:r>
                <w:rPr>
                  <w:rStyle w:val="InternetLink"/>
                  <w:rFonts w:ascii="Times New Roman;serif" w:hAnsi="Times New Roman;serif"/>
                  <w:b w:val="false"/>
                  <w:color w:val="000080"/>
                  <w:sz w:val="20"/>
                  <w:u w:val="single"/>
                </w:rPr>
                <w:t xml:space="preserve">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5">
              <w:r>
                <w:rPr>
                  <w:rStyle w:val="InternetLink"/>
                  <w:rFonts w:ascii="Times New Roman;serif" w:hAnsi="Times New Roman;serif"/>
                  <w:b w:val="false"/>
                  <w:color w:val="0000FF"/>
                  <w:sz w:val="20"/>
                  <w:u w:val="single"/>
                </w:rPr>
                <w:t>7</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31">
              <w:r>
                <w:rPr>
                  <w:rStyle w:val="InternetLink"/>
                  <w:rFonts w:ascii="Times New Roman;serif" w:hAnsi="Times New Roman;serif"/>
                  <w:b w:val="false"/>
                  <w:color w:val="0000FF"/>
                  <w:sz w:val="20"/>
                  <w:u w:val="single"/>
                </w:rPr>
                <w:t>Notes to Condensed Consolidated Financial Statements (unaudited)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31">
              <w:r>
                <w:rPr>
                  <w:rStyle w:val="InternetLink"/>
                  <w:rFonts w:ascii="Times New Roman;serif" w:hAnsi="Times New Roman;serif"/>
                  <w:b w:val="false"/>
                  <w:color w:val="0000FF"/>
                  <w:sz w:val="20"/>
                  <w:u w:val="single"/>
                </w:rPr>
                <w:t>9</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3fd30269d4242b5a00206dbc9029016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112">
              <w:r>
                <w:rPr>
                  <w:rStyle w:val="InternetLink"/>
                  <w:rFonts w:ascii="Times New Roman;serif" w:hAnsi="Times New Roman;serif"/>
                  <w:b w:val="false"/>
                  <w:color w:val="0000FF"/>
                  <w:sz w:val="20"/>
                  <w:u w:val="single"/>
                </w:rPr>
                <w:t>45</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26">
              <w:r>
                <w:rPr>
                  <w:rStyle w:val="InternetLink"/>
                  <w:rFonts w:ascii="Times New Roman;serif" w:hAnsi="Times New Roman;serif"/>
                  <w:b w:val="false"/>
                  <w:color w:val="0000FF"/>
                  <w:sz w:val="20"/>
                  <w:u w:val="single"/>
                </w:rPr>
                <w:t>QUANTITATIVE AND QUALITATIVE DISCLOSURES ABOUT MARKET RISK</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26">
              <w:r>
                <w:rPr>
                  <w:rStyle w:val="InternetLink"/>
                  <w:rFonts w:ascii="Times New Roman;serif" w:hAnsi="Times New Roman;serif"/>
                  <w:b w:val="false"/>
                  <w:color w:val="0000FF"/>
                  <w:sz w:val="20"/>
                  <w:u w:val="single"/>
                </w:rPr>
                <w:t>69</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50">
              <w:r>
                <w:rPr>
                  <w:rStyle w:val="InternetLink"/>
                  <w:rFonts w:ascii="Times New Roman;serif" w:hAnsi="Times New Roman;serif"/>
                  <w:b w:val="false"/>
                  <w:color w:val="0000FF"/>
                  <w:sz w:val="20"/>
                  <w:u w:val="single"/>
                </w:rPr>
                <w:t>CONTROLS AND PROCEDURES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50">
              <w:r>
                <w:rPr>
                  <w:rStyle w:val="InternetLink"/>
                  <w:rFonts w:ascii="Times New Roman;serif" w:hAnsi="Times New Roman;serif"/>
                  <w:b w:val="false"/>
                  <w:color w:val="0000FF"/>
                  <w:sz w:val="20"/>
                  <w:u w:val="single"/>
                </w:rPr>
                <w:t>71</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56">
              <w:r>
                <w:rPr>
                  <w:rStyle w:val="InternetLink"/>
                  <w:rFonts w:ascii="Times New Roman;serif" w:hAnsi="Times New Roman;serif"/>
                  <w:b w:val="false"/>
                  <w:color w:val="0000FF"/>
                  <w:sz w:val="20"/>
                  <w:u w:val="single"/>
                </w:rPr>
                <w:t>LEGAL PROCEEDINGS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56">
              <w:r>
                <w:rPr>
                  <w:rStyle w:val="InternetLink"/>
                  <w:rFonts w:ascii="Times New Roman;serif" w:hAnsi="Times New Roman;serif"/>
                  <w:b w:val="false"/>
                  <w:color w:val="0000FF"/>
                  <w:sz w:val="20"/>
                  <w:u w:val="single"/>
                </w:rPr>
                <w:t>73</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59">
              <w:r>
                <w:rPr>
                  <w:rStyle w:val="InternetLink"/>
                  <w:rFonts w:ascii="Times New Roman;serif" w:hAnsi="Times New Roman;serif"/>
                  <w:b w:val="false"/>
                  <w:color w:val="0000FF"/>
                  <w:sz w:val="20"/>
                  <w:u w:val="single"/>
                </w:rPr>
                <w:t>UNREGISTERED SALES OF EQUITY SECURITIES AND USE OF PROCEEDS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59">
              <w:r>
                <w:rPr>
                  <w:rStyle w:val="InternetLink"/>
                  <w:rFonts w:ascii="Times New Roman;serif" w:hAnsi="Times New Roman;serif"/>
                  <w:b w:val="false"/>
                  <w:color w:val="0000FF"/>
                  <w:sz w:val="20"/>
                  <w:u w:val="single"/>
                </w:rPr>
                <w:t>73</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62">
              <w:r>
                <w:rPr>
                  <w:rStyle w:val="InternetLink"/>
                  <w:rFonts w:ascii="Times New Roman;serif" w:hAnsi="Times New Roman;serif"/>
                  <w:b w:val="false"/>
                  <w:color w:val="0000FF"/>
                  <w:sz w:val="20"/>
                  <w:u w:val="single"/>
                </w:rPr>
                <w:t>OTHER INFORMATION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62">
              <w:r>
                <w:rPr>
                  <w:rStyle w:val="InternetLink"/>
                  <w:rFonts w:ascii="Times New Roman;serif" w:hAnsi="Times New Roman;serif"/>
                  <w:b w:val="false"/>
                  <w:color w:val="0000FF"/>
                  <w:sz w:val="20"/>
                  <w:u w:val="single"/>
                </w:rPr>
                <w:t>73</w:t>
              </w:r>
            </w:hyperlink>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fd30269d4242b5a00206dbc9029016_265">
              <w:r>
                <w:rPr>
                  <w:rStyle w:val="InternetLink"/>
                  <w:rFonts w:ascii="Times New Roman;serif" w:hAnsi="Times New Roman;serif"/>
                  <w:b w:val="false"/>
                  <w:color w:val="0000FF"/>
                  <w:sz w:val="20"/>
                  <w:u w:val="single"/>
                </w:rPr>
                <w:t>EXHIBITS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fd30269d4242b5a00206dbc9029016_265">
              <w:r>
                <w:rPr>
                  <w:rStyle w:val="InternetLink"/>
                  <w:rFonts w:ascii="Times New Roman;serif" w:hAnsi="Times New Roman;serif"/>
                  <w:b w:val="false"/>
                  <w:color w:val="0000FF"/>
                  <w:sz w:val="20"/>
                  <w:u w:val="single"/>
                </w:rPr>
                <w:t>74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0"/>
        <w:gridCol w:w="2346"/>
        <w:gridCol w:w="2324"/>
        <w:gridCol w:w="211"/>
        <w:gridCol w:w="871"/>
        <w:gridCol w:w="109"/>
        <w:gridCol w:w="109"/>
        <w:gridCol w:w="109"/>
        <w:gridCol w:w="109"/>
        <w:gridCol w:w="211"/>
        <w:gridCol w:w="871"/>
        <w:gridCol w:w="155"/>
      </w:tblGrid>
      <w:tr>
        <w:trPr/>
        <w:tc>
          <w:tcPr>
            <w:tcW w:w="2780"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 net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 (notes 3, 4, 5 and 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and related notes receivable (including $1,500.2 million and $1,631.5 million, respectively, measured at fair value on a recurring basis) (note 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(notes 8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(note 8)</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 (note 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net (notes 3, 6 and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36880"/>
                <wp:effectExtent l="0" t="0" r="0" b="0"/>
                <wp:wrapNone/>
                <wp:docPr id="4" name="Frame3"/>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1"/>
        <w:gridCol w:w="2358"/>
        <w:gridCol w:w="2370"/>
        <w:gridCol w:w="211"/>
        <w:gridCol w:w="871"/>
        <w:gridCol w:w="109"/>
        <w:gridCol w:w="109"/>
        <w:gridCol w:w="109"/>
        <w:gridCol w:w="109"/>
        <w:gridCol w:w="211"/>
        <w:gridCol w:w="871"/>
        <w:gridCol w:w="156"/>
      </w:tblGrid>
      <w:tr>
        <w:trPr/>
        <w:tc>
          <w:tcPr>
            <w:tcW w:w="272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(note 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 (notes 9 and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 (notes 4, 6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 (notes 9 and 10)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 (note 10)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(notes 3 and 6)</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6, 9, 10, 11 and 14)</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shareholders: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shares, $0.01 nominal value. Issued and outstanding 175,450,201 and 174,502,063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shares, $0.01 nominal value. Issued and outstanding 12,968,658 and 12,968,658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C common shares, $0.01 nominal value. Issued and outstanding 149,653,085 and 147,333,037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 net of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 shareholders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36880"/>
                <wp:effectExtent l="0" t="0" r="0" b="0"/>
                <wp:wrapNone/>
                <wp:docPr id="5" name="Frame4"/>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4"/>
        <w:gridCol w:w="2137"/>
        <w:gridCol w:w="2145"/>
        <w:gridCol w:w="109"/>
        <w:gridCol w:w="109"/>
        <w:gridCol w:w="134"/>
        <w:gridCol w:w="134"/>
        <w:gridCol w:w="264"/>
        <w:gridCol w:w="960"/>
        <w:gridCol w:w="135"/>
        <w:gridCol w:w="110"/>
        <w:gridCol w:w="110"/>
        <w:gridCol w:w="110"/>
        <w:gridCol w:w="214"/>
        <w:gridCol w:w="840"/>
        <w:gridCol w:w="160"/>
      </w:tblGrid>
      <w:tr>
        <w:trPr/>
        <w:tc>
          <w:tcPr>
            <w:tcW w:w="25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44" w:type="dxa"/>
            <w:gridSpan w:val="6"/>
            <w:tcBorders/>
          </w:tcPr>
          <w:p>
            <w:pPr>
              <w:pStyle w:val="TableContents"/>
              <w:bidi w:val="0"/>
              <w:spacing w:before="0" w:after="283"/>
              <w:jc w:val="left"/>
              <w:rPr>
                <w:sz w:val="4"/>
                <w:szCs w:val="4"/>
              </w:rPr>
            </w:pPr>
            <w:r>
              <w:rPr>
                <w:sz w:val="4"/>
                <w:szCs w:val="4"/>
              </w:rPr>
            </w:r>
          </w:p>
        </w:tc>
      </w:tr>
      <w:tr>
        <w:trPr/>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6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(notes 3, 5 and 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depreciation and amortization, shown separately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(notes 10 and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w:t>
            </w:r>
            <w:r>
              <w:rPr>
                <w:rFonts w:ascii="Times New Roman;serif" w:hAnsi="Times New Roman;serif"/>
                <w:b/>
                <w:color w:val="000000"/>
                <w:sz w:val="20"/>
              </w:rPr>
              <w:t>SG&amp;A</w:t>
            </w:r>
            <w:r>
              <w:rPr>
                <w:rFonts w:ascii="Times New Roman;serif" w:hAnsi="Times New Roman;serif"/>
                <w:b w:val="false"/>
                <w:color w:val="000000"/>
                <w:sz w:val="20"/>
              </w:rPr>
              <w:t>) (notes 10 and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derivative instruments, net (note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 (notes 5 and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 (note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Liberty Global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earnings (loss) attributable to Liberty Global shareholders per share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earnings (loss) attributable to Liberty Global shareholders per share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6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36880"/>
                <wp:effectExtent l="0" t="0" r="0" b="0"/>
                <wp:wrapNone/>
                <wp:docPr id="6" name="Frame5"/>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w:t>
      </w:r>
    </w:p>
    <w:tbl>
      <w:tblPr>
        <w:tblW w:w="9594" w:type="dxa"/>
        <w:jc w:val="left"/>
        <w:tblInd w:w="0" w:type="dxa"/>
        <w:tblLayout w:type="fixed"/>
        <w:tblCellMar>
          <w:top w:w="28" w:type="dxa"/>
          <w:left w:w="28" w:type="dxa"/>
          <w:bottom w:w="28" w:type="dxa"/>
          <w:right w:w="28" w:type="dxa"/>
        </w:tblCellMar>
      </w:tblPr>
      <w:tblGrid>
        <w:gridCol w:w="2229"/>
        <w:gridCol w:w="1956"/>
        <w:gridCol w:w="1964"/>
        <w:gridCol w:w="109"/>
        <w:gridCol w:w="109"/>
        <w:gridCol w:w="150"/>
        <w:gridCol w:w="150"/>
        <w:gridCol w:w="291"/>
        <w:gridCol w:w="953"/>
        <w:gridCol w:w="150"/>
        <w:gridCol w:w="109"/>
        <w:gridCol w:w="109"/>
        <w:gridCol w:w="109"/>
        <w:gridCol w:w="211"/>
        <w:gridCol w:w="841"/>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included in 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Pension-related adjustments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Comprehensive earnings (loss) attributable to Liberty Global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6880"/>
                <wp:effectExtent l="0" t="0" r="0" b="0"/>
                <wp:wrapNone/>
                <wp:docPr id="7" name="Frame6"/>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3834"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211"/>
        <w:gridCol w:w="601"/>
        <w:gridCol w:w="119"/>
        <w:gridCol w:w="109"/>
        <w:gridCol w:w="109"/>
        <w:gridCol w:w="109"/>
        <w:gridCol w:w="203"/>
        <w:gridCol w:w="809"/>
        <w:gridCol w:w="114"/>
        <w:gridCol w:w="109"/>
        <w:gridCol w:w="109"/>
        <w:gridCol w:w="109"/>
        <w:gridCol w:w="278"/>
        <w:gridCol w:w="812"/>
        <w:gridCol w:w="156"/>
        <w:gridCol w:w="109"/>
        <w:gridCol w:w="109"/>
        <w:gridCol w:w="109"/>
        <w:gridCol w:w="228"/>
        <w:gridCol w:w="455"/>
        <w:gridCol w:w="128"/>
        <w:gridCol w:w="109"/>
        <w:gridCol w:w="109"/>
        <w:gridCol w:w="109"/>
        <w:gridCol w:w="197"/>
        <w:gridCol w:w="788"/>
        <w:gridCol w:w="111"/>
        <w:gridCol w:w="109"/>
        <w:gridCol w:w="109"/>
        <w:gridCol w:w="109"/>
        <w:gridCol w:w="300"/>
        <w:gridCol w:w="853"/>
        <w:gridCol w:w="168"/>
        <w:gridCol w:w="109"/>
        <w:gridCol w:w="109"/>
        <w:gridCol w:w="109"/>
        <w:gridCol w:w="196"/>
        <w:gridCol w:w="78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earnings (loss),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4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and cancellations of Liberty Global common shares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10,905.3 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12,648.8 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05560"/>
                <wp:effectExtent l="0" t="0" r="0" b="0"/>
                <wp:wrapNone/>
                <wp:docPr id="8" name="Frame7"/>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3744" w:type="dxa"/>
        <w:jc w:val="left"/>
        <w:tblInd w:w="0" w:type="dxa"/>
        <w:tblLayout w:type="fixed"/>
        <w:tblCellMar>
          <w:top w:w="28" w:type="dxa"/>
          <w:left w:w="28" w:type="dxa"/>
          <w:bottom w:w="28" w:type="dxa"/>
          <w:right w:w="28" w:type="dxa"/>
        </w:tblCellMar>
      </w:tblPr>
      <w:tblGrid>
        <w:gridCol w:w="731"/>
        <w:gridCol w:w="296"/>
        <w:gridCol w:w="15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211"/>
        <w:gridCol w:w="601"/>
        <w:gridCol w:w="119"/>
        <w:gridCol w:w="109"/>
        <w:gridCol w:w="109"/>
        <w:gridCol w:w="109"/>
        <w:gridCol w:w="221"/>
        <w:gridCol w:w="781"/>
        <w:gridCol w:w="124"/>
        <w:gridCol w:w="109"/>
        <w:gridCol w:w="109"/>
        <w:gridCol w:w="109"/>
        <w:gridCol w:w="245"/>
        <w:gridCol w:w="864"/>
        <w:gridCol w:w="137"/>
        <w:gridCol w:w="109"/>
        <w:gridCol w:w="109"/>
        <w:gridCol w:w="109"/>
        <w:gridCol w:w="228"/>
        <w:gridCol w:w="455"/>
        <w:gridCol w:w="128"/>
        <w:gridCol w:w="109"/>
        <w:gridCol w:w="109"/>
        <w:gridCol w:w="109"/>
        <w:gridCol w:w="215"/>
        <w:gridCol w:w="760"/>
        <w:gridCol w:w="121"/>
        <w:gridCol w:w="109"/>
        <w:gridCol w:w="109"/>
        <w:gridCol w:w="109"/>
        <w:gridCol w:w="300"/>
        <w:gridCol w:w="853"/>
        <w:gridCol w:w="168"/>
        <w:gridCol w:w="109"/>
        <w:gridCol w:w="109"/>
        <w:gridCol w:w="109"/>
        <w:gridCol w:w="196"/>
        <w:gridCol w:w="69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Liberty Global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earnings, net of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shares,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Liberty Global</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8"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 (note 12)</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due to changes in subsidiaries’ equity and other, net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05560"/>
                <wp:effectExtent l="0" t="0" r="0" b="0"/>
                <wp:wrapNone/>
                <wp:docPr id="9" name="Frame8"/>
                <a:graphic xmlns:a="http://schemas.openxmlformats.org/drawingml/2006/main">
                  <a:graphicData uri="http://schemas.microsoft.com/office/word/2010/wordprocessingShape">
                    <wps:wsp>
                      <wps:cNvSpPr txBox="1"/>
                      <wps:spPr>
                        <a:xfrm>
                          <a:off x="0" y="0"/>
                          <a:ext cx="6480175" cy="1305560"/>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both"/>
        <w:rPr/>
      </w:pPr>
      <w:r>
        <w:rPr/>
      </w:r>
    </w:p>
    <w:tbl>
      <w:tblPr>
        <w:tblW w:w="10133" w:type="dxa"/>
        <w:jc w:val="left"/>
        <w:tblInd w:w="0" w:type="dxa"/>
        <w:tblLayout w:type="fixed"/>
        <w:tblCellMar>
          <w:top w:w="28" w:type="dxa"/>
          <w:left w:w="28" w:type="dxa"/>
          <w:bottom w:w="28" w:type="dxa"/>
          <w:right w:w="28" w:type="dxa"/>
        </w:tblCellMar>
      </w:tblPr>
      <w:tblGrid>
        <w:gridCol w:w="2746"/>
        <w:gridCol w:w="2418"/>
        <w:gridCol w:w="2425"/>
        <w:gridCol w:w="211"/>
        <w:gridCol w:w="691"/>
        <w:gridCol w:w="109"/>
        <w:gridCol w:w="109"/>
        <w:gridCol w:w="109"/>
        <w:gridCol w:w="109"/>
        <w:gridCol w:w="211"/>
        <w:gridCol w:w="841"/>
        <w:gridCol w:w="154"/>
      </w:tblGrid>
      <w:tr>
        <w:trPr/>
        <w:tc>
          <w:tcPr>
            <w:tcW w:w="274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to reconcile earnings (loss) to net cash provided by operating activities</w:t>
            </w:r>
            <w:r>
              <w:rPr>
                <w:rFonts w:ascii="Times New Roman;serif" w:hAnsi="Times New Roman;serif"/>
                <w:b/>
                <w:color w:val="000000"/>
                <w:sz w:val="20"/>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non-cash interest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losses (gains) on derivative instruments,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the effects of acquisitions and dispositions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the sale of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(used) by investing activities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6880"/>
                <wp:effectExtent l="0" t="0" r="0" b="0"/>
                <wp:wrapNone/>
                <wp:docPr id="10" name="Frame9"/>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 (Continued)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174" w:type="dxa"/>
        <w:jc w:val="center"/>
        <w:tblInd w:w="0" w:type="dxa"/>
        <w:tblLayout w:type="fixed"/>
        <w:tblCellMar>
          <w:top w:w="28" w:type="dxa"/>
          <w:left w:w="28" w:type="dxa"/>
          <w:bottom w:w="28" w:type="dxa"/>
          <w:right w:w="28" w:type="dxa"/>
        </w:tblCellMar>
      </w:tblPr>
      <w:tblGrid>
        <w:gridCol w:w="2399"/>
        <w:gridCol w:w="2112"/>
        <w:gridCol w:w="2119"/>
        <w:gridCol w:w="211"/>
        <w:gridCol w:w="766"/>
        <w:gridCol w:w="109"/>
        <w:gridCol w:w="109"/>
        <w:gridCol w:w="109"/>
        <w:gridCol w:w="109"/>
        <w:gridCol w:w="211"/>
        <w:gridCol w:w="76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repurchases of debt and finance lease obligations: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(excluding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Liberty Global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Details of end of period cash and cash equivalents and restricted cash:</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 and other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6880"/>
                <wp:effectExtent l="0" t="0" r="0" b="0"/>
                <wp:wrapNone/>
                <wp:docPr id="11" name="Frame10"/>
                <a:graphic xmlns:a="http://schemas.openxmlformats.org/drawingml/2006/main">
                  <a:graphicData uri="http://schemas.microsoft.com/office/word/2010/wordprocessingShape">
                    <wps:wsp>
                      <wps:cNvSpPr txBox="1"/>
                      <wps:spPr>
                        <a:xfrm>
                          <a:off x="0" y="0"/>
                          <a:ext cx="6480175" cy="436880"/>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(1)   </w:t>
      </w:r>
      <w:r>
        <w:rPr>
          <w:rFonts w:ascii="Times New Roman;serif" w:hAnsi="Times New Roman;serif"/>
          <w:b/>
          <w:color w:val="000000"/>
          <w:sz w:val="20"/>
          <w:u w:val="single"/>
        </w:rPr>
        <w:t>Basis of Presentation</w:t>
      </w:r>
    </w:p>
    <w:p>
      <w:pPr>
        <w:pStyle w:val="TextBody"/>
        <w:bidi w:val="0"/>
        <w:spacing w:before="0" w:after="0"/>
        <w:jc w:val="righ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Liberty Global Ltd. (</w:t>
      </w:r>
      <w:r>
        <w:rPr>
          <w:rFonts w:ascii="Times New Roman;serif" w:hAnsi="Times New Roman;serif"/>
          <w:b/>
          <w:color w:val="000000"/>
          <w:sz w:val="20"/>
        </w:rPr>
        <w:t>Liberty Global</w:t>
      </w:r>
      <w:r>
        <w:rPr>
          <w:rFonts w:ascii="Times New Roman;serif" w:hAnsi="Times New Roman;serif"/>
          <w:b w:val="false"/>
          <w:color w:val="000000"/>
          <w:sz w:val="20"/>
        </w:rPr>
        <w:t>) is a Bermuda exempted company limited by shares. In these notes, the terms “we,” “our,” “our company” and “us” may refer, as the context requires, to Liberty Global</w:t>
      </w:r>
      <w:r>
        <w:rPr>
          <w:color w:val="000000"/>
        </w:rPr>
        <w:t xml:space="preserve"> </w:t>
      </w:r>
      <w:r>
        <w:rPr>
          <w:rFonts w:ascii="Times New Roman;serif" w:hAnsi="Times New Roman;serif"/>
          <w:b w:val="false"/>
          <w:color w:val="000000"/>
          <w:sz w:val="20"/>
        </w:rPr>
        <w:t>or collectively to Liberty Global and its subsidiaries. We are an international provider of broadband internet, video, fixed-line telephony and mobile communications services to residential customers and businesses in Europe and are an active investor across the infrastructure, content and technology industries. We also provide innovative technology solutions and finance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provide residential and business-to-business (</w:t>
      </w:r>
      <w:r>
        <w:rPr>
          <w:rFonts w:ascii="Times New Roman;serif" w:hAnsi="Times New Roman;serif"/>
          <w:b/>
          <w:color w:val="000000"/>
          <w:sz w:val="20"/>
        </w:rPr>
        <w:t>B2B</w:t>
      </w:r>
      <w:r>
        <w:rPr>
          <w:rFonts w:ascii="Times New Roman;serif" w:hAnsi="Times New Roman;serif"/>
          <w:b w:val="false"/>
          <w:color w:val="000000"/>
          <w:sz w:val="20"/>
        </w:rPr>
        <w:t>) communications services in (i) Belgium and Luxembourg through certain wholly-owned subsidiaries that we collectively refer to as “</w:t>
      </w:r>
      <w:r>
        <w:rPr>
          <w:rFonts w:ascii="Times New Roman;serif" w:hAnsi="Times New Roman;serif"/>
          <w:b/>
          <w:color w:val="000000"/>
          <w:sz w:val="20"/>
        </w:rPr>
        <w:t>Telenet</w:t>
      </w:r>
      <w:r>
        <w:rPr>
          <w:color w:val="000000"/>
        </w:rPr>
        <w:t xml:space="preserve">” </w:t>
      </w:r>
      <w:r>
        <w:rPr>
          <w:rFonts w:ascii="Times New Roman;serif" w:hAnsi="Times New Roman;serif"/>
          <w:b w:val="false"/>
          <w:color w:val="000000"/>
          <w:sz w:val="20"/>
        </w:rPr>
        <w:t>and (ii) Ireland through another wholly-owned subsidiary (</w:t>
      </w:r>
      <w:r>
        <w:rPr>
          <w:rFonts w:ascii="Times New Roman;serif" w:hAnsi="Times New Roman;serif"/>
          <w:b/>
          <w:color w:val="000000"/>
          <w:sz w:val="20"/>
        </w:rPr>
        <w:t>VM Ireland</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addition, we own 50% noncontrolling interests in (a) a 50:50 joint venture (the </w:t>
      </w:r>
      <w:r>
        <w:rPr>
          <w:rFonts w:ascii="Times New Roman;serif" w:hAnsi="Times New Roman;serif"/>
          <w:b/>
          <w:color w:val="000000"/>
          <w:sz w:val="20"/>
        </w:rPr>
        <w:t>VMO2 JV</w:t>
      </w:r>
      <w:r>
        <w:rPr>
          <w:rFonts w:ascii="Times New Roman;serif" w:hAnsi="Times New Roman;serif"/>
          <w:b w:val="false"/>
          <w:color w:val="000000"/>
          <w:sz w:val="20"/>
        </w:rPr>
        <w:t>) with Telefónica SA (</w:t>
      </w:r>
      <w:r>
        <w:rPr>
          <w:rFonts w:ascii="Times New Roman;serif" w:hAnsi="Times New Roman;serif"/>
          <w:b/>
          <w:color w:val="000000"/>
          <w:sz w:val="20"/>
        </w:rPr>
        <w:t>Telefónica</w:t>
      </w:r>
      <w:r>
        <w:rPr>
          <w:rFonts w:ascii="Times New Roman;serif" w:hAnsi="Times New Roman;serif"/>
          <w:b w:val="false"/>
          <w:color w:val="000000"/>
          <w:sz w:val="20"/>
        </w:rPr>
        <w:t>), which provides residential and B2B communications services in the United Kingdom (</w:t>
      </w:r>
      <w:r>
        <w:rPr>
          <w:rFonts w:ascii="Times New Roman;serif" w:hAnsi="Times New Roman;serif"/>
          <w:b/>
          <w:color w:val="000000"/>
          <w:sz w:val="20"/>
        </w:rPr>
        <w:t>U.K.</w:t>
      </w:r>
      <w:r>
        <w:rPr>
          <w:rFonts w:ascii="Times New Roman;serif" w:hAnsi="Times New Roman;serif"/>
          <w:b w:val="false"/>
          <w:color w:val="000000"/>
          <w:sz w:val="20"/>
        </w:rPr>
        <w:t xml:space="preserve">), and (b) a 50:50 joint venture (the </w:t>
      </w:r>
      <w:r>
        <w:rPr>
          <w:rFonts w:ascii="Times New Roman;serif" w:hAnsi="Times New Roman;serif"/>
          <w:b/>
          <w:color w:val="000000"/>
          <w:sz w:val="20"/>
        </w:rPr>
        <w:t>VodafoneZiggo JV</w:t>
      </w:r>
      <w:r>
        <w:rPr>
          <w:rFonts w:ascii="Times New Roman;serif" w:hAnsi="Times New Roman;serif"/>
          <w:b w:val="false"/>
          <w:color w:val="000000"/>
          <w:sz w:val="20"/>
        </w:rPr>
        <w:t>) with Vodafone Group plc (</w:t>
      </w:r>
      <w:r>
        <w:rPr>
          <w:rFonts w:ascii="Times New Roman;serif" w:hAnsi="Times New Roman;serif"/>
          <w:b/>
          <w:color w:val="000000"/>
          <w:sz w:val="20"/>
        </w:rPr>
        <w:t>Vodafone</w:t>
      </w:r>
      <w:r>
        <w:rPr>
          <w:rFonts w:ascii="Times New Roman;serif" w:hAnsi="Times New Roman;serif"/>
          <w:b w:val="false"/>
          <w:color w:val="000000"/>
          <w:sz w:val="20"/>
        </w:rPr>
        <w:t xml:space="preserve">), which provides residential and B2B communications services in the Netherlands.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also have controlling interests in Wyre Holding BV (</w:t>
      </w:r>
      <w:r>
        <w:rPr>
          <w:rFonts w:ascii="Times New Roman;serif" w:hAnsi="Times New Roman;serif"/>
          <w:b/>
          <w:color w:val="000000"/>
          <w:sz w:val="20"/>
        </w:rPr>
        <w:t>Wyre</w:t>
      </w:r>
      <w:r>
        <w:rPr>
          <w:rFonts w:ascii="Times New Roman;serif" w:hAnsi="Times New Roman;serif"/>
          <w:b w:val="false"/>
          <w:color w:val="000000"/>
          <w:sz w:val="20"/>
        </w:rPr>
        <w:t>), an independent infrastructure company in Belgium, and Formula E Holdings Ltd. (</w:t>
      </w:r>
      <w:r>
        <w:rPr>
          <w:rFonts w:ascii="Times New Roman;serif" w:hAnsi="Times New Roman;serif"/>
          <w:b/>
          <w:color w:val="000000"/>
          <w:sz w:val="20"/>
        </w:rPr>
        <w:t>Formula E</w:t>
      </w:r>
      <w:r>
        <w:rPr>
          <w:rFonts w:ascii="Times New Roman;serif" w:hAnsi="Times New Roman;serif"/>
          <w:b w:val="false"/>
          <w:color w:val="000000"/>
          <w:sz w:val="20"/>
        </w:rPr>
        <w:t>), a global electric motor racing series.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April 30, 2026, we provided residential and business telecommunications services in Slovakia through UPC Slovakia (as defined in note 4). Effective with the signing of the share purchase agreement on December 18, 2025, we began accounting for UPC Slovakia as held for sale. Accordingly, the held-for-sale assets and liabilities of UPC Slovakia are included in other current assets and other accrued and current liabilities, respectively, on our condensed consolidated balance sheets. Consistent with the applicable guidance, we have not reflected similar reclassifications in our condensed consolidated statements of operations or cash flows. For additional information, see note 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unaudited condensed consolidated financial statements have been prepared in accordance with accounting principles generally accepted in the United States (</w:t>
      </w:r>
      <w:r>
        <w:rPr>
          <w:rFonts w:ascii="Times New Roman;serif" w:hAnsi="Times New Roman;serif"/>
          <w:b/>
          <w:color w:val="000000"/>
          <w:sz w:val="20"/>
        </w:rPr>
        <w:t>GAAP</w:t>
      </w:r>
      <w:r>
        <w:rPr>
          <w:rFonts w:ascii="Times New Roman;serif" w:hAnsi="Times New Roman;serif"/>
          <w:b w:val="false"/>
          <w:color w:val="000000"/>
          <w:sz w:val="20"/>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2025 consolidated financial statements and notes thereto included in our 2025 Annual Report on Form 10-K, as amended (our </w:t>
      </w:r>
      <w:r>
        <w:rPr>
          <w:rFonts w:ascii="Times New Roman;serif" w:hAnsi="Times New Roman;serif"/>
          <w:b/>
          <w:color w:val="000000"/>
          <w:sz w:val="20"/>
        </w:rPr>
        <w:t>2025 10-K</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Unless otherwise indicated, ownership percentages and convenience translations into United States (</w:t>
      </w:r>
      <w:r>
        <w:rPr>
          <w:rFonts w:ascii="Times New Roman;serif" w:hAnsi="Times New Roman;serif"/>
          <w:b/>
          <w:color w:val="000000"/>
          <w:sz w:val="20"/>
        </w:rPr>
        <w:t>U.S.</w:t>
      </w:r>
      <w:r>
        <w:rPr>
          <w:rFonts w:ascii="Times New Roman;serif" w:hAnsi="Times New Roman;serif"/>
          <w:b w:val="false"/>
          <w:color w:val="000000"/>
          <w:sz w:val="20"/>
        </w:rPr>
        <w:t xml:space="preserve">) dollars are calculated as of March 31,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to conform to the current period presentation, including the separate segment presentation of Telenet and Wyre, as described in note 15.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(2)   </w:t>
      </w:r>
      <w:r>
        <w:rPr>
          <w:rFonts w:ascii="Times New Roman;serif" w:hAnsi="Times New Roman;serif"/>
          <w:b/>
          <w:color w:val="000000"/>
          <w:sz w:val="20"/>
          <w:u w:val="single"/>
        </w:rPr>
        <w:t>Accounting Changes and Recent Accounting Pronouncements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Accounting Changes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i/>
          <w:color w:val="000000"/>
          <w:sz w:val="20"/>
        </w:rPr>
        <w:t>ASU 2025-05</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July 2025, the Financial Accounting Standards Board (the </w:t>
      </w:r>
      <w:r>
        <w:rPr>
          <w:rFonts w:ascii="Times New Roman;serif" w:hAnsi="Times New Roman;serif"/>
          <w:b/>
          <w:color w:val="000000"/>
          <w:sz w:val="20"/>
        </w:rPr>
        <w:t>FASB</w:t>
      </w:r>
      <w:r>
        <w:rPr>
          <w:rFonts w:ascii="Times New Roman;serif" w:hAnsi="Times New Roman;serif"/>
          <w:b w:val="false"/>
          <w:color w:val="000000"/>
          <w:sz w:val="20"/>
        </w:rPr>
        <w:t>) issued Accounting Standards Update (</w:t>
      </w:r>
      <w:r>
        <w:rPr>
          <w:rFonts w:ascii="Times New Roman;serif" w:hAnsi="Times New Roman;serif"/>
          <w:b/>
          <w:color w:val="000000"/>
          <w:sz w:val="20"/>
        </w:rPr>
        <w:t>ASU</w:t>
      </w:r>
      <w:r>
        <w:rPr>
          <w:rFonts w:ascii="Times New Roman;serif" w:hAnsi="Times New Roman;serif"/>
          <w:b w:val="false"/>
          <w:color w:val="000000"/>
          <w:sz w:val="20"/>
        </w:rPr>
        <w:t xml:space="preserve">) No.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2025-05</w:t>
      </w:r>
      <w:r>
        <w:rPr>
          <w:rFonts w:ascii="Times New Roman;serif" w:hAnsi="Times New Roman;serif"/>
          <w:b w:val="false"/>
          <w:color w:val="000000"/>
          <w:sz w:val="20"/>
        </w:rPr>
        <w:t>), which provides a practical expedient for all entities to assume current conditions as of the balance sheet date will remain through the reasonable and supportable forecast period for eligible assets. Entities will continue to be required to adjust the historical data used in the estimation of credit losses to reflect current conditions. If elected, the practical expedient should be applied consistently to all eligible accounts receivable and contract assets. Additionally, entities that have elected the practical expedient must disclose their decision to do so. We adopted ASU 2025-05 on January 1, 2026 and are applying the practical expedient, noting no significant impact to our credit loss provisions.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2023-09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w:t>
      </w:r>
      <w:r>
        <w:rPr>
          <w:rFonts w:ascii="Times New Roman;serif" w:hAnsi="Times New Roman;serif"/>
          <w:b/>
          <w:color w:val="000000"/>
          <w:sz w:val="20"/>
        </w:rPr>
        <w:t>ASU 2023-09</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For additional information concerning our income taxes, see note 11.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2023-05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In August 2023, the FASB</w:t>
      </w:r>
      <w:r>
        <w:rPr>
          <w:color w:val="000000"/>
        </w:rPr>
        <w:t xml:space="preserve"> </w:t>
      </w:r>
      <w:r>
        <w:rPr>
          <w:rFonts w:ascii="Times New Roman;serif" w:hAnsi="Times New Roman;serif"/>
          <w:b w:val="false"/>
          <w:color w:val="000000"/>
          <w:sz w:val="20"/>
        </w:rPr>
        <w:t>issued ASU</w:t>
      </w:r>
      <w:r>
        <w:rPr>
          <w:color w:val="000000"/>
        </w:rPr>
        <w:t xml:space="preserve"> </w:t>
      </w:r>
      <w:r>
        <w:rPr>
          <w:rFonts w:ascii="Times New Roman;serif" w:hAnsi="Times New Roman;serif"/>
          <w:b w:val="false"/>
          <w:color w:val="000000"/>
          <w:sz w:val="20"/>
        </w:rPr>
        <w:t>No. 2023-05</w:t>
      </w:r>
      <w:r>
        <w:rPr>
          <w:rFonts w:ascii="Times New Roman;serif" w:hAnsi="Times New Roman;serif"/>
          <w:b w:val="false"/>
          <w:i/>
          <w:color w:val="000000"/>
          <w:sz w:val="20"/>
        </w:rPr>
        <w:t xml:space="preserve">, Business Combinations — Joint Venture Formations: Recognition and Initial Measurement </w:t>
      </w:r>
      <w:r>
        <w:rPr>
          <w:rFonts w:ascii="Times New Roman;serif" w:hAnsi="Times New Roman;serif"/>
          <w:b w:val="false"/>
          <w:color w:val="000000"/>
          <w:sz w:val="20"/>
        </w:rPr>
        <w:t>(</w:t>
      </w:r>
      <w:r>
        <w:rPr>
          <w:rFonts w:ascii="Times New Roman;serif" w:hAnsi="Times New Roman;serif"/>
          <w:b/>
          <w:color w:val="000000"/>
          <w:sz w:val="20"/>
        </w:rPr>
        <w:t>ASU 2023-05</w:t>
      </w:r>
      <w:r>
        <w:rPr>
          <w:rFonts w:ascii="Times New Roman;serif" w:hAnsi="Times New Roman;serif"/>
          <w:b w:val="false"/>
          <w:color w:val="000000"/>
          <w:sz w:val="20"/>
        </w:rPr>
        <w:t xml:space="preserve">), which outlines updates to the formation of entities that meet the definition of a joint venture as defined by the FASB. ASU 2023-05 requires a joint venture to measure its assets and liabilities at fair value upon formation. We adopted ASU 2023-05 on January 1, 2025.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Times New Roman;serif" w:hAnsi="Times New Roman;serif"/>
          <w:b w:val="false"/>
          <w:i/>
          <w:color w:val="000000"/>
          <w:sz w:val="20"/>
        </w:rPr>
        <w:t>ASU 2025-06</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2025-06</w:t>
      </w:r>
      <w:r>
        <w:rPr>
          <w:rFonts w:ascii="Times New Roman;serif" w:hAnsi="Times New Roman;serif"/>
          <w:b w:val="false"/>
          <w:color w:val="000000"/>
          <w:sz w:val="20"/>
        </w:rPr>
        <w:t xml:space="preserve">), which revises the guidance for capitalizing costs related to internal-use software. The amendments replace the prior stage-based model with a principles-based approach, removing all references to project stages and instead focusing on the two remaining criteria for capitalization, being (i) management has authorized and committed to the funding for the software project and (ii) it is probable a project will be completed and used as intended. Until both of these criteria are met, all software development costs should be expensed as incurred. ASU 2025-06 is effective for annual and interim periods beginning after December 15, 2027, with early adoption permitted. Entities may apply the amendments prospectively, retrospectively or using a modified retrospective approach. We are currently evaluating the impact of ASU 2025-06 on our consolidated financial statements, but we do not expect the impact to be significant.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2025-03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and Consolidation: Determining the Accounting Acquirer in the Acquisition of a Variable Interest Entity</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2025-03</w:t>
      </w:r>
      <w:r>
        <w:rPr>
          <w:rFonts w:ascii="Times New Roman;serif" w:hAnsi="Times New Roman;serif"/>
          <w:b w:val="false"/>
          <w:color w:val="000000"/>
          <w:sz w:val="20"/>
        </w:rPr>
        <w:t>), which clarifies the requirements for identifying the accounting acquirer when a variable interest entity (</w:t>
      </w:r>
      <w:r>
        <w:rPr>
          <w:rFonts w:ascii="Times New Roman;serif" w:hAnsi="Times New Roman;serif"/>
          <w:b/>
          <w:color w:val="000000"/>
          <w:sz w:val="20"/>
        </w:rPr>
        <w:t>VIE</w:t>
      </w:r>
      <w:r>
        <w:rPr>
          <w:rFonts w:ascii="Times New Roman;serif" w:hAnsi="Times New Roman;serif"/>
          <w:b w:val="false"/>
          <w:color w:val="000000"/>
          <w:sz w:val="20"/>
        </w:rPr>
        <w:t xml:space="preserve">) that qualifies as a business is acquired primarily through an exchange of equity 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date of initial application. We are currently evaluating the impact of ASU 2025-03 on our consolidated financial statements, but we do not expect the impact to be significant.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ASU 2024-03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Disaggregation of Income Statement Expenses (DISE)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ASU 2024-03</w:t>
      </w:r>
      <w:r>
        <w:rPr>
          <w:rFonts w:ascii="Times New Roman;serif" w:hAnsi="Times New Roman;serif"/>
          <w:b w:val="false"/>
          <w:color w:val="000000"/>
          <w:sz w:val="20"/>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Revenue Recognition and Related Costs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$31.2 million</w:t>
      </w:r>
      <w:r>
        <w:rPr>
          <w:color w:val="000000"/>
        </w:rPr>
        <w:t xml:space="preserve"> </w:t>
      </w:r>
      <w:r>
        <w:rPr>
          <w:rFonts w:ascii="Times New Roman;serif" w:hAnsi="Times New Roman;serif"/>
          <w:b w:val="false"/>
          <w:color w:val="000000"/>
          <w:sz w:val="20"/>
        </w:rPr>
        <w:t>and $31.3 million at March 31, 2026 and December 31, 2025, respectively.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$11.8 million and $11.4 million as of March 31, 2026 and December 31, 2025, respectively. The current and long-term portions of our contract asset balances are included within other current assets and other assets, net, respectively, on our condensed consolidated balance sheets.</w:t>
      </w:r>
    </w:p>
    <w:p>
      <w:pPr>
        <w:pStyle w:val="TextBody"/>
        <w:bidi w:val="0"/>
        <w:spacing w:lineRule="auto" w:line="288" w:before="0" w:after="0"/>
        <w:ind w:left="0" w:right="0" w:firstLine="360"/>
        <w:jc w:val="both"/>
        <w:rPr/>
      </w:pPr>
      <w:r>
        <w:rPr>
          <w:rFonts w:ascii="Times New Roman;serif" w:hAnsi="Times New Roman;serif"/>
          <w:b w:val="false"/>
          <w:color w:val="000000"/>
          <w:sz w:val="20"/>
        </w:rPr>
        <w:t>We record deferred revenue when we receive payment prior to transferring goods or services to a customer. We primarily defer revenue for (i) installation and other upfront services and (ii) other services that are invoiced prior to when services are provided.</w:t>
      </w:r>
      <w:r>
        <w:rPr>
          <w:color w:val="000000"/>
        </w:rPr>
        <w:t xml:space="preserve"> </w:t>
      </w:r>
      <w:r>
        <w:rPr>
          <w:rFonts w:ascii="Times New Roman;serif" w:hAnsi="Times New Roman;serif"/>
          <w:b w:val="false"/>
          <w:color w:val="000000"/>
          <w:sz w:val="20"/>
        </w:rPr>
        <w:t xml:space="preserve">Our deferred revenue balances were $269.4 million and $305.9 million as of March 31, 2026 and December 31, 2025, respectively. The decrease in deferred revenue for the three months ended March 31, 2026 is primarily due to the net effect of (a) the recognition of $216.1 million of revenue that was included in our deferred revenue balance at December 31, 2025 and (b) the impact of additions during the period. The long-term portions of our deferred revenue balances are included within other long-term liabilities on our condensed consolidated balance sheets.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Unsatisfied Performance Obligations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 At March 31, 2026 the aggregate transaction price allocated to remaining performance obligations related to our B2B and other fixed-fee service agreements with terms greater than one year was approximately $2.0 billion and is expected to be recognized over the respective remaining contractual terms.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(4)    </w:t>
      </w:r>
      <w:r>
        <w:rPr>
          <w:rFonts w:ascii="Times New Roman;serif" w:hAnsi="Times New Roman;serif"/>
          <w:b/>
          <w:color w:val="000000"/>
          <w:sz w:val="20"/>
          <w:u w:val="single"/>
        </w:rPr>
        <w:t>Acquisitions and Dispositions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Pending Acquisition</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2026, Liberty Global entered into a sale and purchase agreement with Vodafone to acquire its 50% interest in the VodafoneZiggo JV for consideration of (i) €1.0 billion ($1.2 billion) in cash and (ii) a 10% equity interest in a new Benelux holding company, which will hold Liberty Global’s interests in VodafoneZiggo and Telenet.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closing, the existing shareholders’ agreement governing the VodafoneZiggo JV will be terminated and replaced with a new shareholders’ agreement, and certain existing agreements, including service agreements, between VodafoneZiggo, Vodafone and Liberty Global will continue as amended in connection with the closing of the transaction. The transaction is expected to close in the second half of 2026, subject to regulatory approvals.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Disposition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April 30, 2026, we completed the sale of our operations in Slovakia (</w:t>
      </w:r>
      <w:r>
        <w:rPr>
          <w:rFonts w:ascii="Times New Roman;serif" w:hAnsi="Times New Roman;serif"/>
          <w:b/>
          <w:color w:val="000000"/>
          <w:sz w:val="20"/>
        </w:rPr>
        <w:t>UPC Slovakia</w:t>
      </w:r>
      <w:r>
        <w:rPr>
          <w:rFonts w:ascii="Times New Roman;serif" w:hAnsi="Times New Roman;serif"/>
          <w:b w:val="false"/>
          <w:color w:val="000000"/>
          <w:sz w:val="20"/>
        </w:rPr>
        <w:t>) to O2 Slovakia s.r.o., an affiliate of e&amp; PPF Telecom Group B.V. After considering debt and working capital adjustments, we received net cash proceeds of €94.8 million ($111.2 million</w:t>
      </w:r>
      <w:r>
        <w:rPr>
          <w:color w:val="000000"/>
        </w:rPr>
        <w:t xml:space="preserve"> </w:t>
      </w:r>
      <w:r>
        <w:rPr>
          <w:rFonts w:ascii="Times New Roman;serif" w:hAnsi="Times New Roman;serif"/>
          <w:b w:val="false"/>
          <w:color w:val="000000"/>
          <w:sz w:val="20"/>
        </w:rPr>
        <w:t>at the transaction date). In our segment presentation, UPC Slovakia is included in our “all other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UPC Slovakia, we have agreed to provide certain transitional services for a period of up to 42 months from the closing of the transaction. These services principally comprise network and information technology-related functions. The annual charges will depend on the actual level of services required by the purchaser, however, we do not expect these charges to be material. Liberty Global will also allow the use of the “UPC” brand for a transitional period of up to three years as part of the transaction.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with the signing of the share purchase agreement on December 18, 2025, we began accounting for UPC Slovakia as held for sale. Accordingly, we ceased to depreciate or amortize the long-lived assets of UPC Slovakia. However, we have not presented UPC Slovakia as a discontinued operation as this transaction did not represent a strategic shift that will have a major effect on our financial results or operations. The carrying amounts of UPC Slovakia’s held-for-sale assets and liabilities, which are included in other current assets and other accrued and current liabilities, respectively, on our condensed consolidated balance sheets, are summarized below:</w:t>
      </w:r>
    </w:p>
    <w:tbl>
      <w:tblPr>
        <w:tblW w:w="3827" w:type="dxa"/>
        <w:jc w:val="left"/>
        <w:tblInd w:w="0" w:type="dxa"/>
        <w:tblLayout w:type="fixed"/>
        <w:tblCellMar>
          <w:top w:w="28" w:type="dxa"/>
          <w:left w:w="28" w:type="dxa"/>
          <w:bottom w:w="28" w:type="dxa"/>
          <w:right w:w="28" w:type="dxa"/>
        </w:tblCellMar>
      </w:tblPr>
      <w:tblGrid>
        <w:gridCol w:w="499"/>
        <w:gridCol w:w="438"/>
        <w:gridCol w:w="442"/>
        <w:gridCol w:w="211"/>
        <w:gridCol w:w="616"/>
        <w:gridCol w:w="109"/>
        <w:gridCol w:w="109"/>
        <w:gridCol w:w="109"/>
        <w:gridCol w:w="109"/>
        <w:gridCol w:w="255"/>
        <w:gridCol w:w="744"/>
        <w:gridCol w:w="186"/>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(5)    </w:t>
      </w:r>
      <w:r>
        <w:rPr>
          <w:rFonts w:ascii="Times New Roman;serif" w:hAnsi="Times New Roman;serif"/>
          <w:b/>
          <w:color w:val="000000"/>
          <w:sz w:val="20"/>
          <w:u w:val="single"/>
        </w:rPr>
        <w:t>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details of our investments are set forth below:</w:t>
      </w:r>
    </w:p>
    <w:tbl>
      <w:tblPr>
        <w:tblW w:w="7931" w:type="dxa"/>
        <w:jc w:val="center"/>
        <w:tblInd w:w="0" w:type="dxa"/>
        <w:tblLayout w:type="fixed"/>
        <w:tblCellMar>
          <w:top w:w="28" w:type="dxa"/>
          <w:left w:w="28" w:type="dxa"/>
          <w:bottom w:w="28" w:type="dxa"/>
          <w:right w:w="28" w:type="dxa"/>
        </w:tblCellMar>
      </w:tblPr>
      <w:tblGrid>
        <w:gridCol w:w="1146"/>
        <w:gridCol w:w="1009"/>
        <w:gridCol w:w="1014"/>
        <w:gridCol w:w="208"/>
        <w:gridCol w:w="208"/>
        <w:gridCol w:w="208"/>
        <w:gridCol w:w="211"/>
        <w:gridCol w:w="766"/>
        <w:gridCol w:w="109"/>
        <w:gridCol w:w="109"/>
        <w:gridCol w:w="109"/>
        <w:gridCol w:w="109"/>
        <w:gridCol w:w="221"/>
        <w:gridCol w:w="804"/>
        <w:gridCol w:w="114"/>
        <w:gridCol w:w="109"/>
        <w:gridCol w:w="109"/>
        <w:gridCol w:w="109"/>
        <w:gridCol w:w="368"/>
        <w:gridCol w:w="368"/>
        <w:gridCol w:w="523"/>
      </w:tblGrid>
      <w:tr>
        <w:trPr/>
        <w:tc>
          <w:tcPr>
            <w:tcW w:w="1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Accounting Method</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(a)</w:t>
            </w:r>
          </w:p>
        </w:tc>
      </w:tr>
      <w:tr>
        <w:trPr/>
        <w:tc>
          <w:tcPr>
            <w:tcW w:w="379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AE Group Sàrl (</w:t>
            </w:r>
            <w:r>
              <w:rPr>
                <w:rFonts w:ascii="Times New Roman;serif" w:hAnsi="Times New Roman;serif"/>
                <w:b/>
                <w:color w:val="000000"/>
                <w:sz w:val="20"/>
              </w:rPr>
              <w:t>AtlasEdge JV</w:t>
            </w:r>
            <w:r>
              <w:rPr>
                <w:rFonts w:ascii="Times New Roman;serif" w:hAnsi="Times New Roman;serif"/>
                <w:b w:val="false"/>
                <w:color w:val="000000"/>
                <w:sz w:val="20"/>
              </w:rPr>
              <w:t>) (d)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Nexfibre Networks Limited (</w:t>
            </w:r>
            <w:r>
              <w:rPr>
                <w:rFonts w:ascii="Times New Roman;serif" w:hAnsi="Times New Roman;serif"/>
                <w:b/>
                <w:color w:val="000000"/>
                <w:sz w:val="20"/>
              </w:rPr>
              <w:t>nexfibre JV</w:t>
            </w:r>
            <w:r>
              <w:rPr>
                <w:rFonts w:ascii="Times New Roman;serif" w:hAnsi="Times New Roman;serif"/>
                <w:b w:val="false"/>
                <w:color w:val="000000"/>
                <w:sz w:val="20"/>
              </w:rPr>
              <w:t>) (e)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Separately-managed accounts (</w:t>
            </w:r>
            <w:r>
              <w:rPr>
                <w:rFonts w:ascii="Times New Roman;serif" w:hAnsi="Times New Roman;serif"/>
                <w:b/>
                <w:color w:val="000000"/>
                <w:sz w:val="20"/>
              </w:rPr>
              <w:t>SMAs</w:t>
            </w:r>
            <w:r>
              <w:rPr>
                <w:rFonts w:ascii="Times New Roman;serif" w:hAnsi="Times New Roman;serif"/>
                <w:b w:val="false"/>
                <w:color w:val="000000"/>
                <w:sz w:val="20"/>
              </w:rPr>
              <w:t>) (f)</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EdgeConneX, Inc. (</w:t>
            </w:r>
            <w:r>
              <w:rPr>
                <w:rFonts w:ascii="Times New Roman;serif" w:hAnsi="Times New Roman;serif"/>
                <w:b/>
                <w:color w:val="000000"/>
                <w:sz w:val="20"/>
              </w:rPr>
              <w:t>EdgeConneX</w:t>
            </w:r>
            <w:r>
              <w:rPr>
                <w:rFonts w:ascii="Times New Roman;serif" w:hAnsi="Times New Roman;serif"/>
                <w:b w:val="false"/>
                <w:color w:val="000000"/>
                <w:sz w:val="20"/>
              </w:rPr>
              <w:t>) (g)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Televisa Univision, Inc. (</w:t>
            </w:r>
            <w:r>
              <w:rPr>
                <w:rFonts w:ascii="Times New Roman;serif" w:hAnsi="Times New Roman;serif"/>
                <w:b/>
                <w:color w:val="000000"/>
                <w:sz w:val="20"/>
              </w:rPr>
              <w:t>Televisa Univision</w:t>
            </w: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ITV plc (</w:t>
            </w:r>
            <w:r>
              <w:rPr>
                <w:rFonts w:ascii="Times New Roman;serif" w:hAnsi="Times New Roman;serif"/>
                <w:b/>
                <w:color w:val="000000"/>
                <w:sz w:val="20"/>
              </w:rPr>
              <w:t>ITV</w:t>
            </w:r>
            <w:r>
              <w:rPr>
                <w:rFonts w:ascii="Times New Roman;serif" w:hAnsi="Times New Roman;serif"/>
                <w:b w:val="false"/>
                <w:color w:val="000000"/>
                <w:sz w:val="20"/>
              </w:rPr>
              <w:t>) (h)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CANAL+ Polska S.A (</w:t>
            </w:r>
            <w:r>
              <w:rPr>
                <w:rFonts w:ascii="Times New Roman;serif" w:hAnsi="Times New Roman;serif"/>
                <w:b/>
                <w:color w:val="000000"/>
                <w:sz w:val="20"/>
              </w:rPr>
              <w:t>CANAL+ Polska</w:t>
            </w: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Lionsgate Studios Corp. (</w:t>
            </w:r>
            <w:r>
              <w:rPr>
                <w:rFonts w:ascii="Times New Roman;serif" w:hAnsi="Times New Roman;serif"/>
                <w:b/>
                <w:color w:val="000000"/>
                <w:sz w:val="20"/>
              </w:rPr>
              <w:t>Lionsgate</w:t>
            </w: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Plume Design, Inc. (</w:t>
            </w:r>
            <w:r>
              <w:rPr>
                <w:rFonts w:ascii="Times New Roman;serif" w:hAnsi="Times New Roman;serif"/>
                <w:b/>
                <w:color w:val="000000"/>
                <w:sz w:val="20"/>
              </w:rPr>
              <w:t>Plume</w:t>
            </w:r>
            <w:r>
              <w:rPr>
                <w:rFonts w:ascii="Times New Roman;serif" w:hAnsi="Times New Roman;serif"/>
                <w:b w:val="false"/>
                <w:color w:val="000000"/>
                <w:sz w:val="20"/>
              </w:rPr>
              <w:t>) (i)</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Aviatrix Systems, Inc. (</w:t>
            </w:r>
            <w:r>
              <w:rPr>
                <w:rFonts w:ascii="Times New Roman;serif" w:hAnsi="Times New Roman;serif"/>
                <w:b/>
                <w:color w:val="000000"/>
                <w:sz w:val="20"/>
              </w:rPr>
              <w:t>Aviatrix</w:t>
            </w:r>
            <w:r>
              <w:rPr>
                <w:rFonts w:ascii="Times New Roman;serif" w:hAnsi="Times New Roman;serif"/>
                <w:b w:val="false"/>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fair value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(j)</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7,686.1 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our economic ownership based on total shares owned as a percentage of total shares outstanding as of the most recent balance sheet date or the most recent publicly-available information.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their respective fair values. At March 31, 2026 and December 31, 2025, the aggregate carrying amounts of our equity method investments exceeded our proportionate share of the respective investee’s net assets by $1,012.4 million and $1,029.2 million, respectively, related to amounts associated with the VodafoneZiggo JV Receivables, as defined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pPr>
      <w:r>
        <w:rPr>
          <w:rFonts w:ascii="Times New Roman;serif" w:hAnsi="Times New Roman;serif"/>
          <w:b w:val="false"/>
          <w:color w:val="000000"/>
          <w:sz w:val="20"/>
        </w:rPr>
        <w:t xml:space="preserve">(c)Amounts include certain notes receivable due from a subsidiary of the VodafoneZiggo JV to a subsidiary of Liberty Global, comprising (i) a €700.0 million note receivable ($807.8 million and $821.5 million equivalent at March 31, 2026 and December 31, 2025, respectively) (the </w:t>
      </w:r>
      <w:r>
        <w:rPr>
          <w:rFonts w:ascii="Times New Roman;serif" w:hAnsi="Times New Roman;serif"/>
          <w:b/>
          <w:color w:val="000000"/>
          <w:sz w:val="20"/>
        </w:rPr>
        <w:t>VodafoneZiggo JV Receivable I</w:t>
      </w:r>
      <w:r>
        <w:rPr>
          <w:rFonts w:ascii="Times New Roman;serif" w:hAnsi="Times New Roman;serif"/>
          <w:b w:val="false"/>
          <w:color w:val="000000"/>
          <w:sz w:val="20"/>
        </w:rPr>
        <w:t xml:space="preserve">) and (ii) a €207.9 million note receivable ($239.9 million and $244.0 million equivalent at March 31, 2026 and December 31, 2025, respectively) (the </w:t>
      </w:r>
      <w:r>
        <w:rPr>
          <w:rFonts w:ascii="Times New Roman;serif" w:hAnsi="Times New Roman;serif"/>
          <w:b/>
          <w:color w:val="000000"/>
          <w:sz w:val="20"/>
        </w:rPr>
        <w:t>VodafoneZiggo JV Receivable II</w:t>
      </w:r>
      <w:r>
        <w:rPr>
          <w:color w:val="000000"/>
        </w:rPr>
        <w:t xml:space="preserve"> </w:t>
      </w:r>
      <w:r>
        <w:rPr>
          <w:rFonts w:ascii="Times New Roman;serif" w:hAnsi="Times New Roman;serif"/>
          <w:b w:val="false"/>
          <w:color w:val="000000"/>
          <w:sz w:val="20"/>
        </w:rPr>
        <w:t xml:space="preserve">and, together with the VodafoneZiggo JV Receivable I, the </w:t>
      </w:r>
      <w:r>
        <w:rPr>
          <w:rFonts w:ascii="Times New Roman;serif" w:hAnsi="Times New Roman;serif"/>
          <w:b/>
          <w:color w:val="000000"/>
          <w:sz w:val="20"/>
        </w:rPr>
        <w:t>VodafoneZiggo JV Receivables</w:t>
      </w:r>
      <w:r>
        <w:rPr>
          <w:rFonts w:ascii="Times New Roman;serif" w:hAnsi="Times New Roman;serif"/>
          <w:b w:val="false"/>
          <w:color w:val="000000"/>
          <w:sz w:val="20"/>
        </w:rPr>
        <w:t>). The VodafoneZiggo JV Receivables bear interest at a rate of 5.55% and have a final maturity date of December 31, 2030. During the three months ended March 31, 2026, interest accrued on the VodafoneZiggo JV Receivables was €12.7 million ($14.7 million), all of which has been cash settled.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(d)Liberty Global owns a</w:t>
      </w:r>
      <w:r>
        <w:rPr>
          <w:color w:val="000000"/>
        </w:rPr>
        <w:t xml:space="preserve"> </w:t>
      </w:r>
      <w:r>
        <w:rPr>
          <w:rFonts w:ascii="Times New Roman;serif" w:hAnsi="Times New Roman;serif"/>
          <w:b w:val="false"/>
          <w:color w:val="000000"/>
          <w:sz w:val="20"/>
        </w:rPr>
        <w:t>50%</w:t>
      </w:r>
      <w:r>
        <w:rPr>
          <w:color w:val="000000"/>
        </w:rPr>
        <w:t xml:space="preserve"> </w:t>
      </w:r>
      <w:r>
        <w:rPr>
          <w:rFonts w:ascii="Times New Roman;serif" w:hAnsi="Times New Roman;serif"/>
          <w:b w:val="false"/>
          <w:color w:val="000000"/>
          <w:sz w:val="20"/>
        </w:rPr>
        <w:t xml:space="preserve">noncontrolling voting interest in the AtlasEdge JV.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(e)Liberty Global owns a 25% noncontrolling voting interest in the nexfibre JV.</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(f)Represents investments held under SMAs, which are maintained by investment managers acting as agents on our behalf. With the exception of our SMA invested in a leveraged structured note, all investments held under SMAs were sold as of the first quarter of 2025. During the first quarter of 2026, we redeemed $36.6 million of the leveraged structured note. Subsequent to March 31, 2026, we redeemed the remaining leveraged structured note balance and received cash proceeds of $46.3 million. The SMA balances are included in other current assets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(g)Our investment in EdgeConneX is held through two distinct limited partnerships (</w:t>
      </w:r>
      <w:r>
        <w:rPr>
          <w:rFonts w:ascii="Times New Roman;serif" w:hAnsi="Times New Roman;serif"/>
          <w:b/>
          <w:color w:val="000000"/>
          <w:sz w:val="20"/>
        </w:rPr>
        <w:t>LPs</w:t>
      </w:r>
      <w:r>
        <w:rPr>
          <w:rFonts w:ascii="Times New Roman;serif" w:hAnsi="Times New Roman;serif"/>
          <w:b w:val="false"/>
          <w:color w:val="000000"/>
          <w:sz w:val="20"/>
        </w:rPr>
        <w:t>), Herndon Topco and McNair Topco. The ownership percentages in EdgeConneX are</w:t>
      </w:r>
      <w:r>
        <w:rPr>
          <w:color w:val="000000"/>
        </w:rPr>
        <w:t xml:space="preserve"> </w:t>
      </w:r>
      <w:r>
        <w:rPr>
          <w:rFonts w:ascii="Times New Roman;serif" w:hAnsi="Times New Roman;serif"/>
          <w:b w:val="false"/>
          <w:color w:val="000000"/>
          <w:sz w:val="20"/>
        </w:rPr>
        <w:t>3.5% and 2.6% for Herndon TopCo and McNair TopCo, respectively. The combined investment in EdgeConneX through these LPs results in a weighted ownership percentage of 3.3%. This calculation considers the individual ownership percentages and the respective investment amounts in each LP. During the first quarter of 2026, we disposed of approximately 16% of our interest in EdgeConneX through Herndon TopCo LP. We received aggregate cash proceeds of $73.6 million</w:t>
      </w:r>
      <w:r>
        <w:rPr>
          <w:color w:val="000000"/>
        </w:rPr>
        <w:t xml:space="preserve"> </w:t>
      </w:r>
      <w:r>
        <w:rPr>
          <w:rFonts w:ascii="Times New Roman;serif" w:hAnsi="Times New Roman;serif"/>
          <w:b w:val="false"/>
          <w:color w:val="000000"/>
          <w:sz w:val="20"/>
        </w:rPr>
        <w:t xml:space="preserve">from the sale.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(h)On March 17, 2026, we disposed of approximately one-half of our interest in ITV. We received aggregate cash proceeds of approximately £76.1 million</w:t>
      </w:r>
      <w:r>
        <w:rPr>
          <w:color w:val="000000"/>
        </w:rPr>
        <w:t xml:space="preserve"> </w:t>
      </w:r>
      <w:r>
        <w:rPr>
          <w:rFonts w:ascii="Times New Roman;serif" w:hAnsi="Times New Roman;serif"/>
          <w:b w:val="false"/>
          <w:color w:val="000000"/>
          <w:sz w:val="20"/>
        </w:rPr>
        <w:t xml:space="preserve">($101.8 million) from the sale.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(i)Our investment in Plume includes warrants with a fair value of $20.6 million and $21.1 million at March 31, 2026 and December 31, 2025, respectively.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(j)The purchase and sale of investments are presented on a gross basis in our condensed consolidated statements of cash flows, including amounts associated with SMAs.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share of results of affiliates, net:</w:t>
      </w:r>
    </w:p>
    <w:tbl>
      <w:tblPr>
        <w:tblW w:w="5230" w:type="dxa"/>
        <w:jc w:val="left"/>
        <w:tblInd w:w="0" w:type="dxa"/>
        <w:tblLayout w:type="fixed"/>
        <w:tblCellMar>
          <w:top w:w="28" w:type="dxa"/>
          <w:left w:w="28" w:type="dxa"/>
          <w:bottom w:w="28" w:type="dxa"/>
          <w:right w:w="28" w:type="dxa"/>
        </w:tblCellMar>
      </w:tblPr>
      <w:tblGrid>
        <w:gridCol w:w="701"/>
        <w:gridCol w:w="614"/>
        <w:gridCol w:w="620"/>
        <w:gridCol w:w="109"/>
        <w:gridCol w:w="109"/>
        <w:gridCol w:w="164"/>
        <w:gridCol w:w="164"/>
        <w:gridCol w:w="318"/>
        <w:gridCol w:w="884"/>
        <w:gridCol w:w="164"/>
        <w:gridCol w:w="109"/>
        <w:gridCol w:w="109"/>
        <w:gridCol w:w="109"/>
        <w:gridCol w:w="211"/>
        <w:gridCol w:w="69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AtlasEdge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nexfibre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(a)Represents our share of the results of operations of the VMO2 JV.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(i) our share of the results of operations of the VodafoneZiggo JV and (ii) 100% of the interest income earned on the VodafoneZiggo JV Receivables.</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VMO2 JV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Pursuant to an agreement (the </w:t>
      </w:r>
      <w:r>
        <w:rPr>
          <w:rFonts w:ascii="Times New Roman;serif" w:hAnsi="Times New Roman;serif"/>
          <w:b/>
          <w:color w:val="000000"/>
          <w:sz w:val="20"/>
        </w:rPr>
        <w:t>U.K. JV Framework Agreement</w:t>
      </w:r>
      <w:r>
        <w:rPr>
          <w:rFonts w:ascii="Times New Roman;serif" w:hAnsi="Times New Roman;serif"/>
          <w:b w:val="false"/>
          <w:color w:val="000000"/>
          <w:sz w:val="20"/>
        </w:rPr>
        <w:t xml:space="preserve">), Liberty Global provides certain services to the VMO2 JV on a transitional or ongoing basis (collectively, the </w:t>
      </w:r>
      <w:r>
        <w:rPr>
          <w:rFonts w:ascii="Times New Roman;serif" w:hAnsi="Times New Roman;serif"/>
          <w:b/>
          <w:color w:val="000000"/>
          <w:sz w:val="20"/>
        </w:rPr>
        <w:t>U.K. JV Services</w:t>
      </w:r>
      <w:r>
        <w:rPr>
          <w:rFonts w:ascii="Times New Roman;serif" w:hAnsi="Times New Roman;serif"/>
          <w:b w:val="false"/>
          <w:color w:val="000000"/>
          <w:sz w:val="20"/>
        </w:rPr>
        <w:t>). The agreements underlying the U.K. JV Services expire in 2030.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w:t>
      </w:r>
      <w:r>
        <w:rPr>
          <w:color w:val="000000"/>
        </w:rPr>
        <w:t xml:space="preserve"> </w:t>
      </w:r>
      <w:r>
        <w:rPr>
          <w:rFonts w:ascii="Times New Roman;serif" w:hAnsi="Times New Roman;serif"/>
          <w:b w:val="false"/>
          <w:color w:val="000000"/>
          <w:sz w:val="20"/>
        </w:rPr>
        <w:t>At March 31, 2026 and December 31, 2025, $83.8 million and $79.3 million, respectively,</w:t>
      </w:r>
      <w:r>
        <w:rPr>
          <w:color w:val="000000"/>
        </w:rPr>
        <w:t xml:space="preserve"> </w:t>
      </w:r>
      <w:r>
        <w:rPr>
          <w:rFonts w:ascii="Times New Roman;serif" w:hAnsi="Times New Roman;serif"/>
          <w:b w:val="false"/>
          <w:color w:val="000000"/>
          <w:sz w:val="20"/>
        </w:rPr>
        <w:t xml:space="preserve">was due from the VMO2 JV related to the aforementioned transactions. The amounts due from the VMO2 JV, which are periodically cash settled, are included in other current assets on our condensed consolidated balance sheets.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revenue recorded from the VMO2 JV: </w:t>
      </w:r>
    </w:p>
    <w:tbl>
      <w:tblPr>
        <w:tblW w:w="4840" w:type="dxa"/>
        <w:jc w:val="left"/>
        <w:tblInd w:w="0" w:type="dxa"/>
        <w:tblLayout w:type="fixed"/>
        <w:tblCellMar>
          <w:top w:w="28" w:type="dxa"/>
          <w:left w:w="28" w:type="dxa"/>
          <w:bottom w:w="28" w:type="dxa"/>
          <w:right w:w="28" w:type="dxa"/>
        </w:tblCellMar>
      </w:tblPr>
      <w:tblGrid>
        <w:gridCol w:w="624"/>
        <w:gridCol w:w="547"/>
        <w:gridCol w:w="553"/>
        <w:gridCol w:w="109"/>
        <w:gridCol w:w="109"/>
        <w:gridCol w:w="176"/>
        <w:gridCol w:w="176"/>
        <w:gridCol w:w="341"/>
        <w:gridCol w:w="826"/>
        <w:gridCol w:w="176"/>
        <w:gridCol w:w="109"/>
        <w:gridCol w:w="109"/>
        <w:gridCol w:w="109"/>
        <w:gridCol w:w="211"/>
        <w:gridCol w:w="51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charges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(a)Amounts primarily include the sale of customer premises equipment (</w:t>
      </w:r>
      <w:r>
        <w:rPr>
          <w:rFonts w:ascii="Times New Roman;serif" w:hAnsi="Times New Roman;serif"/>
          <w:b/>
          <w:color w:val="000000"/>
          <w:sz w:val="20"/>
        </w:rPr>
        <w:t>CPE</w:t>
      </w:r>
      <w:r>
        <w:rPr>
          <w:rFonts w:ascii="Times New Roman;serif" w:hAnsi="Times New Roman;serif"/>
          <w:b w:val="false"/>
          <w:color w:val="000000"/>
          <w:sz w:val="20"/>
        </w:rPr>
        <w:t>) at a mark-up.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summarized results of operations of the VMO2 JV are set forth below:</w:t>
      </w:r>
    </w:p>
    <w:tbl>
      <w:tblPr>
        <w:tblW w:w="5529" w:type="dxa"/>
        <w:jc w:val="left"/>
        <w:tblInd w:w="0" w:type="dxa"/>
        <w:tblLayout w:type="fixed"/>
        <w:tblCellMar>
          <w:top w:w="28" w:type="dxa"/>
          <w:left w:w="28" w:type="dxa"/>
          <w:bottom w:w="28" w:type="dxa"/>
          <w:right w:w="28" w:type="dxa"/>
        </w:tblCellMar>
      </w:tblPr>
      <w:tblGrid>
        <w:gridCol w:w="781"/>
        <w:gridCol w:w="688"/>
        <w:gridCol w:w="691"/>
        <w:gridCol w:w="109"/>
        <w:gridCol w:w="109"/>
        <w:gridCol w:w="141"/>
        <w:gridCol w:w="141"/>
        <w:gridCol w:w="274"/>
        <w:gridCol w:w="996"/>
        <w:gridCol w:w="141"/>
        <w:gridCol w:w="109"/>
        <w:gridCol w:w="109"/>
        <w:gridCol w:w="109"/>
        <w:gridCol w:w="211"/>
        <w:gridCol w:w="7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VodafoneZiggo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Pursuant to an agreement (the </w:t>
      </w:r>
      <w:r>
        <w:rPr>
          <w:rFonts w:ascii="Times New Roman;serif" w:hAnsi="Times New Roman;serif"/>
          <w:b/>
          <w:color w:val="000000"/>
          <w:sz w:val="20"/>
        </w:rPr>
        <w:t>NL JV Framework Agreement</w:t>
      </w:r>
      <w:r>
        <w:rPr>
          <w:rFonts w:ascii="Times New Roman;serif" w:hAnsi="Times New Roman;serif"/>
          <w:b w:val="false"/>
          <w:color w:val="000000"/>
          <w:sz w:val="20"/>
        </w:rPr>
        <w:t xml:space="preserve">), Liberty Global provides certain services to the VodafoneZiggo JV (collectively, the </w:t>
      </w:r>
      <w:r>
        <w:rPr>
          <w:rFonts w:ascii="Times New Roman;serif" w:hAnsi="Times New Roman;serif"/>
          <w:b/>
          <w:color w:val="000000"/>
          <w:sz w:val="20"/>
        </w:rPr>
        <w:t>NL JV Services</w:t>
      </w:r>
      <w:r>
        <w:rPr>
          <w:rFonts w:ascii="Times New Roman;serif" w:hAnsi="Times New Roman;serif"/>
          <w:b w:val="false"/>
          <w:color w:val="000000"/>
          <w:sz w:val="20"/>
        </w:rPr>
        <w:t>). The NL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$54.0 million and $46.1 million during the three months ended March 31, 2026 and 2025, respectively, primarily related to (a) the NL JV Services and (b) the sale of CPE to the VodafoneZiggo JV at a mark-up. At March 31, 2026 and December 31, 2025, $39.8 million and $42.7 million,</w:t>
      </w:r>
      <w:r>
        <w:rPr>
          <w:color w:val="000000"/>
        </w:rPr>
        <w:t xml:space="preserve"> </w:t>
      </w:r>
      <w:r>
        <w:rPr>
          <w:rFonts w:ascii="Times New Roman;serif" w:hAnsi="Times New Roman;serif"/>
          <w:b w:val="false"/>
          <w:color w:val="000000"/>
          <w:sz w:val="20"/>
        </w:rPr>
        <w:t>respectively,</w:t>
      </w:r>
      <w:r>
        <w:rPr>
          <w:color w:val="000000"/>
        </w:rPr>
        <w:t xml:space="preserve"> </w:t>
      </w:r>
      <w:r>
        <w:rPr>
          <w:rFonts w:ascii="Times New Roman;serif" w:hAnsi="Times New Roman;serif"/>
          <w:b w:val="false"/>
          <w:color w:val="000000"/>
          <w:sz w:val="20"/>
        </w:rPr>
        <w:t xml:space="preserve">was due from the VodafoneZiggo JV related to the aforementioned transactions. The amounts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the VodafoneZiggo JV, which are periodically cash settled, are included in other current assets on our condensed consolidated balance sheets.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summarized results of operations of the VodafoneZiggo JV are set forth below:</w:t>
      </w:r>
    </w:p>
    <w:tbl>
      <w:tblPr>
        <w:tblW w:w="6354" w:type="dxa"/>
        <w:jc w:val="left"/>
        <w:tblInd w:w="0" w:type="dxa"/>
        <w:tblLayout w:type="fixed"/>
        <w:tblCellMar>
          <w:top w:w="28" w:type="dxa"/>
          <w:left w:w="28" w:type="dxa"/>
          <w:bottom w:w="28" w:type="dxa"/>
          <w:right w:w="28" w:type="dxa"/>
        </w:tblCellMar>
      </w:tblPr>
      <w:tblGrid>
        <w:gridCol w:w="1079"/>
        <w:gridCol w:w="951"/>
        <w:gridCol w:w="955"/>
        <w:gridCol w:w="109"/>
        <w:gridCol w:w="109"/>
        <w:gridCol w:w="141"/>
        <w:gridCol w:w="141"/>
        <w:gridCol w:w="274"/>
        <w:gridCol w:w="996"/>
        <w:gridCol w:w="141"/>
        <w:gridCol w:w="109"/>
        <w:gridCol w:w="109"/>
        <w:gridCol w:w="109"/>
        <w:gridCol w:w="211"/>
        <w:gridCol w:w="76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Fair Value Investments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the details of our realized and unrealized</w:t>
      </w:r>
      <w:r>
        <w:rPr>
          <w:color w:val="000000"/>
        </w:rPr>
        <w:t xml:space="preserve"> </w:t>
      </w:r>
      <w:r>
        <w:rPr>
          <w:rFonts w:ascii="Times New Roman;serif" w:hAnsi="Times New Roman;serif"/>
          <w:b w:val="false"/>
          <w:color w:val="000000"/>
          <w:sz w:val="20"/>
        </w:rPr>
        <w:t>gains due to changes in fair values of certain investments, net:</w:t>
      </w:r>
    </w:p>
    <w:tbl>
      <w:tblPr>
        <w:tblW w:w="4855" w:type="dxa"/>
        <w:jc w:val="left"/>
        <w:tblInd w:w="0" w:type="dxa"/>
        <w:tblLayout w:type="fixed"/>
        <w:tblCellMar>
          <w:top w:w="28" w:type="dxa"/>
          <w:left w:w="28" w:type="dxa"/>
          <w:bottom w:w="28" w:type="dxa"/>
          <w:right w:w="28" w:type="dxa"/>
        </w:tblCellMar>
      </w:tblPr>
      <w:tblGrid>
        <w:gridCol w:w="602"/>
        <w:gridCol w:w="530"/>
        <w:gridCol w:w="532"/>
        <w:gridCol w:w="109"/>
        <w:gridCol w:w="109"/>
        <w:gridCol w:w="176"/>
        <w:gridCol w:w="176"/>
        <w:gridCol w:w="341"/>
        <w:gridCol w:w="826"/>
        <w:gridCol w:w="176"/>
        <w:gridCol w:w="109"/>
        <w:gridCol w:w="109"/>
        <w:gridCol w:w="109"/>
        <w:gridCol w:w="211"/>
        <w:gridCol w:w="58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EdgeConneX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Televisa Univision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(a)We completed the sale of our investment in Vodafone during the third quarter of 2025.</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color w:val="000000"/>
          <w:sz w:val="20"/>
        </w:rPr>
        <w:t>(6)    </w:t>
      </w:r>
      <w:r>
        <w:rPr>
          <w:rFonts w:ascii="Times New Roman;serif" w:hAnsi="Times New Roman;serif"/>
          <w:b/>
          <w:color w:val="000000"/>
          <w:sz w:val="20"/>
          <w:u w:val="single"/>
        </w:rPr>
        <w:t>Derivative Instruments</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serif" w:hAnsi="Times New Roman;serif"/>
          <w:b/>
          <w:color w:val="000000"/>
          <w:sz w:val="20"/>
        </w:rPr>
        <w:t>$</w:t>
      </w:r>
      <w:r>
        <w:rPr>
          <w:rFonts w:ascii="Times New Roman;serif" w:hAnsi="Times New Roman;serif"/>
          <w:b w:val="false"/>
          <w:color w:val="000000"/>
          <w:sz w:val="20"/>
        </w:rPr>
        <w:t>), the euro (</w:t>
      </w:r>
      <w:r>
        <w:rPr>
          <w:color w:val="000000"/>
        </w:rPr>
        <w:t>€</w:t>
      </w:r>
      <w:r>
        <w:rPr>
          <w:rFonts w:ascii="Times New Roman;serif" w:hAnsi="Times New Roman;serif"/>
          <w:b w:val="false"/>
          <w:color w:val="000000"/>
          <w:sz w:val="20"/>
        </w:rPr>
        <w:t>) and the British pound sterling (</w:t>
      </w:r>
      <w:r>
        <w:rPr>
          <w:rFonts w:ascii="Times New Roman;serif" w:hAnsi="Times New Roman;serif"/>
          <w:b/>
          <w:color w:val="000000"/>
          <w:sz w:val="20"/>
        </w:rPr>
        <w:t>£</w:t>
      </w:r>
      <w:r>
        <w:rPr>
          <w:rFonts w:ascii="Times New Roman;serif" w:hAnsi="Times New Roman;serif"/>
          <w:b w:val="false"/>
          <w:color w:val="000000"/>
          <w:sz w:val="20"/>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fair values of our derivative instrument assets and liabilities:</w:t>
      </w:r>
    </w:p>
    <w:tbl>
      <w:tblPr>
        <w:tblW w:w="10205" w:type="dxa"/>
        <w:jc w:val="left"/>
        <w:tblInd w:w="0" w:type="dxa"/>
        <w:tblLayout w:type="fixed"/>
        <w:tblCellMar>
          <w:top w:w="28" w:type="dxa"/>
          <w:left w:w="28" w:type="dxa"/>
          <w:bottom w:w="28" w:type="dxa"/>
          <w:right w:w="28" w:type="dxa"/>
        </w:tblCellMar>
      </w:tblPr>
      <w:tblGrid>
        <w:gridCol w:w="1049"/>
        <w:gridCol w:w="925"/>
        <w:gridCol w:w="9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current and long-term derivative assets and current and long-term derivative liabilities are included in other current assets, other assets, net, other accrued and current liabilities and other long-term liabilities, respectively, on our condensed consolidated balance sheets.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of $0.4 million and $4.2 million during the three months ended March 31, 2026 and 2025, respectively. These amounts are included in realized and unrealized gains (losses) on derivative instruments, net, in our condensed consolidated statements of operations. For further information regarding our fair value measurements, see note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realized and unrealized gains (losses) on derivative instruments, net, are as follows:</w:t>
      </w:r>
    </w:p>
    <w:tbl>
      <w:tblPr>
        <w:tblW w:w="7616" w:type="dxa"/>
        <w:jc w:val="left"/>
        <w:tblInd w:w="0" w:type="dxa"/>
        <w:tblLayout w:type="fixed"/>
        <w:tblCellMar>
          <w:top w:w="28" w:type="dxa"/>
          <w:left w:w="28" w:type="dxa"/>
          <w:bottom w:w="28" w:type="dxa"/>
          <w:right w:w="28" w:type="dxa"/>
        </w:tblCellMar>
      </w:tblPr>
      <w:tblGrid>
        <w:gridCol w:w="1565"/>
        <w:gridCol w:w="1374"/>
        <w:gridCol w:w="1381"/>
        <w:gridCol w:w="109"/>
        <w:gridCol w:w="109"/>
        <w:gridCol w:w="160"/>
        <w:gridCol w:w="160"/>
        <w:gridCol w:w="310"/>
        <w:gridCol w:w="905"/>
        <w:gridCol w:w="160"/>
        <w:gridCol w:w="109"/>
        <w:gridCol w:w="109"/>
        <w:gridCol w:w="109"/>
        <w:gridCol w:w="211"/>
        <w:gridCol w:w="69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Equity-related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(outflows) of our derivative instruments:</w:t>
      </w:r>
    </w:p>
    <w:tbl>
      <w:tblPr>
        <w:tblW w:w="3744" w:type="dxa"/>
        <w:jc w:val="left"/>
        <w:tblInd w:w="0" w:type="dxa"/>
        <w:tblLayout w:type="fixed"/>
        <w:tblCellMar>
          <w:top w:w="28" w:type="dxa"/>
          <w:left w:w="28" w:type="dxa"/>
          <w:bottom w:w="28" w:type="dxa"/>
          <w:right w:w="28" w:type="dxa"/>
        </w:tblCellMar>
      </w:tblPr>
      <w:tblGrid>
        <w:gridCol w:w="630"/>
        <w:gridCol w:w="553"/>
        <w:gridCol w:w="557"/>
        <w:gridCol w:w="211"/>
        <w:gridCol w:w="481"/>
        <w:gridCol w:w="109"/>
        <w:gridCol w:w="109"/>
        <w:gridCol w:w="109"/>
        <w:gridCol w:w="109"/>
        <w:gridCol w:w="211"/>
        <w:gridCol w:w="51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March 31, 2026, our exposure to counterparty credit risk included derivative assets with an aggregate fair value of $152.2 million.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Details of our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Cross-currency Swap Contracts</w:t>
      </w:r>
    </w:p>
    <w:p>
      <w:pPr>
        <w:pStyle w:val="TextBody"/>
        <w:bidi w:val="0"/>
        <w:spacing w:before="0" w:after="0"/>
        <w:ind w:left="0" w:right="0" w:firstLine="180"/>
        <w:jc w:val="both"/>
        <w:rPr/>
      </w:pPr>
      <w:r>
        <w:rPr/>
      </w:r>
    </w:p>
    <w:p>
      <w:pPr>
        <w:pStyle w:val="TextBody"/>
        <w:bidi w:val="0"/>
        <w:spacing w:lineRule="auto" w:line="288"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2026,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2026: </w:t>
      </w:r>
    </w:p>
    <w:tbl>
      <w:tblPr>
        <w:tblW w:w="8109" w:type="dxa"/>
        <w:jc w:val="left"/>
        <w:tblInd w:w="0" w:type="dxa"/>
        <w:tblLayout w:type="fixed"/>
        <w:tblCellMar>
          <w:top w:w="28" w:type="dxa"/>
          <w:left w:w="28" w:type="dxa"/>
          <w:bottom w:w="28" w:type="dxa"/>
          <w:right w:w="28" w:type="dxa"/>
        </w:tblCellMar>
      </w:tblPr>
      <w:tblGrid>
        <w:gridCol w:w="136"/>
        <w:gridCol w:w="119"/>
        <w:gridCol w:w="119"/>
        <w:gridCol w:w="119"/>
        <w:gridCol w:w="119"/>
        <w:gridCol w:w="124"/>
        <w:gridCol w:w="317"/>
        <w:gridCol w:w="317"/>
        <w:gridCol w:w="317"/>
        <w:gridCol w:w="383"/>
        <w:gridCol w:w="383"/>
        <w:gridCol w:w="319"/>
        <w:gridCol w:w="109"/>
        <w:gridCol w:w="109"/>
        <w:gridCol w:w="109"/>
        <w:gridCol w:w="186"/>
        <w:gridCol w:w="186"/>
        <w:gridCol w:w="186"/>
        <w:gridCol w:w="383"/>
        <w:gridCol w:w="383"/>
        <w:gridCol w:w="186"/>
        <w:gridCol w:w="186"/>
        <w:gridCol w:w="186"/>
        <w:gridCol w:w="192"/>
        <w:gridCol w:w="109"/>
        <w:gridCol w:w="109"/>
        <w:gridCol w:w="109"/>
        <w:gridCol w:w="762"/>
        <w:gridCol w:w="762"/>
        <w:gridCol w:w="108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br/>
              <w:t xml:space="preserve">due from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Notional amount </w:t>
              <w:br/>
              <w:t xml:space="preserve">due to counterparty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74" w:type="dxa"/>
            <w:gridSpan w:val="3"/>
            <w:tcBorders/>
            <w:vAlign w:val="center"/>
          </w:tcPr>
          <w:p>
            <w:pPr>
              <w:pStyle w:val="TableContents"/>
              <w:bidi w:val="0"/>
              <w:spacing w:before="0" w:after="283"/>
              <w:jc w:val="left"/>
              <w:rPr>
                <w:sz w:val="4"/>
                <w:szCs w:val="4"/>
              </w:rPr>
            </w:pPr>
            <w:r>
              <w:rPr>
                <w:sz w:val="4"/>
                <w:szCs w:val="4"/>
              </w:rPr>
            </w:r>
          </w:p>
        </w:tc>
        <w:tc>
          <w:tcPr>
            <w:tcW w:w="36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Rate Swap Contracts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U.S. dollar equivalents of the notional amounts and the related weighted average remaining contractual lives of our interest rate swap contracts at March 31, 2026:</w:t>
      </w:r>
    </w:p>
    <w:tbl>
      <w:tblPr>
        <w:tblW w:w="10205" w:type="dxa"/>
        <w:jc w:val="left"/>
        <w:tblInd w:w="0" w:type="dxa"/>
        <w:tblLayout w:type="fixed"/>
        <w:tblCellMar>
          <w:top w:w="28" w:type="dxa"/>
          <w:left w:w="28" w:type="dxa"/>
          <w:bottom w:w="28" w:type="dxa"/>
          <w:right w:w="28" w:type="dxa"/>
        </w:tblCellMar>
      </w:tblPr>
      <w:tblGrid>
        <w:gridCol w:w="266"/>
        <w:gridCol w:w="234"/>
        <w:gridCol w:w="236"/>
        <w:gridCol w:w="211"/>
        <w:gridCol w:w="766"/>
        <w:gridCol w:w="109"/>
        <w:gridCol w:w="148"/>
        <w:gridCol w:w="148"/>
        <w:gridCol w:w="148"/>
        <w:gridCol w:w="148"/>
        <w:gridCol w:w="148"/>
        <w:gridCol w:w="153"/>
        <w:gridCol w:w="120"/>
        <w:gridCol w:w="120"/>
        <w:gridCol w:w="121"/>
        <w:gridCol w:w="846"/>
        <w:gridCol w:w="846"/>
        <w:gridCol w:w="849"/>
        <w:gridCol w:w="211"/>
        <w:gridCol w:w="406"/>
        <w:gridCol w:w="109"/>
        <w:gridCol w:w="148"/>
        <w:gridCol w:w="148"/>
        <w:gridCol w:w="148"/>
        <w:gridCol w:w="148"/>
        <w:gridCol w:w="148"/>
        <w:gridCol w:w="153"/>
        <w:gridCol w:w="125"/>
        <w:gridCol w:w="124"/>
        <w:gridCol w:w="124"/>
        <w:gridCol w:w="755"/>
        <w:gridCol w:w="755"/>
        <w:gridCol w:w="108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Pays fixed rate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Receives fixed rate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amount</w:t>
            </w:r>
          </w:p>
        </w:tc>
        <w:tc>
          <w:tcPr>
            <w:tcW w:w="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8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2596" w:type="dxa"/>
            <w:gridSpan w:val="3"/>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259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596" w:type="dxa"/>
            <w:gridSpan w:val="3"/>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2596"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c>
          <w:tcPr>
            <w:tcW w:w="25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certain derivative instruments that are “forward-starting,” such that the initial exchange occurs at a date subsequent to March 31, 2026. These instruments are typically entered into in order to extend existing hedges without the need to amend existing contracts.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Basis Swaps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2026:</w:t>
      </w:r>
    </w:p>
    <w:tbl>
      <w:tblPr>
        <w:tblW w:w="7190" w:type="dxa"/>
        <w:jc w:val="left"/>
        <w:tblInd w:w="0" w:type="dxa"/>
        <w:tblLayout w:type="fixed"/>
        <w:tblCellMar>
          <w:top w:w="28" w:type="dxa"/>
          <w:left w:w="28" w:type="dxa"/>
          <w:bottom w:w="28" w:type="dxa"/>
          <w:right w:w="28" w:type="dxa"/>
        </w:tblCellMar>
      </w:tblPr>
      <w:tblGrid>
        <w:gridCol w:w="194"/>
        <w:gridCol w:w="169"/>
        <w:gridCol w:w="169"/>
        <w:gridCol w:w="169"/>
        <w:gridCol w:w="169"/>
        <w:gridCol w:w="177"/>
        <w:gridCol w:w="479"/>
        <w:gridCol w:w="1740"/>
        <w:gridCol w:w="247"/>
        <w:gridCol w:w="247"/>
        <w:gridCol w:w="247"/>
        <w:gridCol w:w="247"/>
        <w:gridCol w:w="109"/>
        <w:gridCol w:w="109"/>
        <w:gridCol w:w="109"/>
        <w:gridCol w:w="762"/>
        <w:gridCol w:w="762"/>
        <w:gridCol w:w="1085"/>
      </w:tblGrid>
      <w:tr>
        <w:trPr/>
        <w:tc>
          <w:tcPr>
            <w:tcW w:w="1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due from 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life</w:t>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4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246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Interest Rate Caps, Floors and Collars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enter into interest rate cap, floor and collar agreements. Purchased interest rate caps and collars lock in a maximum interest rate if variable rates rise, but also allow our company to benefit, to a limited extent in the case of collars,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declines in market rates. Purchased interest rate floors protect us from interest rates falling below a certain level, generally to match a floating rate floor on a debt instrument. At March 31, 2026, we had no interest rate collar agreements, and the total U.S. dollar equivalents of the notional amounts of our purchased interest rate caps and floors were $1.0 billion and $1.3 billion,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Impact of Derivative Instruments on Borrowing Costs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impact of the derivative instruments that mitigate our foreign currency and interest rate risk, as described above, on our borrowing costs is as follows: </w:t>
      </w:r>
    </w:p>
    <w:tbl>
      <w:tblPr>
        <w:tblW w:w="5894" w:type="dxa"/>
        <w:jc w:val="left"/>
        <w:tblInd w:w="0" w:type="dxa"/>
        <w:tblLayout w:type="fixed"/>
        <w:tblCellMar>
          <w:top w:w="28" w:type="dxa"/>
          <w:left w:w="28" w:type="dxa"/>
          <w:bottom w:w="28" w:type="dxa"/>
          <w:right w:w="28" w:type="dxa"/>
        </w:tblCellMar>
      </w:tblPr>
      <w:tblGrid>
        <w:gridCol w:w="524"/>
        <w:gridCol w:w="460"/>
        <w:gridCol w:w="460"/>
        <w:gridCol w:w="460"/>
        <w:gridCol w:w="460"/>
        <w:gridCol w:w="470"/>
        <w:gridCol w:w="624"/>
        <w:gridCol w:w="624"/>
        <w:gridCol w:w="1812"/>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Decrease to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borrowing costs at March 31, 2026 (a)</w:t>
            </w:r>
          </w:p>
        </w:tc>
      </w:tr>
      <w:tr>
        <w:trPr/>
        <w:tc>
          <w:tcPr>
            <w:tcW w:w="14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4"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3060" w:type="dxa"/>
            <w:gridSpan w:val="3"/>
            <w:tcBorders/>
          </w:tcPr>
          <w:p>
            <w:pPr>
              <w:pStyle w:val="TableContents"/>
              <w:bidi w:val="0"/>
              <w:spacing w:before="0" w:after="283"/>
              <w:jc w:val="left"/>
              <w:rPr>
                <w:sz w:val="4"/>
                <w:szCs w:val="4"/>
              </w:rPr>
            </w:pPr>
            <w:r>
              <w:rPr>
                <w:sz w:val="4"/>
                <w:szCs w:val="4"/>
              </w:rPr>
            </w:r>
          </w:p>
        </w:tc>
      </w:tr>
      <w:tr>
        <w:trPr/>
        <w:tc>
          <w:tcPr>
            <w:tcW w:w="28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81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to borrowing costs</w:t>
            </w:r>
          </w:p>
        </w:tc>
        <w:tc>
          <w:tcPr>
            <w:tcW w:w="124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effect of derivative instruments in effect at March 31, 2026 and does not include forward-starting derivative instruments.    </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Foreign Currency Forwards and Options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enter into foreign currency forward and option contracts with respect to non-functional currency exposure. As of March 31, 2026, the total U.S. dollar equivalent of the notional amounts of our foreign currency forward and option contracts was $189.2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(7)    </w:t>
      </w:r>
      <w:r>
        <w:rPr>
          <w:rFonts w:ascii="Times New Roman;serif" w:hAnsi="Times New Roman;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fair value method to account for (i) certain of our investments and (ii) our derivative instruments. The reported fair values of these investments and derivative instruments as of March 31, 2026 are unlikely to represent the value that will be paid or received upon the ultimate settlement or disposition of these assets and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are also used for nonrecurring valuations performed in connection with acquisition accounting and impairment assessments. These nonrecurring valuations include the valuation of reporting units, customer relationships and other intangible assets (including franchise and licensing rights),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growth and Adjusted EBITDA margin (as defined in note 15),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three months ended March 31, 2026 and 2025, we did not perform any significant nonrecurring 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concerning our fair value measurements, see note 9 to the consolidated financial statements included in our 2025 10-K.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assets and liabilities that are measured at fair value on a recurring basis is as follows:</w:t>
      </w:r>
    </w:p>
    <w:tbl>
      <w:tblPr>
        <w:tblW w:w="10205" w:type="dxa"/>
        <w:jc w:val="left"/>
        <w:tblInd w:w="0" w:type="dxa"/>
        <w:tblLayout w:type="fixed"/>
        <w:tblCellMar>
          <w:top w:w="28" w:type="dxa"/>
          <w:left w:w="28" w:type="dxa"/>
          <w:bottom w:w="28" w:type="dxa"/>
          <w:right w:w="28" w:type="dxa"/>
        </w:tblCellMar>
      </w:tblPr>
      <w:tblGrid>
        <w:gridCol w:w="682"/>
        <w:gridCol w:w="598"/>
        <w:gridCol w:w="602"/>
        <w:gridCol w:w="203"/>
        <w:gridCol w:w="203"/>
        <w:gridCol w:w="203"/>
        <w:gridCol w:w="211"/>
        <w:gridCol w:w="766"/>
        <w:gridCol w:w="109"/>
        <w:gridCol w:w="109"/>
        <w:gridCol w:w="109"/>
        <w:gridCol w:w="109"/>
        <w:gridCol w:w="506"/>
        <w:gridCol w:w="1485"/>
        <w:gridCol w:w="265"/>
        <w:gridCol w:w="109"/>
        <w:gridCol w:w="109"/>
        <w:gridCol w:w="109"/>
        <w:gridCol w:w="373"/>
        <w:gridCol w:w="1089"/>
        <w:gridCol w:w="192"/>
        <w:gridCol w:w="109"/>
        <w:gridCol w:w="109"/>
        <w:gridCol w:w="109"/>
        <w:gridCol w:w="322"/>
        <w:gridCol w:w="1172"/>
        <w:gridCol w:w="243"/>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 using:</w:t>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r>
      <w:tr>
        <w:trPr/>
        <w:tc>
          <w:tcPr>
            <w:tcW w:w="1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tcPr>
          <w:p>
            <w:pPr>
              <w:pStyle w:val="TableContents"/>
              <w:bidi w:val="0"/>
              <w:spacing w:before="0" w:after="283"/>
              <w:jc w:val="left"/>
              <w:rPr>
                <w:sz w:val="4"/>
                <w:szCs w:val="4"/>
              </w:rPr>
            </w:pPr>
            <w:r>
              <w:rPr>
                <w:sz w:val="4"/>
                <w:szCs w:val="4"/>
              </w:rPr>
            </w:r>
          </w:p>
        </w:tc>
      </w:tr>
      <w:tr>
        <w:trPr/>
        <w:tc>
          <w:tcPr>
            <w:tcW w:w="188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tcPr>
          <w:p>
            <w:pPr>
              <w:pStyle w:val="TableContents"/>
              <w:bidi w:val="0"/>
              <w:spacing w:before="0" w:after="283"/>
              <w:jc w:val="left"/>
              <w:rPr>
                <w:sz w:val="4"/>
                <w:szCs w:val="4"/>
              </w:rPr>
            </w:pPr>
            <w:r>
              <w:rPr>
                <w:sz w:val="4"/>
                <w:szCs w:val="4"/>
              </w:rPr>
            </w:r>
          </w:p>
        </w:tc>
      </w:tr>
      <w:tr>
        <w:trPr/>
        <w:tc>
          <w:tcPr>
            <w:tcW w:w="24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8"/>
        <w:gridCol w:w="576"/>
        <w:gridCol w:w="580"/>
        <w:gridCol w:w="195"/>
        <w:gridCol w:w="195"/>
        <w:gridCol w:w="195"/>
        <w:gridCol w:w="242"/>
        <w:gridCol w:w="881"/>
        <w:gridCol w:w="125"/>
        <w:gridCol w:w="109"/>
        <w:gridCol w:w="109"/>
        <w:gridCol w:w="109"/>
        <w:gridCol w:w="487"/>
        <w:gridCol w:w="1429"/>
        <w:gridCol w:w="256"/>
        <w:gridCol w:w="109"/>
        <w:gridCol w:w="109"/>
        <w:gridCol w:w="109"/>
        <w:gridCol w:w="360"/>
        <w:gridCol w:w="1052"/>
        <w:gridCol w:w="186"/>
        <w:gridCol w:w="109"/>
        <w:gridCol w:w="109"/>
        <w:gridCol w:w="109"/>
        <w:gridCol w:w="318"/>
        <w:gridCol w:w="1159"/>
        <w:gridCol w:w="167"/>
        <w:gridCol w:w="163"/>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 using:</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ind w:left="0" w:right="0" w:hanging="90"/>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99"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our investments measured at fair value on a recurring basis using significant unobservable, or Level 3, inputs is as follows (in millions):</w:t>
      </w:r>
    </w:p>
    <w:tbl>
      <w:tblPr>
        <w:tblW w:w="8880" w:type="dxa"/>
        <w:jc w:val="left"/>
        <w:tblInd w:w="0" w:type="dxa"/>
        <w:tblLayout w:type="fixed"/>
        <w:tblCellMar>
          <w:top w:w="28" w:type="dxa"/>
          <w:left w:w="28" w:type="dxa"/>
          <w:bottom w:w="28" w:type="dxa"/>
          <w:right w:w="28" w:type="dxa"/>
        </w:tblCellMar>
      </w:tblPr>
      <w:tblGrid>
        <w:gridCol w:w="2570"/>
        <w:gridCol w:w="2259"/>
        <w:gridCol w:w="2266"/>
        <w:gridCol w:w="109"/>
        <w:gridCol w:w="109"/>
        <w:gridCol w:w="109"/>
        <w:gridCol w:w="109"/>
        <w:gridCol w:w="109"/>
        <w:gridCol w:w="109"/>
        <w:gridCol w:w="211"/>
        <w:gridCol w:w="766"/>
        <w:gridCol w:w="154"/>
      </w:tblGrid>
      <w:tr>
        <w:trPr/>
        <w:tc>
          <w:tcPr>
            <w:tcW w:w="257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Level 3 investments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Gains included in net</w:t>
            </w:r>
            <w:r>
              <w:rPr>
                <w:color w:val="000000"/>
              </w:rPr>
              <w:t xml:space="preserve"> </w:t>
            </w:r>
            <w:r>
              <w:rPr>
                <w:rFonts w:ascii="Times New Roman;serif" w:hAnsi="Times New Roman;serif"/>
                <w:b w:val="false"/>
                <w:color w:val="000000"/>
                <w:sz w:val="20"/>
              </w:rPr>
              <w:t>earnings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of Level 3 investments at March 31, 2026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primarily relate to Level 3 investments that we continue to carry on our condensed consolidated balance sheet as of March 31, 2026.</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(b)As of March 31, 2026, $379.2 million of our Level 3 investments were accounted for under the measurement alternative at cost less impairment, adjusted for observable price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(8)    </w:t>
      </w:r>
      <w:r>
        <w:rPr>
          <w:rFonts w:ascii="Times New Roman;serif" w:hAnsi="Times New Roman;serif"/>
          <w:b/>
          <w:color w:val="000000"/>
          <w:sz w:val="20"/>
          <w:u w:val="single"/>
        </w:rPr>
        <w:t>Long-lived Assets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property and equipment and the related accumulated depreciation are set forth below:</w:t>
      </w:r>
    </w:p>
    <w:tbl>
      <w:tblPr>
        <w:tblW w:w="5898" w:type="dxa"/>
        <w:jc w:val="left"/>
        <w:tblInd w:w="0" w:type="dxa"/>
        <w:tblLayout w:type="fixed"/>
        <w:tblCellMar>
          <w:top w:w="28" w:type="dxa"/>
          <w:left w:w="28" w:type="dxa"/>
          <w:bottom w:w="28" w:type="dxa"/>
          <w:right w:w="28" w:type="dxa"/>
        </w:tblCellMar>
      </w:tblPr>
      <w:tblGrid>
        <w:gridCol w:w="1194"/>
        <w:gridCol w:w="1052"/>
        <w:gridCol w:w="1054"/>
        <w:gridCol w:w="211"/>
        <w:gridCol w:w="766"/>
        <w:gridCol w:w="109"/>
        <w:gridCol w:w="109"/>
        <w:gridCol w:w="109"/>
        <w:gridCol w:w="109"/>
        <w:gridCol w:w="221"/>
        <w:gridCol w:w="803"/>
        <w:gridCol w:w="161"/>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systems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7,189.1 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equipment, buildings and 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three months ended March 31, 2026 and 2025, we recorded non-cash increases to our property and equipment related to vendor financing arrangements of $30.1 million and $20.6 million, respectively, which exclude related value-added taxes (</w:t>
      </w:r>
      <w:r>
        <w:rPr>
          <w:rFonts w:ascii="Times New Roman;serif" w:hAnsi="Times New Roman;serif"/>
          <w:b/>
          <w:color w:val="000000"/>
          <w:sz w:val="20"/>
        </w:rPr>
        <w:t>VAT</w:t>
      </w:r>
      <w:r>
        <w:rPr>
          <w:rFonts w:ascii="Times New Roman;serif" w:hAnsi="Times New Roman;serif"/>
          <w:b w:val="false"/>
          <w:color w:val="000000"/>
          <w:sz w:val="20"/>
        </w:rPr>
        <w:t>) of $5.7 million and $3.2 million, respectively, that were also financed under these arrangements.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our goodwill during the three months ended March 31, 2026 are set forth below:</w:t>
      </w:r>
    </w:p>
    <w:tbl>
      <w:tblPr>
        <w:tblW w:w="6683" w:type="dxa"/>
        <w:jc w:val="left"/>
        <w:tblInd w:w="0" w:type="dxa"/>
        <w:tblLayout w:type="fixed"/>
        <w:tblCellMar>
          <w:top w:w="28" w:type="dxa"/>
          <w:left w:w="28" w:type="dxa"/>
          <w:bottom w:w="28" w:type="dxa"/>
          <w:right w:w="28" w:type="dxa"/>
        </w:tblCellMar>
      </w:tblPr>
      <w:tblGrid>
        <w:gridCol w:w="379"/>
        <w:gridCol w:w="334"/>
        <w:gridCol w:w="337"/>
        <w:gridCol w:w="259"/>
        <w:gridCol w:w="942"/>
        <w:gridCol w:w="134"/>
        <w:gridCol w:w="109"/>
        <w:gridCol w:w="109"/>
        <w:gridCol w:w="109"/>
        <w:gridCol w:w="109"/>
        <w:gridCol w:w="109"/>
        <w:gridCol w:w="109"/>
        <w:gridCol w:w="109"/>
        <w:gridCol w:w="109"/>
        <w:gridCol w:w="109"/>
        <w:gridCol w:w="462"/>
        <w:gridCol w:w="1155"/>
        <w:gridCol w:w="242"/>
        <w:gridCol w:w="109"/>
        <w:gridCol w:w="109"/>
        <w:gridCol w:w="109"/>
        <w:gridCol w:w="211"/>
        <w:gridCol w:w="76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1"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862" w:type="dxa"/>
            <w:gridSpan w:val="14"/>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Intangible Assets Subject to Amortization,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intangible assets subject to amortization are set forth below:</w:t>
      </w:r>
    </w:p>
    <w:tbl>
      <w:tblPr>
        <w:tblW w:w="10205" w:type="dxa"/>
        <w:jc w:val="left"/>
        <w:tblInd w:w="0" w:type="dxa"/>
        <w:tblLayout w:type="fixed"/>
        <w:tblCellMar>
          <w:top w:w="28" w:type="dxa"/>
          <w:left w:w="28" w:type="dxa"/>
          <w:bottom w:w="28" w:type="dxa"/>
          <w:right w:w="28" w:type="dxa"/>
        </w:tblCellMar>
      </w:tblPr>
      <w:tblGrid>
        <w:gridCol w:w="462"/>
        <w:gridCol w:w="406"/>
        <w:gridCol w:w="411"/>
        <w:gridCol w:w="231"/>
        <w:gridCol w:w="841"/>
        <w:gridCol w:w="119"/>
        <w:gridCol w:w="109"/>
        <w:gridCol w:w="109"/>
        <w:gridCol w:w="109"/>
        <w:gridCol w:w="278"/>
        <w:gridCol w:w="836"/>
        <w:gridCol w:w="145"/>
        <w:gridCol w:w="109"/>
        <w:gridCol w:w="109"/>
        <w:gridCol w:w="109"/>
        <w:gridCol w:w="227"/>
        <w:gridCol w:w="824"/>
        <w:gridCol w:w="117"/>
        <w:gridCol w:w="109"/>
        <w:gridCol w:w="109"/>
        <w:gridCol w:w="109"/>
        <w:gridCol w:w="231"/>
        <w:gridCol w:w="841"/>
        <w:gridCol w:w="119"/>
        <w:gridCol w:w="109"/>
        <w:gridCol w:w="109"/>
        <w:gridCol w:w="109"/>
        <w:gridCol w:w="278"/>
        <w:gridCol w:w="836"/>
        <w:gridCol w:w="145"/>
        <w:gridCol w:w="109"/>
        <w:gridCol w:w="109"/>
        <w:gridCol w:w="109"/>
        <w:gridCol w:w="226"/>
        <w:gridCol w:w="822"/>
        <w:gridCol w:w="17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(a)Primarily includes amounts related to (i) certain mobile spectrum licenses and (ii) a licensing agreement with the Federation Internationale l’Automobile that provides Formula E with the exclusive rights to operate an electric motor racing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color w:val="000000"/>
          <w:sz w:val="20"/>
        </w:rPr>
        <w:t>(9)    </w:t>
      </w:r>
      <w:r>
        <w:rPr>
          <w:rFonts w:ascii="Times New Roman;serif" w:hAnsi="Times New Roman;serif"/>
          <w:b/>
          <w:color w:val="000000"/>
          <w:sz w:val="20"/>
          <w:u w:val="single"/>
        </w:rPr>
        <w:t>Debt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dollar equivalents of the components of our debt are as follows:</w:t>
      </w:r>
    </w:p>
    <w:tbl>
      <w:tblPr>
        <w:tblW w:w="10205" w:type="dxa"/>
        <w:jc w:val="left"/>
        <w:tblInd w:w="0" w:type="dxa"/>
        <w:tblLayout w:type="fixed"/>
        <w:tblCellMar>
          <w:top w:w="28" w:type="dxa"/>
          <w:left w:w="28" w:type="dxa"/>
          <w:bottom w:w="28" w:type="dxa"/>
          <w:right w:w="28" w:type="dxa"/>
        </w:tblCellMar>
      </w:tblPr>
      <w:tblGrid>
        <w:gridCol w:w="1293"/>
        <w:gridCol w:w="1065"/>
        <w:gridCol w:w="1070"/>
        <w:gridCol w:w="255"/>
        <w:gridCol w:w="256"/>
        <w:gridCol w:w="467"/>
        <w:gridCol w:w="109"/>
        <w:gridCol w:w="109"/>
        <w:gridCol w:w="109"/>
        <w:gridCol w:w="311"/>
        <w:gridCol w:w="848"/>
        <w:gridCol w:w="149"/>
        <w:gridCol w:w="109"/>
        <w:gridCol w:w="109"/>
        <w:gridCol w:w="109"/>
        <w:gridCol w:w="211"/>
        <w:gridCol w:w="616"/>
        <w:gridCol w:w="109"/>
        <w:gridCol w:w="109"/>
        <w:gridCol w:w="109"/>
        <w:gridCol w:w="109"/>
        <w:gridCol w:w="211"/>
        <w:gridCol w:w="766"/>
        <w:gridCol w:w="109"/>
        <w:gridCol w:w="109"/>
        <w:gridCol w:w="109"/>
        <w:gridCol w:w="109"/>
        <w:gridCol w:w="216"/>
        <w:gridCol w:w="784"/>
        <w:gridCol w:w="161"/>
      </w:tblGrid>
      <w:tr>
        <w:trPr/>
        <w:tc>
          <w:tcPr>
            <w:tcW w:w="1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w:t>
            </w:r>
          </w:p>
        </w:tc>
      </w:tr>
      <w:tr>
        <w:trPr/>
        <w:tc>
          <w:tcPr>
            <w:tcW w:w="3428"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interest</w:t>
              <w:br/>
              <w:t>rate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Unused borrowing</w:t>
              <w:br/>
              <w:t>capacity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8"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4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 (c)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Senior Secured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 Credit Facility (d)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financing (e)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before deferred financing costs, discounts and premiums (g)</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debt before deferred financing costs, discounts and premiums to total debt and finance lease obligations:</w:t>
      </w:r>
    </w:p>
    <w:tbl>
      <w:tblPr>
        <w:tblW w:w="8147" w:type="dxa"/>
        <w:jc w:val="left"/>
        <w:tblInd w:w="0" w:type="dxa"/>
        <w:tblLayout w:type="fixed"/>
        <w:tblCellMar>
          <w:top w:w="28" w:type="dxa"/>
          <w:left w:w="28" w:type="dxa"/>
          <w:bottom w:w="28" w:type="dxa"/>
          <w:right w:w="28" w:type="dxa"/>
        </w:tblCellMar>
      </w:tblPr>
      <w:tblGrid>
        <w:gridCol w:w="2006"/>
        <w:gridCol w:w="1764"/>
        <w:gridCol w:w="1779"/>
        <w:gridCol w:w="211"/>
        <w:gridCol w:w="766"/>
        <w:gridCol w:w="109"/>
        <w:gridCol w:w="109"/>
        <w:gridCol w:w="109"/>
        <w:gridCol w:w="109"/>
        <w:gridCol w:w="221"/>
        <w:gridCol w:w="803"/>
        <w:gridCol w:w="161"/>
      </w:tblGrid>
      <w:tr>
        <w:trPr/>
        <w:tc>
          <w:tcPr>
            <w:tcW w:w="200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debt before deferred financing costs, discounts and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discounts and premiums,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carrying amount of debt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(note 10)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debt and finance lease obligations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weighted average interest rate in effect at March 31, 2026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3.78% at March 31, 2026. The weighted average interest rate calculation includes principal amounts outstanding associated with all of our secured and unsecured borrowings. For information regarding our derivative instruments, see note 6.</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(b)Unused borrowing capacity represents the maximum availability under the applicable facility at March 31, 2026 without regard to covenant compliance calculations or other conditions precedent to borrowing. The following table provides our borrowing availability and amounts available to loan or distribute in accordance with the terms of the respective subsidiary facilities (i) at March 31, 2026 and (ii) upon completion of the relevant March 31, 2026 compliance reporting requirements. These amounts do not consider any actual or potential changes to our borrowing levels or any amounts loaned or distributed subsequent to March 31, 2026, or the full impact of additional amounts that may be available to borrow, loan or distribute under certain defined baskets within each respective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8"/>
        <w:gridCol w:w="625"/>
        <w:gridCol w:w="627"/>
        <w:gridCol w:w="339"/>
        <w:gridCol w:w="926"/>
        <w:gridCol w:w="163"/>
        <w:gridCol w:w="109"/>
        <w:gridCol w:w="109"/>
        <w:gridCol w:w="109"/>
        <w:gridCol w:w="211"/>
        <w:gridCol w:w="616"/>
        <w:gridCol w:w="109"/>
        <w:gridCol w:w="109"/>
        <w:gridCol w:w="109"/>
        <w:gridCol w:w="109"/>
        <w:gridCol w:w="521"/>
        <w:gridCol w:w="1421"/>
        <w:gridCol w:w="251"/>
        <w:gridCol w:w="251"/>
        <w:gridCol w:w="251"/>
        <w:gridCol w:w="251"/>
        <w:gridCol w:w="486"/>
        <w:gridCol w:w="1421"/>
        <w:gridCol w:w="364"/>
      </w:tblGrid>
      <w:tr>
        <w:trPr/>
        <w:tc>
          <w:tcPr>
            <w:tcW w:w="71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Availability</w:t>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Upon completion of the relevant March 31, 2026 compliance reporting requirements</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 currency</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t>
              <w:br/>
              <w:t>equivalent</w:t>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to borrow:</w:t>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 Credit Facility</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 to loan or distribute:</w:t>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Telenet Credit Facility</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VM Ireland Credit Facility</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(c)At March 31, 2026, unused borrowing capacity under the Telenet Credit Facility amounted to €625.0 million ($721.3 million) comprising (i) €580.0 million ($669.3 million) under Telenet Revolving Facility I, (ii) €25.0 million ($28.9 million) under the Telenet Overdraft Facility and (iii) €20.0 million ($23.1 million) under the Telenet Revolving Facility, each of which were undrawn at March 31, 2026. In January 2026, €90.0 million ($103.9 million) of borrowings under Telenet Revolving Facility I were repaid, restoring total available capacity under Telenet Revolving Facility I to €580.0 million. In February 2026, €550.0 million ($634.7 million) of Telenet Revolving Facility I was amended to extend the maturity date from May 2029 to May 2032.</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(d)Unused borrowing capacity under the VM Ireland Credit Facility relates to €100.0 million ($115.4 million) under the VM Ireland Revolving Facility, which was undrawn at March 31, 2026.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three months ended March 31, 2026 and 2025, the constructive cash outflow included in cash flows from operating activities and the corresponding constructive cash inflow included in cash flows from financing activities related to these operating expenses were $68.4 million and $71.2 million, respectively. Repayments of vendor financing obligations at the time we pay the financing intermediary are included in repayments and repurchases of debt and finance lease obligations in our condensed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(f)At March 31, 2026 and December 31, 2025, amounts include (i) $225.4 million and $228.4 million, respectively, of debt collateralized by certain trade receivables of Telenet and (ii) $402.9 million</w:t>
      </w:r>
      <w:r>
        <w:rPr>
          <w:color w:val="000000"/>
        </w:rPr>
        <w:t xml:space="preserve"> </w:t>
      </w:r>
      <w:r>
        <w:rPr>
          <w:rFonts w:ascii="Times New Roman;serif" w:hAnsi="Times New Roman;serif"/>
          <w:b w:val="false"/>
          <w:color w:val="000000"/>
          <w:sz w:val="20"/>
        </w:rPr>
        <w:t>and $423.4 million, respectively,</w:t>
      </w:r>
      <w:r>
        <w:rPr>
          <w:color w:val="000000"/>
        </w:rPr>
        <w:t xml:space="preserve"> </w:t>
      </w:r>
      <w:r>
        <w:rPr>
          <w:rFonts w:ascii="Times New Roman;serif" w:hAnsi="Times New Roman;serif"/>
          <w:b w:val="false"/>
          <w:color w:val="000000"/>
          <w:sz w:val="20"/>
        </w:rPr>
        <w:t xml:space="preserve">of liabilities related to Telenet’s acquisition of mobile spectrum licenses. Telenet will make annual payments for the license fees over the terms of the respective licenses. In addition, amounts include (a) $57.7 million and $58.7 million, respectively, of debt related to an advance against the assignment of certain future sponsorship receivables of Formula E and (b) $47.8 million and $19.8 million, respectively, of debt drawn on a capital expenditure term loan facility at Egg Power AssetCo Limited, a subsidiary of Liberty Global (the </w:t>
      </w:r>
      <w:r>
        <w:rPr>
          <w:rFonts w:ascii="Times New Roman;serif" w:hAnsi="Times New Roman;serif"/>
          <w:b/>
          <w:color w:val="000000"/>
          <w:sz w:val="20"/>
        </w:rPr>
        <w:t>Egg Power Capex Facility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(g)As of March 31, 2026 and December 31, 2025, our debt had an estimated fair value of $8.3 billion and $8.6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 Information</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most of our outstanding debt had been incurred by one of our two subsidiary “borrowing groups.” References to these borrowing groups, which comprise Telenet and VM Ireland, include their respective restricted parent and subsidiary entities. Below we provide summary descriptions of certain financing transactions completed during 2026. For information regarding the general terms and conditions of our debt and capitalized terms not defined herein, see note 11 to the consolidated financial statements included in our 2025 10-K.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Financing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2026, Telenet purchased and extinguished $28.4 million of the $1.0 billion principal amount of Telenet 5.50% Senior Notes due 2028.</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Maturities of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our debt as of March 31, 2026 are presented below for the named entity and its subsidiaries, unless otherwise noted, and represent U.S. dollar equivalents based on March 31, 2026 exchange rates.</w:t>
      </w:r>
    </w:p>
    <w:tbl>
      <w:tblPr>
        <w:tblW w:w="9705" w:type="dxa"/>
        <w:jc w:val="left"/>
        <w:tblInd w:w="0" w:type="dxa"/>
        <w:tblLayout w:type="fixed"/>
        <w:tblCellMar>
          <w:top w:w="28" w:type="dxa"/>
          <w:left w:w="28" w:type="dxa"/>
          <w:bottom w:w="28" w:type="dxa"/>
          <w:right w:w="28" w:type="dxa"/>
        </w:tblCellMar>
      </w:tblPr>
      <w:tblGrid>
        <w:gridCol w:w="1625"/>
        <w:gridCol w:w="1427"/>
        <w:gridCol w:w="1433"/>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Telenet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VM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maturities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financing costs, discounts and premiums,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vendor financing obligations of $368.1 million, all of which are classified as current on our condensed consolidated balance sheet, as set forth below (in millions):</w:t>
      </w:r>
    </w:p>
    <w:tbl>
      <w:tblPr>
        <w:tblW w:w="4484"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109"/>
        <w:gridCol w:w="109"/>
        <w:gridCol w:w="109"/>
        <w:gridCol w:w="211"/>
        <w:gridCol w:w="61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vendor financing maturities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(b)Includes (i) $57.7 million of debt related to an advance against the assignment of certain future sponsorship receivables of Formula E and (ii) $47.8 million of debt drawn on the Egg Power Capex Facility.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Vendor Financing Obligations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our vendor financing obligations for the indicated periods is set forth below:</w:t>
      </w:r>
    </w:p>
    <w:tbl>
      <w:tblPr>
        <w:tblW w:w="7059" w:type="dxa"/>
        <w:jc w:val="left"/>
        <w:tblInd w:w="0" w:type="dxa"/>
        <w:tblLayout w:type="fixed"/>
        <w:tblCellMar>
          <w:top w:w="28" w:type="dxa"/>
          <w:left w:w="28" w:type="dxa"/>
          <w:bottom w:w="28" w:type="dxa"/>
          <w:right w:w="28" w:type="dxa"/>
        </w:tblCellMar>
      </w:tblPr>
      <w:tblGrid>
        <w:gridCol w:w="1745"/>
        <w:gridCol w:w="1528"/>
        <w:gridCol w:w="1542"/>
        <w:gridCol w:w="211"/>
        <w:gridCol w:w="616"/>
        <w:gridCol w:w="109"/>
        <w:gridCol w:w="109"/>
        <w:gridCol w:w="109"/>
        <w:gridCol w:w="109"/>
        <w:gridCol w:w="211"/>
        <w:gridCol w:w="616"/>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Capital-related vendor financing 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(10) </w:t>
      </w:r>
      <w:r>
        <w:rPr>
          <w:rFonts w:ascii="Times New Roman;serif" w:hAnsi="Times New Roman;serif"/>
          <w:b/>
          <w:color w:val="000000"/>
          <w:sz w:val="20"/>
          <w:u w:val="single"/>
        </w:rPr>
        <w:t>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operating and finance leases for network equipment, real estate, mobile site sharing and vehicles. We provide residual value guarantees on certain of our vehicle leases. </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 summary of our right-of-use (</w:t>
      </w:r>
      <w:r>
        <w:rPr>
          <w:rFonts w:ascii="Times New Roman;serif" w:hAnsi="Times New Roman;serif"/>
          <w:b/>
          <w:color w:val="000000"/>
          <w:sz w:val="20"/>
        </w:rPr>
        <w:t>ROU</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assets and lease liabilities is set forth below: </w:t>
      </w:r>
    </w:p>
    <w:tbl>
      <w:tblPr>
        <w:tblW w:w="4495" w:type="dxa"/>
        <w:jc w:val="left"/>
        <w:tblInd w:w="0" w:type="dxa"/>
        <w:tblLayout w:type="fixed"/>
        <w:tblCellMar>
          <w:top w:w="28" w:type="dxa"/>
          <w:left w:w="28" w:type="dxa"/>
          <w:bottom w:w="28" w:type="dxa"/>
          <w:right w:w="28" w:type="dxa"/>
        </w:tblCellMar>
      </w:tblPr>
      <w:tblGrid>
        <w:gridCol w:w="663"/>
        <w:gridCol w:w="580"/>
        <w:gridCol w:w="587"/>
        <w:gridCol w:w="211"/>
        <w:gridCol w:w="616"/>
        <w:gridCol w:w="109"/>
        <w:gridCol w:w="109"/>
        <w:gridCol w:w="109"/>
        <w:gridCol w:w="109"/>
        <w:gridCol w:w="257"/>
        <w:gridCol w:w="750"/>
        <w:gridCol w:w="132"/>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ROU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operating lease ROU assets are included in other assets, net, on our condensed consolidated balance sheets. At March 31, 2026, the weighted average remaining lease term for operating leases was 10.8 years and the weighted average discount rate was 5.4%. During the three months ended March 31, 2026 and 2025, we recorded non-cash additions to our operating lease ROU assets of $32.7 million and $9.6 million,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(b)Our finance lease ROU assets are included in property and equipment, net, on our condensed consolidated balance sheets. At March 31, 2026, the weighted average remaining lease term for finance leases was 8.3 years and the weighted average discount rate was 8.5%.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(c)The current portions of our operating lease liabilities are included in other accrued and current liabilities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(d)The current and long-term portions of our finance lease liabilities are included in current portion of debt and finance lease obligations and long-term debt and finance lease obligations, respectively, on our condensed consolidated balance sheets.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aggregate lease expense is set forth below: </w:t>
      </w:r>
    </w:p>
    <w:tbl>
      <w:tblPr>
        <w:tblW w:w="5897" w:type="dxa"/>
        <w:jc w:val="left"/>
        <w:tblInd w:w="0" w:type="dxa"/>
        <w:tblLayout w:type="fixed"/>
        <w:tblCellMar>
          <w:top w:w="28" w:type="dxa"/>
          <w:left w:w="28" w:type="dxa"/>
          <w:bottom w:w="28" w:type="dxa"/>
          <w:right w:w="28" w:type="dxa"/>
        </w:tblCellMar>
      </w:tblPr>
      <w:tblGrid>
        <w:gridCol w:w="951"/>
        <w:gridCol w:w="833"/>
        <w:gridCol w:w="840"/>
        <w:gridCol w:w="109"/>
        <w:gridCol w:w="109"/>
        <w:gridCol w:w="176"/>
        <w:gridCol w:w="176"/>
        <w:gridCol w:w="341"/>
        <w:gridCol w:w="826"/>
        <w:gridCol w:w="176"/>
        <w:gridCol w:w="109"/>
        <w:gridCol w:w="109"/>
        <w:gridCol w:w="109"/>
        <w:gridCol w:w="211"/>
        <w:gridCol w:w="511"/>
        <w:gridCol w:w="311"/>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60"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(b)Variable lease expense represents payments made to a lessor during the lease term that vary due to changes in circumstances that occur after the lease commencement date. Variable lease payments are expensed as incurred and are included in other operating expenses in our condensed consolidated statements of operations.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our cash outflows from operating and finance leases is set forth below: </w:t>
      </w:r>
    </w:p>
    <w:tbl>
      <w:tblPr>
        <w:tblW w:w="7898" w:type="dxa"/>
        <w:jc w:val="left"/>
        <w:tblInd w:w="0" w:type="dxa"/>
        <w:tblLayout w:type="fixed"/>
        <w:tblCellMar>
          <w:top w:w="28" w:type="dxa"/>
          <w:left w:w="28" w:type="dxa"/>
          <w:bottom w:w="28" w:type="dxa"/>
          <w:right w:w="28" w:type="dxa"/>
        </w:tblCellMar>
      </w:tblPr>
      <w:tblGrid>
        <w:gridCol w:w="2126"/>
        <w:gridCol w:w="1864"/>
        <w:gridCol w:w="1874"/>
        <w:gridCol w:w="211"/>
        <w:gridCol w:w="511"/>
        <w:gridCol w:w="109"/>
        <w:gridCol w:w="109"/>
        <w:gridCol w:w="109"/>
        <w:gridCol w:w="109"/>
        <w:gridCol w:w="211"/>
        <w:gridCol w:w="51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03"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 (interest component)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 (principal component)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outflows from operating and finance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our operating and finance lease liabilities as of March 31, 2026 are presented below. Amounts represent U.S. dollar equivalents based on March 31, 2026 exchange rates.</w:t>
      </w:r>
    </w:p>
    <w:tbl>
      <w:tblPr>
        <w:tblW w:w="5506" w:type="dxa"/>
        <w:jc w:val="left"/>
        <w:tblInd w:w="0" w:type="dxa"/>
        <w:tblLayout w:type="fixed"/>
        <w:tblCellMar>
          <w:top w:w="28" w:type="dxa"/>
          <w:left w:w="28" w:type="dxa"/>
          <w:bottom w:w="28" w:type="dxa"/>
          <w:right w:w="28" w:type="dxa"/>
        </w:tblCellMar>
      </w:tblPr>
      <w:tblGrid>
        <w:gridCol w:w="971"/>
        <w:gridCol w:w="855"/>
        <w:gridCol w:w="858"/>
        <w:gridCol w:w="365"/>
        <w:gridCol w:w="1066"/>
        <w:gridCol w:w="188"/>
        <w:gridCol w:w="109"/>
        <w:gridCol w:w="109"/>
        <w:gridCol w:w="109"/>
        <w:gridCol w:w="211"/>
        <w:gridCol w:w="51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Finance </w:t>
              <w:br/>
              <w:t>leases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year)</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3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727.8 </w:t>
            </w:r>
          </w:p>
        </w:tc>
        <w:tc>
          <w:tcPr>
            <w:tcW w:w="1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(a)Operating lease payments exclude $119.0 million of estimated future payments for lease commitments not yet commenced at Telenet, the majority of which are not anticipated to be due until after 2028. These payments relate to the lease back of build-to-suit sites on certain passive infrastructure and tower assets sold to DigitalBridge Investments LLC in 2022. Telenet will act as an agent over the construction of future towers on the build-to-suit sites.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(11)    </w:t>
      </w:r>
      <w:r>
        <w:rPr>
          <w:rFonts w:ascii="Times New Roman;serif" w:hAnsi="Times New Roman;serif"/>
          <w:b/>
          <w:color w:val="000000"/>
          <w:sz w:val="20"/>
          <w:u w:val="single"/>
        </w:rPr>
        <w:t>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2026 was 32.9% (income tax expense of $175.4 million), which differs from the Bermuda statutory rate of 15.0% (expected income tax expense of $80.0 million). This difference is primarily due to the negative impacts of (i) the derecognition of a tax litigation-related receivable in the U.S. of $133.3 million (25.0%) and (ii) statutory rates in certain jurisdictions in which we operate that are different than the Bermuda statutory rate, including $42.9 million (8.0%) in the U.K. The negative impacts of these items were partially offset by the positive impact of non-deductible net foreign currency exchange gains in the U.K. of $121.6 million (22.8%).</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March 31, 2025 was 5.0% (income tax benefit of $70.0 million), which differs from the Bermuda statutory rate of 15.0% (expected income tax benefit of $209.0 million). This difference is primarily due to the negative impacts of (i) non-deductible net foreign exchange losses in the U.K. of $308.2 million (22.1%) and (ii) non-deductible net losses from certain investments in the U.K. and the Netherlands of $43.3 million (3.2%). The negative impacts of these items were partially offset by the positive impacts of (a) statutory rates in certain jurisdictions in which we operate that are different than the Bermuda statutory rate, including $132.6 million (9.5%) in the U.K., and (b) the release of valuation allowances in Luxembourg of $86.0 million (6.2%).</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On July 4, 2025, the One Big Beautiful Bill Act (the </w:t>
      </w:r>
      <w:r>
        <w:rPr>
          <w:rFonts w:ascii="Times New Roman;serif" w:hAnsi="Times New Roman;serif"/>
          <w:b/>
          <w:color w:val="000000"/>
          <w:sz w:val="20"/>
        </w:rPr>
        <w:t>OBBBA</w:t>
      </w:r>
      <w:r>
        <w:rPr>
          <w:rFonts w:ascii="Times New Roman;serif" w:hAnsi="Times New Roman;serif"/>
          <w:b w:val="false"/>
          <w:color w:val="000000"/>
          <w:sz w:val="20"/>
        </w:rPr>
        <w:t xml:space="preserve">) was enacted in the U.S., introducing various changes to federal tax law. We have evaluated the provisions of the OBBBA and determined that they did not have a material impact on our consolidated financial statements through March 31, 2026, nor do we currently anticipate that the OBBBA will have a material impact on our consolidated financial statements in the future.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As of March 31, 2026, our unrecognized tax benefits were</w:t>
      </w:r>
      <w:r>
        <w:rPr>
          <w:color w:val="000000"/>
        </w:rPr>
        <w:t xml:space="preserve"> </w:t>
      </w:r>
      <w:r>
        <w:rPr>
          <w:rFonts w:ascii="Times New Roman;serif" w:hAnsi="Times New Roman;serif"/>
          <w:b w:val="false"/>
          <w:color w:val="000000"/>
          <w:sz w:val="20"/>
        </w:rPr>
        <w:t>$140.4 million, of which $88.3 million would have a favorable</w:t>
      </w:r>
      <w:r>
        <w:rPr>
          <w:color w:val="000000"/>
        </w:rPr>
        <w:t xml:space="preserve"> </w:t>
      </w:r>
      <w:r>
        <w:rPr>
          <w:rFonts w:ascii="Times New Roman;serif" w:hAnsi="Times New Roman;serif"/>
          <w:b w:val="false"/>
          <w:color w:val="000000"/>
          <w:sz w:val="20"/>
        </w:rPr>
        <w:t xml:space="preserve">impact on our effective income tax rate if ultimately recognized, after considering amounts that we would expect to be offset by valuation allowances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 authorities in either cash or agreement of income tax positions or (ii) the date when the tax authorities are statutorily prohibited from adjusting the company’s tax computations.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tax returns filed by our company or our subsidiaries for years prior to 2019 are no longer subject to examination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tax authorities. Certain of our subsidiaries are currently involved in income tax examinations in various jurisdictions in which we operate, including Belgium, Luxembourg, Slovakia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October 7, 2022, the U.S. Department of Justice (</w:t>
      </w:r>
      <w:r>
        <w:rPr>
          <w:rFonts w:ascii="Times New Roman;serif" w:hAnsi="Times New Roman;serif"/>
          <w:b/>
          <w:color w:val="000000"/>
          <w:sz w:val="20"/>
        </w:rPr>
        <w:t>DOJ</w:t>
      </w:r>
      <w:r>
        <w:rPr>
          <w:rFonts w:ascii="Times New Roman;serif" w:hAnsi="Times New Roman;serif"/>
          <w:b w:val="false"/>
          <w:color w:val="000000"/>
          <w:sz w:val="20"/>
        </w:rPr>
        <w:t>) filed a suit against Liberty Global, Inc. (</w:t>
      </w:r>
      <w:r>
        <w:rPr>
          <w:rFonts w:ascii="Times New Roman;serif" w:hAnsi="Times New Roman;serif"/>
          <w:b/>
          <w:color w:val="000000"/>
          <w:sz w:val="20"/>
        </w:rPr>
        <w:t>LGI</w:t>
      </w:r>
      <w:r>
        <w:rPr>
          <w:rFonts w:ascii="Times New Roman;serif" w:hAnsi="Times New Roman;serif"/>
          <w:b w:val="false"/>
          <w:color w:val="000000"/>
          <w:sz w:val="20"/>
        </w:rPr>
        <w:t xml:space="preserve">), a wholly-owned U.S. subsidiary of Liberty Global, in the U.S. District Court of Colorado (the </w:t>
      </w:r>
      <w:r>
        <w:rPr>
          <w:rFonts w:ascii="Times New Roman;serif" w:hAnsi="Times New Roman;serif"/>
          <w:b/>
          <w:color w:val="000000"/>
          <w:sz w:val="20"/>
        </w:rPr>
        <w:t>District Court</w:t>
      </w:r>
      <w:r>
        <w:rPr>
          <w:rFonts w:ascii="Times New Roman;serif" w:hAnsi="Times New Roman;serif"/>
          <w:b w:val="false"/>
          <w:color w:val="000000"/>
          <w:sz w:val="20"/>
        </w:rPr>
        <w:t xml:space="preserve">) for unpaid federal income taxes and penalties for the 2018 tax year of approximately $284 million. This action by the DOJ is related to the November 2020 complaint filed by LGI in the District Court seeking a refund of approximately $110 million of taxes, penalties and interest associated with the application of certain temporary Treasury regulations issued in June 2019. In October 2023, the District Court entered judgment against LGI with respect to the refund claim and we appealed this decision to the U.S. Court of Appeals for the Tenth Circuit (the </w:t>
      </w:r>
      <w:r>
        <w:rPr>
          <w:rFonts w:ascii="Times New Roman;serif" w:hAnsi="Times New Roman;serif"/>
          <w:b/>
          <w:color w:val="000000"/>
          <w:sz w:val="20"/>
        </w:rPr>
        <w:t>Court of Appeals</w:t>
      </w:r>
      <w:r>
        <w:rPr>
          <w:rFonts w:ascii="Times New Roman;serif" w:hAnsi="Times New Roman;serif"/>
          <w:b w:val="false"/>
          <w:color w:val="000000"/>
          <w:sz w:val="20"/>
        </w:rPr>
        <w:t xml:space="preserve">) in December 2023. In April 2026, the Court of Appeals upheld the District Court’s decision with respect to the refund claim. As a result of the adverse appellate ruling, we concluded that the realization of the refund is no longer probable; therefore, in the first quarter of 2026, we derecognized the associated receivable. As it pertains to the suit filed by the DOJ in 2022, we will continue our defense of certain matters not specifically addressed in the decision by the Court of Appeals.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(12)    </w:t>
      </w:r>
      <w:r>
        <w:rPr>
          <w:rFonts w:ascii="Times New Roman;serif" w:hAnsi="Times New Roman;serif"/>
          <w:b/>
          <w:color w:val="000000"/>
          <w:sz w:val="20"/>
          <w:u w:val="single"/>
        </w:rPr>
        <w:t>Share-based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6723" w:type="dxa"/>
        <w:jc w:val="left"/>
        <w:tblInd w:w="0" w:type="dxa"/>
        <w:tblLayout w:type="fixed"/>
        <w:tblCellMar>
          <w:top w:w="28" w:type="dxa"/>
          <w:left w:w="28" w:type="dxa"/>
          <w:bottom w:w="28" w:type="dxa"/>
          <w:right w:w="28" w:type="dxa"/>
        </w:tblCellMar>
      </w:tblPr>
      <w:tblGrid>
        <w:gridCol w:w="1249"/>
        <w:gridCol w:w="1095"/>
        <w:gridCol w:w="1106"/>
        <w:gridCol w:w="109"/>
        <w:gridCol w:w="109"/>
        <w:gridCol w:w="176"/>
        <w:gridCol w:w="176"/>
        <w:gridCol w:w="341"/>
        <w:gridCol w:w="826"/>
        <w:gridCol w:w="176"/>
        <w:gridCol w:w="109"/>
        <w:gridCol w:w="109"/>
        <w:gridCol w:w="109"/>
        <w:gridCol w:w="211"/>
        <w:gridCol w:w="511"/>
        <w:gridCol w:w="311"/>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60"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share-based compensation expense related to certain Telenet Replacement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provides the aggregate number of options, share appreciation rights (</w:t>
      </w:r>
      <w:r>
        <w:rPr>
          <w:rFonts w:ascii="Times New Roman;serif" w:hAnsi="Times New Roman;serif"/>
          <w:b/>
          <w:color w:val="000000"/>
          <w:sz w:val="20"/>
        </w:rPr>
        <w:t>SARs</w:t>
      </w:r>
      <w:r>
        <w:rPr>
          <w:rFonts w:ascii="Times New Roman;serif" w:hAnsi="Times New Roman;serif"/>
          <w:b w:val="false"/>
          <w:color w:val="000000"/>
          <w:sz w:val="20"/>
        </w:rPr>
        <w:t>) and performance-based share appreciation rights (</w:t>
      </w:r>
      <w:r>
        <w:rPr>
          <w:rFonts w:ascii="Times New Roman;serif" w:hAnsi="Times New Roman;serif"/>
          <w:b/>
          <w:color w:val="000000"/>
          <w:sz w:val="20"/>
        </w:rPr>
        <w:t>PSARs</w:t>
      </w:r>
      <w:r>
        <w:rPr>
          <w:rFonts w:ascii="Times New Roman;serif" w:hAnsi="Times New Roman;serif"/>
          <w:b w:val="false"/>
          <w:color w:val="000000"/>
          <w:sz w:val="20"/>
        </w:rPr>
        <w:t xml:space="preserve">) with respect to awards issued by Liberty Global that were (i) outstanding and (ii) exercisable as of March 31, 2026: </w:t>
      </w:r>
    </w:p>
    <w:tbl>
      <w:tblPr>
        <w:tblW w:w="10205" w:type="dxa"/>
        <w:jc w:val="left"/>
        <w:tblInd w:w="0" w:type="dxa"/>
        <w:tblLayout w:type="fixed"/>
        <w:tblCellMar>
          <w:top w:w="28" w:type="dxa"/>
          <w:left w:w="28" w:type="dxa"/>
          <w:bottom w:w="28" w:type="dxa"/>
          <w:right w:w="28" w:type="dxa"/>
        </w:tblCellMar>
      </w:tblPr>
      <w:tblGrid>
        <w:gridCol w:w="779"/>
        <w:gridCol w:w="468"/>
        <w:gridCol w:w="470"/>
        <w:gridCol w:w="1005"/>
        <w:gridCol w:w="653"/>
        <w:gridCol w:w="655"/>
        <w:gridCol w:w="109"/>
        <w:gridCol w:w="109"/>
        <w:gridCol w:w="109"/>
        <w:gridCol w:w="318"/>
        <w:gridCol w:w="931"/>
        <w:gridCol w:w="164"/>
        <w:gridCol w:w="109"/>
        <w:gridCol w:w="109"/>
        <w:gridCol w:w="109"/>
        <w:gridCol w:w="1005"/>
        <w:gridCol w:w="653"/>
        <w:gridCol w:w="655"/>
        <w:gridCol w:w="109"/>
        <w:gridCol w:w="109"/>
        <w:gridCol w:w="109"/>
        <w:gridCol w:w="313"/>
        <w:gridCol w:w="917"/>
        <w:gridCol w:w="238"/>
      </w:tblGrid>
      <w:tr>
        <w:trPr/>
        <w:tc>
          <w:tcPr>
            <w:tcW w:w="7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or base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number of shares underlying option, SAR and PSAR awards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or base price</w:t>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 by Liberty Global employees:</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36,997,900 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84,544,355 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32,046,378 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76,171,008 </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Held by former Liberty Global employees (b):</w:t>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2,643,917 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5,185,261 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2,495,261 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4,890,850 </w:t>
            </w:r>
          </w:p>
        </w:tc>
        <w:tc>
          <w:tcPr>
            <w:tcW w:w="6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(b)Amounts represent certain share-based awards that continue to be held by former employees of Liberty Global subsequent to certain spin-off or disposal transactions, or as otherwise permitted under applicable Liberty Global equity plan documents. Although future exercises of these awards by former employees will not result in the recognition of share-based compensation expense, such exercises will increase the number of our outstanding common shares.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provides the aggregate number of restricted share units (</w:t>
      </w:r>
      <w:r>
        <w:rPr>
          <w:rFonts w:ascii="Times New Roman;serif" w:hAnsi="Times New Roman;serif"/>
          <w:b/>
          <w:color w:val="000000"/>
          <w:sz w:val="20"/>
        </w:rPr>
        <w:t>RSUs</w:t>
      </w:r>
      <w:r>
        <w:rPr>
          <w:rFonts w:ascii="Times New Roman;serif" w:hAnsi="Times New Roman;serif"/>
          <w:b w:val="false"/>
          <w:color w:val="000000"/>
          <w:sz w:val="20"/>
        </w:rPr>
        <w:t>) and performance-based restricted share units (</w:t>
      </w:r>
      <w:r>
        <w:rPr>
          <w:rFonts w:ascii="Times New Roman;serif" w:hAnsi="Times New Roman;serif"/>
          <w:b/>
          <w:color w:val="000000"/>
          <w:sz w:val="20"/>
        </w:rPr>
        <w:t>PSUs</w:t>
      </w:r>
      <w:r>
        <w:rPr>
          <w:rFonts w:ascii="Times New Roman;serif" w:hAnsi="Times New Roman;serif"/>
          <w:b w:val="false"/>
          <w:color w:val="000000"/>
          <w:sz w:val="20"/>
        </w:rPr>
        <w:t>) that were outstanding as of March 31, 2026. The number of shares to be issued on the vesting date of these awards will be reduced by the amount of the employee’s required income tax withholding.</w:t>
      </w:r>
    </w:p>
    <w:tbl>
      <w:tblPr>
        <w:tblW w:w="6854" w:type="dxa"/>
        <w:jc w:val="left"/>
        <w:tblInd w:w="0" w:type="dxa"/>
        <w:tblLayout w:type="fixed"/>
        <w:tblCellMar>
          <w:top w:w="28" w:type="dxa"/>
          <w:left w:w="28" w:type="dxa"/>
          <w:bottom w:w="28" w:type="dxa"/>
          <w:right w:w="28" w:type="dxa"/>
        </w:tblCellMar>
      </w:tblPr>
      <w:tblGrid>
        <w:gridCol w:w="1380"/>
        <w:gridCol w:w="1211"/>
        <w:gridCol w:w="1219"/>
        <w:gridCol w:w="488"/>
        <w:gridCol w:w="488"/>
        <w:gridCol w:w="236"/>
        <w:gridCol w:w="109"/>
        <w:gridCol w:w="109"/>
        <w:gridCol w:w="109"/>
        <w:gridCol w:w="109"/>
        <w:gridCol w:w="109"/>
        <w:gridCol w:w="488"/>
        <w:gridCol w:w="488"/>
        <w:gridCol w:w="311"/>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C</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by Liberty Global employees: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6,653,523 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8,161,387 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6,882,468 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9,352,330 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 by former Liberty Global employees (a):</w:t>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represent certain share-based awards that continue to be held by former employees of Liberty Global subsequent to certain spin-off or disposal transactions, or as otherwise permitted under applicable Liberty Global equity plan documents. The future vesting of these RSUs and PSUs will increase the number of our outstanding common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PSUs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March 2026, the compensation committee of our board of directors approved the grant of PSUs to executive officers and certain employees (the </w:t>
      </w:r>
      <w:r>
        <w:rPr>
          <w:rFonts w:ascii="Times New Roman;serif" w:hAnsi="Times New Roman;serif"/>
          <w:b/>
          <w:color w:val="000000"/>
          <w:sz w:val="20"/>
        </w:rPr>
        <w:t>2026 PSUs</w:t>
      </w:r>
      <w:r>
        <w:rPr>
          <w:rFonts w:ascii="Times New Roman;serif" w:hAnsi="Times New Roman;serif"/>
          <w:b w:val="false"/>
          <w:color w:val="000000"/>
          <w:sz w:val="20"/>
        </w:rPr>
        <w:t>). The performance metric for the 2026 PSUs is the appreciation of Liberty Global’s average share price during the performance period commencing March 26, 2026 and ending December 31, 2028. The payout is determined based on growth tied to certain pre-established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2026 PSUs. In addition, 50% of the 2026 PSUs award payout may be “banked” if Liberty Global’s average share price achieves and maintains specific target levels ranging from 30% to 50% during the performance period, subject to a cap of 75% of the target 2026 PSUs. The earned 2026 PSUs will fully vest on or around February 15, 2029.</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color w:val="000000"/>
          <w:sz w:val="20"/>
        </w:rPr>
        <w:t>(13)    </w:t>
      </w:r>
      <w:r>
        <w:rPr>
          <w:rFonts w:ascii="Times New Roman;serif" w:hAnsi="Times New Roman;serif"/>
          <w:b/>
          <w:color w:val="000000"/>
          <w:sz w:val="20"/>
          <w:u w:val="single"/>
        </w:rPr>
        <w:t>Earnings (Loss) per Share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Basic earnings or loss per share (</w:t>
      </w:r>
      <w:r>
        <w:rPr>
          <w:rFonts w:ascii="Times New Roman;serif" w:hAnsi="Times New Roman;serif"/>
          <w:b/>
          <w:color w:val="000000"/>
          <w:sz w:val="20"/>
        </w:rPr>
        <w:t>EPS</w:t>
      </w:r>
      <w:r>
        <w:rPr>
          <w:rFonts w:ascii="Times New Roman;serif" w:hAnsi="Times New Roman;serif"/>
          <w:b w:val="false"/>
          <w:color w:val="000000"/>
          <w:sz w:val="20"/>
        </w:rPr>
        <w:t>) is computed by dividing net earnings or loss attributable to Liberty Global shareholders by the weighted average number of shares outstanding for the period. Diluted EPS, as calculated under the treasury stock method,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net earnings (loss) attributable to Liberty Global shareholders are set forth below:</w:t>
      </w:r>
    </w:p>
    <w:tbl>
      <w:tblPr>
        <w:tblW w:w="9552" w:type="dxa"/>
        <w:jc w:val="left"/>
        <w:tblInd w:w="0" w:type="dxa"/>
        <w:tblLayout w:type="fixed"/>
        <w:tblCellMar>
          <w:top w:w="28" w:type="dxa"/>
          <w:left w:w="28" w:type="dxa"/>
          <w:bottom w:w="28" w:type="dxa"/>
          <w:right w:w="28" w:type="dxa"/>
        </w:tblCellMar>
      </w:tblPr>
      <w:tblGrid>
        <w:gridCol w:w="2214"/>
        <w:gridCol w:w="1942"/>
        <w:gridCol w:w="1948"/>
        <w:gridCol w:w="302"/>
        <w:gridCol w:w="884"/>
        <w:gridCol w:w="119"/>
        <w:gridCol w:w="119"/>
        <w:gridCol w:w="119"/>
        <w:gridCol w:w="119"/>
        <w:gridCol w:w="252"/>
        <w:gridCol w:w="934"/>
        <w:gridCol w:w="119"/>
        <w:gridCol w:w="109"/>
        <w:gridCol w:w="109"/>
        <w:gridCol w:w="109"/>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Liberty Global shareholders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EPS computation)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334,996,069 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348,407,676 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(a)</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16,129,446 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 EPS computation)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351,125,515 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348,407,676 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Excluded potentially dilutive employee share-based incentive awards (b)</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92,295,756 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163,331,498 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(a)We use the treasury stock method to calculate the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(b)Amounts represent potentially dilutive shares that have been excluded from the computation of diluted earnings (loss)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color w:val="000000"/>
          <w:sz w:val="20"/>
        </w:rPr>
        <w:t>(14)    </w:t>
      </w:r>
      <w:r>
        <w:rPr>
          <w:rFonts w:ascii="Times New Roman;serif" w:hAnsi="Times New Roman;serif"/>
          <w:b/>
          <w:color w:val="000000"/>
          <w:sz w:val="20"/>
          <w:u w:val="single"/>
        </w:rPr>
        <w:t>Commitments and Contingencies</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that commit our company to make cash payments in future periods with respect to purchases of equipment and services, programming contracts, network and connectivity commitments and other items. The following table sets forth the U.S. dollar equivalents of such commitments as of March 31, 2026. The commitments included in this table do not reflect any liabilities that are included on our March 31, 2026 condensed consolidated balance sheet.</w:t>
      </w:r>
    </w:p>
    <w:tbl>
      <w:tblPr>
        <w:tblW w:w="10983" w:type="dxa"/>
        <w:jc w:val="left"/>
        <w:tblInd w:w="0" w:type="dxa"/>
        <w:tblLayout w:type="fixed"/>
        <w:tblCellMar>
          <w:top w:w="28" w:type="dxa"/>
          <w:left w:w="28" w:type="dxa"/>
          <w:bottom w:w="28" w:type="dxa"/>
          <w:right w:w="28" w:type="dxa"/>
        </w:tblCellMar>
      </w:tblPr>
      <w:tblGrid>
        <w:gridCol w:w="440"/>
        <w:gridCol w:w="387"/>
        <w:gridCol w:w="38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32"/>
        <w:gridCol w:w="563"/>
        <w:gridCol w:w="121"/>
        <w:gridCol w:w="109"/>
        <w:gridCol w:w="109"/>
        <w:gridCol w:w="109"/>
        <w:gridCol w:w="211"/>
        <w:gridCol w:w="76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Remainder of 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and connectivity commitments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commitments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Purchase commitments include unconditional and legally binding obligations related to certain service-related commitments, including software development, information technology and maintenance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w:t>
      </w:r>
      <w:r>
        <w:rPr>
          <w:color w:val="000000"/>
        </w:rPr>
        <w:t xml:space="preserve"> </w:t>
      </w:r>
      <w:r>
        <w:rPr>
          <w:rFonts w:ascii="Times New Roman;serif" w:hAnsi="Times New Roman;serif"/>
          <w:b w:val="false"/>
          <w:color w:val="000000"/>
          <w:sz w:val="20"/>
        </w:rPr>
        <w:t>In this regard, our total programming and copyright costs aggregated $105.4 million and</w:t>
      </w:r>
      <w:r>
        <w:rPr>
          <w:color w:val="000000"/>
        </w:rPr>
        <w:t xml:space="preserve"> </w:t>
      </w:r>
      <w:r>
        <w:rPr>
          <w:rFonts w:ascii="Times New Roman;serif" w:hAnsi="Times New Roman;serif"/>
          <w:b w:val="false"/>
          <w:color w:val="000000"/>
          <w:sz w:val="20"/>
        </w:rPr>
        <w:t>$159.0 million</w:t>
      </w:r>
      <w:r>
        <w:rPr>
          <w:color w:val="000000"/>
        </w:rPr>
        <w:t xml:space="preserve"> </w:t>
      </w:r>
      <w:r>
        <w:rPr>
          <w:rFonts w:ascii="Times New Roman;serif" w:hAnsi="Times New Roman;serif"/>
          <w:b w:val="false"/>
          <w:color w:val="000000"/>
          <w:sz w:val="20"/>
        </w:rPr>
        <w:t xml:space="preserve">during the three months ended March 31, 2026 and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Network and connectivity commitments include certain equipment and service-related commitments.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commitments include (i) race management commitments associated with Formula E and (ii) our share of the funding commitment associated with the nexfibre JV.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in connection with a future sale of our interest in, or an initial public offering of, Formula E, we have agreed to pay a third party a portion of our economic gain. We estimate that this contingent obligation is not currently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Guarantees and Other Credit Enhancements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 xml:space="preserve">Legal and Regulatory Proceedings and Other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Interkabel Acquisition. </w:t>
      </w:r>
      <w:r>
        <w:rPr>
          <w:rFonts w:ascii="Times New Roman;serif" w:hAnsi="Times New Roman;serif"/>
          <w:b w:val="false"/>
          <w:color w:val="000000"/>
          <w:sz w:val="20"/>
        </w:rPr>
        <w:t>On November 26, 2007, Telenet and four associations of municipalities in Belgium, which we refer to as the pure intercommunales or the “</w:t>
      </w:r>
      <w:r>
        <w:rPr>
          <w:rFonts w:ascii="Times New Roman;serif" w:hAnsi="Times New Roman;serif"/>
          <w:b/>
          <w:color w:val="000000"/>
          <w:sz w:val="20"/>
        </w:rPr>
        <w:t>PICs</w:t>
      </w:r>
      <w:r>
        <w:rPr>
          <w:rFonts w:ascii="Times New Roman;serif" w:hAnsi="Times New Roman;serif"/>
          <w:b w:val="false"/>
          <w:color w:val="000000"/>
          <w:sz w:val="20"/>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serif" w:hAnsi="Times New Roman;serif"/>
          <w:b/>
          <w:color w:val="000000"/>
          <w:sz w:val="20"/>
        </w:rPr>
        <w:t>2008 PICs Agreement</w:t>
      </w:r>
      <w:r>
        <w:rPr>
          <w:rFonts w:ascii="Times New Roman;serif" w:hAnsi="Times New Roman;serif"/>
          <w:b w:val="false"/>
          <w:color w:val="000000"/>
          <w:sz w:val="20"/>
        </w:rPr>
        <w:t>), which closed effective October 1, 2008. Beginning in December 2007, Proximus NV/SA (</w:t>
      </w:r>
      <w:r>
        <w:rPr>
          <w:rFonts w:ascii="Times New Roman;serif" w:hAnsi="Times New Roman;serif"/>
          <w:b/>
          <w:color w:val="000000"/>
          <w:sz w:val="20"/>
        </w:rPr>
        <w:t>Proximus</w:t>
      </w:r>
      <w:r>
        <w:rPr>
          <w:rFonts w:ascii="Times New Roman;serif" w:hAnsi="Times New Roman;serif"/>
          <w:b w:val="false"/>
          <w:color w:val="000000"/>
          <w:sz w:val="20"/>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w:t>
      </w:r>
      <w:r>
        <w:rPr>
          <w:color w:val="000000"/>
        </w:rPr>
        <w:t xml:space="preserve"> </w:t>
      </w:r>
      <w:r>
        <w:rPr>
          <w:rFonts w:ascii="Times New Roman;serif" w:hAnsi="Times New Roman;serif"/>
          <w:b w:val="false"/>
          <w:color w:val="000000"/>
          <w:sz w:val="20"/>
        </w:rPr>
        <w:t>($1.6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Telekom Deutschland Litigation. </w:t>
      </w:r>
      <w:r>
        <w:rPr>
          <w:rFonts w:ascii="Times New Roman;serif" w:hAnsi="Times New Roman;serif"/>
          <w:b w:val="false"/>
          <w:color w:val="000000"/>
          <w:sz w:val="20"/>
        </w:rPr>
        <w:t>On December 28, 2012, Unitymedia filed a lawsuit against Telekom Deutschland GmbH (</w:t>
      </w:r>
      <w:r>
        <w:rPr>
          <w:rFonts w:ascii="Times New Roman;serif" w:hAnsi="Times New Roman;serif"/>
          <w:b/>
          <w:color w:val="000000"/>
          <w:sz w:val="20"/>
        </w:rPr>
        <w:t>Telekom Deutschland</w:t>
      </w:r>
      <w:r>
        <w:rPr>
          <w:rFonts w:ascii="Times New Roman;serif" w:hAnsi="Times New Roman;serif"/>
          <w:b w:val="false"/>
          <w:color w:val="000000"/>
          <w:sz w:val="20"/>
        </w:rPr>
        <w:t xml:space="preserve">) in 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serif" w:hAnsi="Times New Roman;serif"/>
          <w:b/>
          <w:color w:val="000000"/>
          <w:sz w:val="20"/>
        </w:rPr>
        <w:t>Vodafone Disposal Group</w:t>
      </w:r>
      <w:r>
        <w:rPr>
          <w:rFonts w:ascii="Times New Roman;serif" w:hAnsi="Times New Roman;serif"/>
          <w:b w:val="false"/>
          <w:color w:val="000000"/>
          <w:sz w:val="20"/>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Contingency Matters.</w:t>
      </w:r>
      <w:r>
        <w:rPr>
          <w:color w:val="000000"/>
        </w:rPr>
        <w:t xml:space="preserve"> </w:t>
      </w:r>
      <w:r>
        <w:rPr>
          <w:rFonts w:ascii="Times New Roman;serif" w:hAnsi="Times New Roman;serif"/>
          <w:b w:val="false"/>
          <w:color w:val="000000"/>
          <w:sz w:val="20"/>
        </w:rPr>
        <w:t>In connection with the dispositions of certain of our operations, we provided tax indemnities to the counterparties for 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Other Regulatory Matters. </w:t>
      </w:r>
      <w:r>
        <w:rPr>
          <w:rFonts w:ascii="Times New Roman;serif" w:hAnsi="Times New Roman;serif"/>
          <w:b w:val="false"/>
          <w:color w:val="000000"/>
          <w:sz w:val="20"/>
        </w:rPr>
        <w:t>Broadband internet, video distribution, fixed-line telephony, mobile and content businesses are regulated in each of the countries in which we or our affiliates operate. The scope of regulation varies from country to country, although in some significant respects regulation in European markets is harmonized under the regulatory structure of the European Union (</w:t>
      </w:r>
      <w:r>
        <w:rPr>
          <w:rFonts w:ascii="Times New Roman;serif" w:hAnsi="Times New Roman;serif"/>
          <w:b/>
          <w:color w:val="000000"/>
          <w:sz w:val="20"/>
        </w:rPr>
        <w:t>E.U.</w:t>
      </w:r>
      <w:r>
        <w:rPr>
          <w:rFonts w:ascii="Times New Roman;serif" w:hAnsi="Times New Roman;serif"/>
          <w:b w:val="false"/>
          <w:color w:val="000000"/>
          <w:sz w:val="20"/>
        </w:rPr>
        <w:t xml:space="preserve">),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    </w:t>
      </w:r>
      <w:r>
        <w:rPr>
          <w:rFonts w:ascii="Times New Roman;serif" w:hAnsi="Times New Roman;serif"/>
          <w:b/>
          <w:color w:val="000000"/>
          <w:sz w:val="20"/>
          <w:u w:val="single"/>
        </w:rPr>
        <w:t>Segment Reporting</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chief executive officer, whom we have determined to be our Chief Operating Decision Maker (</w:t>
      </w:r>
      <w:r>
        <w:rPr>
          <w:rFonts w:ascii="Times New Roman;serif" w:hAnsi="Times New Roman;serif"/>
          <w:b/>
          <w:color w:val="000000"/>
          <w:sz w:val="20"/>
        </w:rPr>
        <w:t>CODM</w:t>
      </w:r>
      <w:r>
        <w:rPr>
          <w:rFonts w:ascii="Times New Roman;serif" w:hAnsi="Times New Roman;serif"/>
          <w:b w:val="false"/>
          <w:color w:val="000000"/>
          <w:sz w:val="20"/>
        </w:rPr>
        <w:t>), assesses the performance of our business and allocates resources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2025 10-K. In addition, our CODM reviews non-financial measures such as customer growth, as appropriate, but does not review any measure of total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As we use the term, “</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analytical comparisons and benchmarking between segments and (c) identify strategies to improve operating performance in the different countries in which we operate. A reconciliation of total reportable segment Adjusted EBITDA to earnings (loss) before income taxes is presented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reportable segments are as follows: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Telenet</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Wyre</w:t>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VM Ireland</w:t>
      </w:r>
    </w:p>
    <w:p>
      <w:pPr>
        <w:pStyle w:val="TextBody"/>
        <w:bidi w:val="0"/>
        <w:spacing w:before="0" w:after="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Nonconsolidated: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VMO2 JV</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VodafoneZiggo JV</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revised our segment presentation to separately present Wyre as a reportable segment. Prior to this change, Wyre was included within the Telenet reportable segment, as previously defined. This change reflects the manner in which our CODM now evaluates the financial performance of our operations in Belgium. Segment information for prior periods has been revised to reflect this change.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Telenet, VM Ireland, the VMO2 JV and the VodafoneZiggo JV derive their revenue primarily from residential and B2B communications services, including broadband internet, video, fixed-line telephony and mobile services. Wyre derives revenue primarily by providing access to its network on a wholesale basis.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“all other category” includes the following activities that do not meet the reportable segment quantitative thresholds: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Certain of our investments in technology, media, sports and infrastructure companies, including our investment in Formula E, that we view as scalable businesses, which derive their revenue from providing various goods, services and content to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technology and services activities that generate revenue through (i) sales of CPE to our reportable segments and certain third parties and (ii) providing certain centralized network operations and technology solutions;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Our operational and finance services platform (Liberty Blume) that generates revenue by providing services to various third parties and affiliates; and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Costs associated with our other corporate activities, including human resources, marketing, legal, finance and other administrative functions.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centrally-managed technology and innovation function (our </w:t>
      </w:r>
      <w:r>
        <w:rPr>
          <w:rFonts w:ascii="Times New Roman;serif" w:hAnsi="Times New Roman;serif"/>
          <w:b/>
          <w:color w:val="000000"/>
          <w:sz w:val="20"/>
        </w:rPr>
        <w:t>T&amp;I Function</w:t>
      </w:r>
      <w:r>
        <w:rPr>
          <w:rFonts w:ascii="Times New Roman;serif" w:hAnsi="Times New Roman;serif"/>
          <w:b w:val="false"/>
          <w:color w:val="000000"/>
          <w:sz w:val="20"/>
        </w:rPr>
        <w:t xml:space="preserve">) provides, and allocates charges for, certain products and services to our reportable segments (the </w:t>
      </w:r>
      <w:r>
        <w:rPr>
          <w:rFonts w:ascii="Times New Roman;serif" w:hAnsi="Times New Roman;serif"/>
          <w:b/>
          <w:color w:val="000000"/>
          <w:sz w:val="20"/>
        </w:rPr>
        <w:t>Tech Framework</w:t>
      </w:r>
      <w:r>
        <w:rPr>
          <w:rFonts w:ascii="Times New Roman;serif" w:hAnsi="Times New Roman;serif"/>
          <w:b w:val="false"/>
          <w:color w:val="000000"/>
          <w:sz w:val="20"/>
        </w:rPr>
        <w:t>). These products and services include CPE hardware and related essential software, maintenance, hosting and other services. Our reportable segments capitalize the combined cost of the CPE hardware and a portion of the essential software as property and equipment additions and the corresponding amounts charged by our T&amp;I Function are reflected as revenue when earned.</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Performance Measures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Noncontrolling interests, primarily associated with Wyre and Formula E, are reflected in net earnings or loss attributable to noncontrolling interests in our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84"/>
        <w:gridCol w:w="1393"/>
        <w:gridCol w:w="1411"/>
        <w:gridCol w:w="109"/>
        <w:gridCol w:w="109"/>
        <w:gridCol w:w="192"/>
        <w:gridCol w:w="192"/>
        <w:gridCol w:w="192"/>
        <w:gridCol w:w="192"/>
        <w:gridCol w:w="372"/>
        <w:gridCol w:w="1353"/>
        <w:gridCol w:w="192"/>
        <w:gridCol w:w="109"/>
        <w:gridCol w:w="109"/>
        <w:gridCol w:w="109"/>
        <w:gridCol w:w="253"/>
        <w:gridCol w:w="741"/>
        <w:gridCol w:w="132"/>
        <w:gridCol w:w="109"/>
        <w:gridCol w:w="109"/>
        <w:gridCol w:w="109"/>
        <w:gridCol w:w="211"/>
        <w:gridCol w:w="766"/>
        <w:gridCol w:w="157"/>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2914" w:type="dxa"/>
            <w:gridSpan w:val="12"/>
            <w:tcBorders/>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82"/>
        <w:gridCol w:w="1391"/>
        <w:gridCol w:w="1406"/>
        <w:gridCol w:w="109"/>
        <w:gridCol w:w="109"/>
        <w:gridCol w:w="192"/>
        <w:gridCol w:w="192"/>
        <w:gridCol w:w="192"/>
        <w:gridCol w:w="192"/>
        <w:gridCol w:w="373"/>
        <w:gridCol w:w="1357"/>
        <w:gridCol w:w="192"/>
        <w:gridCol w:w="109"/>
        <w:gridCol w:w="109"/>
        <w:gridCol w:w="109"/>
        <w:gridCol w:w="253"/>
        <w:gridCol w:w="741"/>
        <w:gridCol w:w="132"/>
        <w:gridCol w:w="109"/>
        <w:gridCol w:w="109"/>
        <w:gridCol w:w="109"/>
        <w:gridCol w:w="211"/>
        <w:gridCol w:w="766"/>
        <w:gridCol w:w="161"/>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2918" w:type="dxa"/>
            <w:gridSpan w:val="1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Third-party and affiliate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(a)Amounts include revenue from: </w:t>
      </w:r>
    </w:p>
    <w:tbl>
      <w:tblPr>
        <w:tblW w:w="10205" w:type="dxa"/>
        <w:jc w:val="left"/>
        <w:tblInd w:w="0" w:type="dxa"/>
        <w:tblLayout w:type="fixed"/>
        <w:tblCellMar>
          <w:top w:w="28" w:type="dxa"/>
          <w:left w:w="28" w:type="dxa"/>
          <w:bottom w:w="28" w:type="dxa"/>
          <w:right w:w="28" w:type="dxa"/>
        </w:tblCellMar>
      </w:tblPr>
      <w:tblGrid>
        <w:gridCol w:w="2616"/>
        <w:gridCol w:w="2226"/>
        <w:gridCol w:w="2236"/>
        <w:gridCol w:w="109"/>
        <w:gridCol w:w="109"/>
        <w:gridCol w:w="151"/>
        <w:gridCol w:w="151"/>
        <w:gridCol w:w="292"/>
        <w:gridCol w:w="854"/>
        <w:gridCol w:w="151"/>
        <w:gridCol w:w="109"/>
        <w:gridCol w:w="109"/>
        <w:gridCol w:w="109"/>
        <w:gridCol w:w="211"/>
        <w:gridCol w:w="616"/>
        <w:gridCol w:w="156"/>
      </w:tblGrid>
      <w:tr>
        <w:trPr/>
        <w:tc>
          <w:tcPr>
            <w:tcW w:w="261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10" w:type="dxa"/>
            <w:gridSpan w:val="6"/>
            <w:tcBorders/>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0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parties and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 agreements with our nonconsolidated JV reportable segments (as further described in note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(b)Primarily reflects the elimination of (i) transactions between our Telenet and Wyre reportable segments and (ii) the revenue recognized related to the Tech Framework.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expense categories and amounts presented below align with the segment-level information that is regularly provided to the CODM. These amounts include intersegment expenses and are exclusive of share-based compensation expense. </w:t>
      </w:r>
    </w:p>
    <w:tbl>
      <w:tblPr>
        <w:tblW w:w="7389" w:type="dxa"/>
        <w:jc w:val="left"/>
        <w:tblInd w:w="0" w:type="dxa"/>
        <w:tblLayout w:type="fixed"/>
        <w:tblCellMar>
          <w:top w:w="28" w:type="dxa"/>
          <w:left w:w="28" w:type="dxa"/>
          <w:bottom w:w="28" w:type="dxa"/>
          <w:right w:w="28" w:type="dxa"/>
        </w:tblCellMar>
      </w:tblPr>
      <w:tblGrid>
        <w:gridCol w:w="1455"/>
        <w:gridCol w:w="1281"/>
        <w:gridCol w:w="1284"/>
        <w:gridCol w:w="109"/>
        <w:gridCol w:w="109"/>
        <w:gridCol w:w="141"/>
        <w:gridCol w:w="141"/>
        <w:gridCol w:w="274"/>
        <w:gridCol w:w="996"/>
        <w:gridCol w:w="141"/>
        <w:gridCol w:w="109"/>
        <w:gridCol w:w="109"/>
        <w:gridCol w:w="109"/>
        <w:gridCol w:w="211"/>
        <w:gridCol w:w="76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Programming and other direct costs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043" w:type="dxa"/>
        <w:jc w:val="left"/>
        <w:tblInd w:w="0" w:type="dxa"/>
        <w:tblLayout w:type="fixed"/>
        <w:tblCellMar>
          <w:top w:w="28" w:type="dxa"/>
          <w:left w:w="28" w:type="dxa"/>
          <w:bottom w:w="28" w:type="dxa"/>
          <w:right w:w="28" w:type="dxa"/>
        </w:tblCellMar>
      </w:tblPr>
      <w:tblGrid>
        <w:gridCol w:w="1326"/>
        <w:gridCol w:w="1167"/>
        <w:gridCol w:w="1181"/>
        <w:gridCol w:w="109"/>
        <w:gridCol w:w="109"/>
        <w:gridCol w:w="141"/>
        <w:gridCol w:w="141"/>
        <w:gridCol w:w="274"/>
        <w:gridCol w:w="996"/>
        <w:gridCol w:w="141"/>
        <w:gridCol w:w="109"/>
        <w:gridCol w:w="109"/>
        <w:gridCol w:w="109"/>
        <w:gridCol w:w="211"/>
        <w:gridCol w:w="7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Adjusted EBITDA</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reportable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reportable segment Adjusted EBITDA to earnings (loss) before income taxes:</w:t>
      </w:r>
    </w:p>
    <w:tbl>
      <w:tblPr>
        <w:tblW w:w="10205" w:type="dxa"/>
        <w:jc w:val="left"/>
        <w:tblInd w:w="0" w:type="dxa"/>
        <w:tblLayout w:type="fixed"/>
        <w:tblCellMar>
          <w:top w:w="28" w:type="dxa"/>
          <w:left w:w="28" w:type="dxa"/>
          <w:bottom w:w="28" w:type="dxa"/>
          <w:right w:w="28" w:type="dxa"/>
        </w:tblCellMar>
      </w:tblPr>
      <w:tblGrid>
        <w:gridCol w:w="2471"/>
        <w:gridCol w:w="2151"/>
        <w:gridCol w:w="2161"/>
        <w:gridCol w:w="109"/>
        <w:gridCol w:w="109"/>
        <w:gridCol w:w="139"/>
        <w:gridCol w:w="139"/>
        <w:gridCol w:w="270"/>
        <w:gridCol w:w="983"/>
        <w:gridCol w:w="139"/>
        <w:gridCol w:w="109"/>
        <w:gridCol w:w="109"/>
        <w:gridCol w:w="109"/>
        <w:gridCol w:w="211"/>
        <w:gridCol w:w="837"/>
        <w:gridCol w:w="159"/>
      </w:tblGrid>
      <w:tr>
        <w:trPr/>
        <w:tc>
          <w:tcPr>
            <w:tcW w:w="247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34" w:type="dxa"/>
            <w:gridSpan w:val="6"/>
            <w:tcBorders/>
          </w:tcPr>
          <w:p>
            <w:pPr>
              <w:pStyle w:val="TableContents"/>
              <w:bidi w:val="0"/>
              <w:spacing w:before="0" w:after="283"/>
              <w:jc w:val="left"/>
              <w:rPr>
                <w:sz w:val="4"/>
                <w:szCs w:val="4"/>
              </w:rPr>
            </w:pPr>
            <w:r>
              <w:rPr>
                <w:sz w:val="4"/>
                <w:szCs w:val="4"/>
              </w:rPr>
            </w:r>
          </w:p>
        </w:tc>
      </w:tr>
      <w:tr>
        <w:trPr/>
        <w:tc>
          <w:tcPr>
            <w:tcW w:w="67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reportable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nonconsolidated JV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 consolidated eliminations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7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(a)Amounts relate to the Adjusted EBITDA impact related to the Tech Framework.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Property and Equipment Additions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tbl>
      <w:tblPr>
        <w:tblW w:w="9323" w:type="dxa"/>
        <w:jc w:val="left"/>
        <w:tblInd w:w="0" w:type="dxa"/>
        <w:tblLayout w:type="fixed"/>
        <w:tblCellMar>
          <w:top w:w="28" w:type="dxa"/>
          <w:left w:w="28" w:type="dxa"/>
          <w:bottom w:w="28" w:type="dxa"/>
          <w:right w:w="28" w:type="dxa"/>
        </w:tblCellMar>
      </w:tblPr>
      <w:tblGrid>
        <w:gridCol w:w="2557"/>
        <w:gridCol w:w="2247"/>
        <w:gridCol w:w="2275"/>
        <w:gridCol w:w="211"/>
        <w:gridCol w:w="616"/>
        <w:gridCol w:w="109"/>
        <w:gridCol w:w="109"/>
        <w:gridCol w:w="109"/>
        <w:gridCol w:w="109"/>
        <w:gridCol w:w="211"/>
        <w:gridCol w:w="616"/>
        <w:gridCol w:w="154"/>
      </w:tblGrid>
      <w:tr>
        <w:trPr/>
        <w:tc>
          <w:tcPr>
            <w:tcW w:w="255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(nonconsolidated)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 (nonconsolidated)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 property and equipment additions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nonconsolidated JV property and equipment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property and equipment additions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property and equipment additions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under capital-related vendor financing arrangements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current liabilities related to 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(i) property and equipment additions representing centrally-owned assets that benefit other operating segments and (ii) the net impact of certain centrally-procured network equipment that is ultimately transferred to other operating segments.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by Major Category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by major category is set forth below:</w:t>
      </w:r>
    </w:p>
    <w:tbl>
      <w:tblPr>
        <w:tblW w:w="6128" w:type="dxa"/>
        <w:jc w:val="left"/>
        <w:tblInd w:w="0" w:type="dxa"/>
        <w:tblLayout w:type="fixed"/>
        <w:tblCellMar>
          <w:top w:w="28" w:type="dxa"/>
          <w:left w:w="28" w:type="dxa"/>
          <w:bottom w:w="28" w:type="dxa"/>
          <w:right w:w="28" w:type="dxa"/>
        </w:tblCellMar>
      </w:tblPr>
      <w:tblGrid>
        <w:gridCol w:w="1000"/>
        <w:gridCol w:w="877"/>
        <w:gridCol w:w="882"/>
        <w:gridCol w:w="109"/>
        <w:gridCol w:w="109"/>
        <w:gridCol w:w="141"/>
        <w:gridCol w:w="141"/>
        <w:gridCol w:w="274"/>
        <w:gridCol w:w="996"/>
        <w:gridCol w:w="141"/>
        <w:gridCol w:w="109"/>
        <w:gridCol w:w="109"/>
        <w:gridCol w:w="109"/>
        <w:gridCol w:w="211"/>
        <w:gridCol w:w="76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fixed revenue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internet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Fixed-line telephony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mobile revenue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mobile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 revenue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B2B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(c)Residential mobile subscription revenue includes amounts received from subscribers for ongoing services. Residential mobile non-subscription revenue includes, among other items, interconnect revenue and revenue from sales of mobile handsets and other devices.</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(d)B2B subscription revenue represents revenue from (i) services provided to small or home office (</w:t>
      </w:r>
      <w:r>
        <w:rPr>
          <w:rFonts w:ascii="Times New Roman;serif" w:hAnsi="Times New Roman;serif"/>
          <w:b/>
          <w:color w:val="000000"/>
          <w:sz w:val="20"/>
        </w:rPr>
        <w:t>SOHO</w:t>
      </w:r>
      <w:r>
        <w:rPr>
          <w:rFonts w:ascii="Times New Roman;serif" w:hAnsi="Times New Roman;serif"/>
          <w:b w:val="false"/>
          <w:color w:val="000000"/>
          <w:sz w:val="20"/>
        </w:rPr>
        <w:t xml:space="preserve">)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LIBERTY GLOBAL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enterprises and, fixed-line and mobile services on a wholesale basis, to other operators and (b) revenue from long-term leases of portions of our network.</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(e)Other revenue includes, among other items, (i) revenue earned from the U.K. JV Services, the Sunrise Services and the NL JV Services, (ii) revenue at Formula E, (iii) revenue earned from the sales of CPE to the VMO2 JV and the VodafoneZiggo JV and (iv) broadcasting revenue at Telenet and VM Ireland.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2.</w:t>
      </w:r>
      <w:r>
        <w:rPr>
          <w:rFonts w:ascii="Times New Roman;serif" w:hAnsi="Times New Roman;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which should be read in conjunction with our consolidated financial statements and the discussion and analysis included in our 2025 10-K, is intended to assist in providing an understanding of changes in our results of operations and financial condition and is organized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Forward-Looking Statements. </w:t>
      </w:r>
      <w:r>
        <w:rPr>
          <w:rFonts w:ascii="Times New Roman;serif" w:hAnsi="Times New Roman;serif"/>
          <w:b w:val="false"/>
          <w:color w:val="000000"/>
          <w:sz w:val="20"/>
        </w:rPr>
        <w:t>This section provides a description of certain factors that could cause actual results or events to differ materially from anticipated results or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This section provides a general description of our business and recent events.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Material Changes in Results of Operations.</w:t>
      </w:r>
      <w:r>
        <w:rPr>
          <w:color w:val="000000"/>
        </w:rPr>
        <w:t xml:space="preserve"> </w:t>
      </w:r>
      <w:r>
        <w:rPr>
          <w:rFonts w:ascii="Times New Roman;serif" w:hAnsi="Times New Roman;serif"/>
          <w:b w:val="false"/>
          <w:color w:val="000000"/>
          <w:sz w:val="20"/>
        </w:rPr>
        <w:t>This section provides an analysis of our results of operations for the three months ended March 31, 2026 and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Material Changes in Financial Condition.</w:t>
      </w:r>
      <w:r>
        <w:rPr>
          <w:color w:val="000000"/>
        </w:rPr>
        <w:t xml:space="preserve"> </w:t>
      </w:r>
      <w:r>
        <w:rPr>
          <w:rFonts w:ascii="Times New Roman;serif" w:hAnsi="Times New Roman;serif"/>
          <w:b w:val="false"/>
          <w:color w:val="000000"/>
          <w:sz w:val="20"/>
        </w:rPr>
        <w:t>This section provides an analysis of our corporate and subsidiary liquidity as of March 31, 2026 and our condensed consolidated statements of cash flows for the three months ended March 31, 2026 and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convenience translations into U.S. dollars are calculated, and operational data is presented, as of March 31, 2026.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w:t>
      </w:r>
      <w:r>
        <w:rPr>
          <w:color w:val="000000"/>
        </w:rPr>
        <w:t xml:space="preserve">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Part I, Item 3.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 xml:space="preserve">and Part II, Item 2. </w:t>
      </w:r>
      <w:r>
        <w:rPr>
          <w:rFonts w:ascii="Times New Roman;serif" w:hAnsi="Times New Roman;serif"/>
          <w:b w:val="false"/>
          <w:i/>
          <w:color w:val="000000"/>
          <w:sz w:val="20"/>
        </w:rPr>
        <w:t>Unregistered Sales of Equity Securities and Use of Proceeds</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 xml:space="preserve">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of our 2025 10-K, as well as the following list of some, but not all, of the factors that could cause actual results or events (including with respect to our affiliates) to differ materially from anticipated results or events: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economic and business conditions and industry trends in the countries in which we or our affiliates operate, including the impact of the increasingly uncertain and volatile economic conditions, an inflationary environment and changes in government policies, including those related to trade and tariffs;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competitive environment in the industries and in the countries in which we or our affiliates operate, including competitor responses to our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manage rapid technological changes, including our ability to adequately manage our legacy technologies;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effects of new, emerging or competing technologies, including those that could make our products less desirable or obsolete;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our future financial performance, or market conditions generally, on the availability, terms and deployment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adequately forecast and plan future network requirements;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laws, monetary policies and government regulations that may impact the availability or cost of capital and the derivative instruments that hedge certain of our financial risks;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consumer video, mobile and broadband usage, preferences and habits, including increased demand for high-speed data transmission services and artificial intelligence-enabled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of attractive programming for our video services and the costs associated with such programming, including, but not limited to, production costs, retransmission and copyright fees;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use intellectual property used to conduct our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activities of device manufacturers and our operating companies’ ability to secure adequate and timely supply of handsets that experience high demand;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uncertainties inherent in the development, and integration, of new business lines and business strategies;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increase revenue from business services offered to our affiliates and other third parties;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cost and regulation of spectrum used in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suppliers and vendors (including our third-party wireless network provider, Three (Hutchison), under our mobile virtual network operator arrangement at VM Ireland) to timely deliver quality products, equipment, software, services and access;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leakage of sensitive customer or company data or the failure by us, our affiliates or our third-party providers to comply with applicable data protection laws, regulations and rules;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and the ability of our third-party service providers to anticipate, protect against, mitigate and contain the loss of our and our customers’ data as a result of cyber attacks on us or any of our affiliates or our third-party service providers;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 failure in our network and information systems, whether caused by a natural failure or a security breach, and unauthorized access to our networks;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currency exchange rates and interest rates;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instability in global financial markets, including sovereign debt issues, currency instability and related fiscal or monetary reforms;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or failure or inability to comply with, government regulations and legislation in the countries in which we or our affiliates operate and any adverse outcomes from regulatory proceedings;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laws or treaties relating to taxation, or the interpretation thereof, in Bermuda, the U.K., the E.U., the U.S. or in other countries in which we or our affiliates operate;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 of perceived health risks associated with electromagnetic radiation from base stations and associated equipment;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navigate the potential impacts on our business resulting from the U.K.’s departure from the E.U.;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acquire new businesses or form joint ventures and, if acquired or joined, to integrate, realize anticipated synergies from, and implement our business plans with respect to, the businesses we have acquired or joined or that we expect to acquire or join on the timelines, or within the budgets, estimated for such integrations;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successfully integrating businesses or operations that we acquire or partner with on the timelines, or within the budgets, estimated for such integrations;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realize the expected synergies from our acquisitions and joint ventures in the amounts anticipated or on the anticipated timelines;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obtain regulatory and shareholder approval and satisfy other conditions necessary to close acquisitions, dispositions, combinations or joint ventures and the impact of conditions imposed by competition and other regulatory authorities in connection with any of our acquisitions, dispositions, combinations or joint ventures;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problems we may discover post-closing with the operations, including the internal controls and financial reporting processes, of businesses we acquire or with whom we create joint ventures;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costs, customer loss and business disruption, including maintaining relationships with employees, customers, suppliers or vendors, may be greater than expected in connection with our acquisitions, dispositions or joint ventures;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the nature of key strategic relationships with partners and joint venturers;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profit from investments, such as our joint ventures, that we do not solely control;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potential exposure to additional tax liabilities;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effect on our businesses of strikes or collective action by certain of our employees that are represented by trade unions or work councils;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capital structure and factors related to our debt arrangements;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and cost of capital for the acquisition, maintenance and/or development of telecommunications networks,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consumer disposable income and spending levels, including the availability and amount of individual consumer debt, as a result of, among other things, inflationary or cost of living pressures;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freely access the cash of our operating companies;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risk of default by counterparties to our cash investments, derivative and other financial instruments and undrawn debt facilities;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loss of key employees and the lack of qualified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provide satisfactory customer service, including support for new and evolving products and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intervention that requires opening our broadband distribution networks to competitors, such as certain regulatory obligations imposed in Belgium;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and further develop our direct and indirect distribution channels;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outcome of any pending or threatened litigation;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international provider of broadband internet, video, fixed-line telephony and mobile communications services to residential customers and businesses in Europe and are an active investor across the technology, media, sports and infrastructure sectors. We also provide innovative technology, operational and financial services to our affiliates and third parties. We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also have controlling interests in Wyre, an independent infrastructure company in Belgium, and Formula E,</w:t>
      </w:r>
      <w:r>
        <w:rPr>
          <w:color w:val="000000"/>
        </w:rPr>
        <w:t xml:space="preserve"> </w:t>
      </w:r>
      <w:r>
        <w:rPr>
          <w:rFonts w:ascii="Times New Roman;serif" w:hAnsi="Times New Roman;serif"/>
          <w:b w:val="false"/>
          <w:color w:val="000000"/>
          <w:sz w:val="20"/>
        </w:rPr>
        <w:t>a global electric motor racing series.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our reportable segments, including our nonconsolidated JVs, as defined in note 15 to our condensed consolidated financial statements, owned and operated networks that passed 29,147,600 homes and served 10,914,200 fixed-line customers and 48,528,300 mobile subscribers.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Competition and Other External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serif" w:hAnsi="Times New Roman;serif"/>
          <w:b/>
          <w:color w:val="000000"/>
          <w:sz w:val="20"/>
        </w:rPr>
        <w:t>ARPU</w:t>
      </w:r>
      <w:r>
        <w:rPr>
          <w:rFonts w:ascii="Times New Roman;serif" w:hAnsi="Times New Roman;serif"/>
          <w:b w:val="false"/>
          <w:color w:val="000000"/>
          <w:sz w:val="20"/>
        </w:rPr>
        <w:t xml:space="preserve">). For additional information regarding the revenue impact of changes in the fixed-line customers and ARPU of our consolidated reportable segments, see </w:t>
      </w:r>
      <w:r>
        <w:rPr>
          <w:rFonts w:ascii="Times New Roman;serif" w:hAnsi="Times New Roman;serif"/>
          <w:b w:val="false"/>
          <w:i/>
          <w:color w:val="000000"/>
          <w:sz w:val="20"/>
        </w:rPr>
        <w:t>Discussion and Analysis of our Reportable Segments</w:t>
      </w:r>
      <w:r>
        <w:rPr>
          <w:color w:val="000000"/>
        </w:rPr>
        <w:t xml:space="preserve"> </w:t>
      </w:r>
      <w:r>
        <w:rPr>
          <w:rFonts w:ascii="Times New Roman;serif" w:hAnsi="Times New Roman;serif"/>
          <w:b w:val="false"/>
          <w:color w:val="000000"/>
          <w:sz w:val="20"/>
        </w:rPr>
        <w:t>below</w:t>
      </w:r>
      <w:r>
        <w:rPr>
          <w:rFonts w:ascii="Times New Roman;serif" w:hAnsi="Times New Roman;serif"/>
          <w:b w:val="false"/>
          <w:i/>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Changes in Results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the following discussion, we quantify the estimated impact of material acquisitions (the </w:t>
      </w:r>
      <w:r>
        <w:rPr>
          <w:rFonts w:ascii="Times New Roman;serif" w:hAnsi="Times New Roman;serif"/>
          <w:b/>
          <w:color w:val="000000"/>
          <w:sz w:val="20"/>
        </w:rPr>
        <w:t>Acquisition Impact</w:t>
      </w:r>
      <w:r>
        <w:rPr>
          <w:rFonts w:ascii="Times New Roman;serif" w:hAnsi="Times New Roman;serif"/>
          <w:b w:val="false"/>
          <w:color w:val="000000"/>
          <w:sz w:val="20"/>
        </w:rPr>
        <w:t xml:space="preserve">)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serif" w:hAnsi="Times New Roman;serif"/>
          <w:b/>
          <w:color w:val="000000"/>
          <w:sz w:val="20"/>
        </w:rPr>
        <w:t>FX</w:t>
      </w:r>
      <w:r>
        <w:rPr>
          <w:rFonts w:ascii="Times New Roman;serif" w:hAnsi="Times New Roman;serif"/>
          <w:b w:val="false"/>
          <w:color w:val="000000"/>
          <w:sz w:val="20"/>
        </w:rPr>
        <w:t>) risk during the three months ended March 31, 2026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w:t>
      </w:r>
      <w:r>
        <w:rPr>
          <w:color w:val="000000"/>
        </w:rPr>
        <w:t xml:space="preserve"> </w:t>
      </w:r>
      <w:r>
        <w:rPr>
          <w:rFonts w:ascii="Times New Roman;serif" w:hAnsi="Times New Roman;serif"/>
          <w:b w:val="false"/>
          <w:color w:val="000000"/>
          <w:sz w:val="20"/>
        </w:rPr>
        <w:t xml:space="preserve">in the various components of our results of operations that are attributable to changes in FX are highlighted under </w:t>
      </w:r>
      <w:r>
        <w:rPr>
          <w:rFonts w:ascii="Times New Roman;serif" w:hAnsi="Times New Roman;serif"/>
          <w:b w:val="false"/>
          <w:i/>
          <w:color w:val="000000"/>
          <w:sz w:val="20"/>
        </w:rPr>
        <w:t>Discussion and Analysis of our</w:t>
      </w:r>
      <w:r>
        <w:rPr>
          <w:color w:val="000000"/>
        </w:rPr>
        <w:t xml:space="preserve"> </w:t>
      </w:r>
      <w:r>
        <w:rPr>
          <w:rFonts w:ascii="Times New Roman;serif" w:hAnsi="Times New Roman;serif"/>
          <w:b w:val="false"/>
          <w:i/>
          <w:color w:val="000000"/>
          <w:sz w:val="20"/>
        </w:rPr>
        <w:t xml:space="preserve">Reportable Segments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 xml:space="preserve">below. For information regarding our foreign currency risks and the applicable foreign currency exchange rates in effect for the periods covered by this Quarterly Report, see Part I, Item 3. </w:t>
      </w:r>
      <w:r>
        <w:rPr>
          <w:rFonts w:ascii="Times New Roman;serif" w:hAnsi="Times New Roman;serif"/>
          <w:b w:val="false"/>
          <w:i/>
          <w:color w:val="000000"/>
          <w:sz w:val="20"/>
        </w:rPr>
        <w:t>Quantitative and Qualitative Disclosures about Market Risk — Foreign Currency Risk</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presented and discussed below represent 100% of each of our consolidated and nonconsolidated reportable segment’s results of operations,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condensed consolidated statements of operations. Noncontrolling interests, primarily associated with Wyre and Formula E, are reflected in net earnings or loss attributable to noncontrolling interests in our condensed consolidated statements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Discussion and Analysis of our Reportable Segments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Telenet, VM Ireland, the VMO2 JV and the VodafoneZiggo JV derive their revenue primarily from residential and B2B communications services. Wyre derives revenue primarily by providing access to its network on a wholesale basis. For detailed information regarding the composition of our reportable segments, our “all other category” and how we define and categorize our revenue components, see note 15 to our condensed consolidated financial statements. For information regarding the results of operations of the VMO2 JV and the VodafoneZiggo JV, refer to </w:t>
      </w:r>
      <w:r>
        <w:rPr>
          <w:rFonts w:ascii="Times New Roman;serif" w:hAnsi="Times New Roman;serif"/>
          <w:b w:val="false"/>
          <w:i/>
          <w:color w:val="000000"/>
          <w:sz w:val="20"/>
        </w:rPr>
        <w:t xml:space="preserve">Discussion and Analysis of our Consolidated Operating Results — Share of results of affiliates, net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presented below in this section provide the details of the revenue and Adjusted EBITDA of our reportable segments for the three months ended March 31, 2026, as compared to the corresponding period in 2025.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months ended March 31, 2026 and 2025 at the end of this section.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provides a reconciliation of net earnings (loss)</w:t>
      </w:r>
      <w:r>
        <w:rPr>
          <w:color w:val="000000"/>
        </w:rPr>
        <w:t xml:space="preserve"> </w:t>
      </w:r>
      <w:r>
        <w:rPr>
          <w:rFonts w:ascii="Times New Roman;serif" w:hAnsi="Times New Roman;serif"/>
          <w:b w:val="false"/>
          <w:color w:val="000000"/>
          <w:sz w:val="20"/>
        </w:rPr>
        <w:t>to total consolidated Adjusted EBITDA:</w:t>
      </w:r>
    </w:p>
    <w:tbl>
      <w:tblPr>
        <w:tblW w:w="10205" w:type="dxa"/>
        <w:jc w:val="left"/>
        <w:tblInd w:w="0" w:type="dxa"/>
        <w:tblLayout w:type="fixed"/>
        <w:tblCellMar>
          <w:top w:w="28" w:type="dxa"/>
          <w:left w:w="28" w:type="dxa"/>
          <w:bottom w:w="28" w:type="dxa"/>
          <w:right w:w="28" w:type="dxa"/>
        </w:tblCellMar>
      </w:tblPr>
      <w:tblGrid>
        <w:gridCol w:w="2478"/>
        <w:gridCol w:w="2151"/>
        <w:gridCol w:w="2159"/>
        <w:gridCol w:w="109"/>
        <w:gridCol w:w="109"/>
        <w:gridCol w:w="157"/>
        <w:gridCol w:w="157"/>
        <w:gridCol w:w="304"/>
        <w:gridCol w:w="889"/>
        <w:gridCol w:w="157"/>
        <w:gridCol w:w="109"/>
        <w:gridCol w:w="109"/>
        <w:gridCol w:w="109"/>
        <w:gridCol w:w="211"/>
        <w:gridCol w:w="837"/>
        <w:gridCol w:w="160"/>
      </w:tblGrid>
      <w:tr>
        <w:trPr/>
        <w:tc>
          <w:tcPr>
            <w:tcW w:w="247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35" w:type="dxa"/>
            <w:gridSpan w:val="6"/>
            <w:tcBorders/>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results of affiliates,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due to changes in fair values of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losses (gains)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restructuring and other operating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Revenue of our Reportable Segments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While not specifically discussed in the below explanations of the changes in the revenue of our reportable segments, we are experiencing competition in all of our markets. This competition has an adverse impact on our ability to increase or maintain our total number of customers and/or our ARPU.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93"/>
        <w:gridCol w:w="946"/>
        <w:gridCol w:w="956"/>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109"/>
        <w:gridCol w:w="109"/>
        <w:gridCol w:w="109"/>
        <w:gridCol w:w="109"/>
        <w:gridCol w:w="260"/>
        <w:gridCol w:w="631"/>
        <w:gridCol w:w="134"/>
        <w:gridCol w:w="134"/>
        <w:gridCol w:w="134"/>
        <w:gridCol w:w="134"/>
        <w:gridCol w:w="224"/>
        <w:gridCol w:w="226"/>
        <w:gridCol w:w="197"/>
      </w:tblGrid>
      <w:tr>
        <w:trPr/>
        <w:tc>
          <w:tcPr>
            <w:tcW w:w="119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Telenet.</w:t>
      </w:r>
      <w:r>
        <w:rPr>
          <w:color w:val="000000"/>
        </w:rPr>
        <w:t xml:space="preserve"> </w:t>
      </w:r>
      <w:r>
        <w:rPr>
          <w:rFonts w:ascii="Times New Roman;serif" w:hAnsi="Times New Roman;serif"/>
          <w:b w:val="false"/>
          <w:color w:val="000000"/>
          <w:sz w:val="20"/>
        </w:rPr>
        <w:t>The details of the increase</w:t>
      </w:r>
      <w:r>
        <w:rPr>
          <w:color w:val="000000"/>
        </w:rPr>
        <w:t xml:space="preserve"> </w:t>
      </w:r>
      <w:r>
        <w:rPr>
          <w:rFonts w:ascii="Times New Roman;serif" w:hAnsi="Times New Roman;serif"/>
          <w:b w:val="false"/>
          <w:color w:val="000000"/>
          <w:sz w:val="20"/>
        </w:rPr>
        <w:t>in Telenet’s revenue during the three months ended March 31, 2026</w:t>
      </w:r>
      <w:r>
        <w:rPr>
          <w:rFonts w:ascii="Times New Roman;serif" w:hAnsi="Times New Roman;serif"/>
          <w:b w:val="false"/>
          <w:color w:val="2C2C2C"/>
          <w:sz w:val="20"/>
        </w:rPr>
        <w:t>,</w:t>
      </w:r>
      <w:r>
        <w:rPr>
          <w:color w:val="000000"/>
        </w:rPr>
        <w:t xml:space="preserve"> </w:t>
      </w:r>
      <w:r>
        <w:rPr>
          <w:rFonts w:ascii="Times New Roman;serif" w:hAnsi="Times New Roman;serif"/>
          <w:b w:val="false"/>
          <w:color w:val="000000"/>
          <w:sz w:val="20"/>
        </w:rPr>
        <w:t xml:space="preserve">as compared to the corresponding period in </w:t>
      </w:r>
      <w:r>
        <w:rPr>
          <w:rFonts w:ascii="Times New Roman;serif" w:hAnsi="Times New Roman;serif"/>
          <w:b w:val="false"/>
          <w:color w:val="2C2C2C"/>
          <w:sz w:val="20"/>
        </w:rPr>
        <w:t>2025</w:t>
      </w:r>
      <w:r>
        <w:rPr>
          <w:rFonts w:ascii="Times New Roman;serif" w:hAnsi="Times New Roman;serif"/>
          <w:b w:val="false"/>
          <w:color w:val="000000"/>
          <w:sz w:val="20"/>
        </w:rPr>
        <w:t xml:space="preserve">, are set forth below: </w:t>
      </w:r>
    </w:p>
    <w:tbl>
      <w:tblPr>
        <w:tblW w:w="10205" w:type="dxa"/>
        <w:jc w:val="left"/>
        <w:tblInd w:w="0" w:type="dxa"/>
        <w:tblLayout w:type="fixed"/>
        <w:tblCellMar>
          <w:top w:w="28" w:type="dxa"/>
          <w:left w:w="28" w:type="dxa"/>
          <w:bottom w:w="28" w:type="dxa"/>
          <w:right w:w="28" w:type="dxa"/>
        </w:tblCellMar>
      </w:tblPr>
      <w:tblGrid>
        <w:gridCol w:w="1977"/>
        <w:gridCol w:w="1720"/>
        <w:gridCol w:w="1729"/>
        <w:gridCol w:w="109"/>
        <w:gridCol w:w="109"/>
        <w:gridCol w:w="109"/>
        <w:gridCol w:w="109"/>
        <w:gridCol w:w="109"/>
        <w:gridCol w:w="109"/>
        <w:gridCol w:w="288"/>
        <w:gridCol w:w="698"/>
        <w:gridCol w:w="149"/>
        <w:gridCol w:w="109"/>
        <w:gridCol w:w="109"/>
        <w:gridCol w:w="109"/>
        <w:gridCol w:w="363"/>
        <w:gridCol w:w="905"/>
        <w:gridCol w:w="188"/>
        <w:gridCol w:w="109"/>
        <w:gridCol w:w="109"/>
        <w:gridCol w:w="109"/>
        <w:gridCol w:w="211"/>
        <w:gridCol w:w="511"/>
        <w:gridCol w:w="158"/>
      </w:tblGrid>
      <w:tr>
        <w:trPr/>
        <w:tc>
          <w:tcPr>
            <w:tcW w:w="197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2" w:type="dxa"/>
            <w:gridSpan w:val="18"/>
            <w:tcBorders/>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mobile revenue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B2B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dispositions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(a)The increase in residential mobile non-subscription revenue is primarily attributable to an increase in revenue from handset sales.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Wyre.</w:t>
      </w:r>
      <w:r>
        <w:rPr>
          <w:color w:val="000000"/>
        </w:rPr>
        <w:t xml:space="preserve"> </w:t>
      </w:r>
      <w:r>
        <w:rPr>
          <w:rFonts w:ascii="Times New Roman;serif" w:hAnsi="Times New Roman;serif"/>
          <w:b w:val="false"/>
          <w:color w:val="000000"/>
          <w:sz w:val="20"/>
        </w:rPr>
        <w:t xml:space="preserve">Wyre’s revenue increased $18.1 million during the three months ended March 31, 2026, as compared to the corresponding period in </w:t>
      </w:r>
      <w:r>
        <w:rPr>
          <w:rFonts w:ascii="Times New Roman;serif" w:hAnsi="Times New Roman;serif"/>
          <w:b w:val="false"/>
          <w:color w:val="2C2C2C"/>
          <w:sz w:val="20"/>
        </w:rPr>
        <w:t>2025.</w:t>
      </w:r>
      <w:r>
        <w:rPr>
          <w:color w:val="000000"/>
        </w:rPr>
        <w:t xml:space="preserve"> </w:t>
      </w:r>
      <w:r>
        <w:rPr>
          <w:rFonts w:ascii="Times New Roman;serif" w:hAnsi="Times New Roman;serif"/>
          <w:b w:val="false"/>
          <w:color w:val="000000"/>
          <w:sz w:val="20"/>
        </w:rPr>
        <w:t>Excluding the effects of FX, Wyre’s revenue decreased $1.9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VM Ireland.</w:t>
      </w:r>
      <w:r>
        <w:rPr>
          <w:color w:val="000000"/>
        </w:rPr>
        <w:t xml:space="preserve"> </w:t>
      </w:r>
      <w:r>
        <w:rPr>
          <w:rFonts w:ascii="Times New Roman;serif" w:hAnsi="Times New Roman;serif"/>
          <w:b w:val="false"/>
          <w:color w:val="000000"/>
          <w:sz w:val="20"/>
        </w:rPr>
        <w:t xml:space="preserve">The details of the increase in VM Ireland’s revenue during the three months ended March 31, 2026, as compared to the corresponding period in </w:t>
      </w:r>
      <w:r>
        <w:rPr>
          <w:rFonts w:ascii="Times New Roman;serif" w:hAnsi="Times New Roman;serif"/>
          <w:b w:val="false"/>
          <w:color w:val="2C2C2C"/>
          <w:sz w:val="20"/>
        </w:rPr>
        <w:t>2025</w:t>
      </w:r>
      <w:r>
        <w:rPr>
          <w:rFonts w:ascii="Times New Roman;serif" w:hAnsi="Times New Roman;serif"/>
          <w:b w:val="false"/>
          <w:color w:val="000000"/>
          <w:sz w:val="20"/>
        </w:rPr>
        <w:t>, are set forth below:</w:t>
      </w:r>
    </w:p>
    <w:tbl>
      <w:tblPr>
        <w:tblW w:w="10205" w:type="dxa"/>
        <w:jc w:val="left"/>
        <w:tblInd w:w="0" w:type="dxa"/>
        <w:tblLayout w:type="fixed"/>
        <w:tblCellMar>
          <w:top w:w="28" w:type="dxa"/>
          <w:left w:w="28" w:type="dxa"/>
          <w:bottom w:w="28" w:type="dxa"/>
          <w:right w:w="28" w:type="dxa"/>
        </w:tblCellMar>
      </w:tblPr>
      <w:tblGrid>
        <w:gridCol w:w="1967"/>
        <w:gridCol w:w="1725"/>
        <w:gridCol w:w="1735"/>
        <w:gridCol w:w="109"/>
        <w:gridCol w:w="109"/>
        <w:gridCol w:w="109"/>
        <w:gridCol w:w="109"/>
        <w:gridCol w:w="109"/>
        <w:gridCol w:w="109"/>
        <w:gridCol w:w="323"/>
        <w:gridCol w:w="645"/>
        <w:gridCol w:w="167"/>
        <w:gridCol w:w="109"/>
        <w:gridCol w:w="109"/>
        <w:gridCol w:w="109"/>
        <w:gridCol w:w="423"/>
        <w:gridCol w:w="814"/>
        <w:gridCol w:w="219"/>
        <w:gridCol w:w="109"/>
        <w:gridCol w:w="109"/>
        <w:gridCol w:w="109"/>
        <w:gridCol w:w="211"/>
        <w:gridCol w:w="511"/>
        <w:gridCol w:w="157"/>
      </w:tblGrid>
      <w:tr>
        <w:trPr/>
        <w:tc>
          <w:tcPr>
            <w:tcW w:w="196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18"/>
            <w:tcBorders/>
          </w:tcPr>
          <w:p>
            <w:pPr>
              <w:pStyle w:val="TableContents"/>
              <w:bidi w:val="0"/>
              <w:spacing w:before="0" w:after="283"/>
              <w:jc w:val="left"/>
              <w:rPr>
                <w:sz w:val="4"/>
                <w:szCs w:val="4"/>
              </w:rPr>
            </w:pPr>
            <w:r>
              <w:rPr>
                <w:sz w:val="4"/>
                <w:szCs w:val="4"/>
              </w:rPr>
            </w:r>
          </w:p>
        </w:tc>
      </w:tr>
      <w:tr>
        <w:trPr/>
        <w:tc>
          <w:tcPr>
            <w:tcW w:w="5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Subscription </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Non-subscription</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mobile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B2B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5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Programming and Other Direct Costs of Services, Other Operating Expenses and SG&amp;A Expenses of our Reportable Segments</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For information regarding the changes in our (i) programming and other direct costs of services, (ii) other operating expenses and (iii) SG&amp;A expenses</w:t>
      </w:r>
      <w:r>
        <w:rPr>
          <w:rFonts w:ascii="Times New Roman;serif" w:hAnsi="Times New Roman;serif"/>
          <w:b w:val="false"/>
          <w:i/>
          <w:color w:val="000000"/>
          <w:sz w:val="20"/>
        </w:rPr>
        <w:t xml:space="preserve">, </w:t>
      </w: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EBITDA of our Reportable Segments</w:t>
      </w:r>
    </w:p>
    <w:p>
      <w:pPr>
        <w:pStyle w:val="TextBody"/>
        <w:bidi w:val="0"/>
        <w:spacing w:before="0" w:after="0"/>
        <w:ind w:left="0" w:right="0" w:firstLine="18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57"/>
        <w:gridCol w:w="989"/>
        <w:gridCol w:w="99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55"/>
        <w:gridCol w:w="256"/>
        <w:gridCol w:w="109"/>
        <w:gridCol w:w="109"/>
        <w:gridCol w:w="109"/>
        <w:gridCol w:w="109"/>
        <w:gridCol w:w="254"/>
        <w:gridCol w:w="615"/>
        <w:gridCol w:w="131"/>
        <w:gridCol w:w="131"/>
        <w:gridCol w:w="131"/>
        <w:gridCol w:w="131"/>
        <w:gridCol w:w="222"/>
        <w:gridCol w:w="224"/>
        <w:gridCol w:w="190"/>
      </w:tblGrid>
      <w:tr>
        <w:trPr/>
        <w:tc>
          <w:tcPr>
            <w:tcW w:w="125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Adjusted EBITDA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EBITDA Margin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Adjusted EBITDA margins (Adjusted EBITDA divided by revenue) of each of our reportable segments:</w:t>
      </w:r>
    </w:p>
    <w:tbl>
      <w:tblPr>
        <w:tblW w:w="4730" w:type="dxa"/>
        <w:jc w:val="left"/>
        <w:tblInd w:w="0" w:type="dxa"/>
        <w:tblLayout w:type="fixed"/>
        <w:tblCellMar>
          <w:top w:w="28" w:type="dxa"/>
          <w:left w:w="28" w:type="dxa"/>
          <w:bottom w:w="28" w:type="dxa"/>
          <w:right w:w="28" w:type="dxa"/>
        </w:tblCellMar>
      </w:tblPr>
      <w:tblGrid>
        <w:gridCol w:w="600"/>
        <w:gridCol w:w="528"/>
        <w:gridCol w:w="536"/>
        <w:gridCol w:w="109"/>
        <w:gridCol w:w="109"/>
        <w:gridCol w:w="261"/>
        <w:gridCol w:w="261"/>
        <w:gridCol w:w="261"/>
        <w:gridCol w:w="261"/>
        <w:gridCol w:w="650"/>
        <w:gridCol w:w="109"/>
        <w:gridCol w:w="109"/>
        <w:gridCol w:w="109"/>
        <w:gridCol w:w="255"/>
        <w:gridCol w:w="256"/>
        <w:gridCol w:w="316"/>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VodafoneZiggo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serif" w:hAnsi="Times New Roman;serif"/>
          <w:b w:val="false"/>
          <w:i/>
          <w:color w:val="000000"/>
          <w:sz w:val="20"/>
        </w:rPr>
        <w:t>Discussion and Analysis of our Reportable Segments</w:t>
      </w:r>
      <w:r>
        <w:rPr>
          <w:color w:val="000000"/>
        </w:rPr>
        <w:t xml:space="preserve"> </w:t>
      </w:r>
      <w:r>
        <w:rPr>
          <w:rFonts w:ascii="Times New Roman;serif" w:hAnsi="Times New Roman;serif"/>
          <w:b w:val="false"/>
          <w:color w:val="000000"/>
          <w:sz w:val="20"/>
        </w:rPr>
        <w:t xml:space="preserve">above and the analysis of our expenses included in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 xml:space="preserve">below. For discussion of the factors contributing to the changes in the Adjusted EBITDA margins of the VMO2 JV and the VodafoneZiggo JV, see </w:t>
      </w:r>
      <w:r>
        <w:rPr>
          <w:rFonts w:ascii="Times New Roman;serif" w:hAnsi="Times New Roman;serif"/>
          <w:b w:val="false"/>
          <w:i/>
          <w:color w:val="000000"/>
          <w:sz w:val="20"/>
        </w:rPr>
        <w:t>Discussion and Analysis of our Consolidated Operating Results — Share of results of affiliates, net</w:t>
      </w:r>
      <w:r>
        <w:rPr>
          <w:color w:val="000000"/>
        </w:rPr>
        <w:t xml:space="preserve"> </w:t>
      </w:r>
      <w:r>
        <w:rPr>
          <w:rFonts w:ascii="Times New Roman;serif" w:hAnsi="Times New Roman;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Discussion and Analysis of our Consolidated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more detailed explanations of the changes in our revenue,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by major category is set forth below: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98"/>
        <w:gridCol w:w="872"/>
        <w:gridCol w:w="87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109"/>
        <w:gridCol w:w="109"/>
        <w:gridCol w:w="109"/>
        <w:gridCol w:w="109"/>
        <w:gridCol w:w="307"/>
        <w:gridCol w:w="743"/>
        <w:gridCol w:w="158"/>
        <w:gridCol w:w="158"/>
        <w:gridCol w:w="158"/>
        <w:gridCol w:w="158"/>
        <w:gridCol w:w="254"/>
        <w:gridCol w:w="257"/>
        <w:gridCol w:w="229"/>
      </w:tblGrid>
      <w:tr>
        <w:trPr/>
        <w:tc>
          <w:tcPr>
            <w:tcW w:w="9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fixed revenue (a):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internet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Fixed-line telephony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fixed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mobile revenue (c):</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mobile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B2B revenue (d):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B2B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(c)Residential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$7.2 million and $8.3 million during the three months ended March 31, 2026 and 2025,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(d)B2B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w:t>
      </w:r>
      <w:r>
        <w:rPr>
          <w:color w:val="000000"/>
        </w:rPr>
        <w:t xml:space="preserve"> </w:t>
      </w:r>
      <w:r>
        <w:rPr>
          <w:rFonts w:ascii="Times New Roman;serif" w:hAnsi="Times New Roman;serif"/>
          <w:b w:val="false"/>
          <w:color w:val="000000"/>
          <w:sz w:val="20"/>
        </w:rPr>
        <w:t>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(e)Other revenue includes, among other items, (i) revenue earned from the U.K. JV Services, the Sunrise Services and the NL JV Services, (ii) revenue at Formula E, (iii) revenue earned from the sales of CPE to the VMO2 JV and the VodafoneZiggo JV and (iv) broadcasting revenue at Telenet and VM Ireland.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Total revenue.</w:t>
      </w:r>
      <w:r>
        <w:rPr>
          <w:color w:val="000000"/>
        </w:rPr>
        <w:t xml:space="preserve"> </w:t>
      </w:r>
      <w:r>
        <w:rPr>
          <w:rFonts w:ascii="Times New Roman;serif" w:hAnsi="Times New Roman;serif"/>
          <w:b w:val="false"/>
          <w:color w:val="000000"/>
          <w:sz w:val="20"/>
        </w:rPr>
        <w:t>Our consolidated revenue increased $103.4 million or 8.8% during the three months ended March 31, 2026 as compared to the corresponding period in 2025. This increase includes a decrease of $57.7 million attributable to the impact of dispositions. On an organic basis, our consolidated revenue increased $29.1 million or 2.9%.</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Residential revenue.</w:t>
      </w:r>
      <w:r>
        <w:rPr>
          <w:color w:val="000000"/>
        </w:rPr>
        <w:t xml:space="preserve"> </w:t>
      </w:r>
      <w:r>
        <w:rPr>
          <w:rFonts w:ascii="Times New Roman;serif" w:hAnsi="Times New Roman;serif"/>
          <w:b w:val="false"/>
          <w:color w:val="000000"/>
          <w:sz w:val="20"/>
        </w:rPr>
        <w:t>The details of the increase in our consolidated residential revenue during the three months ended March 31, 2026, as compared to the corresponding period in 2025, are as follows:</w:t>
      </w:r>
    </w:p>
    <w:tbl>
      <w:tblPr>
        <w:tblW w:w="6703" w:type="dxa"/>
        <w:jc w:val="left"/>
        <w:tblInd w:w="0" w:type="dxa"/>
        <w:tblLayout w:type="fixed"/>
        <w:tblCellMar>
          <w:top w:w="28" w:type="dxa"/>
          <w:left w:w="28" w:type="dxa"/>
          <w:bottom w:w="28" w:type="dxa"/>
          <w:right w:w="28" w:type="dxa"/>
        </w:tblCellMar>
      </w:tblPr>
      <w:tblGrid>
        <w:gridCol w:w="2033"/>
        <w:gridCol w:w="1783"/>
        <w:gridCol w:w="1793"/>
        <w:gridCol w:w="109"/>
        <w:gridCol w:w="109"/>
        <w:gridCol w:w="211"/>
        <w:gridCol w:w="51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fixed subscription revenue due to 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fixed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decrease in residential fixed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residential mobile 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residential mobile non-subscription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organic decrease in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increase in residential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On an organic basis, our consolidated residential mobile non-subscription revenue increased</w:t>
      </w:r>
      <w:r>
        <w:rPr>
          <w:color w:val="000000"/>
        </w:rPr>
        <w:t xml:space="preserve"> </w:t>
      </w:r>
      <w:r>
        <w:rPr>
          <w:rFonts w:ascii="Times New Roman;serif" w:hAnsi="Times New Roman;serif"/>
          <w:b w:val="false"/>
          <w:color w:val="000000"/>
          <w:sz w:val="20"/>
        </w:rPr>
        <w:t>$2.4 million</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6.6% during the three months ended March 31, 2026 as compared to the corresponding period in 2025, primarily due to an increase at Telenet.</w:t>
      </w:r>
      <w:r>
        <w:rPr>
          <w:color w:val="2C2C2C"/>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Other revenue.</w:t>
      </w:r>
      <w:r>
        <w:rPr>
          <w:color w:val="000000"/>
        </w:rPr>
        <w:t xml:space="preserve"> </w:t>
      </w:r>
      <w:r>
        <w:rPr>
          <w:rFonts w:ascii="Times New Roman;serif" w:hAnsi="Times New Roman;serif"/>
          <w:b w:val="false"/>
          <w:color w:val="000000"/>
          <w:sz w:val="20"/>
        </w:rPr>
        <w:t>On an organic basis, our consolidated other revenue increased $32.7 million or 8.2% during the three months ended March 31, 2026 as compared to the corresponding period in 2025, primarily due to (i) higher revenue at Formula E, (ii) higher revenue earned from the sale of CPE to the VMO2 JV and (iii) an increase in revenue earned from the U.K. JV Services.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left"/>
        <w:rPr/>
      </w:pPr>
      <w:r>
        <w:rPr>
          <w:rFonts w:ascii="Times New Roman;serif" w:hAnsi="Times New Roman;serif"/>
          <w:b w:val="false"/>
          <w:color w:val="000000"/>
          <w:sz w:val="20"/>
        </w:rPr>
        <w:t xml:space="preserve">For additional information regarding the changes in our residential, B2B and other revenue,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 xml:space="preserve">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Programming and other direct costs of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Programming and other direct costs of services include programming and copyright costs, interconnect and access costs, costs of mobile handsets and other devices and other direct costs related to our operations, including costs associated with our transitional and other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details of our programming and other direct costs of services are as follows: </w:t>
      </w:r>
    </w:p>
    <w:tbl>
      <w:tblPr>
        <w:tblW w:w="2893"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109"/>
        <w:gridCol w:w="109"/>
        <w:gridCol w:w="109"/>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893"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109"/>
        <w:gridCol w:w="109"/>
        <w:gridCol w:w="109"/>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6"/>
        <w:gridCol w:w="1114"/>
        <w:gridCol w:w="1126"/>
        <w:gridCol w:w="211"/>
        <w:gridCol w:w="616"/>
        <w:gridCol w:w="109"/>
        <w:gridCol w:w="109"/>
        <w:gridCol w:w="109"/>
        <w:gridCol w:w="109"/>
        <w:gridCol w:w="211"/>
        <w:gridCol w:w="616"/>
        <w:gridCol w:w="109"/>
        <w:gridCol w:w="109"/>
        <w:gridCol w:w="109"/>
        <w:gridCol w:w="109"/>
        <w:gridCol w:w="211"/>
        <w:gridCol w:w="547"/>
        <w:gridCol w:w="109"/>
        <w:gridCol w:w="109"/>
        <w:gridCol w:w="109"/>
        <w:gridCol w:w="109"/>
        <w:gridCol w:w="254"/>
        <w:gridCol w:w="257"/>
        <w:gridCol w:w="109"/>
        <w:gridCol w:w="109"/>
        <w:gridCol w:w="109"/>
        <w:gridCol w:w="109"/>
        <w:gridCol w:w="239"/>
        <w:gridCol w:w="628"/>
        <w:gridCol w:w="123"/>
        <w:gridCol w:w="123"/>
        <w:gridCol w:w="123"/>
        <w:gridCol w:w="123"/>
        <w:gridCol w:w="220"/>
        <w:gridCol w:w="221"/>
        <w:gridCol w:w="182"/>
      </w:tblGrid>
      <w:tr>
        <w:trPr/>
        <w:tc>
          <w:tcPr>
            <w:tcW w:w="131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programming and other direct costs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Our programming and other direct costs of services increased $23.2 million or 5.8%</w:t>
      </w:r>
      <w:r>
        <w:rPr>
          <w:color w:val="000000"/>
        </w:rPr>
        <w:t xml:space="preserve"> </w:t>
      </w:r>
      <w:r>
        <w:rPr>
          <w:rFonts w:ascii="Times New Roman;serif" w:hAnsi="Times New Roman;serif"/>
          <w:b w:val="false"/>
          <w:color w:val="000000"/>
          <w:sz w:val="20"/>
        </w:rPr>
        <w:t>during the three months ended March 31, 2026, as compared to the corresponding period in 2025. This increase includes a decrease of $47.3 million attributable to the impact of dispositions. On an organic basis, our programming and other direct costs of services increased $26.0 million or 7.3%. This increase includes the following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other direct costs of $29.5 million related to costs incurred in connection with Formula E race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programming and copyright costs of $16.6 million or 10.5%, primarily attributable to lower costs for certain content at Telenet;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costs of $15.4 million related to the sales of CPE to the VMO2 JV;</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costs of $6.0 million related to the sales of CPE to the VodafoneZiggo JV;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mobile handset and other device costs of $4.6 million or 16.4%, primarily due to higher sales volumes at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other operating expenses are as follows:</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6"/>
        <w:gridCol w:w="1116"/>
        <w:gridCol w:w="1128"/>
        <w:gridCol w:w="211"/>
        <w:gridCol w:w="616"/>
        <w:gridCol w:w="109"/>
        <w:gridCol w:w="109"/>
        <w:gridCol w:w="109"/>
        <w:gridCol w:w="109"/>
        <w:gridCol w:w="211"/>
        <w:gridCol w:w="616"/>
        <w:gridCol w:w="109"/>
        <w:gridCol w:w="109"/>
        <w:gridCol w:w="109"/>
        <w:gridCol w:w="109"/>
        <w:gridCol w:w="215"/>
        <w:gridCol w:w="523"/>
        <w:gridCol w:w="111"/>
        <w:gridCol w:w="111"/>
        <w:gridCol w:w="111"/>
        <w:gridCol w:w="111"/>
        <w:gridCol w:w="255"/>
        <w:gridCol w:w="256"/>
        <w:gridCol w:w="111"/>
        <w:gridCol w:w="109"/>
        <w:gridCol w:w="109"/>
        <w:gridCol w:w="109"/>
        <w:gridCol w:w="268"/>
        <w:gridCol w:w="516"/>
        <w:gridCol w:w="138"/>
        <w:gridCol w:w="138"/>
        <w:gridCol w:w="138"/>
        <w:gridCol w:w="138"/>
        <w:gridCol w:w="223"/>
        <w:gridCol w:w="225"/>
        <w:gridCol w:w="204"/>
      </w:tblGrid>
      <w:tr>
        <w:trPr/>
        <w:tc>
          <w:tcPr>
            <w:tcW w:w="13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other operating expenses (exclusive of share-based compensation expense) increased $28.5 million or 15.1% during the three months ended March 31, 2026, as compared to the corresponding period in 2025. This increase includes a decrease of $1.8 million attributable to the impact of dispositions. On an organic basis, our other operating expenses increased $7.2 million or 3.9%. This increase includes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core network and information technology-related costs of $8.0 million or 39.7%, primarily due to (i) higher information technology-related costs, including an increase at Telenet, and (ii) higher leased bandwidth costs at Telenet;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personnel costs of $6.1 million or 10.4%, primarily due to lower staffing levels, including a decrease at Telenet.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SG&amp;A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our SG&amp;A expenses are as follows:</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6"/>
        <w:gridCol w:w="1084"/>
        <w:gridCol w:w="1095"/>
        <w:gridCol w:w="211"/>
        <w:gridCol w:w="616"/>
        <w:gridCol w:w="109"/>
        <w:gridCol w:w="109"/>
        <w:gridCol w:w="109"/>
        <w:gridCol w:w="109"/>
        <w:gridCol w:w="211"/>
        <w:gridCol w:w="616"/>
        <w:gridCol w:w="109"/>
        <w:gridCol w:w="109"/>
        <w:gridCol w:w="109"/>
        <w:gridCol w:w="109"/>
        <w:gridCol w:w="216"/>
        <w:gridCol w:w="524"/>
        <w:gridCol w:w="111"/>
        <w:gridCol w:w="111"/>
        <w:gridCol w:w="111"/>
        <w:gridCol w:w="111"/>
        <w:gridCol w:w="255"/>
        <w:gridCol w:w="256"/>
        <w:gridCol w:w="111"/>
        <w:gridCol w:w="109"/>
        <w:gridCol w:w="109"/>
        <w:gridCol w:w="109"/>
        <w:gridCol w:w="264"/>
        <w:gridCol w:w="573"/>
        <w:gridCol w:w="136"/>
        <w:gridCol w:w="136"/>
        <w:gridCol w:w="136"/>
        <w:gridCol w:w="136"/>
        <w:gridCol w:w="254"/>
        <w:gridCol w:w="257"/>
        <w:gridCol w:w="199"/>
      </w:tblGrid>
      <w:tr>
        <w:trPr/>
        <w:tc>
          <w:tcPr>
            <w:tcW w:w="1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Wyre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reportable segments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all other category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elimination of intercompany consolidated SG&amp;A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(excluding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Supplemental SG&amp;A expense information</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58" w:type="dxa"/>
        <w:jc w:val="left"/>
        <w:tblInd w:w="0" w:type="dxa"/>
        <w:tblLayout w:type="fixed"/>
        <w:tblCellMar>
          <w:top w:w="28" w:type="dxa"/>
          <w:left w:w="28" w:type="dxa"/>
          <w:bottom w:w="28" w:type="dxa"/>
          <w:right w:w="28" w:type="dxa"/>
        </w:tblCellMar>
      </w:tblPr>
      <w:tblGrid>
        <w:gridCol w:w="930"/>
        <w:gridCol w:w="816"/>
        <w:gridCol w:w="81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54"/>
        <w:gridCol w:w="257"/>
        <w:gridCol w:w="109"/>
        <w:gridCol w:w="109"/>
        <w:gridCol w:w="109"/>
        <w:gridCol w:w="109"/>
        <w:gridCol w:w="314"/>
        <w:gridCol w:w="717"/>
        <w:gridCol w:w="162"/>
        <w:gridCol w:w="162"/>
        <w:gridCol w:w="162"/>
        <w:gridCol w:w="162"/>
        <w:gridCol w:w="239"/>
        <w:gridCol w:w="241"/>
        <w:gridCol w:w="229"/>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 increase (decrease)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(a)General and administrative expenses include all personnel-related costs within our SG&amp;A expenses, including personnel-related costs associated with our sales and marketing function.</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SG&amp;A expenses (exclusive of share-based compensation expense) increased $9.8 million or 3.8% during the three months ended March 31, 2026, as compared to the corresponding period in 2025. This increase includes a decrease of $4.5 million attributable to the impact of dispositions. On an organic basis, our SG&amp;A expenses decreased $8.4 million or 3.4%. This decrease includes the following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external sales and marketing costs of $5.8 million or 6.8%, primarily due to lower costs associated with advertising campaigns;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personnel costs of $2.3 million or 1.8%, primarily due to the net effect of (i) lower staffing levels, including a decrease at Telenet, and (ii) higher average costs per employee.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expense primarily relates to the share-based incentive awards issued by Liberty Global to its employees and employees of its subsidiaries. A summary of our aggregate share-based compensation expense is set forth below: </w:t>
      </w:r>
    </w:p>
    <w:tbl>
      <w:tblPr>
        <w:tblW w:w="6566" w:type="dxa"/>
        <w:jc w:val="left"/>
        <w:tblInd w:w="0" w:type="dxa"/>
        <w:tblLayout w:type="fixed"/>
        <w:tblCellMar>
          <w:top w:w="28" w:type="dxa"/>
          <w:left w:w="28" w:type="dxa"/>
          <w:bottom w:w="28" w:type="dxa"/>
          <w:right w:w="28" w:type="dxa"/>
        </w:tblCellMar>
      </w:tblPr>
      <w:tblGrid>
        <w:gridCol w:w="1249"/>
        <w:gridCol w:w="1095"/>
        <w:gridCol w:w="1106"/>
        <w:gridCol w:w="109"/>
        <w:gridCol w:w="109"/>
        <w:gridCol w:w="176"/>
        <w:gridCol w:w="176"/>
        <w:gridCol w:w="341"/>
        <w:gridCol w:w="826"/>
        <w:gridCol w:w="176"/>
        <w:gridCol w:w="109"/>
        <w:gridCol w:w="109"/>
        <w:gridCol w:w="109"/>
        <w:gridCol w:w="211"/>
        <w:gridCol w:w="51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Liberty Global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include share-based compensation expense related to certain Telenet Replacement Awards.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share-based compensation expense, see note 12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Depreciation and amortization expense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depreciation and amortization expense was $264.8 million and $232.2 million for the three months ended March 31, 2026 and 2025, respectively. Excluding the effects of FX, depreciation and amortization expense increased $5.6 million or 2.4% during the three months ended March 31, 2026, as compared to the corresponding period in 2025. This increase is primarily due to the net effect of (i) an increase associated with property and equipment additions related to the installation of CPE, the expansion and upgrade of our networks and other capital initiatives, primarily at Telenet, and (ii) a decrease associated with certain assets becoming fully depreciated, primarily at Telenet.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Impairment, restructuring and other operating items, net </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impairment, restructuring and other operating items, net, of $40.8 million and ($1.7 million) during the three months ended March 31, 2026 and 2025, respectively.</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for the 2026 period primarily includes (i) restructuring costs of $21.3 million, primarily at Telenet, and (ii) an impairment charge on certain long-lived assets of $11.1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among other factors, the adverse impacts of economic, competitive, regulatory or other factors were to cause our results of operations or cash flows to be worse than anticipated, we could conclude in future periods that impairment charges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required in order to reduce the carrying values of our goodwill and, to a lesser extent, other long-lived assets. Any such impairment charges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interest expense of $113.7 million and $127.5 million during the three months ended March 31, 2026 and 2025, respectively. Excluding the effects of FX, interest expense decreased $25.1 million or 19.7% during the three months ended March 31, 2026, as compared to the corresponding period in 2025. This decrease is primarily attributable to a lower weighted average interest rate. For additional information regarding our outstanding indebtedness, see note 9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below, we use derivative instruments to manage our interest rate risks.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Realized and unrealized gains (losses)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tbl>
      <w:tblPr>
        <w:tblW w:w="7870" w:type="dxa"/>
        <w:jc w:val="left"/>
        <w:tblInd w:w="0" w:type="dxa"/>
        <w:tblLayout w:type="fixed"/>
        <w:tblCellMar>
          <w:top w:w="28" w:type="dxa"/>
          <w:left w:w="28" w:type="dxa"/>
          <w:bottom w:w="28" w:type="dxa"/>
          <w:right w:w="28" w:type="dxa"/>
        </w:tblCellMar>
      </w:tblPr>
      <w:tblGrid>
        <w:gridCol w:w="1657"/>
        <w:gridCol w:w="1455"/>
        <w:gridCol w:w="1462"/>
        <w:gridCol w:w="109"/>
        <w:gridCol w:w="109"/>
        <w:gridCol w:w="160"/>
        <w:gridCol w:w="160"/>
        <w:gridCol w:w="310"/>
        <w:gridCol w:w="905"/>
        <w:gridCol w:w="160"/>
        <w:gridCol w:w="109"/>
        <w:gridCol w:w="109"/>
        <w:gridCol w:w="109"/>
        <w:gridCol w:w="211"/>
        <w:gridCol w:w="69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and interest rate derivative contracts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Equity-related derivative instruments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(a)The gain</w:t>
      </w:r>
      <w:r>
        <w:rPr>
          <w:color w:val="000000"/>
        </w:rPr>
        <w:t xml:space="preserve"> </w:t>
      </w:r>
      <w:r>
        <w:rPr>
          <w:rFonts w:ascii="Times New Roman;serif" w:hAnsi="Times New Roman;serif"/>
          <w:b w:val="false"/>
          <w:color w:val="000000"/>
          <w:sz w:val="20"/>
        </w:rPr>
        <w:t>for the 2026 period is attributable to net gains associated with changes in (i) the relative value of certain currencies and (ii) certain market interest rates. In addition, the gain for the 2026 period includes a net gain of $0.4 million, resulting from changes in our credit risk valuation adjustments.</w:t>
      </w:r>
      <w:r>
        <w:rPr>
          <w:color w:val="000000"/>
        </w:rPr>
        <w:t xml:space="preserve"> </w:t>
      </w:r>
      <w:r>
        <w:rPr>
          <w:rFonts w:ascii="Times New Roman;serif" w:hAnsi="Times New Roman;serif"/>
          <w:b w:val="false"/>
          <w:color w:val="000000"/>
          <w:sz w:val="20"/>
        </w:rPr>
        <w:t>The loss for the 2025 period is primarily attributable to the net effect of (a) a net loss associated with changes in the relative value of certain currencies and (b) a net gain associated with changes in certain market interest rates. In addition, the loss for the 2025 period includes a net gain of $4.2 million, resulting from changes in our credit risk valuation adjustments.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(b)The recurring fair value measurements of our equity-related derivative instruments are based on Black-Scholes pricing models.</w:t>
      </w:r>
    </w:p>
    <w:p>
      <w:pPr>
        <w:pStyle w:val="TextBody"/>
        <w:bidi w:val="0"/>
        <w:spacing w:before="0" w:after="0"/>
        <w:ind w:left="0" w:right="0" w:hanging="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concerning our derivative instruments, see notes 6 and 7 to our condensed consolidated financial statements and Part I, Item 3.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transaction gains (losses),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tbl>
      <w:tblPr>
        <w:tblW w:w="10205" w:type="dxa"/>
        <w:jc w:val="left"/>
        <w:tblInd w:w="0" w:type="dxa"/>
        <w:tblLayout w:type="fixed"/>
        <w:tblCellMar>
          <w:top w:w="28" w:type="dxa"/>
          <w:left w:w="28" w:type="dxa"/>
          <w:bottom w:w="28" w:type="dxa"/>
          <w:right w:w="28" w:type="dxa"/>
        </w:tblCellMar>
      </w:tblPr>
      <w:tblGrid>
        <w:gridCol w:w="2536"/>
        <w:gridCol w:w="2159"/>
        <w:gridCol w:w="2165"/>
        <w:gridCol w:w="109"/>
        <w:gridCol w:w="109"/>
        <w:gridCol w:w="151"/>
        <w:gridCol w:w="151"/>
        <w:gridCol w:w="293"/>
        <w:gridCol w:w="855"/>
        <w:gridCol w:w="151"/>
        <w:gridCol w:w="109"/>
        <w:gridCol w:w="109"/>
        <w:gridCol w:w="109"/>
        <w:gridCol w:w="211"/>
        <w:gridCol w:w="830"/>
        <w:gridCol w:w="158"/>
      </w:tblGrid>
      <w:tr>
        <w:trPr/>
        <w:tc>
          <w:tcPr>
            <w:tcW w:w="253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26" w:type="dxa"/>
            <w:gridSpan w:val="6"/>
            <w:tcBorders/>
          </w:tcPr>
          <w:p>
            <w:pPr>
              <w:pStyle w:val="TableContents"/>
              <w:bidi w:val="0"/>
              <w:spacing w:before="0" w:after="283"/>
              <w:jc w:val="left"/>
              <w:rPr>
                <w:sz w:val="4"/>
                <w:szCs w:val="4"/>
              </w:rPr>
            </w:pPr>
            <w:r>
              <w:rPr>
                <w:sz w:val="4"/>
                <w:szCs w:val="4"/>
              </w:rPr>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denominated in a currency other than the entity’s functional currency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dollar-denominated debt issued by euro functional currency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restricted cash denominated in a currency other than the entity’s functional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 </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(a)Amounts primarily relate to loans between certain of our non-operating subsidiaries in Europe.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val="false"/>
          <w:i/>
          <w:color w:val="000000"/>
          <w:sz w:val="20"/>
        </w:rPr>
        <w:t>Realized and unrealized</w:t>
      </w:r>
      <w:r>
        <w:rPr>
          <w:color w:val="000000"/>
        </w:rPr>
        <w:t xml:space="preserve"> </w:t>
      </w:r>
      <w:r>
        <w:rPr>
          <w:rFonts w:ascii="Times New Roman;serif" w:hAnsi="Times New Roman;serif"/>
          <w:b w:val="false"/>
          <w:i/>
          <w:color w:val="000000"/>
          <w:sz w:val="20"/>
        </w:rPr>
        <w:t>gains</w:t>
      </w:r>
      <w:r>
        <w:rPr>
          <w:color w:val="000000"/>
        </w:rPr>
        <w:t xml:space="preserve"> </w:t>
      </w:r>
      <w:r>
        <w:rPr>
          <w:rFonts w:ascii="Times New Roman;serif" w:hAnsi="Times New Roman;serif"/>
          <w:b w:val="false"/>
          <w:i/>
          <w:color w:val="000000"/>
          <w:sz w:val="20"/>
        </w:rPr>
        <w:t xml:space="preserve">due to changes in fair values of certain investments, net </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due to changes in fair values of certain investments, net, are as follows:</w:t>
      </w:r>
    </w:p>
    <w:tbl>
      <w:tblPr>
        <w:tblW w:w="4855" w:type="dxa"/>
        <w:jc w:val="left"/>
        <w:tblInd w:w="0" w:type="dxa"/>
        <w:tblLayout w:type="fixed"/>
        <w:tblCellMar>
          <w:top w:w="28" w:type="dxa"/>
          <w:left w:w="28" w:type="dxa"/>
          <w:bottom w:w="28" w:type="dxa"/>
          <w:right w:w="28" w:type="dxa"/>
        </w:tblCellMar>
      </w:tblPr>
      <w:tblGrid>
        <w:gridCol w:w="602"/>
        <w:gridCol w:w="530"/>
        <w:gridCol w:w="532"/>
        <w:gridCol w:w="109"/>
        <w:gridCol w:w="109"/>
        <w:gridCol w:w="176"/>
        <w:gridCol w:w="176"/>
        <w:gridCol w:w="341"/>
        <w:gridCol w:w="826"/>
        <w:gridCol w:w="176"/>
        <w:gridCol w:w="109"/>
        <w:gridCol w:w="109"/>
        <w:gridCol w:w="109"/>
        <w:gridCol w:w="211"/>
        <w:gridCol w:w="58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EdgeConneX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Televisa Univision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Vodafone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(a)We completed the sale of our investment in Vodafone during the third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Share of results of affiliates,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following table sets forth the details of our share of results</w:t>
      </w:r>
      <w:r>
        <w:rPr>
          <w:color w:val="000000"/>
        </w:rPr>
        <w:t xml:space="preserve"> </w:t>
      </w:r>
      <w:r>
        <w:rPr>
          <w:rFonts w:ascii="Times New Roman;serif" w:hAnsi="Times New Roman;serif"/>
          <w:b w:val="false"/>
          <w:color w:val="000000"/>
          <w:sz w:val="20"/>
        </w:rPr>
        <w:t>of affiliates, net:</w:t>
      </w:r>
    </w:p>
    <w:tbl>
      <w:tblPr>
        <w:tblW w:w="5229" w:type="dxa"/>
        <w:jc w:val="left"/>
        <w:tblInd w:w="0" w:type="dxa"/>
        <w:tblLayout w:type="fixed"/>
        <w:tblCellMar>
          <w:top w:w="28" w:type="dxa"/>
          <w:left w:w="28" w:type="dxa"/>
          <w:bottom w:w="28" w:type="dxa"/>
          <w:right w:w="28" w:type="dxa"/>
        </w:tblCellMar>
      </w:tblPr>
      <w:tblGrid>
        <w:gridCol w:w="701"/>
        <w:gridCol w:w="614"/>
        <w:gridCol w:w="619"/>
        <w:gridCol w:w="109"/>
        <w:gridCol w:w="109"/>
        <w:gridCol w:w="164"/>
        <w:gridCol w:w="164"/>
        <w:gridCol w:w="318"/>
        <w:gridCol w:w="884"/>
        <w:gridCol w:w="164"/>
        <w:gridCol w:w="109"/>
        <w:gridCol w:w="109"/>
        <w:gridCol w:w="109"/>
        <w:gridCol w:w="211"/>
        <w:gridCol w:w="69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VMO2 JV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VodafoneZiggo JV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AtlasEdge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nexfibre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our share of the results of operations of the VMO2 JV. The summarized results of operations of the VMO2 JV are set forth below:</w:t>
      </w:r>
    </w:p>
    <w:tbl>
      <w:tblPr>
        <w:tblW w:w="5649" w:type="dxa"/>
        <w:jc w:val="left"/>
        <w:tblInd w:w="0" w:type="dxa"/>
        <w:tblLayout w:type="fixed"/>
        <w:tblCellMar>
          <w:top w:w="28" w:type="dxa"/>
          <w:left w:w="28" w:type="dxa"/>
          <w:bottom w:w="28" w:type="dxa"/>
          <w:right w:w="28" w:type="dxa"/>
        </w:tblCellMar>
      </w:tblPr>
      <w:tblGrid>
        <w:gridCol w:w="823"/>
        <w:gridCol w:w="725"/>
        <w:gridCol w:w="732"/>
        <w:gridCol w:w="109"/>
        <w:gridCol w:w="109"/>
        <w:gridCol w:w="141"/>
        <w:gridCol w:w="141"/>
        <w:gridCol w:w="274"/>
        <w:gridCol w:w="996"/>
        <w:gridCol w:w="141"/>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interest expense of $414.6 million and $389.6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change in the VMO2 JV’s revenue during the three months ended March 31, 2026, as compared to the corresponding period in 2025, is primarily due to the net effect of (i) a decrease in other revenue related to low-margin construction revenue from the nexfibre JV, (ii) a decrease in B2B fixed revenue as O2 Daisy rationalizes the product portfolio, (iii) a decrease in consumer fixed revenue and (iv) an increase in wholesale revenue primarily driven by an increase in mobile virtual network operator revenue. The changes in the VMO2 JV’s Adjusted EBITDA during the three months ended March 31, 2026, as compared to the corresponding period in 2025,</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primarily due to the net effect of (a) the aforementioned changes in revenue, (b) a provision for legal matters during the quarter and (c) cost reduction initiatives.</w:t>
      </w:r>
      <w:r>
        <w:rPr>
          <w:color w:val="000000"/>
        </w:rPr>
        <w:t xml:space="preserve"> </w:t>
      </w:r>
      <w:r>
        <w:rPr>
          <w:rFonts w:ascii="Times New Roman;serif" w:hAnsi="Times New Roman;serif"/>
          <w:b w:val="false"/>
          <w:color w:val="000000"/>
          <w:sz w:val="20"/>
        </w:rPr>
        <w:t>In addition, the reported revenue and Adjusted EBITDA amounts are impacted by FX.</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(b)Represents (i) our share of the results of operations of the VodafoneZiggo JV and (ii) interest income of $14.7 million and $13.3 million in the respective periods shown, representing 100% of the interest earned on the VodafoneZiggo JV Receivables. The summarized results of operations of the VodafoneZiggo JV are set forth below:</w:t>
      </w:r>
    </w:p>
    <w:tbl>
      <w:tblPr>
        <w:tblW w:w="5649" w:type="dxa"/>
        <w:jc w:val="left"/>
        <w:tblInd w:w="0" w:type="dxa"/>
        <w:tblLayout w:type="fixed"/>
        <w:tblCellMar>
          <w:top w:w="28" w:type="dxa"/>
          <w:left w:w="28" w:type="dxa"/>
          <w:bottom w:w="28" w:type="dxa"/>
          <w:right w:w="28" w:type="dxa"/>
        </w:tblCellMar>
      </w:tblPr>
      <w:tblGrid>
        <w:gridCol w:w="823"/>
        <w:gridCol w:w="725"/>
        <w:gridCol w:w="732"/>
        <w:gridCol w:w="109"/>
        <w:gridCol w:w="109"/>
        <w:gridCol w:w="141"/>
        <w:gridCol w:w="141"/>
        <w:gridCol w:w="274"/>
        <w:gridCol w:w="996"/>
        <w:gridCol w:w="141"/>
        <w:gridCol w:w="109"/>
        <w:gridCol w:w="109"/>
        <w:gridCol w:w="109"/>
        <w:gridCol w:w="211"/>
        <w:gridCol w:w="76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color w:val="000000"/>
        </w:rPr>
      </w:pPr>
      <w:r>
        <w:rPr>
          <w:color w:val="000000"/>
        </w:rPr>
        <w:t>    </w:t>
      </w:r>
      <w:r>
        <w:rPr>
          <w:rFonts w:ascii="Times New Roman;serif" w:hAnsi="Times New Roman;serif"/>
          <w:b w:val="false"/>
          <w:color w:val="000000"/>
          <w:sz w:val="20"/>
        </w:rPr>
        <w:t>_______________</w:t>
      </w:r>
    </w:p>
    <w:p>
      <w:pPr>
        <w:pStyle w:val="TextBody"/>
        <w:bidi w:val="0"/>
        <w:spacing w:before="0" w:after="0"/>
        <w:ind w:left="0" w:right="0" w:hanging="54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(1)Includes interest expense of $187.8 million and $187.7 million in the respective periods shown.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change in the VodafoneZiggo JV’s revenue during the three months ended March 31, 2026, as compared to the corresponding period in 2025, is primarily due to (i) a decrease in B2B fixed revenue, partially offset by the repricing impact, and (ii) a decrease in B2B mobile revenue.</w:t>
      </w:r>
      <w:r>
        <w:rPr>
          <w:color w:val="000000"/>
        </w:rPr>
        <w:t xml:space="preserve"> </w:t>
      </w:r>
      <w:r>
        <w:rPr>
          <w:rFonts w:ascii="Times New Roman;serif" w:hAnsi="Times New Roman;serif"/>
          <w:b w:val="false"/>
          <w:color w:val="000000"/>
          <w:sz w:val="20"/>
        </w:rPr>
        <w:t xml:space="preserve">The change in the VodafoneZiggo JV’s Adjusted EBITDA during the three months ended March 31, 2026, as compared to the corresponding period in 2025, is primarily due to the net effect of (a) the aforementioned changes in revenue, (b) an increase in network resilience program expenditure, (c) higher marketing costs and (d) cost control measures in labor, product and service delivery, and energy costs. In addition, the reported revenue and Adjusted EBITDA amounts are impacted by FX.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other income, net, of $25.0 million and $11.4 million during the three months ended March 31, 2026 and 2025, respectively, which includes interest and dividend income of $12.4 million and $18.4 million,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recognized income tax benefit (expense) of ($175.4 million) and $70.0 million during the three months ended March 31, 2026 and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income tax expense during the three months ended March 31, 2026 differs from the expected income tax expense of $80.0 million</w:t>
      </w:r>
      <w:r>
        <w:rPr>
          <w:color w:val="000000"/>
        </w:rPr>
        <w:t xml:space="preserve"> </w:t>
      </w:r>
      <w:r>
        <w:rPr>
          <w:rFonts w:ascii="Times New Roman;serif" w:hAnsi="Times New Roman;serif"/>
          <w:b w:val="false"/>
          <w:color w:val="000000"/>
          <w:sz w:val="20"/>
        </w:rPr>
        <w:t>(based on the Bermuda statutory income tax rate of 15.0%). This difference is primarily due to the net negative impact of (i) the derecognition of a tax litigation-related receivable and (ii) statutory rates in certain jurisdictions in which we operate that are different than the Bermuda statutory income tax rate. The net negative impact of these items was partially offset by the positive impact of non-deductible or non-taxable foreign currency exchange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income tax benefit during the three months ended March 31, 2025 differs from the expected income tax benefit of $209.0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certain investments. The net negative impact of these items was partially offset by the net positive impact of (a) statutory rates in certain jurisdictions in which we operate that are different than the Bermuda statutory income tax rate and (b) a net decrease in valuation allowances.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income taxes, see note 11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val="false"/>
          <w:i/>
          <w:color w:val="000000"/>
          <w:sz w:val="20"/>
        </w:rPr>
        <w:t>Net</w:t>
      </w:r>
      <w:r>
        <w:rPr>
          <w:color w:val="000000"/>
        </w:rPr>
        <w:t xml:space="preserve"> </w:t>
      </w:r>
      <w:r>
        <w:rPr>
          <w:rFonts w:ascii="Times New Roman;serif" w:hAnsi="Times New Roman;serif"/>
          <w:b w:val="false"/>
          <w:i/>
          <w:color w:val="000000"/>
          <w:sz w:val="20"/>
        </w:rPr>
        <w:t>earnings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During the three months ended March 31, 2026 and 2025, we reported net earnings (loss) of $358.2 million and ($1,323.3 million), respectively, consisting of (i) operating income of $23.8 million and $60.7 million, respectively, (ii) net non-operating income (expense) of $509.8 million and ($1,454.0 million), respectively, and (iii) income tax benefit (expense)</w:t>
      </w:r>
      <w:r>
        <w:rPr>
          <w:color w:val="000000"/>
        </w:rPr>
        <w:t xml:space="preserve"> </w:t>
      </w:r>
      <w:r>
        <w:rPr>
          <w:rFonts w:ascii="Times New Roman;serif" w:hAnsi="Times New Roman;serif"/>
          <w:b w:val="false"/>
          <w:color w:val="000000"/>
          <w:sz w:val="20"/>
        </w:rPr>
        <w:t>of ($175.4 million) and $70.0 million,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Due largely to the fact that we seek to maintain our debt at levels that provide for attractive equity returns, as discussed under </w:t>
      </w:r>
      <w:r>
        <w:rPr>
          <w:rFonts w:ascii="Times New Roman;serif" w:hAnsi="Times New Roman;serif"/>
          <w:b w:val="false"/>
          <w:i/>
          <w:color w:val="000000"/>
          <w:sz w:val="20"/>
        </w:rPr>
        <w:t xml:space="preserve">Material Changes in Financial Condition </w:t>
      </w:r>
      <w:r>
        <w:rPr>
          <w:color w:val="000000"/>
        </w:rPr>
        <w:t xml:space="preserve">— </w:t>
      </w:r>
      <w:r>
        <w:rPr>
          <w:rFonts w:ascii="Times New Roman;serif" w:hAnsi="Times New Roman;serif"/>
          <w:b w:val="false"/>
          <w:i/>
          <w:color w:val="000000"/>
          <w:sz w:val="20"/>
        </w:rPr>
        <w:t>Capitalization</w:t>
      </w:r>
      <w:r>
        <w:rPr>
          <w:color w:val="000000"/>
        </w:rPr>
        <w:t xml:space="preserve"> </w:t>
      </w:r>
      <w:r>
        <w:rPr>
          <w:rFonts w:ascii="Times New Roman;serif" w:hAnsi="Times New Roman;serif"/>
          <w:b w:val="false"/>
          <w:color w:val="000000"/>
          <w:sz w:val="20"/>
        </w:rPr>
        <w:t xml:space="preserve">below,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Times New Roman;serif" w:hAnsi="Times New Roman;serif"/>
          <w:b w:val="false"/>
          <w:i/>
          <w:color w:val="000000"/>
          <w:sz w:val="20"/>
        </w:rPr>
        <w:t xml:space="preserve">Overview </w:t>
      </w:r>
      <w:r>
        <w:rPr>
          <w:rFonts w:ascii="Times New Roman;serif" w:hAnsi="Times New Roman;serif"/>
          <w:b w:val="false"/>
          <w:color w:val="000000"/>
          <w:sz w:val="20"/>
        </w:rPr>
        <w:t xml:space="preserve">above. For information concerning the reasons for changes in specific line items in our condensed consolidated statements of operations, see </w:t>
      </w:r>
      <w:r>
        <w:rPr>
          <w:rFonts w:ascii="Times New Roman;serif" w:hAnsi="Times New Roman;serif"/>
          <w:b w:val="false"/>
          <w:i/>
          <w:color w:val="000000"/>
          <w:sz w:val="20"/>
        </w:rPr>
        <w:t xml:space="preserve">Discussion and Analysis of our Reportable Segments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Discussion and Analysis of our Consolidated Operating Results </w:t>
      </w:r>
      <w:r>
        <w:rPr>
          <w:rFonts w:ascii="Times New Roman;serif" w:hAnsi="Times New Roman;serif"/>
          <w:b w:val="false"/>
          <w:color w:val="000000"/>
          <w:sz w:val="20"/>
        </w:rPr>
        <w:t>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Net earnings attributable to noncontrolling interests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Net earnings attributable to noncontrolling interests was $20.4 million and $14.0 million during the three months ended March 31, 2026 and 2025, respectively,</w:t>
      </w:r>
      <w:r>
        <w:rPr>
          <w:color w:val="000000"/>
        </w:rPr>
        <w:t xml:space="preserve"> </w:t>
      </w:r>
      <w:r>
        <w:rPr>
          <w:rFonts w:ascii="Times New Roman;serif" w:hAnsi="Times New Roman;serif"/>
          <w:b w:val="false"/>
          <w:color w:val="000000"/>
          <w:sz w:val="20"/>
        </w:rPr>
        <w:t>attributable to noncontrolling interests primarily associated with Wyre and Formula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Changes in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and SMAs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details of the U.S. dollar equivalent balances of our consolidated cash and cash equivalents and investments held under SMAs at March 31, 2026 are set forth in the following table (in millions):</w:t>
      </w:r>
    </w:p>
    <w:tbl>
      <w:tblPr>
        <w:tblW w:w="6808" w:type="dxa"/>
        <w:jc w:val="left"/>
        <w:tblInd w:w="0" w:type="dxa"/>
        <w:tblLayout w:type="fixed"/>
        <w:tblCellMar>
          <w:top w:w="28" w:type="dxa"/>
          <w:left w:w="28" w:type="dxa"/>
          <w:bottom w:w="28" w:type="dxa"/>
          <w:right w:w="28" w:type="dxa"/>
        </w:tblCellMar>
      </w:tblPr>
      <w:tblGrid>
        <w:gridCol w:w="1998"/>
        <w:gridCol w:w="1755"/>
        <w:gridCol w:w="1767"/>
        <w:gridCol w:w="211"/>
        <w:gridCol w:w="766"/>
        <w:gridCol w:w="311"/>
      </w:tblGrid>
      <w:tr>
        <w:trPr/>
        <w:tc>
          <w:tcPr>
            <w:tcW w:w="199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Global and unrestricted subsidiaries:</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Global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subsidiaries (b)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Liberty Global and unrestricted subsidiaries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groups (c):</w:t>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Telenet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borrowing groups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held under SMAs (e)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investments held under SMAs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w:t>
      </w:r>
    </w:p>
    <w:p>
      <w:pPr>
        <w:pStyle w:val="TextBody"/>
        <w:bidi w:val="0"/>
        <w:spacing w:before="0" w:after="0"/>
        <w:ind w:left="0" w:right="0" w:firstLine="9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(a)Represents the amount held by Liberty Global on a standalone basis.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(b)Represents the aggregate amount held by subsidiaries that are outside of our borrowing groups.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(c)Represents the aggregate amounts held by the parent entity and restricted subsidiaries of our borrowing groups.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(d)The total cash and cash equivalents balance includes $1,062.7 million or 58.1%, $513.0 million or 28.1% and $250.5 million or 13.7% denominated in euros, U.S. dollars and British pound sterling, respectively.</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Times New Roman;serif" w:hAnsi="Times New Roman;serif"/>
          <w:b w:val="false"/>
          <w:color w:val="000000"/>
          <w:sz w:val="20"/>
        </w:rPr>
        <w:t>(e)The balance of our investments held under SMAs is</w:t>
      </w:r>
      <w:r>
        <w:rPr>
          <w:color w:val="000000"/>
        </w:rPr>
        <w:t xml:space="preserve"> </w:t>
      </w:r>
      <w:r>
        <w:rPr>
          <w:rFonts w:ascii="Times New Roman;serif" w:hAnsi="Times New Roman;serif"/>
          <w:b w:val="false"/>
          <w:color w:val="000000"/>
          <w:sz w:val="20"/>
        </w:rPr>
        <w:t>held by unrestricted subsidiaries of Liberty Global and includes $46.3 million or 100.0%</w:t>
      </w:r>
      <w:r>
        <w:rPr>
          <w:color w:val="000000"/>
        </w:rPr>
        <w:t xml:space="preserve"> </w:t>
      </w:r>
      <w:r>
        <w:rPr>
          <w:rFonts w:ascii="Times New Roman;serif" w:hAnsi="Times New Roman;serif"/>
          <w:b w:val="false"/>
          <w:color w:val="000000"/>
          <w:sz w:val="20"/>
        </w:rPr>
        <w:t>denominated in U.S. dollars.</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regarding our cash and cash equivalents and investments held under SMAs, see the discussion under Part I, Item 3. </w:t>
      </w:r>
      <w:r>
        <w:rPr>
          <w:rFonts w:ascii="Times New Roman;serif" w:hAnsi="Times New Roman;serif"/>
          <w:b w:val="false"/>
          <w:i/>
          <w:color w:val="000000"/>
          <w:sz w:val="20"/>
        </w:rPr>
        <w:t>Quantitative and Qualitative Disclosures about Market Risk</w:t>
      </w:r>
      <w:r>
        <w:rPr>
          <w:color w:val="000000"/>
        </w:rPr>
        <w:t xml:space="preserve"> — </w:t>
      </w:r>
      <w:r>
        <w:rPr>
          <w:rFonts w:ascii="Times New Roman;serif" w:hAnsi="Times New Roman;serif"/>
          <w:b w:val="false"/>
          <w:i/>
          <w:color w:val="000000"/>
          <w:sz w:val="20"/>
        </w:rPr>
        <w:t xml:space="preserve">Cash and Investments </w:t>
      </w:r>
      <w:r>
        <w:rPr>
          <w:rFonts w:ascii="Times New Roman;serif" w:hAnsi="Times New Roman;serif"/>
          <w:b w:val="false"/>
          <w:color w:val="000000"/>
          <w:sz w:val="20"/>
        </w:rPr>
        <w:t>below.</w:t>
      </w:r>
    </w:p>
    <w:p>
      <w:pPr>
        <w:pStyle w:val="TextBody"/>
        <w:bidi w:val="0"/>
        <w:spacing w:before="0" w:after="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Liquidity of Liberty Global and its unrestricted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$924.5 million of aggregate cash and cash equivalents held by unrestricted subsidiaries, subject to certain tax and legal considerations, together with the $46.3 million of investments held under SMAs, represented available liquidity at the corporate level at March 31, 2026. Our remaining cash and cash equivalents of $903.8 million at March 31, 2026 were held by our borrowing groups, as set forth in the table above. As noted above, various factors may limit our ability to access the cash of our borrowing groups. For information regarding certain limitations imposed by our subsidiaries’ debt instruments at March 31, 2026, see note 11 to the consolidated financial statements included in our 2025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short-term sources of corporate liquidity include (i) readily available assets, such as (a) cash and cash equivalents held by Liberty Global and, subject to certain tax and legal considerations, Liberty Global’s unrestricted subsidiaries, and (b) investments held under SMAs,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our consolidated cash and cash equivalents included $1,828.3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any potential share repurchase activity.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Liquidity of borrowing groups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2026, see note 9 to our condensed consolidated financial statements. The aforementioned sources of liquidity may be supplemented in certain cases by contributions and/or loans from Liberty Global and its unrestricted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liquidity of our borrowing groups generally is used to fund (i) property and equipment additions, (ii) debt service requirements and (iii) income tax payments, as well as to settle certain obligations that are not included on our March 31, 2026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14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For additional information regarding our consolidated cash flows, see the discussion under </w:t>
      </w:r>
      <w:r>
        <w:rPr>
          <w:rFonts w:ascii="Times New Roman;serif" w:hAnsi="Times New Roman;serif"/>
          <w:b w:val="false"/>
          <w:i/>
          <w:color w:val="000000"/>
          <w:sz w:val="20"/>
        </w:rPr>
        <w:t xml:space="preserve">Condensed Consolidated Statements of Cash Flows </w:t>
      </w:r>
      <w:r>
        <w:rPr>
          <w:rFonts w:ascii="Times New Roman;serif" w:hAnsi="Times New Roman;serif"/>
          <w:b w:val="false"/>
          <w:color w:val="000000"/>
          <w:sz w:val="20"/>
        </w:rPr>
        <w:t>below.</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six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2026, each of our borrowing groups was in compliance with its debt covenants. In addition, we do not anticipate any instances of non-compliance with respect to the debt covenants of our borrowing groups that would have a material adverse impact on our liquidity during the next 12 months.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outstanding principal amount of our consolidated debt, together with our finance lease obligations, aggregated $8.5 billion, including $0.7 billion that is classified as current on our condensed consolidated balance sheet and $3.3 billion that is not due until 2029 or thereafter. All of our consolidated debt and finance lease obligations have been borrowed or incurred by our subsidiaries at March 31,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have sufficient resources to repay or refinance the current portion of our debt and finance lease obligations and to fund our foreseeable liquidity requirements and our operations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concerning our debt and finance lease obligations, see notes 9 and 10, respectively, to our condensed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Condensed Consolidated Statements of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 xml:space="preserve">Our cash flows are subject to significant variations due to FX.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Summary.</w:t>
      </w:r>
      <w:r>
        <w:rPr>
          <w:color w:val="000000"/>
        </w:rPr>
        <w:t xml:space="preserve"> </w:t>
      </w:r>
      <w:r>
        <w:rPr>
          <w:rFonts w:ascii="Times New Roman;serif" w:hAnsi="Times New Roman;serif"/>
          <w:b w:val="false"/>
          <w:color w:val="000000"/>
          <w:sz w:val="20"/>
        </w:rPr>
        <w:t>The condensed consolidated statements of cash flows for the three months ended March 31, 2026 and 2025 are summarized as follows:</w:t>
      </w:r>
    </w:p>
    <w:tbl>
      <w:tblPr>
        <w:tblW w:w="10205" w:type="dxa"/>
        <w:jc w:val="left"/>
        <w:tblInd w:w="0" w:type="dxa"/>
        <w:tblLayout w:type="fixed"/>
        <w:tblCellMar>
          <w:top w:w="28" w:type="dxa"/>
          <w:left w:w="28" w:type="dxa"/>
          <w:bottom w:w="28" w:type="dxa"/>
          <w:right w:w="28" w:type="dxa"/>
        </w:tblCellMar>
      </w:tblPr>
      <w:tblGrid>
        <w:gridCol w:w="2371"/>
        <w:gridCol w:w="2085"/>
        <w:gridCol w:w="2091"/>
        <w:gridCol w:w="211"/>
        <w:gridCol w:w="690"/>
        <w:gridCol w:w="109"/>
        <w:gridCol w:w="109"/>
        <w:gridCol w:w="109"/>
        <w:gridCol w:w="109"/>
        <w:gridCol w:w="211"/>
        <w:gridCol w:w="616"/>
        <w:gridCol w:w="109"/>
        <w:gridCol w:w="109"/>
        <w:gridCol w:w="109"/>
        <w:gridCol w:w="109"/>
        <w:gridCol w:w="211"/>
        <w:gridCol w:w="690"/>
        <w:gridCol w:w="157"/>
      </w:tblGrid>
      <w:tr>
        <w:trPr/>
        <w:tc>
          <w:tcPr>
            <w:tcW w:w="2371"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6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(used) by investing activities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The decrease in net cash provided by operating activities is primarily attributable to the net effect of (i) an increase in cash provided by our Adjusted EBITDA and related working capital items, (ii) a decrease in cash provided due to higher restructuring costs, (iii) a decrease in cash provided due to higher net payments related to derivative instruments and</w:t>
      </w:r>
      <w:r>
        <w:rPr>
          <w:color w:val="000000"/>
        </w:rPr>
        <w:t xml:space="preserve"> </w:t>
      </w:r>
      <w:r>
        <w:rPr>
          <w:rFonts w:ascii="Times New Roman;serif" w:hAnsi="Times New Roman;serif"/>
          <w:b w:val="false"/>
          <w:color w:val="000000"/>
          <w:sz w:val="20"/>
        </w:rPr>
        <w:t>(iv) a decrease in cash provided due to higher payments for taxes. Consolidated Adjusted EBITDA is a non-GAAP measure, which investors should view as a supplement to, and not a substitute for, GAAP measures of performance included in our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The change in net cash provided (used) by investing activities is primarily attributable to (i) a decrease in cash of $154.3 million due to higher capital expenditures and (ii) a decrease in cash of $121.0 million primarily due to the net effect of (a) lower net cash received from the sale of our investments held under SMAs, partially offset by (b) an increase in cash of $101.8 million and $73.6 million from the partial sales of our investments in ITV and EdgeConneX, respectively.</w:t>
      </w:r>
      <w:r>
        <w:rPr>
          <w:color w:val="000000"/>
        </w:rPr>
        <w:t xml:space="preserve"> </w:t>
      </w:r>
      <w:r>
        <w:rPr>
          <w:rFonts w:ascii="Times New Roman;serif" w:hAnsi="Times New Roman;serif"/>
          <w:b w:val="false"/>
          <w:color w:val="000000"/>
          <w:sz w:val="20"/>
        </w:rPr>
        <w:t>Capital expenditures increased from $243.3 million during the three months ended March 31, 2025 to $397.6 million during the three months ended March 31, 2026, primarily due to</w:t>
      </w:r>
      <w:r>
        <w:rPr>
          <w:color w:val="000000"/>
        </w:rPr>
        <w:t xml:space="preserve"> </w:t>
      </w:r>
      <w:r>
        <w:rPr>
          <w:rFonts w:ascii="Times New Roman;serif" w:hAnsi="Times New Roman;serif"/>
          <w:b w:val="false"/>
          <w:color w:val="000000"/>
          <w:sz w:val="20"/>
        </w:rPr>
        <w:t>(a) an increase in our net local currency capital expenditures and related working capital movements, including the impact of higher capital-related vendor financing, and (b) an increase due to FX.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w:t>
      </w:r>
      <w:r>
        <w:rPr>
          <w:color w:val="000000"/>
        </w:rPr>
        <w:t xml:space="preserve"> </w:t>
      </w:r>
      <w:r>
        <w:rPr>
          <w:rFonts w:ascii="Times New Roman;serif" w:hAnsi="Times New Roman;serif"/>
          <w:b w:val="false"/>
          <w:color w:val="000000"/>
          <w:sz w:val="20"/>
        </w:rPr>
        <w:t>(i)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15 to our condensed consolidated financial statements. A reconciliation of our consolidated property and equipment additions to our consolidated capital expenditures, as reported in our condensed consolidated statements of cash flows, is set forth below:</w:t>
      </w:r>
    </w:p>
    <w:tbl>
      <w:tblPr>
        <w:tblW w:w="7914" w:type="dxa"/>
        <w:jc w:val="left"/>
        <w:tblInd w:w="0" w:type="dxa"/>
        <w:tblLayout w:type="fixed"/>
        <w:tblCellMar>
          <w:top w:w="28" w:type="dxa"/>
          <w:left w:w="28" w:type="dxa"/>
          <w:bottom w:w="28" w:type="dxa"/>
          <w:right w:w="28" w:type="dxa"/>
        </w:tblCellMar>
      </w:tblPr>
      <w:tblGrid>
        <w:gridCol w:w="2054"/>
        <w:gridCol w:w="1802"/>
        <w:gridCol w:w="1814"/>
        <w:gridCol w:w="211"/>
        <w:gridCol w:w="616"/>
        <w:gridCol w:w="109"/>
        <w:gridCol w:w="109"/>
        <w:gridCol w:w="109"/>
        <w:gridCol w:w="109"/>
        <w:gridCol w:w="211"/>
        <w:gridCol w:w="616"/>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Assets acquired under capital-related vendor financing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Changes in current liabilities related to 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our property and equipment additions during the three months ended March 31, 2026, as compared to the corresponding period in 2025, is primarily due to (i) an increase in local currency expenditures of our subsidiaries primarily due to (a) an increase in baseline expenditures, including network improvements and expenditures for property and facilities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technology systems, and (b) an increase in expenditures for new build and upgrade projects, and (ii) an increase due to FX.</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The increase in net cash used by financing activities is primarily attributable to the net effect of (i) an increase in cash used of $80.9 million due to higher net repayments of debt and finance lease obligations</w:t>
      </w:r>
      <w:r>
        <w:rPr>
          <w:color w:val="000000"/>
        </w:rPr>
        <w:t xml:space="preserve"> </w:t>
      </w:r>
      <w:r>
        <w:rPr>
          <w:rFonts w:ascii="Times New Roman;serif" w:hAnsi="Times New Roman;serif"/>
          <w:b w:val="false"/>
          <w:color w:val="000000"/>
          <w:sz w:val="20"/>
        </w:rPr>
        <w:t>and (ii) a decrease in cash used of $37.9 million due to lower repurchases of Liberty Global common shares.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$3.2 million and $0.8 million during the three months ended March 31, 2026 and 2025,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details of our adjusted free cash flow:</w:t>
      </w:r>
    </w:p>
    <w:tbl>
      <w:tblPr>
        <w:tblW w:w="7208" w:type="dxa"/>
        <w:jc w:val="left"/>
        <w:tblInd w:w="0" w:type="dxa"/>
        <w:tblLayout w:type="fixed"/>
        <w:tblCellMar>
          <w:top w:w="28" w:type="dxa"/>
          <w:left w:w="28" w:type="dxa"/>
          <w:bottom w:w="28" w:type="dxa"/>
          <w:right w:w="28" w:type="dxa"/>
        </w:tblCellMar>
      </w:tblPr>
      <w:tblGrid>
        <w:gridCol w:w="1743"/>
        <w:gridCol w:w="1533"/>
        <w:gridCol w:w="1538"/>
        <w:gridCol w:w="211"/>
        <w:gridCol w:w="691"/>
        <w:gridCol w:w="109"/>
        <w:gridCol w:w="109"/>
        <w:gridCol w:w="109"/>
        <w:gridCol w:w="109"/>
        <w:gridCol w:w="211"/>
        <w:gridCol w:w="69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Operating-related vendor financing additions (a)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capital expenditures,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operating-related vendor financing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capital-related vendor financing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pPr>
      <w:r>
        <w:rPr>
          <w:rFonts w:ascii="Times New Roman;serif" w:hAnsi="Times New Roman;serif"/>
          <w:b/>
          <w:i/>
          <w:color w:val="000000"/>
          <w:sz w:val="20"/>
        </w:rPr>
        <w:t>General</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information in this section should be read in conjunction with the more complete discussion that appears under Part II,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our 2025 10-K. The following discussion updates selected numerical information to March 31,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convenience translations into U.S. dollars are calculated as of March 31,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2026,</w:t>
      </w:r>
      <w:r>
        <w:rPr>
          <w:color w:val="000000"/>
        </w:rPr>
        <w:t xml:space="preserve"> </w:t>
      </w:r>
      <w:r>
        <w:rPr>
          <w:rFonts w:ascii="Times New Roman;serif" w:hAnsi="Times New Roman;serif"/>
          <w:b w:val="false"/>
          <w:color w:val="000000"/>
          <w:sz w:val="20"/>
        </w:rPr>
        <w:t>$1,062.7 million or 58.1%, $513.0 million or 28.1% and $250.5 million or 13.7% of our consolidated cash balance was denominated in euros, U.S. dollars and British Pound Sterling, respectively, and</w:t>
      </w:r>
      <w:r>
        <w:rPr>
          <w:color w:val="000000"/>
        </w:rPr>
        <w:t xml:space="preserve"> </w:t>
      </w:r>
      <w:r>
        <w:rPr>
          <w:rFonts w:ascii="Times New Roman;serif" w:hAnsi="Times New Roman;serif"/>
          <w:b w:val="false"/>
          <w:color w:val="000000"/>
          <w:sz w:val="20"/>
        </w:rPr>
        <w:t>$46.3 million or 100.0% of our consolidated balance of investments held under SMAs was denominated in U.S. dollars.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relationships between the primary currencies of the countries in which we operate and the U.S. dollar, which is our reporting currency, are shown below, per one U.S. dollar: </w:t>
      </w:r>
    </w:p>
    <w:tbl>
      <w:tblPr>
        <w:tblW w:w="4461" w:type="dxa"/>
        <w:jc w:val="left"/>
        <w:tblInd w:w="0" w:type="dxa"/>
        <w:tblLayout w:type="fixed"/>
        <w:tblCellMar>
          <w:top w:w="28" w:type="dxa"/>
          <w:left w:w="28" w:type="dxa"/>
          <w:bottom w:w="28" w:type="dxa"/>
          <w:right w:w="28" w:type="dxa"/>
        </w:tblCellMar>
      </w:tblPr>
      <w:tblGrid>
        <w:gridCol w:w="686"/>
        <w:gridCol w:w="607"/>
        <w:gridCol w:w="611"/>
        <w:gridCol w:w="360"/>
        <w:gridCol w:w="361"/>
        <w:gridCol w:w="296"/>
        <w:gridCol w:w="109"/>
        <w:gridCol w:w="109"/>
        <w:gridCol w:w="109"/>
        <w:gridCol w:w="360"/>
        <w:gridCol w:w="361"/>
        <w:gridCol w:w="492"/>
      </w:tblGrid>
      <w:tr>
        <w:trPr/>
        <w:tc>
          <w:tcPr>
            <w:tcW w:w="6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Spot rates: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0.8521 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0.7434 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155" w:type="dxa"/>
        <w:jc w:val="left"/>
        <w:tblInd w:w="0" w:type="dxa"/>
        <w:tblLayout w:type="fixed"/>
        <w:tblCellMar>
          <w:top w:w="28" w:type="dxa"/>
          <w:left w:w="28" w:type="dxa"/>
          <w:bottom w:w="28" w:type="dxa"/>
          <w:right w:w="28" w:type="dxa"/>
        </w:tblCellMar>
      </w:tblPr>
      <w:tblGrid>
        <w:gridCol w:w="690"/>
        <w:gridCol w:w="606"/>
        <w:gridCol w:w="609"/>
        <w:gridCol w:w="109"/>
        <w:gridCol w:w="109"/>
        <w:gridCol w:w="338"/>
        <w:gridCol w:w="338"/>
        <w:gridCol w:w="416"/>
        <w:gridCol w:w="338"/>
        <w:gridCol w:w="341"/>
        <w:gridCol w:w="109"/>
        <w:gridCol w:w="109"/>
        <w:gridCol w:w="109"/>
        <w:gridCol w:w="360"/>
        <w:gridCol w:w="361"/>
        <w:gridCol w:w="21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0.8542 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0.7418 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Inflation and Foreign Investment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Interest Rate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i/>
          <w:color w:val="000000"/>
          <w:sz w:val="20"/>
        </w:rPr>
        <w:t xml:space="preserve">Weighted Average Variable Interest Rate. </w:t>
      </w:r>
      <w:r>
        <w:rPr>
          <w:rFonts w:ascii="Times New Roman;serif" w:hAnsi="Times New Roman;serif"/>
          <w:b w:val="false"/>
          <w:color w:val="000000"/>
          <w:sz w:val="20"/>
        </w:rPr>
        <w:t>At March 31, 2026, the outstanding principal amount of our variable-rate indebtedness aggregated $6.8 billion, and the weighted average interest rate (including margin) on such variable-rate indebtedness was approximately 5.1%,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$34.0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Sensitivity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Telenet Cross-currency and Interest Rate Derivative Contracts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Holding all other factors constant, at March 31, 2026:</w:t>
      </w:r>
    </w:p>
    <w:p>
      <w:pPr>
        <w:pStyle w:val="TextBody"/>
        <w:bidi w:val="0"/>
        <w:spacing w:before="0" w:after="0"/>
        <w:ind w:left="0" w:right="0" w:firstLine="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(i)an instantaneous increase (decrease) of 10% in the value of the euro relative to the U.S. dollar would have decreased (increased) the aggregate fair value of the Telenet cross-currency and interest rate derivative contracts by approximately €295 million ($341 million);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(ii)an instantaneous increase in the relevant base rate of 50 basis points (0.50%) would have increased the aggregate fair value of the Telenet cross-currency and interest rate derivative contracts by approximately €55 million ($64 million) and, conversely, a decrease of 50 basis points would have decreased the aggregate fair value by approximately €56 million ($65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Projected Cash Flows Associated with Derivative Instruments</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the projected cash flows associated with our derivative instruments. The U.S. dollar equivalents presented below are based on interest rate projections and exchange rates as of March 31, 2026. These amounts are presented for illustrative purposes only and will likely differ from the actual cash payments or receipts required in future periods. For additional information regarding our derivative instruments, see note 6 to our condensed consolidated financial statements. </w:t>
      </w:r>
    </w:p>
    <w:tbl>
      <w:tblPr>
        <w:tblW w:w="10758" w:type="dxa"/>
        <w:jc w:val="left"/>
        <w:tblInd w:w="0" w:type="dxa"/>
        <w:tblLayout w:type="fixed"/>
        <w:tblCellMar>
          <w:top w:w="28" w:type="dxa"/>
          <w:left w:w="28" w:type="dxa"/>
          <w:bottom w:w="28" w:type="dxa"/>
          <w:right w:w="28" w:type="dxa"/>
        </w:tblCellMar>
      </w:tblPr>
      <w:tblGrid>
        <w:gridCol w:w="982"/>
        <w:gridCol w:w="244"/>
        <w:gridCol w:w="245"/>
        <w:gridCol w:w="239"/>
        <w:gridCol w:w="597"/>
        <w:gridCol w:w="125"/>
        <w:gridCol w:w="109"/>
        <w:gridCol w:w="109"/>
        <w:gridCol w:w="109"/>
        <w:gridCol w:w="211"/>
        <w:gridCol w:w="631"/>
        <w:gridCol w:w="109"/>
        <w:gridCol w:w="109"/>
        <w:gridCol w:w="109"/>
        <w:gridCol w:w="109"/>
        <w:gridCol w:w="211"/>
        <w:gridCol w:w="526"/>
        <w:gridCol w:w="109"/>
        <w:gridCol w:w="109"/>
        <w:gridCol w:w="109"/>
        <w:gridCol w:w="109"/>
        <w:gridCol w:w="211"/>
        <w:gridCol w:w="526"/>
        <w:gridCol w:w="109"/>
        <w:gridCol w:w="109"/>
        <w:gridCol w:w="109"/>
        <w:gridCol w:w="109"/>
        <w:gridCol w:w="211"/>
        <w:gridCol w:w="421"/>
        <w:gridCol w:w="109"/>
        <w:gridCol w:w="109"/>
        <w:gridCol w:w="109"/>
        <w:gridCol w:w="109"/>
        <w:gridCol w:w="211"/>
        <w:gridCol w:w="421"/>
        <w:gridCol w:w="109"/>
        <w:gridCol w:w="109"/>
        <w:gridCol w:w="109"/>
        <w:gridCol w:w="109"/>
        <w:gridCol w:w="260"/>
        <w:gridCol w:w="520"/>
        <w:gridCol w:w="136"/>
        <w:gridCol w:w="109"/>
        <w:gridCol w:w="109"/>
        <w:gridCol w:w="109"/>
        <w:gridCol w:w="211"/>
        <w:gridCol w:w="63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(receipts) due during: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Remainder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Projected derivative cash payments (receipts), net:</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Interest-related (a)</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Principal-related (b)</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(a)Includes (i) the cash flows of our interest rate cap, floor and swap contracts and (ii) the interest-related cash flows of our cross-currency and interest rate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(b)Includes the principal-related cash flows of our cross-currency swap contracts.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(c)Includes amounts related to our foreign currency forward contracts.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accordance with Rule 13a-15 of the Securities Exchange Act of 1934, as amended (the </w:t>
      </w:r>
      <w:r>
        <w:rPr>
          <w:rFonts w:ascii="Times New Roman;serif" w:hAnsi="Times New Roman;serif"/>
          <w:b/>
          <w:color w:val="000000"/>
          <w:sz w:val="20"/>
        </w:rPr>
        <w:t>Exchange Act</w:t>
      </w:r>
      <w:r>
        <w:rPr>
          <w:rFonts w:ascii="Times New Roman;serif" w:hAnsi="Times New Roman;serif"/>
          <w:b w:val="false"/>
          <w:color w:val="000000"/>
          <w:sz w:val="20"/>
        </w:rPr>
        <w:t xml:space="preserve">), we carried out an evaluation, under the supervision and with the participation of management, including our chief executive officer and chief financial officer (the </w:t>
      </w:r>
      <w:r>
        <w:rPr>
          <w:rFonts w:ascii="Times New Roman;serif" w:hAnsi="Times New Roman;serif"/>
          <w:b/>
          <w:color w:val="000000"/>
          <w:sz w:val="20"/>
        </w:rPr>
        <w:t>Executives</w:t>
      </w:r>
      <w:r>
        <w:rPr>
          <w:rFonts w:ascii="Times New Roman;serif" w:hAnsi="Times New Roman;serif"/>
          <w:b w:val="false"/>
          <w:color w:val="000000"/>
          <w:sz w:val="20"/>
        </w:rPr>
        <w:t>), of the effectiveness of our disclosure controls and procedures as of March 31, 2026.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2026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subsidiaries and affiliates have become involved in litigation relating to claims arising out of their operations in the normal course of business. For additional information, see note 14 to our condensed consolidated financial statements in Part I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color w:val="000000"/>
        </w:rPr>
        <w:t>    </w:t>
      </w:r>
      <w:r>
        <w:rPr>
          <w:rFonts w:ascii="Times New Roman;serif" w:hAnsi="Times New Roman;serif"/>
          <w:b/>
          <w:i/>
          <w:color w:val="000000"/>
          <w:sz w:val="20"/>
        </w:rPr>
        <w:t>Issuer Purchases of Equity Securities</w:t>
      </w:r>
      <w:r>
        <w:rPr>
          <w:color w:val="000000"/>
        </w:rPr>
        <w:t xml:space="preserve"> </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18"/>
        <w:gridCol w:w="334"/>
        <w:gridCol w:w="336"/>
        <w:gridCol w:w="185"/>
        <w:gridCol w:w="185"/>
        <w:gridCol w:w="185"/>
        <w:gridCol w:w="437"/>
        <w:gridCol w:w="437"/>
        <w:gridCol w:w="438"/>
        <w:gridCol w:w="109"/>
        <w:gridCol w:w="109"/>
        <w:gridCol w:w="109"/>
        <w:gridCol w:w="356"/>
        <w:gridCol w:w="686"/>
        <w:gridCol w:w="185"/>
        <w:gridCol w:w="109"/>
        <w:gridCol w:w="109"/>
        <w:gridCol w:w="109"/>
        <w:gridCol w:w="826"/>
        <w:gridCol w:w="826"/>
        <w:gridCol w:w="828"/>
        <w:gridCol w:w="109"/>
        <w:gridCol w:w="109"/>
        <w:gridCol w:w="109"/>
        <w:gridCol w:w="697"/>
        <w:gridCol w:w="1344"/>
        <w:gridCol w:w="521"/>
      </w:tblGrid>
      <w:tr>
        <w:trPr/>
        <w:tc>
          <w:tcPr>
            <w:tcW w:w="4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w:t>
              <w:br/>
              <w:t>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through January 31, 2026:</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through February 28, 2026:</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through March 31, 2026:</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 January 1, 2026 through March 31, 2026:</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_____________</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(a)Average price paid per share includes direct acquisition costs.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(b)No share repurchase program has been approved by our board of directors for 2026, and therefore, at this time, we are not authorized to repurchase any shares during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 xml:space="preserve">EXHIBITS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Listed below are the exhibits filed as part of this Quarterly Report (according to the number assigned to them in Item 601 of Regulation S-K):</w:t>
      </w:r>
    </w:p>
    <w:tbl>
      <w:tblPr>
        <w:tblW w:w="10205" w:type="dxa"/>
        <w:jc w:val="left"/>
        <w:tblInd w:w="0" w:type="dxa"/>
        <w:tblLayout w:type="fixed"/>
        <w:tblCellMar>
          <w:top w:w="28" w:type="dxa"/>
          <w:left w:w="28" w:type="dxa"/>
          <w:bottom w:w="28" w:type="dxa"/>
          <w:right w:w="28" w:type="dxa"/>
        </w:tblCellMar>
      </w:tblPr>
      <w:tblGrid>
        <w:gridCol w:w="318"/>
        <w:gridCol w:w="230"/>
        <w:gridCol w:w="230"/>
        <w:gridCol w:w="230"/>
        <w:gridCol w:w="230"/>
        <w:gridCol w:w="230"/>
        <w:gridCol w:w="3091"/>
        <w:gridCol w:w="2755"/>
        <w:gridCol w:w="2731"/>
        <w:gridCol w:w="160"/>
      </w:tblGrid>
      <w:tr>
        <w:trPr/>
        <w:tc>
          <w:tcPr>
            <w:tcW w:w="3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Instruments Defining the Rights of Securities Holdings, Including Indentures: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Supplemental Agreement dated February 20, 2026 between, among others, Telenet Financing USD LLC, Telenet International Finance S.à r.l., Telenet BV, The Bank of Nova Scotia as facility agent and KBC Bank NV as security agent and, attached as a schedule thereto, a copy of the Amended and Restated Credit Agreement dated February 20, 2026 between, among others, Telenet BV as original borrower, The Bank of Nova Scotia as facility agent and KBC Bank NV as security agent (incorporated by reference to Exhibit 4.1 to the Registrant's Current Report on Form 8-K filed February 24, 2026 (File No. 001-35961)).</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 Material Contracts: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Sale and Purchase Agreement, dated February 18, 2026, by and among, Vodafone Europe B.V., Vodafone International 1 S.à r.l., Liberty Global Holding B.V. and Liberty Global Broadband I Limited (incorporated by reference to Exhibit 10.1 to the Registrant's Current Report on Form 8-K filed February 24, 2026 (File No. 001-35961)).***</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Rule 13a-14(a)/15d-14(a) Certification:</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12026ex311.htm">
              <w:r>
                <w:rPr>
                  <w:rStyle w:val="InternetLink"/>
                  <w:rFonts w:ascii="Times New Roman;serif" w:hAnsi="Times New Roman;serif"/>
                  <w:b w:val="false"/>
                  <w:color w:val="0000FF"/>
                  <w:sz w:val="20"/>
                  <w:u w:val="single"/>
                </w:rPr>
                <w:t>Certification of President and Chief Executive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gq12026ex312.htm">
              <w:r>
                <w:rPr>
                  <w:rStyle w:val="InternetLink"/>
                  <w:rFonts w:ascii="Times New Roman;serif" w:hAnsi="Times New Roman;serif"/>
                  <w:b w:val="false"/>
                  <w:color w:val="0000FF"/>
                  <w:sz w:val="20"/>
                  <w:u w:val="single"/>
                </w:rPr>
                <w:t>Certification of Executive Vice President and Chief Financial Officer*</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lgq12026ex32.htm">
              <w:r>
                <w:rPr>
                  <w:rStyle w:val="InternetLink"/>
                  <w:rFonts w:ascii="Times New Roman;serif" w:hAnsi="Times New Roman;serif"/>
                  <w:b w:val="false"/>
                  <w:color w:val="0000FF"/>
                  <w:sz w:val="20"/>
                  <w:u w:val="single"/>
                </w:rPr>
                <w:t>32 — Section 1350 Certification**</w:t>
              </w:r>
            </w:hyperlink>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 </w:t>
      </w:r>
    </w:p>
    <w:tbl>
      <w:tblPr>
        <w:tblW w:w="10205" w:type="dxa"/>
        <w:jc w:val="left"/>
        <w:tblInd w:w="0" w:type="dxa"/>
        <w:tblLayout w:type="fixed"/>
        <w:tblCellMar>
          <w:top w:w="28" w:type="dxa"/>
          <w:left w:w="28" w:type="dxa"/>
          <w:bottom w:w="28" w:type="dxa"/>
          <w:right w:w="28" w:type="dxa"/>
        </w:tblCellMar>
      </w:tblPr>
      <w:tblGrid>
        <w:gridCol w:w="135"/>
        <w:gridCol w:w="118"/>
        <w:gridCol w:w="118"/>
        <w:gridCol w:w="2959"/>
        <w:gridCol w:w="2887"/>
        <w:gridCol w:w="3988"/>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4"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Schedules and similar attachments to the agreement have been omitted pursuant to Item 601(a)(5) of Regulation S</w:t>
              <w:noBreakHyphen/>
              <w:t>K. The Registrant hereby undertakes to furnish supplemental copies of any of the omitted schedules and similar attachments upon request by the United States Securities and Exchange Commission</w:t>
            </w:r>
          </w:p>
        </w:tc>
      </w:tr>
      <w:tr>
        <w:trPr/>
        <w:tc>
          <w:tcPr>
            <w:tcW w:w="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are omitted pursuant to Item 601(b)(10)(iv) of Regulations S-K because they are not material and are the type that the registrant treats as private or confidential. The Registrant hereby agrees to furnish a copy of any omitted portion upon request by the United States Securities and Exchange Commission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109"/>
        <w:gridCol w:w="109"/>
        <w:gridCol w:w="109"/>
        <w:gridCol w:w="946"/>
        <w:gridCol w:w="946"/>
        <w:gridCol w:w="134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T. F</w:t>
            </w:r>
            <w:r>
              <w:rPr>
                <w:rFonts w:ascii="Times New Roman;serif" w:hAnsi="Times New Roman;serif"/>
                <w:b w:val="false"/>
                <w:color w:val="000000"/>
                <w:sz w:val="16"/>
              </w:rPr>
              <w:t>RIES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Michael T. Fries</w:t>
            </w:r>
          </w:p>
          <w:p>
            <w:pPr>
              <w:pStyle w:val="TableContents"/>
              <w:bidi w:val="0"/>
              <w:spacing w:lineRule="auto" w:line="240"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0"/>
              <w:jc w:val="center"/>
              <w:rPr/>
            </w:pPr>
            <w:r>
              <w:rPr>
                <w:rFonts w:ascii="Times New Roman;serif" w:hAnsi="Times New Roman;serif"/>
                <w:b w:val="false"/>
                <w:color w:val="000000"/>
                <w:sz w:val="20"/>
              </w:rPr>
              <w:t>/s/    C</w:t>
            </w:r>
            <w:r>
              <w:rPr>
                <w:rFonts w:ascii="Times New Roman;serif" w:hAnsi="Times New Roman;serif"/>
                <w:b w:val="false"/>
                <w:color w:val="000000"/>
                <w:sz w:val="16"/>
              </w:rPr>
              <w:t>HARLES</w:t>
            </w:r>
            <w:r>
              <w:rPr>
                <w:color w:val="000000"/>
              </w:rPr>
              <w:t xml:space="preserve"> </w:t>
            </w:r>
            <w:r>
              <w:rPr>
                <w:rFonts w:ascii="Times New Roman;serif" w:hAnsi="Times New Roman;serif"/>
                <w:b w:val="false"/>
                <w:color w:val="000000"/>
                <w:sz w:val="20"/>
              </w:rPr>
              <w:t>H.R. B</w:t>
            </w:r>
            <w:r>
              <w:rPr>
                <w:rFonts w:ascii="Times New Roman;serif" w:hAnsi="Times New Roman;serif"/>
                <w:b w:val="false"/>
                <w:color w:val="000000"/>
                <w:sz w:val="16"/>
              </w:rPr>
              <w:t>RACKEN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w:t>
            </w:r>
          </w:p>
          <w:p>
            <w:pPr>
              <w:pStyle w:val="TableContents"/>
              <w:bidi w:val="0"/>
              <w:spacing w:lineRule="auto" w:line="240" w:before="0" w:after="20"/>
              <w:jc w:val="center"/>
              <w:rPr>
                <w:rFonts w:ascii="Times New Roman;serif" w:hAnsi="Times New Roman;serif"/>
                <w:b w:val="false"/>
                <w:i/>
                <w:color w:val="000000"/>
                <w:sz w:val="20"/>
              </w:rPr>
            </w:pPr>
            <w:r>
              <w:rPr>
                <w:rFonts w:ascii="Times New Roman;serif" w:hAnsi="Times New Roman;serif"/>
                <w:b w:val="false"/>
                <w:i/>
                <w:color w:val="000000"/>
                <w:sz w:val="20"/>
              </w:rPr>
              <w:t>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Michael T. Fries,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Date: May 1, 2026</w:t>
      </w:r>
    </w:p>
    <w:tbl>
      <w:tblPr>
        <w:tblW w:w="3551" w:type="dxa"/>
        <w:jc w:val="center"/>
        <w:tblInd w:w="0" w:type="dxa"/>
        <w:tblLayout w:type="fixed"/>
        <w:tblCellMar>
          <w:top w:w="28" w:type="dxa"/>
          <w:left w:w="28" w:type="dxa"/>
          <w:bottom w:w="28" w:type="dxa"/>
          <w:right w:w="28" w:type="dxa"/>
        </w:tblCellMar>
      </w:tblPr>
      <w:tblGrid>
        <w:gridCol w:w="1151"/>
        <w:gridCol w:w="1007"/>
        <w:gridCol w:w="1021"/>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 Fries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Charles H.R. Bracken, certify that:</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Liberty Global Ltd.;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 </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Date: May 1, 2026</w:t>
      </w:r>
    </w:p>
    <w:tbl>
      <w:tblPr>
        <w:tblW w:w="4782" w:type="dxa"/>
        <w:jc w:val="center"/>
        <w:tblInd w:w="0" w:type="dxa"/>
        <w:tblLayout w:type="fixed"/>
        <w:tblCellMar>
          <w:top w:w="28" w:type="dxa"/>
          <w:left w:w="28" w:type="dxa"/>
          <w:bottom w:w="28" w:type="dxa"/>
          <w:right w:w="28" w:type="dxa"/>
        </w:tblCellMar>
      </w:tblPr>
      <w:tblGrid>
        <w:gridCol w:w="1590"/>
        <w:gridCol w:w="1398"/>
        <w:gridCol w:w="1422"/>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erif" w:hAnsi="Times New Roman;serif"/>
                <w:b w:val="false"/>
                <w:color w:val="000000"/>
                <w:sz w:val="20"/>
              </w:rPr>
            </w:pPr>
            <w:r>
              <w:rPr>
                <w:rFonts w:ascii="Times New Roman;serif" w:hAnsi="Times New Roman;serif"/>
                <w:b w:val="false"/>
                <w:color w:val="000000"/>
                <w:sz w:val="20"/>
              </w:rPr>
              <w:t>/s/ 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405"/>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Liberty Global Ltd. (the "Company"), does hereby certify, to such officer's knowledge,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period ended March 31, 2026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2026 and December 31, 2025, and for the three months ended March 31, 2026 and 2025.</w:t>
      </w:r>
    </w:p>
    <w:p>
      <w:pPr>
        <w:pStyle w:val="TextBody"/>
        <w:bidi w:val="0"/>
        <w:spacing w:before="100" w:after="283"/>
        <w:jc w:val="both"/>
        <w:rPr/>
      </w:pPr>
      <w:r>
        <w:rPr/>
      </w:r>
    </w:p>
    <w:tbl>
      <w:tblPr>
        <w:tblW w:w="6179" w:type="dxa"/>
        <w:jc w:val="center"/>
        <w:tblInd w:w="0" w:type="dxa"/>
        <w:tblLayout w:type="fixed"/>
        <w:tblCellMar>
          <w:top w:w="28" w:type="dxa"/>
          <w:left w:w="28" w:type="dxa"/>
          <w:bottom w:w="28" w:type="dxa"/>
          <w:right w:w="28" w:type="dxa"/>
        </w:tblCellMar>
      </w:tblPr>
      <w:tblGrid>
        <w:gridCol w:w="629"/>
        <w:gridCol w:w="553"/>
        <w:gridCol w:w="558"/>
        <w:gridCol w:w="1296"/>
        <w:gridCol w:w="1296"/>
        <w:gridCol w:w="184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T. Fries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 Fries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H.R. Bracken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H.R. Bracken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0585/000157058526000032/ex41-telenetxamendmentan.htm" TargetMode="External"/><Relationship Id="rId4" Type="http://schemas.openxmlformats.org/officeDocument/2006/relationships/hyperlink" Target="https://www.sec.gov/Archives/edgar/data/1570585/000157058526000032/ex101-projectmaplexspax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32289</Words>
  <Characters>182382</Characters>
  <CharactersWithSpaces>212372</CharactersWithSpaces>
  <Paragraphs>4500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