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Liberty Global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shares, $0.01 nominal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ACR Alpine Capital Research,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21,982,431.50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21,982,431.50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21,982,431.50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ACR Opportunity,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201,000.00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Alpine Partners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MISSOURI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201,000.00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201,000.00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201,000.00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ACR Opportunity Fund</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284,500.00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284,500.00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284,500.00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ACR Equity International Fund</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639,000.00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639,000.00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Alpine Private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2,194,142.00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2,194,142.00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2,194,142.00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ACR Alpine Capital Research,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21,982,431.50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21,982,431.50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21,982,431.50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ACR Alpine Capital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21,982,431.50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21,982,431.50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21,982,431.50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Alpine Investment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MISSOURI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21,982,431.50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21,982,431.50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21,982,431.50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Alpine Holdings Corporation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MISSOURI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21,982,431.50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21,982,431.50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21,982,431.50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Nicholas V. Tompras Living Trust 9/23/03, as amended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MISSOURI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21,982,431.50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21,982,431.50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21,982,431.50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Nicholas V. Tompras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21,982,431.50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21,982,431.50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21,982,431.50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Jennifer O. Tompras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21,982,431.50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21,982,431.50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21,982,431.50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item1to9"/>
      <w:bookmarkStart w:id="59" w:name="item1to9"/>
      <w:bookmarkEnd w:id="5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Liberty Global Ltd.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Clarendon House, 2 Church Street, Hamilton, Ontario, Canada HM 11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ACR Opportunity, L.P. ("ACROPP"); (ii) Alpine Partners Management, LLC ("APM"); (iii) ACR Opportunity Fund ("ACROX"); (iv) ACR Equity International Fund ("ACREX"); (v) Alpine Private Capital, LLC ("APC"); (vi) ACR Alpine Capital Research, LLC ("ACR"); (vii) ACR Alpine Capital Research, LP ("ACRLP"); (viii) ACR Alpine Capital GP, LLC ("ACRGP"); (ix) Alpine Investment Management, LLC ("AIM"); (x) Alpine Holdings Corporation ("AHC"); (xi) Nicholas V. Tompras Living Trust 9/23/03, as amended (the "Living Trust"); (xii) Nicholas V. Tompras; and (xiii) Jennifer O. Tompras. The foregoing are collectively referred to herein as the "Reporting Persons." ACROPP, ACROX, ACREX, accounts separately managed by APC (the "APC Accounts"), and accounts separately managed by ACR (the "Separately Managed Accounts") each hold securities of the Issuer. APM is the general partner of ACROPP. ACR serves as the investment manager of ACROPP, ACROX, ACREX, and the Separately Managed Accounts, and has investment discretion over the APC Accounts delegated by APC. ACRLP is the sole member of ACR. ACRGP is the general partner of ACRLP. AIM is the sole member of ACRGP. AHC is the sole member of AIM. The Living Trust holds all of the voting capital stock of AHC. Nicholas V. Tompras and Jennifer O. Tompras are each a trustee of the Living Trust.</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190 Carondelet Plaza, Suite 1300, Saint Louis, Missouri 63105.</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Each of ACROPP and ACRLP is a Delaware limited partnership. Each of APM and AIM is a Missouri limited liability company. Each of ACROX and ACREX is a Delaware statutory trust. Each of APC, ACR, and ACRGP is a Delaware limited liability company. AHC is a Missouri corporation. The Living Trust is formed under the laws of the State of Missouri. Nicholas V. Tompras and Jennifer O. Tompras are citizens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shares, $0.01 nominal value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ACROPP 201,000 APM 201,000 ACROX 284,500 ACREX 639,000 APC 2,194,142 ACR 21,982,431.50 ACRLP 21,982,431.50 ACRGP 21,982,431.50 AIM 21,982,431.50 AHC 21,982,431.50 The Living Trust 21,982,431.50 Nicholas V. Tompras 21,982,431.50 Jennifer O. Tompras 21,982,431.50 ACROPP, APM, ACROX, APC, and ACR each disclaims beneficial ownership of all Common Stock included in this report other than the Common Stock held of record by such Reporting Person, and the filing of this report shall not be construed as an admission that any such person or entity is the beneficial owner of any such securities for purposes of Section 13(d) or 13(g) of the Securities Exchange Act of 1934, as amended (the "Exchange Act"), or for any other purpose. ACRLP, ACRGP, AIM, AHC, the Living Trust, and Mr. and Mrs. Tompras each disclaims beneficial ownership of all Common Stock included in this report, and the filing of this report shall not be construed as an admission that any such person or entity is the beneficial owner of any such securities for purposes of Section 13(d) or 13(g) of the Exchange Act,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ACROPP 0.1% APM 0.1% ACROX 0.2% ACREX 0.4% APC 1.2% ACR 12.4% ACRLP 12.4% ACRGP 12.4% AIM 12.4% AHC 12.4% The Living Trust 12.4% Nicholas V. Tompras 12.4% Jennifer O. Tompras 12.4% The percentages are based on 176,722,235 Class A Common Shares outstanding as of July 17, 2026, as disclosed in the Issuer's Quarterly Report on Form 10-Q filed on July 24, 2026.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ACROPP 201,000 APM 201,000 ACROX 284,500 ACREX 639,000 APC 2,194,142 ACR 21,982,431.50 ACRLP 21,982,431.50 ACRGP 21,982,431.50 AIM 21,982,431.50 AHC 21,982,431.50 The Living Trust 21,982,431.50 Nicholas V. Tompras 21,982,431.50 Jennifer O. Tompras 21,982,431.50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ACROPP 201,000 APM 201,000 ACROX 284,500 ACREX 639,000 APC 2,194,142 ACR 21,982,431.50 ACRLP 21,982,431.50 ACRGP 21,982,431.50 AIM 21,982,431.50 AHC 21,982,431.50 The Living Trust 21,982,431.50 Nicholas V. Tompras 21,982,431.50 Jennifer O. Tompras 21,982,431.50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APC Accounts and Separately Managed Accounts described above in Item 2 have the right to receive or the power to direct the receipt of dividends from, or the proceeds from the sale of, securities held in their respective accounts. To the knowledge of the Reporting Persons, the interest in any such account does not exceed 5% of the class of securities. Except to the extent described herein, the Reporting Persons disclaim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certifications"/>
      <w:bookmarkStart w:id="61" w:name="certifications"/>
      <w:bookmarkEnd w:id="6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signatureInfo"/>
      <w:bookmarkStart w:id="63" w:name="signatureInfo"/>
      <w:bookmarkEnd w:id="6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72" w:type="dxa"/>
        <w:jc w:val="left"/>
        <w:tblInd w:w="0" w:type="dxa"/>
        <w:tblLayout w:type="fixed"/>
        <w:tblCellMar>
          <w:top w:w="28" w:type="dxa"/>
          <w:left w:w="28" w:type="dxa"/>
          <w:bottom w:w="28" w:type="dxa"/>
          <w:right w:w="28" w:type="dxa"/>
        </w:tblCellMar>
      </w:tblPr>
      <w:tblGrid>
        <w:gridCol w:w="3736"/>
        <w:gridCol w:w="3736"/>
      </w:tblGrid>
      <w:tr>
        <w:trPr/>
        <w:tc>
          <w:tcPr>
            <w:tcW w:w="3736" w:type="dxa"/>
            <w:tcBorders/>
            <w:vAlign w:val="center"/>
          </w:tcPr>
          <w:p>
            <w:pPr>
              <w:pStyle w:val="TableContents"/>
              <w:bidi w:val="0"/>
              <w:spacing w:before="0" w:after="0"/>
              <w:jc w:val="left"/>
              <w:rPr/>
            </w:pPr>
            <w:r>
              <w:rPr/>
              <w:t> </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0"/>
                    <w:jc w:val="left"/>
                    <w:rPr/>
                  </w:pPr>
                  <w:r>
                    <w:rPr/>
                    <w:t>ACR Alpine Capital Research, LLC</w:t>
                  </w:r>
                </w:p>
              </w:tc>
            </w:tr>
          </w:tbl>
          <w:p>
            <w:pPr>
              <w:pStyle w:val="TableContents"/>
              <w:bidi w:val="0"/>
              <w:spacing w:before="0" w:after="283"/>
              <w:jc w:val="left"/>
              <w:rPr/>
            </w:pPr>
            <w:r>
              <w:rPr/>
            </w:r>
          </w:p>
        </w:tc>
        <w:tc>
          <w:tcPr>
            <w:tcW w:w="3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Nicholas V. Tompras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Nicholas V. Tompras/Chief Executive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ACR Opportunity, L.P.</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Alpine Partners Management, LLC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Nicholas V. Tompras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Nicholas V. Tompras/Chief Executive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Alpine Partners Management,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Nicholas V. Tompras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Nicholas V. Tompras/Chief Executive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ACR Opportunity Fund</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ACR Alpine Capital Research, LLC</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Investment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Nicholas V. Tompras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Nicholas V. Tompras/Chief Executive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ACR Equity International Fund</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ACR Alpine Capital Research, LLC</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Investment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Nicholas V. Tompras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Nicholas V. Tompras/Chief Executive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Alpine Private Capital,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Alpine Investment Management, LLC</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Majority Owner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Nicholas V. Tompras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Nicholas V. Tompras/President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ACR Alpine Capital Research,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Nicholas V. Tompras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Nicholas V. Tompras/Chief Executive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ACR Alpine Capital GP,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Nicholas V. Tompras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Nicholas V. Tompras/President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Alpine Investment Management, LLC</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Nicholas V. Tompras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Nicholas V. Tompras/President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Alpine Holdings Corporation</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Nicholas V. Tompras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Nicholas V. Tompras/President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1"/>
        <w:gridCol w:w="5054"/>
      </w:tblGrid>
      <w:tr>
        <w:trPr/>
        <w:tc>
          <w:tcPr>
            <w:tcW w:w="5151" w:type="dxa"/>
            <w:tcBorders/>
            <w:vAlign w:val="center"/>
          </w:tcPr>
          <w:p>
            <w:pPr>
              <w:pStyle w:val="TableContents"/>
              <w:bidi w:val="0"/>
              <w:spacing w:before="0" w:after="0"/>
              <w:jc w:val="left"/>
              <w:rPr/>
            </w:pPr>
            <w:r>
              <w:rPr/>
              <w:t> </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0"/>
                    <w:jc w:val="left"/>
                    <w:rPr/>
                  </w:pPr>
                  <w:r>
                    <w:rPr/>
                    <w:t>Nicholas V. Tompras Living Trust 9/23/03, as amended</w:t>
                  </w:r>
                </w:p>
              </w:tc>
            </w:tr>
          </w:tbl>
          <w:p>
            <w:pPr>
              <w:pStyle w:val="TableContents"/>
              <w:bidi w:val="0"/>
              <w:spacing w:before="0" w:after="283"/>
              <w:jc w:val="left"/>
              <w:rPr/>
            </w:pPr>
            <w:r>
              <w:rPr/>
            </w:r>
          </w:p>
        </w:tc>
        <w:tc>
          <w:tcPr>
            <w:tcW w:w="50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Nicholas V. Tompras</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Nicholas V. Tompras/Trustee</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Nicholas V. Tompras</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Nicholas V. Tompras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Nicholas V. Tompras/Individual</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Jennifer O. Tompras</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Jennifer O. Tompras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Jennifer O. Tompras/Individual</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3111</Words>
  <Characters>16514</Characters>
  <CharactersWithSpaces>19355</CharactersWithSpaces>
  <Paragraphs>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