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64752d8k.htm"/>
      <w:bookmarkStart w:id="1" w:name="ksd464752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6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April 24,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Liberty Global plc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395" w:type="dxa"/>
        <w:jc w:val="left"/>
        <w:tblInd w:w="0" w:type="dxa"/>
        <w:tblCellMar>
          <w:top w:w="0" w:type="dxa"/>
          <w:left w:w="0" w:type="dxa"/>
          <w:bottom w:w="0" w:type="dxa"/>
          <w:right w:w="0" w:type="dxa"/>
        </w:tblCellMar>
      </w:tblPr>
      <w:tblGrid>
        <w:gridCol w:w="2030"/>
        <w:gridCol w:w="60"/>
        <w:gridCol w:w="1055"/>
        <w:gridCol w:w="60"/>
        <w:gridCol w:w="1190"/>
      </w:tblGrid>
      <w:tr>
        <w:trPr/>
        <w:tc>
          <w:tcPr>
            <w:tcW w:w="20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r>
      <w:tr>
        <w:trPr/>
        <w:tc>
          <w:tcPr>
            <w:tcW w:w="2030" w:type="dxa"/>
            <w:tcBorders/>
            <w:shd w:fill="auto" w:val="clear"/>
            <w:vAlign w:val="center"/>
          </w:tcPr>
          <w:p>
            <w:pPr>
              <w:pStyle w:val="TableContents"/>
              <w:spacing w:before="0" w:after="283"/>
              <w:jc w:val="center"/>
              <w:rPr>
                <w:b/>
              </w:rPr>
            </w:pPr>
            <w:r>
              <w:rPr>
                <w:b/>
              </w:rPr>
              <w:t>England and Wales</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001-35961</w:t>
            </w:r>
          </w:p>
        </w:tc>
        <w:tc>
          <w:tcPr>
            <w:tcW w:w="60"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283"/>
              <w:jc w:val="center"/>
              <w:rPr>
                <w:b/>
              </w:rPr>
            </w:pPr>
            <w:r>
              <w:rPr>
                <w:b/>
              </w:rPr>
              <w:t>98-1112770</w:t>
            </w:r>
          </w:p>
        </w:tc>
      </w:tr>
      <w:tr>
        <w:trPr/>
        <w:tc>
          <w:tcPr>
            <w:tcW w:w="203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19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w:t>
            </w:r>
          </w:p>
        </w:tc>
      </w:tr>
    </w:tbl>
    <w:p>
      <w:pPr>
        <w:pStyle w:val="TextBody"/>
        <w:spacing w:before="200" w:after="0"/>
        <w:jc w:val="center"/>
        <w:rPr>
          <w:rFonts w:ascii="Times New Roman" w:hAnsi="Times New Roman"/>
          <w:b/>
          <w:sz w:val="20"/>
        </w:rPr>
      </w:pPr>
      <w:r>
        <w:rPr>
          <w:rFonts w:ascii="Times New Roman" w:hAnsi="Times New Roman"/>
          <w:b/>
          <w:sz w:val="20"/>
        </w:rPr>
        <w:t>Griffin House, 161 Hammersmith Rd, London, United Kingdom</w:t>
      </w:r>
    </w:p>
    <w:p>
      <w:pPr>
        <w:pStyle w:val="TextBody"/>
        <w:spacing w:before="0" w:after="0"/>
        <w:jc w:val="center"/>
        <w:rPr>
          <w:rFonts w:ascii="Times New Roman" w:hAnsi="Times New Roman"/>
          <w:b/>
          <w:sz w:val="20"/>
        </w:rPr>
      </w:pPr>
      <w:r>
        <w:rPr>
          <w:rFonts w:ascii="Times New Roman" w:hAnsi="Times New Roman"/>
          <w:b/>
          <w:sz w:val="20"/>
        </w:rPr>
        <w:t>W6 8BS</w:t>
      </w:r>
    </w:p>
    <w:p>
      <w:pPr>
        <w:pStyle w:val="TextBody"/>
        <w:spacing w:before="0" w:after="0"/>
        <w:jc w:val="center"/>
        <w:rPr>
          <w:rFonts w:ascii="Times New Roman" w:hAnsi="Times New Roman"/>
          <w:b/>
          <w:sz w:val="16"/>
        </w:rPr>
      </w:pPr>
      <w:r>
        <w:rPr>
          <w:rFonts w:ascii="Times New Roman" w:hAnsi="Times New Roman"/>
          <w:b/>
          <w:sz w:val="16"/>
        </w:rPr>
        <w:t>(Address of Principal Executive Office)</w:t>
      </w:r>
    </w:p>
    <w:p>
      <w:pPr>
        <w:pStyle w:val="TextBody"/>
        <w:spacing w:before="200" w:after="0"/>
        <w:jc w:val="center"/>
        <w:rPr>
          <w:rFonts w:ascii="Times New Roman" w:hAnsi="Times New Roman"/>
          <w:b/>
          <w:sz w:val="20"/>
        </w:rPr>
      </w:pPr>
      <w:r>
        <w:rPr>
          <w:rFonts w:ascii="Times New Roman" w:hAnsi="Times New Roman"/>
          <w:b/>
          <w:sz w:val="20"/>
        </w:rPr>
        <w:t>+44.208.483.6449 or 303.220.6600</w:t>
      </w:r>
    </w:p>
    <w:p>
      <w:pPr>
        <w:pStyle w:val="TextBody"/>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6075" w:type="dxa"/>
        <w:jc w:val="left"/>
        <w:tblInd w:w="0" w:type="dxa"/>
        <w:tblCellMar>
          <w:top w:w="0" w:type="dxa"/>
          <w:left w:w="0" w:type="dxa"/>
          <w:bottom w:w="0" w:type="dxa"/>
          <w:right w:w="0" w:type="dxa"/>
        </w:tblCellMar>
      </w:tblPr>
      <w:tblGrid>
        <w:gridCol w:w="2285"/>
        <w:gridCol w:w="60"/>
        <w:gridCol w:w="845"/>
        <w:gridCol w:w="60"/>
        <w:gridCol w:w="2825"/>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25" w:type="dxa"/>
            <w:tcBorders/>
            <w:shd w:fill="auto" w:val="clear"/>
            <w:vAlign w:val="center"/>
          </w:tcPr>
          <w:p>
            <w:pPr>
              <w:pStyle w:val="TableContents"/>
              <w:spacing w:before="0" w:after="283"/>
              <w:rPr>
                <w:sz w:val="4"/>
                <w:szCs w:val="4"/>
              </w:rPr>
            </w:pPr>
            <w:r>
              <w:rPr>
                <w:sz w:val="4"/>
                <w:szCs w:val="4"/>
              </w:rPr>
            </w:r>
          </w:p>
        </w:tc>
      </w:tr>
      <w:tr>
        <w:trPr/>
        <w:tc>
          <w:tcPr>
            <w:tcW w:w="228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84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shd w:fill="auto" w:val="clear"/>
            <w:vAlign w:val="center"/>
          </w:tcPr>
          <w:p>
            <w:pPr>
              <w:pStyle w:val="TableContents"/>
              <w:spacing w:before="0" w:after="283"/>
              <w:rPr/>
            </w:pPr>
            <w:r>
              <w:rPr/>
              <w:t> </w:t>
            </w:r>
          </w:p>
        </w:tc>
        <w:tc>
          <w:tcPr>
            <w:tcW w:w="282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Name of each exchange on</w:t>
              <w:br/>
              <w:t>which registered</w:t>
            </w:r>
          </w:p>
        </w:tc>
      </w:tr>
      <w:tr>
        <w:trPr/>
        <w:tc>
          <w:tcPr>
            <w:tcW w:w="2285" w:type="dxa"/>
            <w:tcBorders/>
            <w:shd w:fill="auto" w:val="clear"/>
            <w:vAlign w:val="center"/>
          </w:tcPr>
          <w:p>
            <w:pPr>
              <w:pStyle w:val="TableContents"/>
              <w:spacing w:before="0" w:after="283"/>
              <w:jc w:val="center"/>
              <w:rPr/>
            </w:pPr>
            <w:r>
              <w:rPr/>
              <w:t>Class A ordinary shares</w:t>
            </w:r>
          </w:p>
        </w:tc>
        <w:tc>
          <w:tcPr>
            <w:tcW w:w="6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center"/>
              <w:rPr/>
            </w:pPr>
            <w:r>
              <w:rPr/>
              <w:t>LBTYA</w:t>
            </w:r>
          </w:p>
        </w:tc>
        <w:tc>
          <w:tcPr>
            <w:tcW w:w="60" w:type="dxa"/>
            <w:tcBorders/>
            <w:shd w:fill="auto" w:val="clear"/>
            <w:vAlign w:val="center"/>
          </w:tcPr>
          <w:p>
            <w:pPr>
              <w:pStyle w:val="TableContents"/>
              <w:spacing w:before="0" w:after="283"/>
              <w:rPr/>
            </w:pPr>
            <w:r>
              <w:rPr/>
              <w:t> </w:t>
            </w:r>
          </w:p>
        </w:tc>
        <w:tc>
          <w:tcPr>
            <w:tcW w:w="2825" w:type="dxa"/>
            <w:tcBorders/>
            <w:shd w:fill="auto" w:val="clear"/>
            <w:vAlign w:val="center"/>
          </w:tcPr>
          <w:p>
            <w:pPr>
              <w:pStyle w:val="TableContents"/>
              <w:spacing w:before="0" w:after="283"/>
              <w:jc w:val="center"/>
              <w:rPr/>
            </w:pPr>
            <w:r>
              <w:rPr/>
              <w:t>Nasdaq Global Select Market</w:t>
            </w:r>
          </w:p>
        </w:tc>
      </w:tr>
      <w:tr>
        <w:trPr/>
        <w:tc>
          <w:tcPr>
            <w:tcW w:w="2285" w:type="dxa"/>
            <w:tcBorders/>
            <w:shd w:fill="auto" w:val="clear"/>
            <w:vAlign w:val="center"/>
          </w:tcPr>
          <w:p>
            <w:pPr>
              <w:pStyle w:val="TableContents"/>
              <w:spacing w:before="0" w:after="283"/>
              <w:jc w:val="center"/>
              <w:rPr/>
            </w:pPr>
            <w:r>
              <w:rPr/>
              <w:t>Class B ordinary shares</w:t>
            </w:r>
          </w:p>
        </w:tc>
        <w:tc>
          <w:tcPr>
            <w:tcW w:w="6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center"/>
              <w:rPr/>
            </w:pPr>
            <w:r>
              <w:rPr/>
              <w:t>LBTYB</w:t>
            </w:r>
          </w:p>
        </w:tc>
        <w:tc>
          <w:tcPr>
            <w:tcW w:w="60" w:type="dxa"/>
            <w:tcBorders/>
            <w:shd w:fill="auto" w:val="clear"/>
            <w:vAlign w:val="center"/>
          </w:tcPr>
          <w:p>
            <w:pPr>
              <w:pStyle w:val="TableContents"/>
              <w:spacing w:before="0" w:after="283"/>
              <w:rPr/>
            </w:pPr>
            <w:r>
              <w:rPr/>
              <w:t> </w:t>
            </w:r>
          </w:p>
        </w:tc>
        <w:tc>
          <w:tcPr>
            <w:tcW w:w="2825" w:type="dxa"/>
            <w:tcBorders/>
            <w:shd w:fill="auto" w:val="clear"/>
            <w:vAlign w:val="center"/>
          </w:tcPr>
          <w:p>
            <w:pPr>
              <w:pStyle w:val="TableContents"/>
              <w:spacing w:before="0" w:after="283"/>
              <w:jc w:val="center"/>
              <w:rPr/>
            </w:pPr>
            <w:r>
              <w:rPr/>
              <w:t>Nasdaq Global Select Market</w:t>
            </w:r>
          </w:p>
        </w:tc>
      </w:tr>
      <w:tr>
        <w:trPr/>
        <w:tc>
          <w:tcPr>
            <w:tcW w:w="2285" w:type="dxa"/>
            <w:tcBorders/>
            <w:shd w:fill="auto" w:val="clear"/>
            <w:vAlign w:val="center"/>
          </w:tcPr>
          <w:p>
            <w:pPr>
              <w:pStyle w:val="TableContents"/>
              <w:spacing w:before="0" w:after="283"/>
              <w:jc w:val="center"/>
              <w:rPr/>
            </w:pPr>
            <w:r>
              <w:rPr/>
              <w:t>Class C ordinary shares</w:t>
            </w:r>
          </w:p>
        </w:tc>
        <w:tc>
          <w:tcPr>
            <w:tcW w:w="6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center"/>
              <w:rPr/>
            </w:pPr>
            <w:r>
              <w:rPr/>
              <w:t>LBTYK</w:t>
            </w:r>
          </w:p>
        </w:tc>
        <w:tc>
          <w:tcPr>
            <w:tcW w:w="60" w:type="dxa"/>
            <w:tcBorders/>
            <w:shd w:fill="auto" w:val="clear"/>
            <w:vAlign w:val="center"/>
          </w:tcPr>
          <w:p>
            <w:pPr>
              <w:pStyle w:val="TableContents"/>
              <w:spacing w:before="0" w:after="283"/>
              <w:rPr/>
            </w:pPr>
            <w:r>
              <w:rPr/>
              <w:t> </w:t>
            </w:r>
          </w:p>
        </w:tc>
        <w:tc>
          <w:tcPr>
            <w:tcW w:w="2825" w:type="dxa"/>
            <w:tcBorders/>
            <w:shd w:fill="auto" w:val="clear"/>
            <w:vAlign w:val="center"/>
          </w:tcPr>
          <w:p>
            <w:pPr>
              <w:pStyle w:val="TableContents"/>
              <w:spacing w:before="0" w:after="283"/>
              <w:jc w:val="center"/>
              <w:rPr/>
            </w:pPr>
            <w:r>
              <w:rPr/>
              <w:t>Nasdaq Global Select Market</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00" w:after="0"/>
        <w:jc w:val="left"/>
        <w:rPr>
          <w:rFonts w:ascii="Times New Roman" w:hAnsi="Times New Roman"/>
          <w:sz w:val="20"/>
        </w:rPr>
      </w:pPr>
      <w:r>
        <w:rPr>
          <w:rFonts w:ascii="Times New Roman" w:hAnsi="Times New Roman"/>
          <w:sz w:val="20"/>
        </w:rPr>
        <w:t>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Item 8.01 OTHER EVENTS.</w:t>
      </w:r>
    </w:p>
    <w:p>
      <w:pPr>
        <w:pStyle w:val="TextBody"/>
        <w:spacing w:before="120" w:after="0"/>
        <w:jc w:val="left"/>
        <w:rPr>
          <w:rFonts w:ascii="Times New Roman" w:hAnsi="Times New Roman"/>
          <w:i/>
          <w:sz w:val="20"/>
        </w:rPr>
      </w:pPr>
      <w:r>
        <w:rPr>
          <w:rFonts w:ascii="Times New Roman" w:hAnsi="Times New Roman"/>
          <w:i/>
          <w:sz w:val="20"/>
        </w:rPr>
        <w:t xml:space="preserve">Liberty Global Proposes Change in Jurisdiction </w:t>
      </w:r>
    </w:p>
    <w:p>
      <w:pPr>
        <w:pStyle w:val="TextBody"/>
        <w:spacing w:before="120" w:after="0"/>
        <w:jc w:val="left"/>
        <w:rPr>
          <w:rFonts w:ascii="Times New Roman" w:hAnsi="Times New Roman"/>
          <w:sz w:val="20"/>
        </w:rPr>
      </w:pPr>
      <w:r>
        <w:rPr>
          <w:rFonts w:ascii="Times New Roman" w:hAnsi="Times New Roman"/>
          <w:sz w:val="20"/>
        </w:rPr>
        <w:t>On April 24, 2023, Liberty Global plc (“</w:t>
      </w:r>
      <w:r>
        <w:rPr>
          <w:rFonts w:ascii="Times New Roman" w:hAnsi="Times New Roman"/>
          <w:sz w:val="20"/>
          <w:u w:val="single"/>
        </w:rPr>
        <w:t>Liberty Global</w:t>
      </w:r>
      <w:r>
        <w:rPr>
          <w:rFonts w:ascii="Times New Roman" w:hAnsi="Times New Roman"/>
          <w:sz w:val="20"/>
        </w:rPr>
        <w:t>”,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our</w:t>
      </w:r>
      <w:r>
        <w:rPr>
          <w:rFonts w:ascii="Times New Roman" w:hAnsi="Times New Roman"/>
          <w:sz w:val="20"/>
        </w:rPr>
        <w:t>”), one of the world’s leading converged video, broadband and communications companies, filed a preliminary proxy statement (the “</w:t>
      </w:r>
      <w:r>
        <w:rPr>
          <w:rFonts w:ascii="Times New Roman" w:hAnsi="Times New Roman"/>
          <w:sz w:val="20"/>
          <w:u w:val="single"/>
        </w:rPr>
        <w:t>Proxy Statement</w:t>
      </w:r>
      <w:r>
        <w:rPr>
          <w:rFonts w:ascii="Times New Roman" w:hAnsi="Times New Roman"/>
          <w:sz w:val="20"/>
        </w:rPr>
        <w:t>”) with the U.S. Securities and Exchange Commission (the “</w:t>
      </w:r>
      <w:r>
        <w:rPr>
          <w:rFonts w:ascii="Times New Roman" w:hAnsi="Times New Roman"/>
          <w:sz w:val="20"/>
          <w:u w:val="single"/>
        </w:rPr>
        <w:t>SEC</w:t>
      </w:r>
      <w:r>
        <w:rPr>
          <w:rFonts w:ascii="Times New Roman" w:hAnsi="Times New Roman"/>
          <w:sz w:val="20"/>
        </w:rPr>
        <w:t>”). In the Proxy Statement, Liberty Global proposes to change the jurisdiction of incorporation of the parent holding company of the Liberty Global group to Bermuda from England and Wales (the “</w:t>
      </w:r>
      <w:r>
        <w:rPr>
          <w:rFonts w:ascii="Times New Roman" w:hAnsi="Times New Roman"/>
          <w:sz w:val="20"/>
          <w:u w:val="single"/>
        </w:rPr>
        <w:t>Redomiciliation</w:t>
      </w:r>
      <w:r>
        <w:rPr>
          <w:rFonts w:ascii="Times New Roman" w:hAnsi="Times New Roman"/>
          <w:sz w:val="20"/>
        </w:rPr>
        <w:t>”).</w:t>
      </w:r>
    </w:p>
    <w:p>
      <w:pPr>
        <w:pStyle w:val="TextBody"/>
        <w:spacing w:before="360" w:after="0"/>
        <w:jc w:val="left"/>
        <w:rPr>
          <w:rFonts w:ascii="Times New Roman" w:hAnsi="Times New Roman"/>
          <w:i/>
          <w:sz w:val="20"/>
        </w:rPr>
      </w:pPr>
      <w:r>
        <w:rPr>
          <w:rFonts w:ascii="Times New Roman" w:hAnsi="Times New Roman"/>
          <w:i/>
          <w:sz w:val="20"/>
        </w:rPr>
        <w:t xml:space="preserve">Principal Objectives </w:t>
      </w:r>
    </w:p>
    <w:p>
      <w:pPr>
        <w:pStyle w:val="TextBody"/>
        <w:spacing w:before="120" w:after="0"/>
        <w:jc w:val="left"/>
        <w:rPr>
          <w:rFonts w:ascii="Times New Roman" w:hAnsi="Times New Roman"/>
          <w:sz w:val="20"/>
        </w:rPr>
      </w:pPr>
      <w:r>
        <w:rPr>
          <w:rFonts w:ascii="Times New Roman" w:hAnsi="Times New Roman"/>
          <w:sz w:val="20"/>
        </w:rPr>
        <w:t>The principal objectives of the Redomiciliation are to reduce administrative complexities and to facilitate future shareholder value creation by aligning the U.S.-style corporate law of Bermuda with Liberty Global’s U.S. listing and the expectations of its largely U.S. shareholder base. Key components of Liberty Global’s strategy for delivering shareholder value may include, among others, cross-border M&amp;A and investments, share buybacks and self-tender offers, spin-offs and split-offs and other potential financings, each of which will be easier to execute as a Bermuda company.</w:t>
      </w:r>
    </w:p>
    <w:p>
      <w:pPr>
        <w:pStyle w:val="TextBody"/>
        <w:spacing w:before="360" w:after="0"/>
        <w:jc w:val="left"/>
        <w:rPr>
          <w:rFonts w:ascii="Times New Roman" w:hAnsi="Times New Roman"/>
          <w:i/>
          <w:sz w:val="20"/>
        </w:rPr>
      </w:pPr>
      <w:r>
        <w:rPr>
          <w:rFonts w:ascii="Times New Roman" w:hAnsi="Times New Roman"/>
          <w:i/>
          <w:sz w:val="20"/>
        </w:rPr>
        <w:t xml:space="preserve">Proposed Transaction has Limited Impact </w:t>
      </w:r>
    </w:p>
    <w:p>
      <w:pPr>
        <w:pStyle w:val="TextBody"/>
        <w:spacing w:before="120" w:after="0"/>
        <w:jc w:val="left"/>
        <w:rPr>
          <w:rFonts w:ascii="Times New Roman" w:hAnsi="Times New Roman"/>
          <w:sz w:val="20"/>
        </w:rPr>
      </w:pPr>
      <w:r>
        <w:rPr>
          <w:rFonts w:ascii="Times New Roman" w:hAnsi="Times New Roman"/>
          <w:sz w:val="20"/>
        </w:rPr>
        <w:t>The Redomiciliation would change the jurisdiction of incorporation and governing documents of the parent company, but would have no effect on Liberty Global’s operations and subsidiaries:</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transaction is not tax-driven; Liberty Global’s revenue and income would remain European-based, and its subsidiaries’ tax residence will not change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As a Bermuda company, Liberty Global will continue trading on Nasdaq (under the symbols LBTYA, LBTYB and LBTYK) and will continue to be governed by SEC rules and regulations</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Our day-to-day operations and our customer services and products in all our businesses, including our joint ventures in the U.K. and the Netherlands, will be unaffected</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There will be no change in Liberty Global’s offices or headquarters, management team, board of directors or employee base</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There will be no material change in our financial statements and no changes in our financial documents, financings, bonds or credit agreements</w:t>
            </w:r>
          </w:p>
        </w:tc>
      </w:tr>
    </w:tbl>
    <w:p>
      <w:pPr>
        <w:pStyle w:val="TextBody"/>
        <w:spacing w:before="360" w:after="0"/>
        <w:jc w:val="left"/>
        <w:rPr>
          <w:rFonts w:ascii="Times New Roman" w:hAnsi="Times New Roman"/>
          <w:i/>
          <w:sz w:val="20"/>
        </w:rPr>
      </w:pPr>
      <w:r>
        <w:rPr>
          <w:rFonts w:ascii="Times New Roman" w:hAnsi="Times New Roman"/>
          <w:i/>
          <w:sz w:val="20"/>
        </w:rPr>
        <w:t xml:space="preserve">Continuing Commitment to Europe </w:t>
      </w:r>
    </w:p>
    <w:p>
      <w:pPr>
        <w:pStyle w:val="TextBody"/>
        <w:spacing w:before="120" w:after="0"/>
        <w:jc w:val="left"/>
        <w:rPr>
          <w:rFonts w:ascii="Times New Roman" w:hAnsi="Times New Roman"/>
          <w:sz w:val="20"/>
        </w:rPr>
      </w:pPr>
      <w:r>
        <w:rPr>
          <w:rFonts w:ascii="Times New Roman" w:hAnsi="Times New Roman"/>
          <w:sz w:val="20"/>
        </w:rPr>
        <w:t>We remain committed to our businesses in the U.K. and the rest of Europe. Over the years we have invested billions of dollars in critical infrastructure in the jurisdictions where we operate, and our ongoing commitments will not be altered by the Redomiciliation.</w:t>
      </w:r>
    </w:p>
    <w:p>
      <w:pPr>
        <w:pStyle w:val="TextBody"/>
        <w:spacing w:before="360" w:after="0"/>
        <w:jc w:val="left"/>
        <w:rPr>
          <w:rFonts w:ascii="Times New Roman" w:hAnsi="Times New Roman"/>
          <w:i/>
          <w:sz w:val="20"/>
        </w:rPr>
      </w:pPr>
      <w:r>
        <w:rPr>
          <w:rFonts w:ascii="Times New Roman" w:hAnsi="Times New Roman"/>
          <w:i/>
          <w:sz w:val="20"/>
        </w:rPr>
        <w:t xml:space="preserve">Manner of Voting </w:t>
      </w:r>
    </w:p>
    <w:p>
      <w:pPr>
        <w:pStyle w:val="TextBody"/>
        <w:spacing w:before="120" w:after="0"/>
        <w:jc w:val="left"/>
        <w:rPr>
          <w:rFonts w:ascii="Times New Roman" w:hAnsi="Times New Roman"/>
          <w:sz w:val="20"/>
        </w:rPr>
      </w:pPr>
      <w:r>
        <w:rPr>
          <w:rFonts w:ascii="Times New Roman" w:hAnsi="Times New Roman"/>
          <w:sz w:val="20"/>
        </w:rPr>
        <w:t>The Redomiciliation will be effected pursuant to a scheme of arrangement (the “</w:t>
      </w:r>
      <w:r>
        <w:rPr>
          <w:rFonts w:ascii="Times New Roman" w:hAnsi="Times New Roman"/>
          <w:sz w:val="20"/>
          <w:u w:val="single"/>
        </w:rPr>
        <w:t>Scheme</w:t>
      </w:r>
      <w:r>
        <w:rPr>
          <w:rFonts w:ascii="Times New Roman" w:hAnsi="Times New Roman"/>
          <w:sz w:val="20"/>
        </w:rPr>
        <w:t>”) under English law and will be subject to approval by Liberty Global’s shareholders and the High Court of Justice of England and Wales (the “</w:t>
      </w:r>
      <w:r>
        <w:rPr>
          <w:rFonts w:ascii="Times New Roman" w:hAnsi="Times New Roman"/>
          <w:sz w:val="20"/>
          <w:u w:val="single"/>
        </w:rPr>
        <w:t>Court</w:t>
      </w:r>
      <w:r>
        <w:rPr>
          <w:rFonts w:ascii="Times New Roman" w:hAnsi="Times New Roman"/>
          <w:sz w:val="20"/>
        </w:rPr>
        <w:t>”). To obtain the shareholder approvals required to effect the Scheme, Liberty Global will be holding special Court-ordered back-to-back meetings of each class of its ordinary shares, covering substantially similar matters, as well as a related general meeting of holders of Liberty Global’s voting shares. In addition to these shareholder meetings, due to applicable SEC rules and regulations, we are also asking our shareholders at a separate meeting to vote on a non-binding, advisory basis, on certain governance changes that we are proposing as part of the Redomiciliation. This highly involved process illustrates certain complexities Liberty Global faces in conducting transactions as an English company that would not exist if it were a Bermudan company.</w:t>
      </w:r>
    </w:p>
    <w:p>
      <w:pPr>
        <w:pStyle w:val="TextBody"/>
        <w:spacing w:before="240" w:after="0"/>
        <w:jc w:val="left"/>
        <w:rPr>
          <w:rFonts w:ascii="Times New Roman" w:hAnsi="Times New Roman"/>
          <w:sz w:val="20"/>
        </w:rPr>
      </w:pPr>
      <w:r>
        <w:rPr>
          <w:rFonts w:ascii="Times New Roman" w:hAnsi="Times New Roman"/>
          <w:sz w:val="20"/>
        </w:rPr>
        <w:t>The meetings are expected to be scheduled for later this year. If the Scheme is approved by the requisite vote of shareholders at these meetings, and subject to the satisfaction (or if not satisfied, to the extent permitted by applicable law, waiver) of certain other conditions described in the Proxy Statement, Liberty Global will make a subsequent application to the Court for it to approve the Scheme and currently expects to complete the Redomiciliation in the second half of 2023.</w:t>
      </w:r>
    </w:p>
    <w:p>
      <w:pPr>
        <w:pStyle w:val="TextBody"/>
        <w:spacing w:before="0" w:after="0"/>
        <w:jc w:val="left"/>
        <w:rPr/>
      </w:pPr>
      <w:r>
        <w:rPr/>
        <w:t>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Detailed information on the Scheme, Liberty Global’s business rationale for pursuing the transaction and the voting requirements necessary to effect the Redomiciliation are included in the Proxy Statement. The date of the shareholder meetings will be established once a definitive proxy statement is filed with the SEC.</w:t>
      </w:r>
    </w:p>
    <w:p>
      <w:pPr>
        <w:pStyle w:val="TextBody"/>
        <w:spacing w:before="360" w:after="0"/>
        <w:jc w:val="left"/>
        <w:rPr>
          <w:rFonts w:ascii="Times New Roman" w:hAnsi="Times New Roman"/>
          <w:b/>
          <w:sz w:val="20"/>
        </w:rPr>
      </w:pPr>
      <w:r>
        <w:rPr>
          <w:rFonts w:ascii="Times New Roman" w:hAnsi="Times New Roman"/>
          <w:b/>
          <w:sz w:val="20"/>
        </w:rPr>
        <w:t>Forward-Looking Statements</w:t>
      </w:r>
    </w:p>
    <w:p>
      <w:pPr>
        <w:pStyle w:val="TextBody"/>
        <w:spacing w:before="120" w:after="0"/>
        <w:jc w:val="left"/>
        <w:rPr>
          <w:rFonts w:ascii="Times New Roman" w:hAnsi="Times New Roman"/>
          <w:sz w:val="20"/>
        </w:rPr>
      </w:pPr>
      <w:r>
        <w:rPr>
          <w:rFonts w:ascii="Times New Roman" w:hAnsi="Times New Roman"/>
          <w:sz w:val="20"/>
        </w:rPr>
        <w:t>This communication contains certain statements which are, or may be deemed to be, “forward-looking statements” with respect to the financial condition, results of operations and business of Liberty Global and certain plans and objectives of Liberty Global with respect to the Redomiciliation. All statements other than statements of historical fact may be forward-looking statements. Forward-looking statements are statements of future expectations that are based on current expectations, assumptions and projections about future events, and are therefore subject to risks and uncertainties which could cause actual results, performance or events to differ materially from those expressed or implied by the forward-looking statements. Often, but not always, forward-looking statements can be identified by the use of forward-looking words such as “plans”, “expects”, “is expected”, “is subject to”, “budget”, “scheduled”, “estimates”, “forecasts”, “intends”, “anticipates”, “believes”, “targets”, “aims”, “projects” or words or terms of similar substance or the negative thereof, as well as variations of such words and phrases or statements that certain actions, events or results “may”, “could”, “should”, “would”, “might” or “will” be taken, occur or be achieved. Such statements are qualified in their entirety by the inherent risks and uncertainties surrounding future expectations.</w:t>
      </w:r>
    </w:p>
    <w:p>
      <w:pPr>
        <w:pStyle w:val="TextBody"/>
        <w:spacing w:before="240" w:after="0"/>
        <w:jc w:val="left"/>
        <w:rPr>
          <w:rFonts w:ascii="Times New Roman" w:hAnsi="Times New Roman"/>
          <w:sz w:val="20"/>
        </w:rPr>
      </w:pPr>
      <w:r>
        <w:rPr>
          <w:rFonts w:ascii="Times New Roman" w:hAnsi="Times New Roman"/>
          <w:sz w:val="20"/>
        </w:rPr>
        <w:t>Although Liberty Global believes that the expectations reflected in such forward-looking statements are reasonable, we cannot give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but not limited to, the matters set forth under “Forward Looking Statements” in Part I, Item 1 of Liberty Global’s Annual Report on Form 10-K for the fiscal year ended December 31, 2022. Other factors that could cause actual results and developments to differ materially from those expressed or implied by such forward-looking statements include our ability to obtain the approval of Liberty Global shareholders for the Scheme and the resolutions proposed at related meetings of holders of our Class A Ordinary Shares, Class B Ordinary Shares and Class C Ordinary Shares, our ability to satisfy the other conditions to the Redomiciliation on the expected timeframe, or at all, our ability to realize the expected benefits from the Redomiciliation and the occurrence of unanticipated difficulties or costs in connection with the Redomiciliation.</w:t>
      </w:r>
    </w:p>
    <w:p>
      <w:pPr>
        <w:pStyle w:val="TextBody"/>
        <w:spacing w:before="240" w:after="0"/>
        <w:jc w:val="left"/>
        <w:rPr>
          <w:rFonts w:ascii="Times New Roman" w:hAnsi="Times New Roman"/>
          <w:sz w:val="20"/>
        </w:rPr>
      </w:pPr>
      <w:r>
        <w:rPr>
          <w:rFonts w:ascii="Times New Roman" w:hAnsi="Times New Roman"/>
          <w:sz w:val="20"/>
        </w:rPr>
        <w:t>All of our forward-looking statements should be considered in light of these factors. All of our forward-looking statements speak only as of the date they were made, and we undertake no obligation to update our forward-looking statements or risk factors to reflect new information, future events or otherwise, except as may be required under applicable securities laws and regulations. Accordingly, you should not place undue reliance on any such forward-looking statements.</w:t>
      </w:r>
    </w:p>
    <w:p>
      <w:pPr>
        <w:pStyle w:val="TextBody"/>
        <w:spacing w:before="360" w:after="0"/>
        <w:jc w:val="left"/>
        <w:rPr>
          <w:rFonts w:ascii="Times New Roman" w:hAnsi="Times New Roman"/>
          <w:b/>
          <w:sz w:val="20"/>
        </w:rPr>
      </w:pPr>
      <w:r>
        <w:rPr>
          <w:rFonts w:ascii="Times New Roman" w:hAnsi="Times New Roman"/>
          <w:b/>
          <w:sz w:val="20"/>
        </w:rPr>
        <w:t>Additional Information and Where to Find It</w:t>
      </w:r>
    </w:p>
    <w:p>
      <w:pPr>
        <w:pStyle w:val="TextBody"/>
        <w:spacing w:before="120" w:after="0"/>
        <w:jc w:val="left"/>
        <w:rPr>
          <w:rFonts w:ascii="Times New Roman" w:hAnsi="Times New Roman"/>
          <w:sz w:val="20"/>
        </w:rPr>
      </w:pPr>
      <w:r>
        <w:rPr>
          <w:rFonts w:ascii="Times New Roman" w:hAnsi="Times New Roman"/>
          <w:sz w:val="20"/>
        </w:rPr>
        <w:t>This communication does not constitute an offer to sell or the solicitation of an offer to buy any securities or a solicitation of any vote or approval. This communication may be deemed to be solicitation material in respect of the Redomiciliation. In connection with the Redomiciliation, on April 24, 2023, Liberty Global filed with the SEC a preliminary proxy statement and will file with the SEC and mail to its shareholders a definitive proxy statement on Schedule 14A, as well as other relevant documents regarding the proposed Redomiciliation. LIBERTY GLOBAL SHAREHOLDERS ARE URGED TO READ THE DEFINITIVE PROXY STATEMENT AND SCHEME CIRCULAR (THE “DEFINITIVE PROXY STATEMENT”) AS WELL AS ANY AMENDMENTS OR SUPPLEMENTS THERETO AND ANY DOCUMENTS INCORPORATED BY REFERENCE THEREIN AND OTHER RELEVANT DOCUMENTS IN CONNECTION WITH THE PROPOSED TRANSACTION THAT LIBERTY GLOBAL WILL FILE WITH THE SEC WHEN THEY BECOME AVAILABLE BECAUSE THEY WILL CONTAIN IMPORTANT INFORMATION ABOUT THE REDOMICILATION. Liberty Global shareholders and investors may obtain free copies of the Definitive Proxy Statement and other relevant materials (when they become available) and other documents filed by Liberty Global at the SEC’s website at www.sec.gov. Copies of the Definitive Proxy Statement (and other relevant materials when they become available) and the filings that will be incorporated by reference therein may also be obtained, without charge, by contacting Liberty Global’s Investor Relations at ir@libertyglobal.com or +1(303) 220-6600.</w:t>
      </w:r>
    </w:p>
    <w:p>
      <w:pPr>
        <w:pStyle w:val="TextBody"/>
        <w:spacing w:before="360" w:after="0"/>
        <w:jc w:val="left"/>
        <w:rPr>
          <w:rFonts w:ascii="Times New Roman" w:hAnsi="Times New Roman"/>
          <w:b/>
          <w:sz w:val="20"/>
        </w:rPr>
      </w:pPr>
      <w:r>
        <w:rPr>
          <w:rFonts w:ascii="Times New Roman" w:hAnsi="Times New Roman"/>
          <w:b/>
          <w:sz w:val="20"/>
        </w:rPr>
        <w:t>Participants in Solicitation</w:t>
      </w:r>
    </w:p>
    <w:p>
      <w:pPr>
        <w:pStyle w:val="TextBody"/>
        <w:spacing w:before="120" w:after="0"/>
        <w:jc w:val="left"/>
        <w:rPr>
          <w:rFonts w:ascii="Times New Roman" w:hAnsi="Times New Roman"/>
          <w:sz w:val="20"/>
        </w:rPr>
      </w:pPr>
      <w:r>
        <w:rPr>
          <w:rFonts w:ascii="Times New Roman" w:hAnsi="Times New Roman"/>
          <w:sz w:val="20"/>
        </w:rPr>
        <w:t>Liberty Global and its directors, executive officers and certain employees, may be deemed, under SEC rules, to be participants in the solicitation of proxies in respect of the proposed Redomiciliation. Information regarding Liberty Global’s directors and executive officers is available in its preliminary proxy statement filed with the SEC on April 24, 2023. Other information regarding the participants in the proxy solicitation and a description of their direct and indirect interests, by security</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holdings or otherwise, will be contained in the Definitive Proxy Statement and other relevant materials to be filed with the SEC (when they become available). These documents can be obtained free of charge from the sources indicated above.</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SIGNATURE</w:t>
      </w:r>
    </w:p>
    <w:p>
      <w:pPr>
        <w:pStyle w:val="TextBody"/>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jc w:val="left"/>
        <w:rPr/>
      </w:pPr>
      <w:r>
        <w:rPr/>
        <w:t> </w:t>
      </w:r>
    </w:p>
    <w:tbl>
      <w:tblPr>
        <w:tblW w:w="2658" w:type="dxa"/>
        <w:jc w:val="left"/>
        <w:tblInd w:w="0" w:type="dxa"/>
        <w:tblCellMar>
          <w:top w:w="0" w:type="dxa"/>
          <w:left w:w="0" w:type="dxa"/>
          <w:bottom w:w="0" w:type="dxa"/>
          <w:right w:w="0" w:type="dxa"/>
        </w:tblCellMar>
      </w:tblPr>
      <w:tblGrid>
        <w:gridCol w:w="404"/>
        <w:gridCol w:w="63"/>
        <w:gridCol w:w="2191"/>
      </w:tblGrid>
      <w:tr>
        <w:trPr/>
        <w:tc>
          <w:tcPr>
            <w:tcW w:w="40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r>
      <w:tr>
        <w:trPr/>
        <w:tc>
          <w:tcPr>
            <w:tcW w:w="2658" w:type="dxa"/>
            <w:gridSpan w:val="3"/>
            <w:tcBorders/>
            <w:shd w:fill="auto" w:val="clear"/>
            <w:vAlign w:val="center"/>
          </w:tcPr>
          <w:p>
            <w:pPr>
              <w:pStyle w:val="TableContents"/>
              <w:spacing w:before="0" w:after="283"/>
              <w:rPr/>
            </w:pPr>
            <w:r>
              <w:rPr/>
              <w:t>LIBERTY GLOBAL PLC</w:t>
            </w:r>
          </w:p>
        </w:tc>
      </w:tr>
      <w:tr>
        <w:trPr/>
        <w:tc>
          <w:tcPr>
            <w:tcW w:w="404" w:type="dxa"/>
            <w:tcBorders/>
            <w:shd w:fill="auto" w:val="clear"/>
            <w:vAlign w:val="center"/>
          </w:tcPr>
          <w:p>
            <w:pPr>
              <w:pStyle w:val="TableContents"/>
              <w:spacing w:before="0" w:after="283"/>
              <w:rPr>
                <w:sz w:val="4"/>
                <w:szCs w:val="4"/>
              </w:rPr>
            </w:pPr>
            <w:r>
              <w:rPr>
                <w:sz w:val="4"/>
                <w:szCs w:val="4"/>
              </w:rPr>
            </w:r>
          </w:p>
        </w:tc>
        <w:tc>
          <w:tcPr>
            <w:tcW w:w="2254" w:type="dxa"/>
            <w:gridSpan w:val="2"/>
            <w:tcBorders/>
            <w:shd w:fill="auto" w:val="clear"/>
            <w:vAlign w:val="center"/>
          </w:tcPr>
          <w:p>
            <w:pPr>
              <w:pStyle w:val="TableContents"/>
              <w:spacing w:before="0" w:after="283"/>
              <w:rPr>
                <w:sz w:val="4"/>
                <w:szCs w:val="4"/>
              </w:rPr>
            </w:pPr>
            <w:r>
              <w:rPr>
                <w:sz w:val="4"/>
                <w:szCs w:val="4"/>
              </w:rPr>
            </w:r>
          </w:p>
        </w:tc>
      </w:tr>
      <w:tr>
        <w:trPr/>
        <w:tc>
          <w:tcPr>
            <w:tcW w:w="404" w:type="dxa"/>
            <w:tcBorders/>
            <w:shd w:fill="auto" w:val="clear"/>
            <w:vAlign w:val="center"/>
          </w:tcPr>
          <w:p>
            <w:pPr>
              <w:pStyle w:val="TableContents"/>
              <w:spacing w:before="0" w:after="283"/>
              <w:rPr/>
            </w:pPr>
            <w:r>
              <w:rPr/>
              <w:t>By:</w:t>
            </w:r>
          </w:p>
        </w:tc>
        <w:tc>
          <w:tcPr>
            <w:tcW w:w="63" w:type="dxa"/>
            <w:tcBorders/>
            <w:shd w:fill="auto" w:val="clear"/>
            <w:vAlign w:val="center"/>
          </w:tcPr>
          <w:p>
            <w:pPr>
              <w:pStyle w:val="TableContents"/>
              <w:spacing w:before="0" w:after="283"/>
              <w:rPr/>
            </w:pPr>
            <w:r>
              <w:rPr/>
              <w:t> </w:t>
            </w:r>
          </w:p>
        </w:tc>
        <w:tc>
          <w:tcPr>
            <w:tcW w:w="2191"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RANDY L. LAZZELL</w:t>
            </w:r>
          </w:p>
        </w:tc>
      </w:tr>
      <w:tr>
        <w:trPr/>
        <w:tc>
          <w:tcPr>
            <w:tcW w:w="40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pPr>
            <w:r>
              <w:rPr/>
              <w:t> </w:t>
            </w:r>
          </w:p>
        </w:tc>
        <w:tc>
          <w:tcPr>
            <w:tcW w:w="2191" w:type="dxa"/>
            <w:tcBorders/>
            <w:shd w:fill="auto" w:val="clear"/>
            <w:vAlign w:val="center"/>
          </w:tcPr>
          <w:p>
            <w:pPr>
              <w:pStyle w:val="TableContents"/>
              <w:spacing w:before="0" w:after="283"/>
              <w:rPr/>
            </w:pPr>
            <w:r>
              <w:rPr/>
              <w:t>Randy L. Lazzell</w:t>
            </w:r>
          </w:p>
        </w:tc>
      </w:tr>
      <w:tr>
        <w:trPr/>
        <w:tc>
          <w:tcPr>
            <w:tcW w:w="40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pPr>
            <w:r>
              <w:rPr/>
              <w:t> </w:t>
            </w:r>
          </w:p>
        </w:tc>
        <w:tc>
          <w:tcPr>
            <w:tcW w:w="2191" w:type="dxa"/>
            <w:tcBorders/>
            <w:shd w:fill="auto" w:val="clear"/>
            <w:vAlign w:val="center"/>
          </w:tcPr>
          <w:p>
            <w:pPr>
              <w:pStyle w:val="TableContents"/>
              <w:spacing w:before="0" w:after="283"/>
              <w:rPr/>
            </w:pPr>
            <w:r>
              <w:rPr/>
              <w:t>Vice President</w:t>
            </w:r>
          </w:p>
        </w:tc>
      </w:tr>
    </w:tbl>
    <w:p>
      <w:pPr>
        <w:pStyle w:val="TextBody"/>
        <w:spacing w:before="240" w:after="0"/>
        <w:jc w:val="left"/>
        <w:rPr>
          <w:rFonts w:ascii="Times New Roman" w:hAnsi="Times New Roman"/>
          <w:sz w:val="20"/>
        </w:rPr>
      </w:pPr>
      <w:r>
        <w:rPr>
          <w:rFonts w:ascii="Times New Roman" w:hAnsi="Times New Roman"/>
          <w:sz w:val="20"/>
        </w:rPr>
        <w:t>Date: April 24, 2023</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1823</Words>
  <CharactersWithSpaces>12175</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