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6995160" cy="6647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664718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Sanchez Daniel E.</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1550 WEWATTA STREET, STE 1000</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Liberty Global Ltd.</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LBTY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06/23/2026</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9" w:lineRule="exact"/>
        <w:rPr>
          <w:sz w:val="24"/>
          <w:szCs w:val="24"/>
          <w:color w:val="auto"/>
        </w:rPr>
      </w:pPr>
    </w:p>
    <w:p>
      <w:pPr>
        <w:sectPr>
          <w:pgSz w:w="11900" w:h="16838" w:orient="portrait"/>
          <w:cols w:equalWidth="0" w:num="3">
            <w:col w:w="3180" w:space="720"/>
            <w:col w:w="3107" w:space="720"/>
            <w:col w:w="3353"/>
          </w:cols>
          <w:pgMar w:left="460" w:top="216" w:right="359" w:bottom="0" w:gutter="0" w:footer="0" w:header="0"/>
          <w:type w:val="continuous"/>
        </w:sectPr>
      </w:pPr>
    </w:p>
    <w:p>
      <w:pPr>
        <w:spacing w:after="0" w:line="229"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DENVER</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CO</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80202</w:t>
            </w:r>
          </w:p>
        </w:tc>
      </w:tr>
      <w:tr>
        <w:trPr>
          <w:trHeight w:val="147"/>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6" w:lineRule="exact"/>
        <w:rPr>
          <w:sz w:val="24"/>
          <w:szCs w:val="24"/>
          <w:color w:val="auto"/>
        </w:rPr>
      </w:pPr>
    </w:p>
    <w:p>
      <w:pPr>
        <w:sectPr>
          <w:pgSz w:w="11900" w:h="16838" w:orient="portrait"/>
          <w:cols w:equalWidth="0" w:num="2">
            <w:col w:w="3740" w:space="160"/>
            <w:col w:w="718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6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6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jc w:val="center"/>
              <w:ind w:left="673"/>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Shares</w:t>
            </w:r>
          </w:p>
        </w:tc>
        <w:tc>
          <w:tcPr>
            <w:tcW w:w="1840" w:type="dxa"/>
            <w:vAlign w:val="bottom"/>
            <w:gridSpan w:val="2"/>
          </w:tcPr>
          <w:p>
            <w:pPr>
              <w:jc w:val="center"/>
              <w:ind w:left="693"/>
              <w:spacing w:after="0"/>
              <w:rPr>
                <w:sz w:val="20"/>
                <w:szCs w:val="20"/>
                <w:color w:val="auto"/>
              </w:rPr>
            </w:pPr>
            <w:r>
              <w:rPr>
                <w:rFonts w:ascii="Times New Roman" w:cs="Times New Roman" w:eastAsia="Times New Roman" w:hAnsi="Times New Roman"/>
                <w:sz w:val="17"/>
                <w:szCs w:val="17"/>
                <w:color w:val="0000FF"/>
                <w:w w:val="98"/>
              </w:rPr>
              <w:t>06/23/2026</w:t>
            </w: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right"/>
              <w:ind w:right="38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5,809</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0000FF"/>
              </w:rPr>
              <w:t>12,509</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C Common Shares</w:t>
            </w:r>
          </w:p>
        </w:tc>
        <w:tc>
          <w:tcPr>
            <w:tcW w:w="1840" w:type="dxa"/>
            <w:vAlign w:val="bottom"/>
            <w:gridSpan w:val="2"/>
          </w:tcPr>
          <w:p>
            <w:pPr>
              <w:jc w:val="center"/>
              <w:ind w:left="693"/>
              <w:spacing w:after="0"/>
              <w:rPr>
                <w:sz w:val="20"/>
                <w:szCs w:val="20"/>
                <w:color w:val="auto"/>
              </w:rPr>
            </w:pPr>
            <w:r>
              <w:rPr>
                <w:rFonts w:ascii="Times New Roman" w:cs="Times New Roman" w:eastAsia="Times New Roman" w:hAnsi="Times New Roman"/>
                <w:sz w:val="17"/>
                <w:szCs w:val="17"/>
                <w:color w:val="0000FF"/>
                <w:w w:val="98"/>
              </w:rPr>
              <w:t>06/23/2026</w:t>
            </w: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right"/>
              <w:ind w:right="38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5,809</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0000FF"/>
              </w:rPr>
              <w:t>15,876</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jc w:val="cente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5,230</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06/23/2026</w:t>
            </w:r>
          </w:p>
        </w:tc>
        <w:tc>
          <w:tcPr>
            <w:tcW w:w="1080" w:type="dxa"/>
            <w:vAlign w:val="bottom"/>
          </w:tcPr>
          <w:p>
            <w:pPr>
              <w:spacing w:after="0"/>
              <w:rPr>
                <w:sz w:val="12"/>
                <w:szCs w:val="12"/>
                <w:color w:val="auto"/>
              </w:rPr>
            </w:pPr>
          </w:p>
        </w:tc>
        <w:tc>
          <w:tcPr>
            <w:tcW w:w="760" w:type="dxa"/>
            <w:vAlign w:val="bottom"/>
          </w:tcPr>
          <w:p>
            <w:pPr>
              <w:jc w:val="center"/>
              <w:ind w:right="259"/>
              <w:spacing w:after="0" w:line="141" w:lineRule="exact"/>
              <w:rPr>
                <w:sz w:val="20"/>
                <w:szCs w:val="20"/>
                <w:color w:val="auto"/>
              </w:rPr>
            </w:pPr>
            <w:r>
              <w:rPr>
                <w:rFonts w:ascii="Times New Roman" w:cs="Times New Roman" w:eastAsia="Times New Roman" w:hAnsi="Times New Roman"/>
                <w:sz w:val="13"/>
                <w:szCs w:val="13"/>
                <w:color w:val="0000FF"/>
                <w:w w:val="84"/>
              </w:rPr>
              <w:t>A</w:t>
            </w:r>
          </w:p>
        </w:tc>
        <w:tc>
          <w:tcPr>
            <w:tcW w:w="58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5"/>
              </w:rPr>
              <w:t>5,230</w:t>
            </w:r>
          </w:p>
        </w:tc>
        <w:tc>
          <w:tcPr>
            <w:tcW w:w="4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580" w:type="dxa"/>
            <w:vAlign w:val="bottom"/>
          </w:tcPr>
          <w:p>
            <w:pPr>
              <w:jc w:val="center"/>
              <w:ind w:left="200"/>
              <w:spacing w:after="0" w:line="141" w:lineRule="exact"/>
              <w:rPr>
                <w:sz w:val="20"/>
                <w:szCs w:val="20"/>
                <w:color w:val="auto"/>
              </w:rPr>
            </w:pPr>
            <w:r>
              <w:rPr>
                <w:rFonts w:ascii="Times New Roman" w:cs="Times New Roman" w:eastAsia="Times New Roman" w:hAnsi="Times New Roman"/>
                <w:sz w:val="13"/>
                <w:szCs w:val="13"/>
                <w:color w:val="0000FF"/>
                <w:w w:val="95"/>
              </w:rPr>
              <w:t>5,230</w:t>
            </w:r>
          </w:p>
        </w:tc>
        <w:tc>
          <w:tcPr>
            <w:tcW w:w="28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 A</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Class C</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5,230</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06/23/2026</w:t>
            </w:r>
          </w:p>
        </w:tc>
        <w:tc>
          <w:tcPr>
            <w:tcW w:w="1080" w:type="dxa"/>
            <w:vAlign w:val="bottom"/>
          </w:tcPr>
          <w:p>
            <w:pPr>
              <w:spacing w:after="0"/>
              <w:rPr>
                <w:sz w:val="12"/>
                <w:szCs w:val="12"/>
                <w:color w:val="auto"/>
              </w:rPr>
            </w:pPr>
          </w:p>
        </w:tc>
        <w:tc>
          <w:tcPr>
            <w:tcW w:w="760" w:type="dxa"/>
            <w:vAlign w:val="bottom"/>
          </w:tcPr>
          <w:p>
            <w:pPr>
              <w:jc w:val="center"/>
              <w:ind w:right="259"/>
              <w:spacing w:after="0" w:line="141" w:lineRule="exact"/>
              <w:rPr>
                <w:sz w:val="20"/>
                <w:szCs w:val="20"/>
                <w:color w:val="auto"/>
              </w:rPr>
            </w:pPr>
            <w:r>
              <w:rPr>
                <w:rFonts w:ascii="Times New Roman" w:cs="Times New Roman" w:eastAsia="Times New Roman" w:hAnsi="Times New Roman"/>
                <w:sz w:val="13"/>
                <w:szCs w:val="13"/>
                <w:color w:val="0000FF"/>
                <w:w w:val="84"/>
              </w:rPr>
              <w:t>A</w:t>
            </w:r>
          </w:p>
        </w:tc>
        <w:tc>
          <w:tcPr>
            <w:tcW w:w="58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5"/>
              </w:rPr>
              <w:t>5,230</w:t>
            </w:r>
          </w:p>
        </w:tc>
        <w:tc>
          <w:tcPr>
            <w:tcW w:w="4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580" w:type="dxa"/>
            <w:vAlign w:val="bottom"/>
          </w:tcPr>
          <w:p>
            <w:pPr>
              <w:jc w:val="center"/>
              <w:ind w:left="200"/>
              <w:spacing w:after="0" w:line="141" w:lineRule="exact"/>
              <w:rPr>
                <w:sz w:val="20"/>
                <w:szCs w:val="20"/>
                <w:color w:val="auto"/>
              </w:rPr>
            </w:pPr>
            <w:r>
              <w:rPr>
                <w:rFonts w:ascii="Times New Roman" w:cs="Times New Roman" w:eastAsia="Times New Roman" w:hAnsi="Times New Roman"/>
                <w:sz w:val="13"/>
                <w:szCs w:val="13"/>
                <w:color w:val="0000FF"/>
                <w:w w:val="95"/>
              </w:rPr>
              <w:t>5,230</w:t>
            </w:r>
          </w:p>
        </w:tc>
        <w:tc>
          <w:tcPr>
            <w:tcW w:w="28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 C</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 A</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12,812</w:t>
            </w: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11.21</w:t>
            </w:r>
          </w:p>
        </w:tc>
        <w:tc>
          <w:tcPr>
            <w:tcW w:w="10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06/23/2026</w:t>
            </w:r>
          </w:p>
        </w:tc>
        <w:tc>
          <w:tcPr>
            <w:tcW w:w="1080" w:type="dxa"/>
            <w:vAlign w:val="bottom"/>
          </w:tcPr>
          <w:p>
            <w:pPr>
              <w:spacing w:after="0"/>
              <w:rPr>
                <w:sz w:val="6"/>
                <w:szCs w:val="6"/>
                <w:color w:val="auto"/>
              </w:rPr>
            </w:pPr>
          </w:p>
        </w:tc>
        <w:tc>
          <w:tcPr>
            <w:tcW w:w="760" w:type="dxa"/>
            <w:vAlign w:val="bottom"/>
            <w:vMerge w:val="restart"/>
          </w:tcPr>
          <w:p>
            <w:pPr>
              <w:jc w:val="center"/>
              <w:ind w:right="259"/>
              <w:spacing w:after="0" w:line="141" w:lineRule="exact"/>
              <w:rPr>
                <w:sz w:val="20"/>
                <w:szCs w:val="20"/>
                <w:color w:val="auto"/>
              </w:rPr>
            </w:pPr>
            <w:r>
              <w:rPr>
                <w:rFonts w:ascii="Times New Roman" w:cs="Times New Roman" w:eastAsia="Times New Roman" w:hAnsi="Times New Roman"/>
                <w:sz w:val="13"/>
                <w:szCs w:val="13"/>
                <w:color w:val="0000FF"/>
                <w:w w:val="84"/>
              </w:rPr>
              <w:t>A</w:t>
            </w:r>
          </w:p>
        </w:tc>
        <w:tc>
          <w:tcPr>
            <w:tcW w:w="5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rPr>
              <w:t>12,812</w:t>
            </w:r>
          </w:p>
        </w:tc>
        <w:tc>
          <w:tcPr>
            <w:tcW w:w="4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06/23/2036</w:t>
            </w:r>
          </w:p>
        </w:tc>
        <w:tc>
          <w:tcPr>
            <w:tcW w:w="6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6"/>
                <w:szCs w:val="6"/>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rPr>
              <w:t>12,812</w:t>
            </w: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Class C</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 C</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12,812</w:t>
            </w: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10.78</w:t>
            </w:r>
          </w:p>
        </w:tc>
        <w:tc>
          <w:tcPr>
            <w:tcW w:w="10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06/23/2026</w:t>
            </w:r>
          </w:p>
        </w:tc>
        <w:tc>
          <w:tcPr>
            <w:tcW w:w="1080" w:type="dxa"/>
            <w:vAlign w:val="bottom"/>
          </w:tcPr>
          <w:p>
            <w:pPr>
              <w:spacing w:after="0"/>
              <w:rPr>
                <w:sz w:val="6"/>
                <w:szCs w:val="6"/>
                <w:color w:val="auto"/>
              </w:rPr>
            </w:pPr>
          </w:p>
        </w:tc>
        <w:tc>
          <w:tcPr>
            <w:tcW w:w="760" w:type="dxa"/>
            <w:vAlign w:val="bottom"/>
            <w:vMerge w:val="restart"/>
          </w:tcPr>
          <w:p>
            <w:pPr>
              <w:jc w:val="center"/>
              <w:ind w:right="259"/>
              <w:spacing w:after="0" w:line="141" w:lineRule="exact"/>
              <w:rPr>
                <w:sz w:val="20"/>
                <w:szCs w:val="20"/>
                <w:color w:val="auto"/>
              </w:rPr>
            </w:pPr>
            <w:r>
              <w:rPr>
                <w:rFonts w:ascii="Times New Roman" w:cs="Times New Roman" w:eastAsia="Times New Roman" w:hAnsi="Times New Roman"/>
                <w:sz w:val="13"/>
                <w:szCs w:val="13"/>
                <w:color w:val="0000FF"/>
                <w:w w:val="84"/>
              </w:rPr>
              <w:t>A</w:t>
            </w:r>
          </w:p>
        </w:tc>
        <w:tc>
          <w:tcPr>
            <w:tcW w:w="5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rPr>
              <w:t>12,812</w:t>
            </w:r>
          </w:p>
        </w:tc>
        <w:tc>
          <w:tcPr>
            <w:tcW w:w="4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06/23/2036</w:t>
            </w:r>
          </w:p>
        </w:tc>
        <w:tc>
          <w:tcPr>
            <w:tcW w:w="6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6"/>
                <w:szCs w:val="6"/>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rPr>
              <w:t>12,812</w:t>
            </w: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5,809</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06/23/2026</w:t>
            </w:r>
          </w:p>
        </w:tc>
        <w:tc>
          <w:tcPr>
            <w:tcW w:w="1080" w:type="dxa"/>
            <w:vAlign w:val="bottom"/>
          </w:tcPr>
          <w:p>
            <w:pPr>
              <w:spacing w:after="0"/>
              <w:rPr>
                <w:sz w:val="12"/>
                <w:szCs w:val="12"/>
                <w:color w:val="auto"/>
              </w:rPr>
            </w:pPr>
          </w:p>
        </w:tc>
        <w:tc>
          <w:tcPr>
            <w:tcW w:w="760" w:type="dxa"/>
            <w:vAlign w:val="bottom"/>
          </w:tcPr>
          <w:p>
            <w:pPr>
              <w:jc w:val="center"/>
              <w:ind w:right="259"/>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80" w:type="dxa"/>
            <w:vAlign w:val="bottom"/>
          </w:tcPr>
          <w:p>
            <w:pPr>
              <w:spacing w:after="0"/>
              <w:rPr>
                <w:sz w:val="12"/>
                <w:szCs w:val="12"/>
                <w:color w:val="auto"/>
              </w:rPr>
            </w:pPr>
          </w:p>
        </w:tc>
        <w:tc>
          <w:tcPr>
            <w:tcW w:w="4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5,809</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580" w:type="dxa"/>
            <w:vAlign w:val="bottom"/>
          </w:tcPr>
          <w:p>
            <w:pPr>
              <w:jc w:val="center"/>
              <w:ind w:left="180"/>
              <w:spacing w:after="0" w:line="141"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 A</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Class C</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5,809</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06/23/2026</w:t>
            </w:r>
          </w:p>
        </w:tc>
        <w:tc>
          <w:tcPr>
            <w:tcW w:w="1080" w:type="dxa"/>
            <w:vAlign w:val="bottom"/>
          </w:tcPr>
          <w:p>
            <w:pPr>
              <w:spacing w:after="0"/>
              <w:rPr>
                <w:sz w:val="12"/>
                <w:szCs w:val="12"/>
                <w:color w:val="auto"/>
              </w:rPr>
            </w:pPr>
          </w:p>
        </w:tc>
        <w:tc>
          <w:tcPr>
            <w:tcW w:w="760" w:type="dxa"/>
            <w:vAlign w:val="bottom"/>
          </w:tcPr>
          <w:p>
            <w:pPr>
              <w:jc w:val="center"/>
              <w:ind w:right="259"/>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80" w:type="dxa"/>
            <w:vAlign w:val="bottom"/>
          </w:tcPr>
          <w:p>
            <w:pPr>
              <w:spacing w:after="0"/>
              <w:rPr>
                <w:sz w:val="12"/>
                <w:szCs w:val="12"/>
                <w:color w:val="auto"/>
              </w:rPr>
            </w:pPr>
          </w:p>
        </w:tc>
        <w:tc>
          <w:tcPr>
            <w:tcW w:w="4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5,809</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580" w:type="dxa"/>
            <w:vAlign w:val="bottom"/>
          </w:tcPr>
          <w:p>
            <w:pPr>
              <w:jc w:val="center"/>
              <w:ind w:left="180"/>
              <w:spacing w:after="0" w:line="141"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 C</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-3743960</wp:posOffset>
            </wp:positionV>
            <wp:extent cx="28575" cy="37490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374904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Share Unit ("RSU") represents a right to receive one share of Issuer's Class A common shares or Class C common shares, as the case may be.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in full on the date of the Issuer's 2027 annual general meeting.</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option vests in three equal annual installments commencing on the date of the Issuer's 2027 annual general meeting of shareholders and on the date of each annual general meeting of shareholders thereafter.</w:t>
      </w:r>
    </w:p>
    <w:p>
      <w:pPr>
        <w:spacing w:after="0" w:line="53" w:lineRule="exact"/>
        <w:rPr>
          <w:rFonts w:ascii="Times New Roman" w:cs="Times New Roman" w:eastAsia="Times New Roman" w:hAnsi="Times New Roman"/>
          <w:sz w:val="12"/>
          <w:szCs w:val="12"/>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vested in full on the date of the Issuer's 2026 annual general meeting.</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trading symbols for the Issuer's classes of common shares are LBTYA, LBTYB, and LBTYK.</w:t>
      </w:r>
    </w:p>
    <w:p>
      <w:pPr>
        <w:spacing w:after="0" w:line="5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Colton Lyons, Attorney-in-</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06/25/2026</w:t>
            </w:r>
          </w:p>
        </w:tc>
        <w:tc>
          <w:tcPr>
            <w:tcW w:w="0" w:type="dxa"/>
            <w:vAlign w:val="bottom"/>
          </w:tcPr>
          <w:p>
            <w:pPr>
              <w:spacing w:after="0"/>
              <w:rPr>
                <w:sz w:val="1"/>
                <w:szCs w:val="1"/>
                <w:color w:val="auto"/>
              </w:rPr>
            </w:pPr>
          </w:p>
        </w:tc>
      </w:tr>
      <w:tr>
        <w:trPr>
          <w:trHeight w:val="87"/>
        </w:trPr>
        <w:tc>
          <w:tcPr>
            <w:tcW w:w="28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9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67395" TargetMode="External"/><Relationship Id="rId14" Type="http://schemas.openxmlformats.org/officeDocument/2006/relationships/hyperlink" Target="http://www.sec.gov/cgi-bin/browse-edgar?action=getcompany&amp;CIK=00015705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2026-06-25T18:16:41Z</dcterms:created>
  <dcterms:modified xsi:type="dcterms:W3CDTF">2026-06-25T18:16:41Z</dcterms:modified>
</cp:coreProperties>
</file>