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234950</wp:posOffset>
            </wp:positionH>
            <wp:positionV relativeFrom="page">
              <wp:posOffset>354965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260350</wp:posOffset>
            </wp:positionV>
            <wp:extent cx="71005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6" w:lineRule="exact"/>
        <w:rPr>
          <w:sz w:val="24"/>
          <w:szCs w:val="24"/>
          <w:color w:val="auto"/>
        </w:rPr>
      </w:pPr>
    </w:p>
    <w:p>
      <w:pPr>
        <w:ind w:left="1060" w:right="220" w:hanging="910"/>
        <w:spacing w:after="0" w:line="256" w:lineRule="auto"/>
        <w:tabs>
          <w:tab w:leader="none" w:pos="10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ind w:left="1060"/>
        <w:spacing w:after="0"/>
        <w:tabs>
          <w:tab w:leader="none" w:pos="404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6"/>
          <w:szCs w:val="16"/>
          <w:b w:val="1"/>
          <w:bCs w:val="1"/>
          <w:color w:val="auto"/>
        </w:rPr>
        <w:t>March 31, 2018</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0" w:lineRule="exact"/>
        <w:rPr>
          <w:sz w:val="24"/>
          <w:szCs w:val="24"/>
          <w:color w:val="auto"/>
        </w:rPr>
      </w:pPr>
    </w:p>
    <w:p>
      <w:pPr>
        <w:spacing w:after="0" w:line="219" w:lineRule="exact"/>
        <w:rPr>
          <w:sz w:val="24"/>
          <w:szCs w:val="24"/>
          <w:color w:val="auto"/>
        </w:rPr>
      </w:pPr>
    </w:p>
    <w:p>
      <w:pPr>
        <w:ind w:left="1060" w:right="200" w:hanging="910"/>
        <w:spacing w:after="0" w:line="256" w:lineRule="auto"/>
        <w:tabs>
          <w:tab w:leader="none" w:pos="10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1060"/>
        <w:spacing w:after="0"/>
        <w:tabs>
          <w:tab w:leader="none" w:pos="43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26035</wp:posOffset>
            </wp:positionV>
            <wp:extent cx="1423670" cy="934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670"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Liberty Global plc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64" w:lineRule="exact"/>
        <w:rPr>
          <w:sz w:val="24"/>
          <w:szCs w:val="24"/>
          <w:color w:val="auto"/>
        </w:rPr>
      </w:pPr>
    </w:p>
    <w:tbl>
      <w:tblPr>
        <w:tblLayout w:type="fixed"/>
        <w:tblInd w:w="620" w:type="dxa"/>
        <w:tblCellMar>
          <w:top w:w="0" w:type="dxa"/>
          <w:left w:w="0" w:type="dxa"/>
          <w:bottom w:w="0" w:type="dxa"/>
          <w:right w:w="0" w:type="dxa"/>
        </w:tblCellMar>
      </w:tblPr>
      <w:tr>
        <w:trPr>
          <w:trHeight w:val="234"/>
        </w:trPr>
        <w:tc>
          <w:tcPr>
            <w:tcW w:w="7360" w:type="dxa"/>
            <w:vAlign w:val="bottom"/>
          </w:tcPr>
          <w:p>
            <w:pPr>
              <w:jc w:val="center"/>
              <w:ind w:right="2338"/>
              <w:spacing w:after="0"/>
              <w:rPr>
                <w:sz w:val="20"/>
                <w:szCs w:val="20"/>
                <w:color w:val="auto"/>
              </w:rPr>
            </w:pPr>
            <w:r>
              <w:rPr>
                <w:rFonts w:ascii="Arial" w:cs="Arial" w:eastAsia="Arial" w:hAnsi="Arial"/>
                <w:sz w:val="18"/>
                <w:szCs w:val="18"/>
                <w:b w:val="1"/>
                <w:bCs w:val="1"/>
                <w:color w:val="auto"/>
                <w:w w:val="90"/>
              </w:rPr>
              <w:t>England and Wales</w:t>
            </w:r>
          </w:p>
        </w:tc>
        <w:tc>
          <w:tcPr>
            <w:tcW w:w="1460" w:type="dxa"/>
            <w:vAlign w:val="bottom"/>
          </w:tcPr>
          <w:p>
            <w:pPr>
              <w:jc w:val="right"/>
              <w:ind w:right="21"/>
              <w:spacing w:after="0"/>
              <w:rPr>
                <w:sz w:val="20"/>
                <w:szCs w:val="20"/>
                <w:color w:val="auto"/>
              </w:rPr>
            </w:pPr>
            <w:r>
              <w:rPr>
                <w:rFonts w:ascii="Arial" w:cs="Arial" w:eastAsia="Arial" w:hAnsi="Arial"/>
                <w:sz w:val="18"/>
                <w:szCs w:val="18"/>
                <w:b w:val="1"/>
                <w:bCs w:val="1"/>
                <w:color w:val="auto"/>
              </w:rPr>
              <w:t>98-1112770</w:t>
            </w:r>
          </w:p>
        </w:tc>
      </w:tr>
      <w:tr>
        <w:trPr>
          <w:trHeight w:val="184"/>
        </w:trPr>
        <w:tc>
          <w:tcPr>
            <w:tcW w:w="7360" w:type="dxa"/>
            <w:vAlign w:val="bottom"/>
          </w:tcPr>
          <w:p>
            <w:pPr>
              <w:jc w:val="center"/>
              <w:ind w:right="2318"/>
              <w:spacing w:after="0"/>
              <w:rPr>
                <w:sz w:val="20"/>
                <w:szCs w:val="20"/>
                <w:color w:val="auto"/>
              </w:rPr>
            </w:pPr>
            <w:r>
              <w:rPr>
                <w:rFonts w:ascii="Arial" w:cs="Arial" w:eastAsia="Arial" w:hAnsi="Arial"/>
                <w:sz w:val="14"/>
                <w:szCs w:val="14"/>
                <w:i w:val="1"/>
                <w:iCs w:val="1"/>
                <w:color w:val="auto"/>
                <w:w w:val="95"/>
              </w:rPr>
              <w:t>(State or other jurisdiction of</w:t>
            </w:r>
          </w:p>
        </w:tc>
        <w:tc>
          <w:tcPr>
            <w:tcW w:w="1460" w:type="dxa"/>
            <w:vAlign w:val="bottom"/>
          </w:tcPr>
          <w:p>
            <w:pPr>
              <w:jc w:val="center"/>
              <w:ind w:left="341"/>
              <w:spacing w:after="0"/>
              <w:rPr>
                <w:sz w:val="20"/>
                <w:szCs w:val="20"/>
                <w:color w:val="auto"/>
              </w:rPr>
            </w:pPr>
            <w:r>
              <w:rPr>
                <w:rFonts w:ascii="Arial" w:cs="Arial" w:eastAsia="Arial" w:hAnsi="Arial"/>
                <w:sz w:val="14"/>
                <w:szCs w:val="14"/>
                <w:i w:val="1"/>
                <w:iCs w:val="1"/>
                <w:color w:val="auto"/>
                <w:w w:val="93"/>
              </w:rPr>
              <w:t>(I.R.S. Employer</w:t>
            </w:r>
          </w:p>
        </w:tc>
      </w:tr>
      <w:tr>
        <w:trPr>
          <w:trHeight w:val="182"/>
        </w:trPr>
        <w:tc>
          <w:tcPr>
            <w:tcW w:w="7360" w:type="dxa"/>
            <w:vAlign w:val="bottom"/>
          </w:tcPr>
          <w:p>
            <w:pPr>
              <w:jc w:val="center"/>
              <w:ind w:right="2338"/>
              <w:spacing w:after="0"/>
              <w:rPr>
                <w:sz w:val="20"/>
                <w:szCs w:val="20"/>
                <w:color w:val="auto"/>
              </w:rPr>
            </w:pPr>
            <w:r>
              <w:rPr>
                <w:rFonts w:ascii="Arial" w:cs="Arial" w:eastAsia="Arial" w:hAnsi="Arial"/>
                <w:sz w:val="14"/>
                <w:szCs w:val="14"/>
                <w:i w:val="1"/>
                <w:iCs w:val="1"/>
                <w:color w:val="auto"/>
                <w:w w:val="97"/>
              </w:rPr>
              <w:t>incorporation or organization)</w:t>
            </w:r>
          </w:p>
        </w:tc>
        <w:tc>
          <w:tcPr>
            <w:tcW w:w="1460" w:type="dxa"/>
            <w:vAlign w:val="bottom"/>
          </w:tcPr>
          <w:p>
            <w:pPr>
              <w:jc w:val="center"/>
              <w:ind w:left="321"/>
              <w:spacing w:after="0"/>
              <w:rPr>
                <w:sz w:val="20"/>
                <w:szCs w:val="20"/>
                <w:color w:val="auto"/>
              </w:rPr>
            </w:pPr>
            <w:r>
              <w:rPr>
                <w:rFonts w:ascii="Arial" w:cs="Arial" w:eastAsia="Arial" w:hAnsi="Arial"/>
                <w:sz w:val="14"/>
                <w:szCs w:val="14"/>
                <w:i w:val="1"/>
                <w:iCs w:val="1"/>
                <w:color w:val="auto"/>
                <w:w w:val="97"/>
              </w:rPr>
              <w:t>Identification No.)</w:t>
            </w:r>
          </w:p>
        </w:tc>
      </w:tr>
      <w:tr>
        <w:trPr>
          <w:trHeight w:val="498"/>
        </w:trPr>
        <w:tc>
          <w:tcPr>
            <w:tcW w:w="7360" w:type="dxa"/>
            <w:vAlign w:val="bottom"/>
          </w:tcPr>
          <w:p>
            <w:pPr>
              <w:jc w:val="center"/>
              <w:ind w:right="2338"/>
              <w:spacing w:after="0"/>
              <w:rPr>
                <w:sz w:val="20"/>
                <w:szCs w:val="20"/>
                <w:color w:val="auto"/>
              </w:rPr>
            </w:pPr>
            <w:r>
              <w:rPr>
                <w:rFonts w:ascii="Arial" w:cs="Arial" w:eastAsia="Arial" w:hAnsi="Arial"/>
                <w:sz w:val="18"/>
                <w:szCs w:val="18"/>
                <w:b w:val="1"/>
                <w:bCs w:val="1"/>
                <w:color w:val="auto"/>
                <w:w w:val="92"/>
              </w:rPr>
              <w:t>Griffin House, 161 Hammersmith Rd, London, United Kingdom</w:t>
            </w:r>
          </w:p>
        </w:tc>
        <w:tc>
          <w:tcPr>
            <w:tcW w:w="1460" w:type="dxa"/>
            <w:vAlign w:val="bottom"/>
          </w:tcPr>
          <w:p>
            <w:pPr>
              <w:jc w:val="center"/>
              <w:ind w:left="321"/>
              <w:spacing w:after="0"/>
              <w:rPr>
                <w:sz w:val="20"/>
                <w:szCs w:val="20"/>
                <w:color w:val="auto"/>
              </w:rPr>
            </w:pPr>
            <w:r>
              <w:rPr>
                <w:rFonts w:ascii="Arial" w:cs="Arial" w:eastAsia="Arial" w:hAnsi="Arial"/>
                <w:sz w:val="18"/>
                <w:szCs w:val="18"/>
                <w:b w:val="1"/>
                <w:bCs w:val="1"/>
                <w:color w:val="auto"/>
                <w:w w:val="92"/>
              </w:rPr>
              <w:t>W6 8BS</w:t>
            </w:r>
          </w:p>
        </w:tc>
      </w:tr>
      <w:tr>
        <w:trPr>
          <w:trHeight w:val="218"/>
        </w:trPr>
        <w:tc>
          <w:tcPr>
            <w:tcW w:w="7360" w:type="dxa"/>
            <w:vAlign w:val="bottom"/>
          </w:tcPr>
          <w:p>
            <w:pPr>
              <w:jc w:val="center"/>
              <w:ind w:right="2338"/>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1460" w:type="dxa"/>
            <w:vAlign w:val="bottom"/>
          </w:tcPr>
          <w:p>
            <w:pPr>
              <w:jc w:val="center"/>
              <w:ind w:left="321"/>
              <w:spacing w:after="0"/>
              <w:rPr>
                <w:sz w:val="20"/>
                <w:szCs w:val="20"/>
                <w:color w:val="auto"/>
              </w:rPr>
            </w:pPr>
            <w:r>
              <w:rPr>
                <w:rFonts w:ascii="Arial" w:cs="Arial" w:eastAsia="Arial" w:hAnsi="Arial"/>
                <w:sz w:val="14"/>
                <w:szCs w:val="14"/>
                <w:i w:val="1"/>
                <w:iCs w:val="1"/>
                <w:color w:val="auto"/>
                <w:w w:val="93"/>
              </w:rPr>
              <w:t>(Zip Code)</w:t>
            </w:r>
          </w:p>
        </w:tc>
      </w:tr>
      <w:tr>
        <w:trPr>
          <w:trHeight w:val="291"/>
        </w:trPr>
        <w:tc>
          <w:tcPr>
            <w:tcW w:w="7360" w:type="dxa"/>
            <w:vAlign w:val="bottom"/>
          </w:tcPr>
          <w:p>
            <w:pPr>
              <w:jc w:val="center"/>
              <w:ind w:left="2738"/>
              <w:spacing w:after="0"/>
              <w:rPr>
                <w:sz w:val="20"/>
                <w:szCs w:val="20"/>
                <w:color w:val="auto"/>
              </w:rPr>
            </w:pPr>
            <w:r>
              <w:rPr>
                <w:rFonts w:ascii="Arial" w:cs="Arial" w:eastAsia="Arial" w:hAnsi="Arial"/>
                <w:sz w:val="18"/>
                <w:szCs w:val="18"/>
                <w:color w:val="auto"/>
                <w:w w:val="89"/>
              </w:rPr>
              <w:t>Registrant’s telephone number, including area code:</w:t>
            </w:r>
          </w:p>
        </w:tc>
        <w:tc>
          <w:tcPr>
            <w:tcW w:w="1460" w:type="dxa"/>
            <w:vAlign w:val="bottom"/>
          </w:tcPr>
          <w:p>
            <w:pPr>
              <w:spacing w:after="0"/>
              <w:rPr>
                <w:sz w:val="24"/>
                <w:szCs w:val="24"/>
                <w:color w:val="auto"/>
              </w:rPr>
            </w:pPr>
          </w:p>
        </w:tc>
      </w:tr>
      <w:tr>
        <w:trPr>
          <w:trHeight w:val="234"/>
        </w:trPr>
        <w:tc>
          <w:tcPr>
            <w:tcW w:w="7360" w:type="dxa"/>
            <w:vAlign w:val="bottom"/>
          </w:tcPr>
          <w:p>
            <w:pPr>
              <w:jc w:val="center"/>
              <w:ind w:left="2758"/>
              <w:spacing w:after="0"/>
              <w:rPr>
                <w:sz w:val="20"/>
                <w:szCs w:val="20"/>
                <w:color w:val="auto"/>
              </w:rPr>
            </w:pPr>
            <w:r>
              <w:rPr>
                <w:rFonts w:ascii="Arial" w:cs="Arial" w:eastAsia="Arial" w:hAnsi="Arial"/>
                <w:sz w:val="18"/>
                <w:szCs w:val="18"/>
                <w:b w:val="1"/>
                <w:bCs w:val="1"/>
                <w:color w:val="auto"/>
                <w:w w:val="90"/>
              </w:rPr>
              <w:t>+44.208.483.6449 or 303.220.6600</w:t>
            </w:r>
          </w:p>
        </w:tc>
        <w:tc>
          <w:tcPr>
            <w:tcW w:w="1460" w:type="dxa"/>
            <w:vAlign w:val="bottom"/>
          </w:tcPr>
          <w:p>
            <w:pPr>
              <w:spacing w:after="0"/>
              <w:rPr>
                <w:sz w:val="20"/>
                <w:szCs w:val="20"/>
                <w:color w:val="auto"/>
              </w:rPr>
            </w:pPr>
          </w:p>
        </w:tc>
      </w:tr>
    </w:tbl>
    <w:p>
      <w:pPr>
        <w:spacing w:after="0" w:line="148" w:lineRule="exact"/>
        <w:rPr>
          <w:sz w:val="24"/>
          <w:szCs w:val="24"/>
          <w:color w:val="auto"/>
        </w:rPr>
      </w:pPr>
    </w:p>
    <w:p>
      <w:pPr>
        <w:jc w:val="both"/>
        <w:ind w:right="4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submit and post such files)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 w:lineRule="exact"/>
        <w:rPr>
          <w:sz w:val="24"/>
          <w:szCs w:val="24"/>
          <w:color w:val="auto"/>
        </w:rPr>
      </w:pPr>
    </w:p>
    <w:p>
      <w:pPr>
        <w:jc w:val="center"/>
        <w:ind w:right="10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(Do not check if a smaller reporting company) </w:t>
      </w:r>
      <w:r>
        <w:rPr>
          <w:rFonts w:ascii="MS PGothic" w:cs="MS PGothic" w:eastAsia="MS PGothic" w:hAnsi="MS PGothic"/>
          <w:sz w:val="18"/>
          <w:szCs w:val="18"/>
          <w:color w:val="auto"/>
        </w:rPr>
        <w:t>☐</w:t>
      </w:r>
    </w:p>
    <w:p>
      <w:pPr>
        <w:spacing w:after="0" w:line="90"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123"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tabs>
          <w:tab w:leader="none" w:pos="8220" w:val="left"/>
          <w:tab w:leader="none" w:pos="91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31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number of outstanding ordinary shares of Liberty Global plc as of April 30, 2018 was: 216,973,376 class A ordinary shares, 11,102,619 class B ordinary shares and 570,148,328 class C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288925</wp:posOffset>
            </wp:positionV>
            <wp:extent cx="71005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171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203200</wp:posOffset>
            </wp:positionV>
            <wp:extent cx="7100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 w:name="page2"/>
    <w:bookmarkEnd w:id="1"/>
    <w:p>
      <w:pPr>
        <w:ind w:left="4660"/>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TABLE OF CONTENTS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192"/>
        </w:trPr>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Number</w:t>
            </w:r>
          </w:p>
        </w:tc>
      </w:tr>
      <w:tr>
        <w:trPr>
          <w:trHeight w:val="243"/>
        </w:trPr>
        <w:tc>
          <w:tcPr>
            <w:tcW w:w="10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940" w:type="dxa"/>
            <w:vAlign w:val="bottom"/>
            <w:gridSpan w:val="10"/>
          </w:tcPr>
          <w:p>
            <w:pPr>
              <w:jc w:val="center"/>
              <w:ind w:right="2620"/>
              <w:spacing w:after="0"/>
              <w:rPr>
                <w:sz w:val="20"/>
                <w:szCs w:val="20"/>
                <w:color w:val="auto"/>
              </w:rPr>
            </w:pPr>
            <w:r>
              <w:rPr>
                <w:rFonts w:ascii="Arial" w:cs="Arial" w:eastAsia="Arial" w:hAnsi="Arial"/>
                <w:sz w:val="18"/>
                <w:szCs w:val="18"/>
                <w:b w:val="1"/>
                <w:bCs w:val="1"/>
                <w:color w:val="auto"/>
              </w:rPr>
              <w:t>PART I — FINANCIAL INFORMATION</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30"/>
        </w:trPr>
        <w:tc>
          <w:tcPr>
            <w:tcW w:w="1040" w:type="dxa"/>
            <w:vAlign w:val="bottom"/>
          </w:tcPr>
          <w:p>
            <w:pPr>
              <w:spacing w:after="0"/>
              <w:rPr>
                <w:sz w:val="19"/>
                <w:szCs w:val="19"/>
                <w:color w:val="auto"/>
              </w:rPr>
            </w:pPr>
          </w:p>
        </w:tc>
        <w:tc>
          <w:tcPr>
            <w:tcW w:w="954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2018 and December 31, 2017 (unaudited)</w:t>
              </w:r>
            </w:hyperlink>
          </w:p>
        </w:tc>
        <w:tc>
          <w:tcPr>
            <w:tcW w:w="440" w:type="dxa"/>
            <w:vAlign w:val="bottom"/>
            <w:gridSpan w:val="2"/>
          </w:tcPr>
          <w:p>
            <w:pPr>
              <w:jc w:val="center"/>
              <w:ind w:left="273"/>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36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8520" w:type="dxa"/>
            <w:vAlign w:val="bottom"/>
            <w:gridSpan w:val="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Months Ended March 31, 2018 and 2017 (unaudited)</w:t>
              </w:r>
            </w:hyperlink>
          </w:p>
        </w:tc>
        <w:tc>
          <w:tcPr>
            <w:tcW w:w="1020" w:type="dxa"/>
            <w:vAlign w:val="bottom"/>
            <w:gridSpan w:val="4"/>
          </w:tcPr>
          <w:p>
            <w:pPr>
              <w:spacing w:after="0"/>
              <w:rPr>
                <w:sz w:val="21"/>
                <w:szCs w:val="21"/>
                <w:color w:val="auto"/>
              </w:rPr>
            </w:pPr>
          </w:p>
        </w:tc>
        <w:tc>
          <w:tcPr>
            <w:tcW w:w="440" w:type="dxa"/>
            <w:vAlign w:val="bottom"/>
            <w:gridSpan w:val="2"/>
          </w:tcPr>
          <w:p>
            <w:pPr>
              <w:jc w:val="center"/>
              <w:ind w:left="273"/>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3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240" w:type="dxa"/>
            <w:vAlign w:val="bottom"/>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Loss for the Three Months Ended March 31, 2018 and 2017 (unaudited)</w:t>
              </w:r>
            </w:hyperlink>
          </w:p>
        </w:tc>
        <w:tc>
          <w:tcPr>
            <w:tcW w:w="300" w:type="dxa"/>
            <w:vAlign w:val="bottom"/>
          </w:tcPr>
          <w:p>
            <w:pPr>
              <w:spacing w:after="0"/>
              <w:rPr>
                <w:sz w:val="21"/>
                <w:szCs w:val="21"/>
                <w:color w:val="auto"/>
              </w:rPr>
            </w:pPr>
          </w:p>
        </w:tc>
        <w:tc>
          <w:tcPr>
            <w:tcW w:w="440" w:type="dxa"/>
            <w:vAlign w:val="bottom"/>
            <w:gridSpan w:val="2"/>
          </w:tcPr>
          <w:p>
            <w:pPr>
              <w:jc w:val="center"/>
              <w:ind w:left="273"/>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3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240" w:type="dxa"/>
            <w:vAlign w:val="bottom"/>
            <w:gridSpan w:val="1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 of Equity for the Three Months Ended March 31, 2018 (unaudited)</w:t>
              </w:r>
            </w:hyperlink>
          </w:p>
        </w:tc>
        <w:tc>
          <w:tcPr>
            <w:tcW w:w="300" w:type="dxa"/>
            <w:vAlign w:val="bottom"/>
          </w:tcPr>
          <w:p>
            <w:pPr>
              <w:spacing w:after="0"/>
              <w:rPr>
                <w:sz w:val="21"/>
                <w:szCs w:val="21"/>
                <w:color w:val="auto"/>
              </w:rPr>
            </w:pPr>
          </w:p>
        </w:tc>
        <w:tc>
          <w:tcPr>
            <w:tcW w:w="440" w:type="dxa"/>
            <w:vAlign w:val="bottom"/>
            <w:gridSpan w:val="2"/>
          </w:tcPr>
          <w:p>
            <w:pPr>
              <w:jc w:val="center"/>
              <w:ind w:left="273"/>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3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540" w:type="dxa"/>
            <w:vAlign w:val="bottom"/>
            <w:gridSpan w:val="12"/>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Condensed Consolidated Statements of Cash Flows for the Three Months Ended March 31, 2018 and 2017 (unaudited)</w:t>
              </w:r>
            </w:hyperlink>
          </w:p>
        </w:tc>
        <w:tc>
          <w:tcPr>
            <w:tcW w:w="440" w:type="dxa"/>
            <w:vAlign w:val="bottom"/>
            <w:gridSpan w:val="2"/>
          </w:tcPr>
          <w:p>
            <w:pPr>
              <w:jc w:val="center"/>
              <w:ind w:left="273"/>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3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8560" w:type="dxa"/>
            <w:vAlign w:val="bottom"/>
            <w:gridSpan w:val="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 (unaudited)</w:t>
              </w:r>
            </w:hyperlink>
          </w:p>
        </w:tc>
        <w:tc>
          <w:tcPr>
            <w:tcW w:w="980" w:type="dxa"/>
            <w:vAlign w:val="bottom"/>
            <w:gridSpan w:val="3"/>
          </w:tcPr>
          <w:p>
            <w:pPr>
              <w:spacing w:after="0"/>
              <w:rPr>
                <w:sz w:val="21"/>
                <w:szCs w:val="21"/>
                <w:color w:val="auto"/>
              </w:rPr>
            </w:pPr>
          </w:p>
        </w:tc>
        <w:tc>
          <w:tcPr>
            <w:tcW w:w="440" w:type="dxa"/>
            <w:vAlign w:val="bottom"/>
            <w:gridSpan w:val="2"/>
          </w:tcPr>
          <w:p>
            <w:pPr>
              <w:jc w:val="center"/>
              <w:ind w:left="273"/>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c>
          <w:tcPr>
            <w:tcW w:w="3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8920" w:type="dxa"/>
            <w:vAlign w:val="bottom"/>
            <w:gridSpan w:val="10"/>
          </w:tcPr>
          <w:p>
            <w:pPr>
              <w:spacing w:after="0"/>
              <w:rPr>
                <w:rFonts w:ascii="Arial" w:cs="Arial" w:eastAsia="Arial" w:hAnsi="Arial"/>
                <w:sz w:val="18"/>
                <w:szCs w:val="18"/>
                <w:color w:val="0000EE"/>
                <w:w w:val="97"/>
              </w:rPr>
            </w:pPr>
            <w:hyperlink w:anchor="page72">
              <w:r>
                <w:rPr>
                  <w:rFonts w:ascii="Arial" w:cs="Arial" w:eastAsia="Arial" w:hAnsi="Arial"/>
                  <w:sz w:val="18"/>
                  <w:szCs w:val="18"/>
                  <w:color w:val="0000EE"/>
                  <w:w w:val="97"/>
                </w:rPr>
                <w:t>MANAGEMENT’S DISCUSSION AND ANALYSIS OF FINANCIAL CONDITION AND RESULTS OF OPERATIONS</w:t>
              </w:r>
            </w:hyperlink>
          </w:p>
        </w:tc>
        <w:tc>
          <w:tcPr>
            <w:tcW w:w="620" w:type="dxa"/>
            <w:vAlign w:val="bottom"/>
            <w:gridSpan w:val="2"/>
          </w:tcPr>
          <w:p>
            <w:pPr>
              <w:spacing w:after="0"/>
              <w:rPr>
                <w:sz w:val="21"/>
                <w:szCs w:val="21"/>
                <w:color w:val="auto"/>
              </w:rPr>
            </w:pPr>
          </w:p>
        </w:tc>
        <w:tc>
          <w:tcPr>
            <w:tcW w:w="440" w:type="dxa"/>
            <w:vAlign w:val="bottom"/>
            <w:gridSpan w:val="2"/>
          </w:tcPr>
          <w:p>
            <w:pPr>
              <w:jc w:val="center"/>
              <w:ind w:left="173"/>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46</w:t>
              </w:r>
            </w:hyperlink>
          </w:p>
        </w:tc>
        <w:tc>
          <w:tcPr>
            <w:tcW w:w="3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80" w:type="dxa"/>
            <w:vAlign w:val="bottom"/>
            <w:gridSpan w:val="5"/>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6140" w:type="dxa"/>
            <w:vAlign w:val="bottom"/>
            <w:gridSpan w:val="5"/>
          </w:tcPr>
          <w:p>
            <w:pPr>
              <w:spacing w:after="0"/>
              <w:rPr>
                <w:rFonts w:ascii="Arial" w:cs="Arial" w:eastAsia="Arial" w:hAnsi="Arial"/>
                <w:sz w:val="18"/>
                <w:szCs w:val="18"/>
                <w:color w:val="0000EE"/>
                <w:w w:val="98"/>
              </w:rPr>
            </w:pPr>
            <w:hyperlink w:anchor="page78">
              <w:r>
                <w:rPr>
                  <w:rFonts w:ascii="Arial" w:cs="Arial" w:eastAsia="Arial" w:hAnsi="Arial"/>
                  <w:sz w:val="18"/>
                  <w:szCs w:val="18"/>
                  <w:color w:val="0000EE"/>
                  <w:w w:val="98"/>
                </w:rPr>
                <w:t>QUANTITATIVE AND QUALITATIVE DISCLOSURES ABOUT MARKET RISK</w:t>
              </w:r>
            </w:hyperlink>
          </w:p>
        </w:tc>
        <w:tc>
          <w:tcPr>
            <w:tcW w:w="2780" w:type="dxa"/>
            <w:vAlign w:val="bottom"/>
            <w:gridSpan w:val="5"/>
          </w:tcPr>
          <w:p>
            <w:pPr>
              <w:spacing w:after="0"/>
              <w:rPr>
                <w:sz w:val="21"/>
                <w:szCs w:val="21"/>
                <w:color w:val="auto"/>
              </w:rPr>
            </w:pPr>
          </w:p>
        </w:tc>
        <w:tc>
          <w:tcPr>
            <w:tcW w:w="620" w:type="dxa"/>
            <w:vAlign w:val="bottom"/>
            <w:gridSpan w:val="2"/>
          </w:tcPr>
          <w:p>
            <w:pPr>
              <w:spacing w:after="0"/>
              <w:rPr>
                <w:sz w:val="21"/>
                <w:szCs w:val="21"/>
                <w:color w:val="auto"/>
              </w:rPr>
            </w:pPr>
          </w:p>
        </w:tc>
        <w:tc>
          <w:tcPr>
            <w:tcW w:w="440" w:type="dxa"/>
            <w:vAlign w:val="bottom"/>
            <w:gridSpan w:val="2"/>
          </w:tcPr>
          <w:p>
            <w:pPr>
              <w:jc w:val="center"/>
              <w:ind w:left="173"/>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75</w:t>
              </w:r>
            </w:hyperlink>
          </w:p>
        </w:tc>
        <w:tc>
          <w:tcPr>
            <w:tcW w:w="3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6140" w:type="dxa"/>
            <w:vAlign w:val="bottom"/>
            <w:gridSpan w:val="5"/>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CONTROLS AND PROCEDURES</w:t>
              </w:r>
            </w:hyperlink>
          </w:p>
        </w:tc>
        <w:tc>
          <w:tcPr>
            <w:tcW w:w="3400" w:type="dxa"/>
            <w:vAlign w:val="bottom"/>
            <w:gridSpan w:val="7"/>
          </w:tcPr>
          <w:p>
            <w:pPr>
              <w:spacing w:after="0"/>
              <w:rPr>
                <w:sz w:val="21"/>
                <w:szCs w:val="21"/>
                <w:color w:val="auto"/>
              </w:rPr>
            </w:pPr>
          </w:p>
        </w:tc>
        <w:tc>
          <w:tcPr>
            <w:tcW w:w="440" w:type="dxa"/>
            <w:vAlign w:val="bottom"/>
            <w:gridSpan w:val="2"/>
          </w:tcPr>
          <w:p>
            <w:pPr>
              <w:jc w:val="center"/>
              <w:ind w:left="173"/>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78</w:t>
              </w:r>
            </w:hyperlink>
          </w:p>
        </w:tc>
        <w:tc>
          <w:tcPr>
            <w:tcW w:w="360" w:type="dxa"/>
            <w:vAlign w:val="bottom"/>
          </w:tcPr>
          <w:p>
            <w:pPr>
              <w:spacing w:after="0"/>
              <w:rPr>
                <w:sz w:val="21"/>
                <w:szCs w:val="21"/>
                <w:color w:val="auto"/>
              </w:rPr>
            </w:pPr>
          </w:p>
        </w:tc>
      </w:tr>
      <w:tr>
        <w:trPr>
          <w:trHeight w:val="291"/>
        </w:trPr>
        <w:tc>
          <w:tcPr>
            <w:tcW w:w="104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tcPr>
          <w:p>
            <w:pPr>
              <w:spacing w:after="0"/>
              <w:rPr>
                <w:sz w:val="24"/>
                <w:szCs w:val="24"/>
                <w:color w:val="auto"/>
              </w:rPr>
            </w:pPr>
          </w:p>
        </w:tc>
        <w:tc>
          <w:tcPr>
            <w:tcW w:w="6940" w:type="dxa"/>
            <w:vAlign w:val="bottom"/>
            <w:gridSpan w:val="10"/>
          </w:tcPr>
          <w:p>
            <w:pPr>
              <w:jc w:val="center"/>
              <w:ind w:right="2640"/>
              <w:spacing w:after="0"/>
              <w:rPr>
                <w:sz w:val="20"/>
                <w:szCs w:val="20"/>
                <w:color w:val="auto"/>
              </w:rPr>
            </w:pPr>
            <w:r>
              <w:rPr>
                <w:rFonts w:ascii="Arial" w:cs="Arial" w:eastAsia="Arial" w:hAnsi="Arial"/>
                <w:sz w:val="18"/>
                <w:szCs w:val="18"/>
                <w:b w:val="1"/>
                <w:bCs w:val="1"/>
                <w:color w:val="auto"/>
              </w:rPr>
              <w:t>PART II — OTHER INFORMATION</w:t>
            </w: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1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UNREGISTERED SALES OF EQUITY SECURITIES AND USE OF PROCEEDS</w:t>
              </w:r>
            </w:hyperlink>
          </w:p>
        </w:tc>
        <w:tc>
          <w:tcPr>
            <w:tcW w:w="440" w:type="dxa"/>
            <w:vAlign w:val="bottom"/>
            <w:gridSpan w:val="2"/>
          </w:tcPr>
          <w:p>
            <w:pPr>
              <w:jc w:val="center"/>
              <w:ind w:left="173"/>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79</w:t>
              </w:r>
            </w:hyperlink>
          </w:p>
        </w:tc>
        <w:tc>
          <w:tcPr>
            <w:tcW w:w="36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40" w:type="dxa"/>
            <w:vAlign w:val="bottom"/>
            <w:gridSpan w:val="3"/>
            <w:shd w:val="clear" w:color="auto" w:fill="0000EE"/>
          </w:tcPr>
          <w:p>
            <w:pPr>
              <w:spacing w:after="0" w:line="20" w:lineRule="exact"/>
              <w:rPr>
                <w:sz w:val="1"/>
                <w:szCs w:val="1"/>
                <w:color w:val="auto"/>
              </w:rPr>
            </w:pPr>
          </w:p>
        </w:tc>
        <w:tc>
          <w:tcPr>
            <w:tcW w:w="3480" w:type="dxa"/>
            <w:vAlign w:val="bottom"/>
            <w:gridSpan w:val="8"/>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820" w:type="dxa"/>
            <w:vAlign w:val="bottom"/>
          </w:tcPr>
          <w:p>
            <w:pPr>
              <w:spacing w:after="0"/>
              <w:rPr>
                <w:rFonts w:ascii="Arial" w:cs="Arial" w:eastAsia="Arial" w:hAnsi="Arial"/>
                <w:sz w:val="18"/>
                <w:szCs w:val="18"/>
                <w:color w:val="0000EE"/>
                <w:w w:val="97"/>
              </w:rPr>
            </w:pPr>
            <w:hyperlink w:anchor="page83">
              <w:r>
                <w:rPr>
                  <w:rFonts w:ascii="Arial" w:cs="Arial" w:eastAsia="Arial" w:hAnsi="Arial"/>
                  <w:sz w:val="18"/>
                  <w:szCs w:val="18"/>
                  <w:color w:val="0000EE"/>
                  <w:w w:val="97"/>
                </w:rPr>
                <w:t>EXHIBITS</w:t>
              </w:r>
            </w:hyperlink>
          </w:p>
        </w:tc>
        <w:tc>
          <w:tcPr>
            <w:tcW w:w="5240" w:type="dxa"/>
            <w:vAlign w:val="bottom"/>
            <w:gridSpan w:val="3"/>
          </w:tcPr>
          <w:p>
            <w:pPr>
              <w:spacing w:after="0"/>
              <w:rPr>
                <w:sz w:val="21"/>
                <w:szCs w:val="21"/>
                <w:color w:val="auto"/>
              </w:rPr>
            </w:pPr>
          </w:p>
        </w:tc>
        <w:tc>
          <w:tcPr>
            <w:tcW w:w="3480" w:type="dxa"/>
            <w:vAlign w:val="bottom"/>
            <w:gridSpan w:val="8"/>
          </w:tcPr>
          <w:p>
            <w:pPr>
              <w:spacing w:after="0"/>
              <w:rPr>
                <w:sz w:val="21"/>
                <w:szCs w:val="21"/>
                <w:color w:val="auto"/>
              </w:rPr>
            </w:pPr>
          </w:p>
        </w:tc>
        <w:tc>
          <w:tcPr>
            <w:tcW w:w="440" w:type="dxa"/>
            <w:vAlign w:val="bottom"/>
            <w:gridSpan w:val="2"/>
          </w:tcPr>
          <w:p>
            <w:pPr>
              <w:jc w:val="center"/>
              <w:ind w:left="173"/>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80</w:t>
              </w:r>
            </w:hyperlink>
          </w:p>
        </w:tc>
        <w:tc>
          <w:tcPr>
            <w:tcW w:w="3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7"/>
                <w:szCs w:val="17"/>
                <w:color w:val="auto"/>
              </w:rPr>
            </w:pPr>
          </w:p>
        </w:tc>
        <w:tc>
          <w:tcPr>
            <w:tcW w:w="122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4"/>
          </w:tcPr>
          <w:p>
            <w:pPr>
              <w:jc w:val="right"/>
              <w:ind w:right="951"/>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98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1,672.4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Trade receivables, net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1,623.6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1,540.4</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 (note 6)</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267.2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144.4</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assets held for sale (note 4)</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current assets (notes 3 and 5)</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599.5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363.5</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4,331.6</w:t>
            </w:r>
          </w:p>
        </w:tc>
      </w:tr>
      <w:tr>
        <w:trPr>
          <w:trHeight w:val="229"/>
        </w:trPr>
        <w:tc>
          <w:tcPr>
            <w:tcW w:w="8580" w:type="dxa"/>
            <w:vAlign w:val="bottom"/>
          </w:tcPr>
          <w:p>
            <w:pPr>
              <w:ind w:left="40"/>
              <w:spacing w:after="0"/>
              <w:rPr>
                <w:sz w:val="20"/>
                <w:szCs w:val="20"/>
                <w:color w:val="auto"/>
              </w:rPr>
            </w:pPr>
            <w:r>
              <w:rPr>
                <w:rFonts w:ascii="Arial" w:cs="Arial" w:eastAsia="Arial" w:hAnsi="Arial"/>
                <w:sz w:val="18"/>
                <w:szCs w:val="18"/>
                <w:color w:val="auto"/>
                <w:w w:val="92"/>
              </w:rPr>
              <w:t>Investments and related note receivables (including $2,288.8 million and $2,315.3 million, respectively, measured at</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580" w:type="dxa"/>
            <w:vAlign w:val="bottom"/>
          </w:tcPr>
          <w:p>
            <w:pPr>
              <w:ind w:left="200"/>
              <w:spacing w:after="0"/>
              <w:rPr>
                <w:sz w:val="20"/>
                <w:szCs w:val="20"/>
                <w:color w:val="auto"/>
              </w:rPr>
            </w:pPr>
            <w:r>
              <w:rPr>
                <w:rFonts w:ascii="Arial" w:cs="Arial" w:eastAsia="Arial" w:hAnsi="Arial"/>
                <w:sz w:val="18"/>
                <w:szCs w:val="18"/>
                <w:color w:val="auto"/>
              </w:rPr>
              <w:t>fair value on a recurring basis) (note 5)</w:t>
            </w: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6,862.2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6,671.4</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 (note 8)</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20,196.3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19,535.4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 (note 8)</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19,000.5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18,547.4</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(note 10)</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3,157.2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Long-term assets held for sale (note 4)</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1,245.9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1,187.3</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 (notes 3, 6 and 8)</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4,166.5</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58,311.6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57,596.8</w:t>
            </w:r>
          </w:p>
        </w:tc>
      </w:tr>
      <w:tr>
        <w:trPr>
          <w:trHeight w:val="27"/>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7"/>
                <w:szCs w:val="17"/>
                <w:color w:val="auto"/>
              </w:rPr>
            </w:pPr>
          </w:p>
        </w:tc>
        <w:tc>
          <w:tcPr>
            <w:tcW w:w="122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4"/>
          </w:tcPr>
          <w:p>
            <w:pPr>
              <w:jc w:val="right"/>
              <w:ind w:right="951"/>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26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1,230.0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1,048.1</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debt and capital lease obligations (note 9)</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4,165.4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capital expenditures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609.7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718.9</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interest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income taxes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517.2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472.3</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held for sale (note 4)</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accrued and current liabilities (notes 6 and 13)</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2,211.4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1,920.8</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9,965.8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Long-term debt and capital lease obligations (note 9)</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38,276.0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38,049.5</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 held for sale (note 4)</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liabilities (notes 6, 10, and 13)</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3,926.3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3,110.7</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52,676.9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51,203.8</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 (notes 6, 9, 10 and 15)</w:t>
            </w: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(note 11):</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Liberty Global shareholders: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Class A ordinary shares, $0.01 nominal value. Issued and outstanding 217,547,694 and 219,668,579 shares,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Class B ordinary shares, $0.01 nominal value. Issued and outstanding 11,102,619 shares at each date</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Class C ordinary shares, $0.01 nominal value. Issued and outstanding 572,061,952 and 584,332,055 shares,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10,860.5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11,358.6</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(6,217.6)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Accumulated other comprehensive earnings, net of taxes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2,248.2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1,656.0</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shares, at cost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Total Liberty Global shareholders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6,032.6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6,805.0</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(412.0)</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5,634.7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6,393.0</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58,311.6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57,596.8</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4"/>
          </w:tcPr>
          <w:p>
            <w:pPr>
              <w:jc w:val="center"/>
              <w:ind w:right="110"/>
              <w:spacing w:after="0"/>
              <w:rPr>
                <w:sz w:val="20"/>
                <w:szCs w:val="20"/>
                <w:color w:val="auto"/>
              </w:rPr>
            </w:pPr>
            <w:r>
              <w:rPr>
                <w:rFonts w:ascii="Arial" w:cs="Arial" w:eastAsia="Arial" w:hAnsi="Arial"/>
                <w:sz w:val="16"/>
                <w:szCs w:val="16"/>
                <w:b w:val="1"/>
                <w:bCs w:val="1"/>
                <w:color w:val="auto"/>
                <w:w w:val="90"/>
              </w:rPr>
              <w:t>Three months ended</w:t>
            </w:r>
          </w:p>
        </w:tc>
      </w:tr>
      <w:tr>
        <w:trPr>
          <w:trHeight w:val="270"/>
        </w:trPr>
        <w:tc>
          <w:tcPr>
            <w:tcW w:w="8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gridSpan w:val="3"/>
          </w:tcPr>
          <w:p>
            <w:pPr>
              <w:jc w:val="center"/>
              <w:ind w:left="731"/>
              <w:spacing w:after="0"/>
              <w:rPr>
                <w:sz w:val="20"/>
                <w:szCs w:val="20"/>
                <w:color w:val="auto"/>
              </w:rPr>
            </w:pPr>
            <w:r>
              <w:rPr>
                <w:rFonts w:ascii="Arial" w:cs="Arial" w:eastAsia="Arial" w:hAnsi="Arial"/>
                <w:sz w:val="16"/>
                <w:szCs w:val="16"/>
                <w:b w:val="1"/>
                <w:bCs w:val="1"/>
                <w:color w:val="auto"/>
                <w:w w:val="94"/>
              </w:rPr>
              <w:t>March 31,</w:t>
            </w:r>
          </w:p>
        </w:tc>
        <w:tc>
          <w:tcPr>
            <w:tcW w:w="1020" w:type="dxa"/>
            <w:vAlign w:val="bottom"/>
          </w:tcPr>
          <w:p>
            <w:pPr>
              <w:spacing w:after="0"/>
              <w:rPr>
                <w:sz w:val="23"/>
                <w:szCs w:val="23"/>
                <w:color w:val="auto"/>
              </w:rPr>
            </w:pPr>
          </w:p>
        </w:tc>
      </w:tr>
      <w:tr>
        <w:trPr>
          <w:trHeight w:val="33"/>
        </w:trPr>
        <w:tc>
          <w:tcPr>
            <w:tcW w:w="8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8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6"/>
                <w:szCs w:val="16"/>
                <w:b w:val="1"/>
                <w:bCs w:val="1"/>
                <w:color w:val="auto"/>
              </w:rPr>
              <w:t>2017</w:t>
            </w:r>
          </w:p>
        </w:tc>
      </w:tr>
      <w:tr>
        <w:trPr>
          <w:trHeight w:val="33"/>
        </w:trPr>
        <w:tc>
          <w:tcPr>
            <w:tcW w:w="8500" w:type="dxa"/>
            <w:vAlign w:val="bottom"/>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r>
      <w:tr>
        <w:trPr>
          <w:trHeight w:val="209"/>
        </w:trPr>
        <w:tc>
          <w:tcPr>
            <w:tcW w:w="8500" w:type="dxa"/>
            <w:vAlign w:val="bottom"/>
          </w:tcPr>
          <w:p>
            <w:pPr>
              <w:spacing w:after="0"/>
              <w:rPr>
                <w:sz w:val="18"/>
                <w:szCs w:val="18"/>
                <w:color w:val="auto"/>
              </w:rPr>
            </w:pPr>
          </w:p>
        </w:tc>
        <w:tc>
          <w:tcPr>
            <w:tcW w:w="28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in millions, except share and per share</w:t>
            </w:r>
          </w:p>
        </w:tc>
      </w:tr>
      <w:tr>
        <w:trPr>
          <w:trHeight w:val="210"/>
        </w:trPr>
        <w:tc>
          <w:tcPr>
            <w:tcW w:w="8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center"/>
              <w:ind w:left="731"/>
              <w:spacing w:after="0"/>
              <w:rPr>
                <w:sz w:val="20"/>
                <w:szCs w:val="20"/>
                <w:color w:val="auto"/>
              </w:rPr>
            </w:pPr>
            <w:r>
              <w:rPr>
                <w:rFonts w:ascii="Arial" w:cs="Arial" w:eastAsia="Arial" w:hAnsi="Arial"/>
                <w:sz w:val="16"/>
                <w:szCs w:val="16"/>
                <w:b w:val="1"/>
                <w:bCs w:val="1"/>
                <w:color w:val="auto"/>
                <w:w w:val="86"/>
              </w:rPr>
              <w:t>amounts</w:t>
            </w:r>
          </w:p>
        </w:tc>
        <w:tc>
          <w:tcPr>
            <w:tcW w:w="1020" w:type="dxa"/>
            <w:vAlign w:val="bottom"/>
          </w:tcPr>
          <w:p>
            <w:pPr>
              <w:spacing w:after="0"/>
              <w:rPr>
                <w:sz w:val="18"/>
                <w:szCs w:val="18"/>
                <w:color w:val="auto"/>
              </w:rPr>
            </w:pPr>
          </w:p>
        </w:tc>
      </w:tr>
      <w:tr>
        <w:trPr>
          <w:trHeight w:val="303"/>
        </w:trPr>
        <w:tc>
          <w:tcPr>
            <w:tcW w:w="8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(notes 3, 5 and 16)</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4,156.1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3,519.0</w:t>
            </w:r>
          </w:p>
        </w:tc>
      </w:tr>
      <w:tr>
        <w:trPr>
          <w:trHeight w:val="223"/>
        </w:trPr>
        <w:tc>
          <w:tcPr>
            <w:tcW w:w="8500" w:type="dxa"/>
            <w:vAlign w:val="bottom"/>
          </w:tcPr>
          <w:p>
            <w:pPr>
              <w:ind w:left="40"/>
              <w:spacing w:after="0"/>
              <w:rPr>
                <w:sz w:val="20"/>
                <w:szCs w:val="20"/>
                <w:color w:val="auto"/>
              </w:rPr>
            </w:pPr>
            <w:r>
              <w:rPr>
                <w:rFonts w:ascii="Arial" w:cs="Arial" w:eastAsia="Arial" w:hAnsi="Arial"/>
                <w:sz w:val="18"/>
                <w:szCs w:val="18"/>
                <w:color w:val="auto"/>
              </w:rPr>
              <w:t>Operating costs and expenses (exclusive of depreciation and amortization, shown separately below):</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41"/>
        </w:trPr>
        <w:tc>
          <w:tcPr>
            <w:tcW w:w="8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8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Programming and other direct costs of services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812.0</w:t>
            </w:r>
          </w:p>
        </w:tc>
      </w:tr>
      <w:tr>
        <w:trPr>
          <w:trHeight w:val="243"/>
        </w:trPr>
        <w:tc>
          <w:tcPr>
            <w:tcW w:w="8500" w:type="dxa"/>
            <w:vAlign w:val="bottom"/>
          </w:tcPr>
          <w:p>
            <w:pPr>
              <w:ind w:left="180"/>
              <w:spacing w:after="0"/>
              <w:rPr>
                <w:sz w:val="20"/>
                <w:szCs w:val="20"/>
                <w:color w:val="auto"/>
              </w:rPr>
            </w:pPr>
            <w:r>
              <w:rPr>
                <w:rFonts w:ascii="Arial" w:cs="Arial" w:eastAsia="Arial" w:hAnsi="Arial"/>
                <w:sz w:val="18"/>
                <w:szCs w:val="18"/>
                <w:color w:val="auto"/>
              </w:rPr>
              <w:t>Other operating (note 12)</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520.1</w:t>
            </w:r>
          </w:p>
        </w:tc>
      </w:tr>
      <w:tr>
        <w:trPr>
          <w:trHeight w:val="27"/>
        </w:trPr>
        <w:tc>
          <w:tcPr>
            <w:tcW w:w="8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w:t>
            </w:r>
            <w:r>
              <w:rPr>
                <w:rFonts w:ascii="Arial" w:cs="Arial" w:eastAsia="Arial" w:hAnsi="Arial"/>
                <w:sz w:val="18"/>
                <w:szCs w:val="18"/>
                <w:b w:val="1"/>
                <w:bCs w:val="1"/>
                <w:color w:val="auto"/>
              </w:rPr>
              <w:t>SG&amp;A</w:t>
            </w:r>
            <w:r>
              <w:rPr>
                <w:rFonts w:ascii="Arial" w:cs="Arial" w:eastAsia="Arial" w:hAnsi="Arial"/>
                <w:sz w:val="18"/>
                <w:szCs w:val="18"/>
                <w:color w:val="auto"/>
              </w:rPr>
              <w:t>) (note 12)</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619.7</w:t>
            </w:r>
          </w:p>
        </w:tc>
      </w:tr>
      <w:tr>
        <w:trPr>
          <w:trHeight w:val="243"/>
        </w:trPr>
        <w:tc>
          <w:tcPr>
            <w:tcW w:w="85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1,296.4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1,128.3</w:t>
            </w:r>
          </w:p>
        </w:tc>
      </w:tr>
      <w:tr>
        <w:trPr>
          <w:trHeight w:val="27"/>
        </w:trPr>
        <w:tc>
          <w:tcPr>
            <w:tcW w:w="8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restructuring and other operating items, net (note 13)</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37"/>
        </w:trPr>
        <w:tc>
          <w:tcPr>
            <w:tcW w:w="85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3,663.0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3,091.9</w:t>
            </w:r>
          </w:p>
        </w:tc>
      </w:tr>
      <w:tr>
        <w:trPr>
          <w:trHeight w:val="27"/>
        </w:trPr>
        <w:tc>
          <w:tcPr>
            <w:tcW w:w="8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427.1</w:t>
            </w:r>
          </w:p>
        </w:tc>
      </w:tr>
      <w:tr>
        <w:trPr>
          <w:trHeight w:val="223"/>
        </w:trPr>
        <w:tc>
          <w:tcPr>
            <w:tcW w:w="850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41"/>
        </w:trPr>
        <w:tc>
          <w:tcPr>
            <w:tcW w:w="8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8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(453.2)</w:t>
            </w:r>
          </w:p>
        </w:tc>
      </w:tr>
      <w:tr>
        <w:trPr>
          <w:trHeight w:val="243"/>
        </w:trPr>
        <w:tc>
          <w:tcPr>
            <w:tcW w:w="8500" w:type="dxa"/>
            <w:vAlign w:val="bottom"/>
          </w:tcPr>
          <w:p>
            <w:pPr>
              <w:ind w:left="180"/>
              <w:spacing w:after="0"/>
              <w:rPr>
                <w:sz w:val="20"/>
                <w:szCs w:val="20"/>
                <w:color w:val="auto"/>
              </w:rPr>
            </w:pPr>
            <w:r>
              <w:rPr>
                <w:rFonts w:ascii="Arial" w:cs="Arial" w:eastAsia="Arial" w:hAnsi="Arial"/>
                <w:sz w:val="18"/>
                <w:szCs w:val="18"/>
                <w:color w:val="auto"/>
              </w:rPr>
              <w:t>Realized and unrealized losses on derivative instruments, net (note 6)</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(241.8)</w:t>
            </w:r>
          </w:p>
        </w:tc>
      </w:tr>
      <w:tr>
        <w:trPr>
          <w:trHeight w:val="27"/>
        </w:trPr>
        <w:tc>
          <w:tcPr>
            <w:tcW w:w="8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transaction gains (losses),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w:t>
            </w:r>
          </w:p>
        </w:tc>
      </w:tr>
      <w:tr>
        <w:trPr>
          <w:trHeight w:val="229"/>
        </w:trPr>
        <w:tc>
          <w:tcPr>
            <w:tcW w:w="8500" w:type="dxa"/>
            <w:vAlign w:val="bottom"/>
          </w:tcPr>
          <w:p>
            <w:pPr>
              <w:ind w:left="180"/>
              <w:spacing w:after="0"/>
              <w:rPr>
                <w:sz w:val="20"/>
                <w:szCs w:val="20"/>
                <w:color w:val="auto"/>
              </w:rPr>
            </w:pPr>
            <w:r>
              <w:rPr>
                <w:rFonts w:ascii="Arial" w:cs="Arial" w:eastAsia="Arial" w:hAnsi="Arial"/>
                <w:sz w:val="18"/>
                <w:szCs w:val="18"/>
                <w:color w:val="auto"/>
                <w:w w:val="89"/>
              </w:rPr>
              <w:t>Realized and unrealized gains (losses) due to changes in fair values of certain investments and debt, net (notes 5, 7</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500" w:type="dxa"/>
            <w:vAlign w:val="bottom"/>
          </w:tcPr>
          <w:p>
            <w:pPr>
              <w:ind w:left="340"/>
              <w:spacing w:after="0"/>
              <w:rPr>
                <w:sz w:val="20"/>
                <w:szCs w:val="20"/>
                <w:color w:val="auto"/>
              </w:rPr>
            </w:pPr>
            <w:r>
              <w:rPr>
                <w:rFonts w:ascii="Arial" w:cs="Arial" w:eastAsia="Arial" w:hAnsi="Arial"/>
                <w:sz w:val="18"/>
                <w:szCs w:val="18"/>
                <w:color w:val="auto"/>
              </w:rPr>
              <w:t>and 9)</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94.4</w:t>
            </w:r>
          </w:p>
        </w:tc>
      </w:tr>
      <w:tr>
        <w:trPr>
          <w:trHeight w:val="27"/>
        </w:trPr>
        <w:tc>
          <w:tcPr>
            <w:tcW w:w="8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Losses on debt modification and extinguishment, net (note 9)</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43"/>
        </w:trPr>
        <w:tc>
          <w:tcPr>
            <w:tcW w:w="8500" w:type="dxa"/>
            <w:vAlign w:val="bottom"/>
          </w:tcPr>
          <w:p>
            <w:pPr>
              <w:ind w:left="180"/>
              <w:spacing w:after="0"/>
              <w:rPr>
                <w:sz w:val="20"/>
                <w:szCs w:val="20"/>
                <w:color w:val="auto"/>
              </w:rPr>
            </w:pPr>
            <w:r>
              <w:rPr>
                <w:rFonts w:ascii="Arial" w:cs="Arial" w:eastAsia="Arial" w:hAnsi="Arial"/>
                <w:sz w:val="18"/>
                <w:szCs w:val="18"/>
                <w:color w:val="auto"/>
              </w:rPr>
              <w:t>Share of losses of affiliates, net (note 5)</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8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37"/>
        </w:trPr>
        <w:tc>
          <w:tcPr>
            <w:tcW w:w="85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(581.2)</w:t>
            </w:r>
          </w:p>
        </w:tc>
      </w:tr>
      <w:tr>
        <w:trPr>
          <w:trHeight w:val="27"/>
        </w:trPr>
        <w:tc>
          <w:tcPr>
            <w:tcW w:w="8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Income tax expense (note 10)</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7"/>
        </w:trPr>
        <w:tc>
          <w:tcPr>
            <w:tcW w:w="8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(256.3)</w:t>
            </w: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taxes (note 4)</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8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(267.2)</w:t>
            </w: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Net earnings attributable to noncontrolling interests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(53.0)</w:t>
            </w:r>
          </w:p>
        </w:tc>
      </w:tr>
      <w:tr>
        <w:trPr>
          <w:trHeight w:val="27"/>
        </w:trPr>
        <w:tc>
          <w:tcPr>
            <w:tcW w:w="8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attributable to Liberty Global shareholders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r>
      <w:tr>
        <w:trPr>
          <w:trHeight w:val="20"/>
        </w:trPr>
        <w:tc>
          <w:tcPr>
            <w:tcW w:w="8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8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Basic and diluted loss from continuing operations attributable to Liberty Global shareholders per share (note 14)</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r>
      <w:tr>
        <w:trPr>
          <w:trHeight w:val="20"/>
        </w:trPr>
        <w:tc>
          <w:tcPr>
            <w:tcW w:w="8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8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5"/>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ordinary shares outstanding - basic and diluted (note 14)</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807,879,932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890,464,735</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9980" w:type="dxa"/>
            <w:vAlign w:val="bottom"/>
            <w:gridSpan w:val="4"/>
          </w:tcPr>
          <w:p>
            <w:pPr>
              <w:ind w:left="2160"/>
              <w:spacing w:after="0"/>
              <w:rPr>
                <w:sz w:val="20"/>
                <w:szCs w:val="20"/>
                <w:color w:val="auto"/>
              </w:rPr>
            </w:pPr>
            <w:r>
              <w:rPr>
                <w:rFonts w:ascii="Arial" w:cs="Arial" w:eastAsia="Arial" w:hAnsi="Arial"/>
                <w:sz w:val="18"/>
                <w:szCs w:val="18"/>
                <w:color w:val="auto"/>
                <w:w w:val="98"/>
              </w:rPr>
              <w:t>The accompanying notes are an integral part of these condensed consolidated financial statements.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8500" w:type="dxa"/>
            <w:vAlign w:val="bottom"/>
          </w:tcPr>
          <w:p>
            <w:pPr>
              <w:ind w:left="566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20"/>
          </w:cols>
          <w:pgMar w:left="24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71"/>
              <w:spacing w:after="0"/>
              <w:rPr>
                <w:sz w:val="20"/>
                <w:szCs w:val="20"/>
                <w:color w:val="auto"/>
              </w:rPr>
            </w:pPr>
            <w:r>
              <w:rPr>
                <w:rFonts w:ascii="Arial" w:cs="Arial" w:eastAsia="Arial" w:hAnsi="Arial"/>
                <w:sz w:val="16"/>
                <w:szCs w:val="16"/>
                <w:b w:val="1"/>
                <w:bCs w:val="1"/>
                <w:color w:val="auto"/>
                <w:w w:val="90"/>
              </w:rPr>
              <w:t>Three months ended</w:t>
            </w:r>
          </w:p>
        </w:tc>
      </w:tr>
      <w:tr>
        <w:trPr>
          <w:trHeight w:val="270"/>
        </w:trPr>
        <w:tc>
          <w:tcPr>
            <w:tcW w:w="8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gridSpan w:val="3"/>
          </w:tcPr>
          <w:p>
            <w:pPr>
              <w:jc w:val="center"/>
              <w:ind w:left="493"/>
              <w:spacing w:after="0"/>
              <w:rPr>
                <w:sz w:val="20"/>
                <w:szCs w:val="20"/>
                <w:color w:val="auto"/>
              </w:rPr>
            </w:pPr>
            <w:r>
              <w:rPr>
                <w:rFonts w:ascii="Arial" w:cs="Arial" w:eastAsia="Arial" w:hAnsi="Arial"/>
                <w:sz w:val="16"/>
                <w:szCs w:val="16"/>
                <w:b w:val="1"/>
                <w:bCs w:val="1"/>
                <w:color w:val="auto"/>
                <w:w w:val="97"/>
              </w:rPr>
              <w:t>March 31,</w:t>
            </w:r>
          </w:p>
        </w:tc>
        <w:tc>
          <w:tcPr>
            <w:tcW w:w="860" w:type="dxa"/>
            <w:vAlign w:val="bottom"/>
          </w:tcPr>
          <w:p>
            <w:pPr>
              <w:spacing w:after="0"/>
              <w:rPr>
                <w:sz w:val="23"/>
                <w:szCs w:val="23"/>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center"/>
              <w:ind w:left="493"/>
              <w:spacing w:after="0"/>
              <w:rPr>
                <w:sz w:val="20"/>
                <w:szCs w:val="20"/>
                <w:color w:val="auto"/>
              </w:rPr>
            </w:pPr>
            <w:r>
              <w:rPr>
                <w:rFonts w:ascii="Arial" w:cs="Arial" w:eastAsia="Arial" w:hAnsi="Arial"/>
                <w:sz w:val="16"/>
                <w:szCs w:val="16"/>
                <w:b w:val="1"/>
                <w:bCs w:val="1"/>
                <w:color w:val="auto"/>
                <w:w w:val="90"/>
              </w:rPr>
              <w:t>in millions</w:t>
            </w:r>
          </w:p>
        </w:tc>
        <w:tc>
          <w:tcPr>
            <w:tcW w:w="86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8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(1,178.6)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(267.2)</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earnings, net of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252.9</w:t>
            </w:r>
          </w:p>
        </w:tc>
      </w:tr>
      <w:tr>
        <w:trPr>
          <w:trHeight w:val="243"/>
        </w:trPr>
        <w:tc>
          <w:tcPr>
            <w:tcW w:w="8800" w:type="dxa"/>
            <w:vAlign w:val="bottom"/>
          </w:tcPr>
          <w:p>
            <w:pPr>
              <w:ind w:left="260"/>
              <w:spacing w:after="0"/>
              <w:rPr>
                <w:sz w:val="20"/>
                <w:szCs w:val="20"/>
                <w:color w:val="auto"/>
              </w:rPr>
            </w:pPr>
            <w:r>
              <w:rPr>
                <w:rFonts w:ascii="Arial" w:cs="Arial" w:eastAsia="Arial" w:hAnsi="Arial"/>
                <w:sz w:val="18"/>
                <w:szCs w:val="18"/>
                <w:color w:val="auto"/>
              </w:rPr>
              <w:t>Pension-related adjustments and other</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earnings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251.6</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comprehensive loss from discontinued operations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comprehensive earnings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592.2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239.9</w:t>
            </w:r>
          </w:p>
        </w:tc>
      </w:tr>
      <w:tr>
        <w:trPr>
          <w:trHeight w:val="237"/>
        </w:trPr>
        <w:tc>
          <w:tcPr>
            <w:tcW w:w="8800" w:type="dxa"/>
            <w:vAlign w:val="bottom"/>
          </w:tcPr>
          <w:p>
            <w:pPr>
              <w:ind w:left="680"/>
              <w:spacing w:after="0"/>
              <w:rPr>
                <w:sz w:val="20"/>
                <w:szCs w:val="20"/>
                <w:color w:val="auto"/>
              </w:rPr>
            </w:pPr>
            <w:r>
              <w:rPr>
                <w:rFonts w:ascii="Arial" w:cs="Arial" w:eastAsia="Arial" w:hAnsi="Arial"/>
                <w:sz w:val="18"/>
                <w:szCs w:val="18"/>
                <w:color w:val="auto"/>
              </w:rPr>
              <w:t>Comprehensive loss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earnings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57"/>
        </w:trPr>
        <w:tc>
          <w:tcPr>
            <w:tcW w:w="8800" w:type="dxa"/>
            <w:vAlign w:val="bottom"/>
          </w:tcPr>
          <w:p>
            <w:pPr>
              <w:ind w:left="520"/>
              <w:spacing w:after="0"/>
              <w:rPr>
                <w:sz w:val="20"/>
                <w:szCs w:val="20"/>
                <w:color w:val="auto"/>
              </w:rPr>
            </w:pPr>
            <w:r>
              <w:rPr>
                <w:rFonts w:ascii="Arial" w:cs="Arial" w:eastAsia="Arial" w:hAnsi="Arial"/>
                <w:sz w:val="18"/>
                <w:szCs w:val="18"/>
                <w:color w:val="auto"/>
              </w:rPr>
              <w:t>Comprehensive loss attributable to Liberty Global shareholders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6"/>
          </w:tcPr>
          <w:p>
            <w:pPr>
              <w:jc w:val="right"/>
              <w:spacing w:after="0"/>
              <w:rPr>
                <w:sz w:val="20"/>
                <w:szCs w:val="20"/>
                <w:color w:val="auto"/>
              </w:rPr>
            </w:pPr>
            <w:r>
              <w:rPr>
                <w:rFonts w:ascii="Arial" w:cs="Arial" w:eastAsia="Arial" w:hAnsi="Arial"/>
                <w:sz w:val="16"/>
                <w:szCs w:val="16"/>
                <w:b w:val="1"/>
                <w:bCs w:val="1"/>
                <w:color w:val="auto"/>
              </w:rPr>
              <w:t>Liberty Global shareholders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6"/>
            <w:vMerge w:val="restart"/>
          </w:tcPr>
          <w:p>
            <w:pPr>
              <w:jc w:val="center"/>
              <w:ind w:left="191"/>
              <w:spacing w:after="0"/>
              <w:rPr>
                <w:sz w:val="20"/>
                <w:szCs w:val="20"/>
                <w:color w:val="auto"/>
              </w:rPr>
            </w:pPr>
            <w:r>
              <w:rPr>
                <w:rFonts w:ascii="Arial" w:cs="Arial" w:eastAsia="Arial" w:hAnsi="Arial"/>
                <w:sz w:val="16"/>
                <w:szCs w:val="16"/>
                <w:b w:val="1"/>
                <w:bCs w:val="1"/>
                <w:color w:val="auto"/>
                <w:w w:val="92"/>
              </w:rPr>
              <w:t>Ordinary shares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other</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Total</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40" w:type="dxa"/>
            <w:vAlign w:val="bottom"/>
            <w:gridSpan w:val="6"/>
            <w:vMerge w:val="continue"/>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86"/>
              </w:rPr>
              <w:t>comprehensive</w:t>
            </w:r>
          </w:p>
        </w:tc>
        <w:tc>
          <w:tcPr>
            <w:tcW w:w="8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Treasury</w:t>
            </w:r>
          </w:p>
        </w:tc>
        <w:tc>
          <w:tcPr>
            <w:tcW w:w="160" w:type="dxa"/>
            <w:vAlign w:val="bottom"/>
          </w:tcPr>
          <w:p>
            <w:pPr>
              <w:spacing w:after="0"/>
              <w:rPr>
                <w:sz w:val="6"/>
                <w:szCs w:val="6"/>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7"/>
              </w:rPr>
              <w:t>Liberty</w:t>
            </w:r>
          </w:p>
        </w:tc>
        <w:tc>
          <w:tcPr>
            <w:tcW w:w="160" w:type="dxa"/>
            <w:vAlign w:val="bottom"/>
          </w:tcPr>
          <w:p>
            <w:pPr>
              <w:spacing w:after="0"/>
              <w:rPr>
                <w:sz w:val="6"/>
                <w:szCs w:val="6"/>
                <w:color w:val="auto"/>
              </w:rPr>
            </w:pPr>
          </w:p>
        </w:tc>
        <w:tc>
          <w:tcPr>
            <w:tcW w:w="7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paid-in</w:t>
            </w: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earnings, net</w:t>
            </w:r>
          </w:p>
        </w:tc>
        <w:tc>
          <w:tcPr>
            <w:tcW w:w="800" w:type="dxa"/>
            <w:vAlign w:val="bottom"/>
            <w:gridSpan w:val="3"/>
          </w:tcPr>
          <w:p>
            <w:pPr>
              <w:ind w:left="10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Global</w:t>
            </w:r>
          </w:p>
        </w:tc>
        <w:tc>
          <w:tcPr>
            <w:tcW w:w="90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controlling</w:t>
            </w:r>
          </w:p>
        </w:tc>
        <w:tc>
          <w:tcPr>
            <w:tcW w:w="800" w:type="dxa"/>
            <w:vAlign w:val="bottom"/>
          </w:tcPr>
          <w:p>
            <w:pPr>
              <w:jc w:val="right"/>
              <w:ind w:right="1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780" w:type="dxa"/>
            <w:vAlign w:val="bottom"/>
            <w:gridSpan w:val="3"/>
          </w:tcPr>
          <w:p>
            <w:pPr>
              <w:ind w:left="80"/>
              <w:spacing w:after="0"/>
              <w:rPr>
                <w:sz w:val="20"/>
                <w:szCs w:val="20"/>
                <w:color w:val="auto"/>
              </w:rPr>
            </w:pPr>
            <w:r>
              <w:rPr>
                <w:rFonts w:ascii="Arial" w:cs="Arial" w:eastAsia="Arial" w:hAnsi="Arial"/>
                <w:sz w:val="16"/>
                <w:szCs w:val="16"/>
                <w:b w:val="1"/>
                <w:bCs w:val="1"/>
                <w:color w:val="auto"/>
              </w:rPr>
              <w:t>Class A</w:t>
            </w:r>
          </w:p>
        </w:tc>
        <w:tc>
          <w:tcPr>
            <w:tcW w:w="7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Class B</w:t>
            </w:r>
          </w:p>
        </w:tc>
        <w:tc>
          <w:tcPr>
            <w:tcW w:w="760" w:type="dxa"/>
            <w:vAlign w:val="bottom"/>
            <w:gridSpan w:val="3"/>
          </w:tcPr>
          <w:p>
            <w:pPr>
              <w:ind w:left="60"/>
              <w:spacing w:after="0"/>
              <w:rPr>
                <w:sz w:val="20"/>
                <w:szCs w:val="20"/>
                <w:color w:val="auto"/>
              </w:rPr>
            </w:pPr>
            <w:r>
              <w:rPr>
                <w:rFonts w:ascii="Arial" w:cs="Arial" w:eastAsia="Arial" w:hAnsi="Arial"/>
                <w:sz w:val="16"/>
                <w:szCs w:val="16"/>
                <w:b w:val="1"/>
                <w:bCs w:val="1"/>
                <w:color w:val="auto"/>
              </w:rPr>
              <w:t>Class C</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capital</w:t>
            </w:r>
          </w:p>
        </w:tc>
        <w:tc>
          <w:tcPr>
            <w:tcW w:w="1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28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5"/>
              </w:rPr>
              <w:t>of taxes</w:t>
            </w:r>
          </w:p>
        </w:tc>
        <w:tc>
          <w:tcPr>
            <w:tcW w:w="1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6"/>
                <w:szCs w:val="16"/>
                <w:b w:val="1"/>
                <w:bCs w:val="1"/>
                <w:color w:val="auto"/>
              </w:rPr>
              <w:t>at cost</w:t>
            </w:r>
          </w:p>
        </w:tc>
        <w:tc>
          <w:tcPr>
            <w:tcW w:w="10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shareholders</w:t>
            </w:r>
          </w:p>
        </w:tc>
        <w:tc>
          <w:tcPr>
            <w:tcW w:w="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interests</w:t>
            </w:r>
          </w:p>
        </w:tc>
        <w:tc>
          <w:tcPr>
            <w:tcW w:w="800" w:type="dxa"/>
            <w:vAlign w:val="bottom"/>
          </w:tcPr>
          <w:p>
            <w:pPr>
              <w:jc w:val="right"/>
              <w:ind w:right="9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5"/>
          </w:tcPr>
          <w:p>
            <w:pPr>
              <w:ind w:left="74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w w:val="99"/>
              </w:rPr>
              <w:t>Balance at January 1, 2018,</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200"/>
              <w:spacing w:after="0"/>
              <w:rPr>
                <w:sz w:val="20"/>
                <w:szCs w:val="20"/>
                <w:color w:val="auto"/>
              </w:rPr>
            </w:pPr>
            <w:r>
              <w:rPr>
                <w:rFonts w:ascii="Arial" w:cs="Arial" w:eastAsia="Arial" w:hAnsi="Arial"/>
                <w:sz w:val="18"/>
                <w:szCs w:val="18"/>
                <w:color w:val="auto"/>
                <w:w w:val="98"/>
              </w:rPr>
              <w:t>before effect of accounting</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200"/>
              <w:spacing w:after="0"/>
              <w:rPr>
                <w:sz w:val="20"/>
                <w:szCs w:val="20"/>
                <w:color w:val="auto"/>
              </w:rPr>
            </w:pPr>
            <w:r>
              <w:rPr>
                <w:rFonts w:ascii="Arial" w:cs="Arial" w:eastAsia="Arial" w:hAnsi="Arial"/>
                <w:sz w:val="18"/>
                <w:szCs w:val="18"/>
                <w:color w:val="auto"/>
              </w:rPr>
              <w:t>change</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w w:val="92"/>
              </w:rPr>
              <w:t>$11,358.6</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9"/>
              </w:rPr>
              <w:t>(6,217.6)</w:t>
            </w:r>
          </w:p>
        </w:tc>
        <w:tc>
          <w:tcPr>
            <w:tcW w:w="100" w:type="dxa"/>
            <w:vAlign w:val="bottom"/>
          </w:tcPr>
          <w:p>
            <w:pPr>
              <w:spacing w:after="0"/>
              <w:rPr>
                <w:sz w:val="20"/>
                <w:szCs w:val="20"/>
                <w:color w:val="auto"/>
              </w:rPr>
            </w:pPr>
          </w:p>
        </w:tc>
        <w:tc>
          <w:tcPr>
            <w:tcW w:w="280" w:type="dxa"/>
            <w:vAlign w:val="bottom"/>
          </w:tcPr>
          <w:p>
            <w:pPr>
              <w:jc w:val="right"/>
              <w:ind w:right="75"/>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1,656.0</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6,805.0</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(412.0)</w:t>
            </w:r>
          </w:p>
        </w:tc>
        <w:tc>
          <w:tcPr>
            <w:tcW w:w="1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w w:val="90"/>
              </w:rPr>
              <w:t>$ 6,393.0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Accounting change (note 2)</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09"/>
        </w:trPr>
        <w:tc>
          <w:tcPr>
            <w:tcW w:w="2300" w:type="dxa"/>
            <w:vAlign w:val="bottom"/>
          </w:tcPr>
          <w:p>
            <w:pPr>
              <w:ind w:left="40"/>
              <w:spacing w:after="0"/>
              <w:rPr>
                <w:sz w:val="20"/>
                <w:szCs w:val="20"/>
                <w:color w:val="auto"/>
              </w:rPr>
            </w:pPr>
            <w:r>
              <w:rPr>
                <w:rFonts w:ascii="Arial" w:cs="Arial" w:eastAsia="Arial" w:hAnsi="Arial"/>
                <w:sz w:val="18"/>
                <w:szCs w:val="18"/>
                <w:color w:val="auto"/>
                <w:w w:val="90"/>
              </w:rPr>
              <w:t>Balance at January 1, 2018, as</w:t>
            </w: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200"/>
              <w:spacing w:after="0"/>
              <w:rPr>
                <w:sz w:val="20"/>
                <w:szCs w:val="20"/>
                <w:color w:val="auto"/>
              </w:rPr>
            </w:pPr>
            <w:r>
              <w:rPr>
                <w:rFonts w:ascii="Arial" w:cs="Arial" w:eastAsia="Arial" w:hAnsi="Arial"/>
                <w:sz w:val="18"/>
                <w:szCs w:val="18"/>
                <w:color w:val="auto"/>
              </w:rPr>
              <w:t>adjusted for accounting</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20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20"/>
                <w:szCs w:val="20"/>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11,358.6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(5,897.5)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1,656.0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7,125.1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(407.6)</w:t>
            </w:r>
          </w:p>
        </w:tc>
        <w:tc>
          <w:tcPr>
            <w:tcW w:w="1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6,717.5</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(1,186.5)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(1,186.5)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(1,178.6)</w:t>
            </w:r>
          </w:p>
        </w:tc>
        <w:tc>
          <w:tcPr>
            <w:tcW w:w="0" w:type="dxa"/>
            <w:vAlign w:val="bottom"/>
          </w:tcPr>
          <w:p>
            <w:pPr>
              <w:spacing w:after="0"/>
              <w:rPr>
                <w:sz w:val="1"/>
                <w:szCs w:val="1"/>
                <w:color w:val="auto"/>
              </w:rPr>
            </w:pPr>
          </w:p>
        </w:tc>
      </w:tr>
      <w:tr>
        <w:trPr>
          <w:trHeight w:val="229"/>
        </w:trPr>
        <w:tc>
          <w:tcPr>
            <w:tcW w:w="2300" w:type="dxa"/>
            <w:vAlign w:val="bottom"/>
          </w:tcPr>
          <w:p>
            <w:pPr>
              <w:ind w:left="180"/>
              <w:spacing w:after="0"/>
              <w:rPr>
                <w:sz w:val="20"/>
                <w:szCs w:val="20"/>
                <w:color w:val="auto"/>
              </w:rPr>
            </w:pPr>
            <w:r>
              <w:rPr>
                <w:rFonts w:ascii="Arial" w:cs="Arial" w:eastAsia="Arial" w:hAnsi="Arial"/>
                <w:sz w:val="18"/>
                <w:szCs w:val="18"/>
                <w:color w:val="auto"/>
              </w:rPr>
              <w:t>Other comprehensive</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340"/>
              <w:spacing w:after="0"/>
              <w:rPr>
                <w:sz w:val="20"/>
                <w:szCs w:val="20"/>
                <w:color w:val="auto"/>
              </w:rPr>
            </w:pPr>
            <w:r>
              <w:rPr>
                <w:rFonts w:ascii="Arial" w:cs="Arial" w:eastAsia="Arial" w:hAnsi="Arial"/>
                <w:sz w:val="18"/>
                <w:szCs w:val="18"/>
                <w:color w:val="auto"/>
              </w:rPr>
              <w:t>earnings, net of taxes</w:t>
            </w:r>
          </w:p>
        </w:tc>
        <w:tc>
          <w:tcPr>
            <w:tcW w:w="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592.2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592.2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592.2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Repurchase and cancellation</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of Liberty Global ordinary</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shares (note 11)</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0" w:type="dxa"/>
            <w:vAlign w:val="bottom"/>
          </w:tcPr>
          <w:p>
            <w:pPr>
              <w:spacing w:after="0"/>
              <w:rPr>
                <w:sz w:val="1"/>
                <w:szCs w:val="1"/>
                <w:color w:val="auto"/>
              </w:rPr>
            </w:pPr>
          </w:p>
        </w:tc>
      </w:tr>
      <w:tr>
        <w:trPr>
          <w:trHeight w:val="229"/>
        </w:trPr>
        <w:tc>
          <w:tcPr>
            <w:tcW w:w="2300" w:type="dxa"/>
            <w:vAlign w:val="bottom"/>
          </w:tcPr>
          <w:p>
            <w:pPr>
              <w:ind w:left="180"/>
              <w:spacing w:after="0"/>
              <w:rPr>
                <w:sz w:val="20"/>
                <w:szCs w:val="20"/>
                <w:color w:val="auto"/>
              </w:rPr>
            </w:pPr>
            <w:r>
              <w:rPr>
                <w:rFonts w:ascii="Arial" w:cs="Arial" w:eastAsia="Arial" w:hAnsi="Arial"/>
                <w:sz w:val="18"/>
                <w:szCs w:val="18"/>
                <w:color w:val="auto"/>
                <w:w w:val="95"/>
              </w:rPr>
              <w:t>Share-based compensation</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340"/>
              <w:spacing w:after="0"/>
              <w:rPr>
                <w:sz w:val="20"/>
                <w:szCs w:val="20"/>
                <w:color w:val="auto"/>
              </w:rPr>
            </w:pPr>
            <w:r>
              <w:rPr>
                <w:rFonts w:ascii="Arial" w:cs="Arial" w:eastAsia="Arial" w:hAnsi="Arial"/>
                <w:sz w:val="18"/>
                <w:szCs w:val="18"/>
                <w:color w:val="auto"/>
              </w:rPr>
              <w:t>(note 12)</w:t>
            </w:r>
          </w:p>
        </w:tc>
        <w:tc>
          <w:tcPr>
            <w:tcW w:w="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Adjustments due to changes</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in subsidiaries’ equity and</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8"/>
                <w:szCs w:val="18"/>
                <w:color w:val="auto"/>
              </w:rPr>
              <w:t>Balance at March 31, 2018</w:t>
            </w:r>
          </w:p>
        </w:tc>
        <w:tc>
          <w:tcPr>
            <w:tcW w:w="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2"/>
              </w:rPr>
              <w:t>$10,860.5</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(7,084.0)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2,248.2</w:t>
            </w:r>
          </w:p>
        </w:tc>
        <w:tc>
          <w:tcPr>
            <w:tcW w:w="10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6,032.6</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(397.9)</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0"/>
              </w:rPr>
              <w:t>$ 5,634.7</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70"/>
              <w:spacing w:after="0"/>
              <w:rPr>
                <w:sz w:val="20"/>
                <w:szCs w:val="20"/>
                <w:color w:val="auto"/>
              </w:rPr>
            </w:pPr>
            <w:r>
              <w:rPr>
                <w:rFonts w:ascii="Arial" w:cs="Arial" w:eastAsia="Arial" w:hAnsi="Arial"/>
                <w:sz w:val="16"/>
                <w:szCs w:val="16"/>
                <w:b w:val="1"/>
                <w:bCs w:val="1"/>
                <w:color w:val="auto"/>
                <w:w w:val="90"/>
              </w:rPr>
              <w:t>Three months ended</w:t>
            </w:r>
          </w:p>
        </w:tc>
      </w:tr>
      <w:tr>
        <w:trPr>
          <w:trHeight w:val="257"/>
        </w:trPr>
        <w:tc>
          <w:tcPr>
            <w:tcW w:w="8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gridSpan w:val="3"/>
          </w:tcPr>
          <w:p>
            <w:pPr>
              <w:jc w:val="center"/>
              <w:ind w:left="491"/>
              <w:spacing w:after="0"/>
              <w:rPr>
                <w:sz w:val="20"/>
                <w:szCs w:val="20"/>
                <w:color w:val="auto"/>
              </w:rPr>
            </w:pPr>
            <w:r>
              <w:rPr>
                <w:rFonts w:ascii="Arial" w:cs="Arial" w:eastAsia="Arial" w:hAnsi="Arial"/>
                <w:sz w:val="16"/>
                <w:szCs w:val="16"/>
                <w:b w:val="1"/>
                <w:bCs w:val="1"/>
                <w:color w:val="auto"/>
                <w:w w:val="97"/>
              </w:rPr>
              <w:t>March 31,</w:t>
            </w:r>
          </w:p>
        </w:tc>
        <w:tc>
          <w:tcPr>
            <w:tcW w:w="860" w:type="dxa"/>
            <w:vAlign w:val="bottom"/>
          </w:tcPr>
          <w:p>
            <w:pPr>
              <w:spacing w:after="0"/>
              <w:rPr>
                <w:sz w:val="22"/>
                <w:szCs w:val="22"/>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Arial" w:cs="Arial" w:eastAsia="Arial" w:hAnsi="Arial"/>
                <w:sz w:val="16"/>
                <w:szCs w:val="16"/>
                <w:b w:val="1"/>
                <w:bCs w:val="1"/>
                <w:color w:val="auto"/>
              </w:rPr>
              <w:t>2017</w:t>
            </w: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center"/>
              <w:ind w:left="491"/>
              <w:spacing w:after="0"/>
              <w:rPr>
                <w:sz w:val="20"/>
                <w:szCs w:val="20"/>
                <w:color w:val="auto"/>
              </w:rPr>
            </w:pPr>
            <w:r>
              <w:rPr>
                <w:rFonts w:ascii="Arial" w:cs="Arial" w:eastAsia="Arial" w:hAnsi="Arial"/>
                <w:sz w:val="16"/>
                <w:szCs w:val="16"/>
                <w:b w:val="1"/>
                <w:bCs w:val="1"/>
                <w:color w:val="auto"/>
                <w:w w:val="90"/>
              </w:rPr>
              <w:t>in millions</w:t>
            </w:r>
          </w:p>
        </w:tc>
        <w:tc>
          <w:tcPr>
            <w:tcW w:w="86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(1,178.6)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(267.2)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Loss from continuing operations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Adjustments to reconcile loss from continuing operations to net cash provided by operating activities from continuing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operations: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1,128.3</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Impairment, restructuring and other operating items, net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deferred financing costs and non-cash interest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Realized and unrealized losses on derivative instruments, net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241.8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transaction losses (gains),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Realized and unrealized losses (gains) due to changes in fair values of certain investments and debt, net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Losses on debt modification and extinguishment,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Share of losses of affiliates, net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 benefit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net of the effects of acquisitions and dispositions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651.1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(160.8)</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904.4</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 of discontinued operations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75.0</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979.4</w:t>
            </w:r>
          </w:p>
        </w:tc>
      </w:tr>
      <w:tr>
        <w:trPr>
          <w:trHeight w:val="183"/>
        </w:trPr>
        <w:tc>
          <w:tcPr>
            <w:tcW w:w="88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in and loans to affiliates and others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Distributions received from affiliates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1,569.4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Equalization payment related to the VodafoneZiggo JV Transaction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840.8</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investing activities,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(used) by investing activities of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1,889.2</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Net cash used by investing activities of discontinued operations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(127.0)</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(used) by investing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1,762.2</w:t>
            </w:r>
          </w:p>
        </w:tc>
      </w:tr>
      <w:tr>
        <w:trPr>
          <w:trHeight w:val="20"/>
        </w:trPr>
        <w:tc>
          <w:tcPr>
            <w:tcW w:w="8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72"/>
              <w:spacing w:after="0"/>
              <w:rPr>
                <w:sz w:val="20"/>
                <w:szCs w:val="20"/>
                <w:color w:val="auto"/>
              </w:rPr>
            </w:pPr>
            <w:r>
              <w:rPr>
                <w:rFonts w:ascii="Arial" w:cs="Arial" w:eastAsia="Arial" w:hAnsi="Arial"/>
                <w:sz w:val="16"/>
                <w:szCs w:val="16"/>
                <w:b w:val="1"/>
                <w:bCs w:val="1"/>
                <w:color w:val="auto"/>
                <w:w w:val="90"/>
              </w:rPr>
              <w:t>Three months ended</w:t>
            </w:r>
          </w:p>
        </w:tc>
      </w:tr>
      <w:tr>
        <w:trPr>
          <w:trHeight w:val="257"/>
        </w:trPr>
        <w:tc>
          <w:tcPr>
            <w:tcW w:w="8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gridSpan w:val="3"/>
          </w:tcPr>
          <w:p>
            <w:pPr>
              <w:jc w:val="center"/>
              <w:ind w:left="493"/>
              <w:spacing w:after="0"/>
              <w:rPr>
                <w:sz w:val="20"/>
                <w:szCs w:val="20"/>
                <w:color w:val="auto"/>
              </w:rPr>
            </w:pPr>
            <w:r>
              <w:rPr>
                <w:rFonts w:ascii="Arial" w:cs="Arial" w:eastAsia="Arial" w:hAnsi="Arial"/>
                <w:sz w:val="16"/>
                <w:szCs w:val="16"/>
                <w:b w:val="1"/>
                <w:bCs w:val="1"/>
                <w:color w:val="auto"/>
                <w:w w:val="97"/>
              </w:rPr>
              <w:t>March 31,</w:t>
            </w:r>
          </w:p>
        </w:tc>
        <w:tc>
          <w:tcPr>
            <w:tcW w:w="860" w:type="dxa"/>
            <w:vAlign w:val="bottom"/>
          </w:tcPr>
          <w:p>
            <w:pPr>
              <w:spacing w:after="0"/>
              <w:rPr>
                <w:sz w:val="22"/>
                <w:szCs w:val="22"/>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center"/>
              <w:ind w:left="493"/>
              <w:spacing w:after="0"/>
              <w:rPr>
                <w:sz w:val="20"/>
                <w:szCs w:val="20"/>
                <w:color w:val="auto"/>
              </w:rPr>
            </w:pPr>
            <w:r>
              <w:rPr>
                <w:rFonts w:ascii="Arial" w:cs="Arial" w:eastAsia="Arial" w:hAnsi="Arial"/>
                <w:sz w:val="16"/>
                <w:szCs w:val="16"/>
                <w:b w:val="1"/>
                <w:bCs w:val="1"/>
                <w:color w:val="auto"/>
                <w:w w:val="90"/>
              </w:rPr>
              <w:t>in millions</w:t>
            </w:r>
          </w:p>
        </w:tc>
        <w:tc>
          <w:tcPr>
            <w:tcW w:w="86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1"/>
        </w:trPr>
        <w:tc>
          <w:tcPr>
            <w:tcW w:w="8800" w:type="dxa"/>
            <w:vAlign w:val="bottom"/>
          </w:tcPr>
          <w:p>
            <w:pPr>
              <w:ind w:left="180"/>
              <w:spacing w:after="0"/>
              <w:rPr>
                <w:sz w:val="20"/>
                <w:szCs w:val="20"/>
                <w:color w:val="auto"/>
              </w:rPr>
            </w:pPr>
            <w:r>
              <w:rPr>
                <w:rFonts w:ascii="Arial" w:cs="Arial" w:eastAsia="Arial" w:hAnsi="Arial"/>
                <w:sz w:val="18"/>
                <w:szCs w:val="18"/>
                <w:color w:val="auto"/>
              </w:rPr>
              <w:t>Repayments and repurchases of debt and capital lease obligations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(1,933.4)</w:t>
            </w:r>
          </w:p>
        </w:tc>
        <w:tc>
          <w:tcPr>
            <w:tcW w:w="100" w:type="dxa"/>
            <w:vAlign w:val="bottom"/>
          </w:tcPr>
          <w:p>
            <w:pPr>
              <w:spacing w:after="0"/>
              <w:rPr>
                <w:sz w:val="20"/>
                <w:szCs w:val="20"/>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(2,950.8)</w:t>
            </w:r>
          </w:p>
        </w:tc>
      </w:tr>
      <w:tr>
        <w:trPr>
          <w:trHeight w:val="29"/>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of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2,527.6</w:t>
            </w:r>
          </w:p>
        </w:tc>
      </w:tr>
      <w:tr>
        <w:trPr>
          <w:trHeight w:val="241"/>
        </w:trPr>
        <w:tc>
          <w:tcPr>
            <w:tcW w:w="8800" w:type="dxa"/>
            <w:vAlign w:val="bottom"/>
          </w:tcPr>
          <w:p>
            <w:pPr>
              <w:ind w:left="180"/>
              <w:spacing w:after="0"/>
              <w:rPr>
                <w:sz w:val="20"/>
                <w:szCs w:val="20"/>
                <w:color w:val="auto"/>
              </w:rPr>
            </w:pPr>
            <w:r>
              <w:rPr>
                <w:rFonts w:ascii="Arial" w:cs="Arial" w:eastAsia="Arial" w:hAnsi="Arial"/>
                <w:sz w:val="18"/>
                <w:szCs w:val="18"/>
                <w:color w:val="auto"/>
              </w:rPr>
              <w:t>Repurchase of Liberty Global ordinary shares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(480.1)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(959.6)</w:t>
            </w:r>
          </w:p>
        </w:tc>
      </w:tr>
      <w:tr>
        <w:trPr>
          <w:trHeight w:val="29"/>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financing costs and debt premiums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241"/>
        </w:trPr>
        <w:tc>
          <w:tcPr>
            <w:tcW w:w="8800" w:type="dxa"/>
            <w:vAlign w:val="bottom"/>
          </w:tcPr>
          <w:p>
            <w:pPr>
              <w:ind w:left="180"/>
              <w:spacing w:after="0"/>
              <w:rPr>
                <w:sz w:val="20"/>
                <w:szCs w:val="20"/>
                <w:color w:val="auto"/>
              </w:rPr>
            </w:pPr>
            <w:r>
              <w:rPr>
                <w:rFonts w:ascii="Arial" w:cs="Arial" w:eastAsia="Arial" w:hAnsi="Arial"/>
                <w:sz w:val="18"/>
                <w:szCs w:val="18"/>
                <w:color w:val="auto"/>
              </w:rPr>
              <w:t>Net cash received (paid) related to derivative instruments</w:t>
            </w:r>
          </w:p>
        </w:tc>
        <w:tc>
          <w:tcPr>
            <w:tcW w:w="30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(150.5)</w:t>
            </w:r>
          </w:p>
        </w:tc>
      </w:tr>
      <w:tr>
        <w:trPr>
          <w:trHeight w:val="29"/>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Value-added taxes (</w:t>
            </w:r>
            <w:r>
              <w:rPr>
                <w:rFonts w:ascii="Arial" w:cs="Arial" w:eastAsia="Arial" w:hAnsi="Arial"/>
                <w:sz w:val="18"/>
                <w:szCs w:val="18"/>
                <w:b w:val="1"/>
                <w:bCs w:val="1"/>
                <w:color w:val="auto"/>
              </w:rPr>
              <w:t>VAT</w:t>
            </w:r>
            <w:r>
              <w:rPr>
                <w:rFonts w:ascii="Arial" w:cs="Arial" w:eastAsia="Arial" w:hAnsi="Arial"/>
                <w:sz w:val="18"/>
                <w:szCs w:val="18"/>
                <w:color w:val="auto"/>
              </w:rPr>
              <w:t>) paid on behalf of the VodafoneZiggo JV</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r>
      <w:tr>
        <w:trPr>
          <w:trHeight w:val="241"/>
        </w:trPr>
        <w:tc>
          <w:tcPr>
            <w:tcW w:w="8800" w:type="dxa"/>
            <w:vAlign w:val="bottom"/>
          </w:tcPr>
          <w:p>
            <w:pPr>
              <w:ind w:left="180"/>
              <w:spacing w:after="0"/>
              <w:rPr>
                <w:sz w:val="20"/>
                <w:szCs w:val="20"/>
                <w:color w:val="auto"/>
              </w:rPr>
            </w:pPr>
            <w:r>
              <w:rPr>
                <w:rFonts w:ascii="Arial" w:cs="Arial" w:eastAsia="Arial" w:hAnsi="Arial"/>
                <w:sz w:val="18"/>
                <w:szCs w:val="18"/>
                <w:color w:val="auto"/>
              </w:rPr>
              <w:t>Other financing activities, net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9"/>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by financing activities of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(1,783.1)</w:t>
            </w:r>
          </w:p>
        </w:tc>
      </w:tr>
      <w:tr>
        <w:trPr>
          <w:trHeight w:val="241"/>
        </w:trPr>
        <w:tc>
          <w:tcPr>
            <w:tcW w:w="8800" w:type="dxa"/>
            <w:vAlign w:val="bottom"/>
          </w:tcPr>
          <w:p>
            <w:pPr>
              <w:ind w:left="280"/>
              <w:spacing w:after="0"/>
              <w:rPr>
                <w:sz w:val="20"/>
                <w:szCs w:val="20"/>
                <w:color w:val="auto"/>
              </w:rPr>
            </w:pPr>
            <w:r>
              <w:rPr>
                <w:rFonts w:ascii="Arial" w:cs="Arial" w:eastAsia="Arial" w:hAnsi="Arial"/>
                <w:sz w:val="18"/>
                <w:szCs w:val="18"/>
                <w:color w:val="auto"/>
              </w:rPr>
              <w:t>Net cash provided by financing activities of discontinued operations</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34.5</w:t>
            </w:r>
          </w:p>
        </w:tc>
      </w:tr>
      <w:tr>
        <w:trPr>
          <w:trHeight w:val="29"/>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by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(1,748.6)</w:t>
            </w:r>
          </w:p>
        </w:tc>
      </w:tr>
      <w:tr>
        <w:trPr>
          <w:trHeight w:val="169"/>
        </w:trPr>
        <w:tc>
          <w:tcPr>
            <w:tcW w:w="88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1"/>
        </w:trPr>
        <w:tc>
          <w:tcPr>
            <w:tcW w:w="880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22.7</w:t>
            </w:r>
          </w:p>
        </w:tc>
      </w:tr>
      <w:tr>
        <w:trPr>
          <w:trHeight w:val="29"/>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5"/>
        </w:trPr>
        <w:tc>
          <w:tcPr>
            <w:tcW w:w="8800" w:type="dxa"/>
            <w:vAlign w:val="bottom"/>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22.2</w:t>
            </w:r>
          </w:p>
        </w:tc>
      </w:tr>
      <w:tr>
        <w:trPr>
          <w:trHeight w:val="29"/>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8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1"/>
        </w:trPr>
        <w:tc>
          <w:tcPr>
            <w:tcW w:w="8800" w:type="dxa"/>
            <w:vAlign w:val="bottom"/>
          </w:tcPr>
          <w:p>
            <w:pPr>
              <w:ind w:left="38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9"/>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1,033.2</w:t>
            </w:r>
          </w:p>
        </w:tc>
      </w:tr>
      <w:tr>
        <w:trPr>
          <w:trHeight w:val="241"/>
        </w:trPr>
        <w:tc>
          <w:tcPr>
            <w:tcW w:w="8800" w:type="dxa"/>
            <w:vAlign w:val="bottom"/>
          </w:tcPr>
          <w:p>
            <w:pPr>
              <w:ind w:left="50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9"/>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1,015.2</w:t>
            </w:r>
          </w:p>
        </w:tc>
      </w:tr>
      <w:tr>
        <w:trPr>
          <w:trHeight w:val="176"/>
        </w:trPr>
        <w:tc>
          <w:tcPr>
            <w:tcW w:w="8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 and restricted cash —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1"/>
        </w:trPr>
        <w:tc>
          <w:tcPr>
            <w:tcW w:w="8800" w:type="dxa"/>
            <w:vAlign w:val="bottom"/>
          </w:tcPr>
          <w:p>
            <w:pPr>
              <w:ind w:left="580"/>
              <w:spacing w:after="0"/>
              <w:rPr>
                <w:sz w:val="20"/>
                <w:szCs w:val="20"/>
                <w:color w:val="auto"/>
              </w:rPr>
            </w:pPr>
            <w:r>
              <w:rPr>
                <w:rFonts w:ascii="Arial" w:cs="Arial" w:eastAsia="Arial" w:hAnsi="Arial"/>
                <w:sz w:val="18"/>
                <w:szCs w:val="18"/>
                <w:color w:val="auto"/>
              </w:rPr>
              <w:t>Beginning of period</w:t>
            </w:r>
          </w:p>
        </w:tc>
        <w:tc>
          <w:tcPr>
            <w:tcW w:w="30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1,682.9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1,087.4</w:t>
            </w:r>
          </w:p>
        </w:tc>
      </w:tr>
      <w:tr>
        <w:trPr>
          <w:trHeight w:val="29"/>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End of period</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572.8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2,120.6</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8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1"/>
        </w:trPr>
        <w:tc>
          <w:tcPr>
            <w:tcW w:w="880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628.3</w:t>
            </w:r>
          </w:p>
        </w:tc>
        <w:tc>
          <w:tcPr>
            <w:tcW w:w="100" w:type="dxa"/>
            <w:vAlign w:val="bottom"/>
          </w:tcPr>
          <w:p>
            <w:pPr>
              <w:spacing w:after="0"/>
              <w:rPr>
                <w:sz w:val="20"/>
                <w:szCs w:val="20"/>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685.1</w:t>
            </w:r>
          </w:p>
        </w:tc>
      </w:tr>
      <w:tr>
        <w:trPr>
          <w:trHeight w:val="29"/>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168.2</w:t>
            </w:r>
          </w:p>
        </w:tc>
      </w:tr>
      <w:tr>
        <w:trPr>
          <w:trHeight w:val="235"/>
        </w:trPr>
        <w:tc>
          <w:tcPr>
            <w:tcW w:w="8800" w:type="dxa"/>
            <w:vAlign w:val="bottom"/>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628.3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853.3</w:t>
            </w:r>
          </w:p>
        </w:tc>
      </w:tr>
      <w:tr>
        <w:trPr>
          <w:trHeight w:val="69"/>
        </w:trPr>
        <w:tc>
          <w:tcPr>
            <w:tcW w:w="88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r>
        <w:trPr>
          <w:trHeight w:val="156"/>
        </w:trPr>
        <w:tc>
          <w:tcPr>
            <w:tcW w:w="8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41"/>
        </w:trPr>
        <w:tc>
          <w:tcPr>
            <w:tcW w:w="8800" w:type="dxa"/>
            <w:vAlign w:val="bottom"/>
          </w:tcPr>
          <w:p>
            <w:pPr>
              <w:ind w:left="40"/>
              <w:spacing w:after="0"/>
              <w:rPr>
                <w:sz w:val="20"/>
                <w:szCs w:val="20"/>
                <w:color w:val="auto"/>
              </w:rPr>
            </w:pPr>
            <w:r>
              <w:rPr>
                <w:rFonts w:ascii="Arial" w:cs="Arial" w:eastAsia="Arial" w:hAnsi="Arial"/>
                <w:sz w:val="18"/>
                <w:szCs w:val="18"/>
                <w:color w:val="auto"/>
              </w:rPr>
              <w:t>Net cash paid for taxes: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9"/>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181.6</w:t>
            </w:r>
          </w:p>
        </w:tc>
      </w:tr>
      <w:tr>
        <w:trPr>
          <w:trHeight w:val="241"/>
        </w:trPr>
        <w:tc>
          <w:tcPr>
            <w:tcW w:w="880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34.6</w:t>
            </w:r>
          </w:p>
        </w:tc>
      </w:tr>
      <w:tr>
        <w:trPr>
          <w:trHeight w:val="29"/>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216.2</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end of period cash and cash equivalents and restricted cash —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554.9</w:t>
            </w:r>
          </w:p>
        </w:tc>
        <w:tc>
          <w:tcPr>
            <w:tcW w:w="100" w:type="dxa"/>
            <w:vAlign w:val="bottom"/>
          </w:tcPr>
          <w:p>
            <w:pPr>
              <w:spacing w:after="0"/>
              <w:rPr>
                <w:sz w:val="21"/>
                <w:szCs w:val="21"/>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2,109.6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included in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r>
      <w:tr>
        <w:trPr>
          <w:trHeight w:val="241"/>
        </w:trPr>
        <w:tc>
          <w:tcPr>
            <w:tcW w:w="8800" w:type="dxa"/>
            <w:vAlign w:val="bottom"/>
          </w:tcPr>
          <w:p>
            <w:pPr>
              <w:ind w:left="280"/>
              <w:spacing w:after="0"/>
              <w:rPr>
                <w:sz w:val="20"/>
                <w:szCs w:val="20"/>
                <w:color w:val="auto"/>
              </w:rPr>
            </w:pPr>
            <w:r>
              <w:rPr>
                <w:rFonts w:ascii="Arial" w:cs="Arial" w:eastAsia="Arial" w:hAnsi="Arial"/>
                <w:sz w:val="18"/>
                <w:szCs w:val="18"/>
                <w:color w:val="auto"/>
              </w:rPr>
              <w:t>Restricted cash included in other assets, net</w:t>
            </w:r>
          </w:p>
        </w:tc>
        <w:tc>
          <w:tcPr>
            <w:tcW w:w="30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9"/>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cash and cash equivalents and restricted cash</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572.8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2,120.6</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364"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64"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2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Liberty Global plc (</w:t>
      </w:r>
      <w:r>
        <w:rPr>
          <w:rFonts w:ascii="Arial" w:cs="Arial" w:eastAsia="Arial" w:hAnsi="Arial"/>
          <w:sz w:val="18"/>
          <w:szCs w:val="18"/>
          <w:b w:val="1"/>
          <w:bCs w:val="1"/>
          <w:color w:val="auto"/>
        </w:rPr>
        <w:t>Liberty Global</w:t>
      </w:r>
      <w:r>
        <w:rPr>
          <w:rFonts w:ascii="Arial" w:cs="Arial" w:eastAsia="Arial" w:hAnsi="Arial"/>
          <w:sz w:val="18"/>
          <w:szCs w:val="18"/>
          <w:color w:val="auto"/>
        </w:rPr>
        <w:t>) is a public limited company organized under the laws of England and Wales. In these notes, the terms “we,” “our,” “our company” and “us” may refer, as the context requires, to Liberty Global or collectively to Liberty Global and its subsidiaries. We are an international provider of video, broadband internet, fixed-line telephony, mobile and other communications services to residential customers and businesses, with consolidated operations at March 31, 2018 in 11 European countries.</w:t>
      </w:r>
    </w:p>
    <w:p>
      <w:pPr>
        <w:spacing w:after="0" w:line="1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color w:val="auto"/>
        </w:rPr>
        <w:t>We provide residential and business-to-business (</w:t>
      </w:r>
      <w:r>
        <w:rPr>
          <w:rFonts w:ascii="Arial" w:cs="Arial" w:eastAsia="Arial" w:hAnsi="Arial"/>
          <w:sz w:val="17"/>
          <w:szCs w:val="17"/>
          <w:b w:val="1"/>
          <w:bCs w:val="1"/>
          <w:color w:val="auto"/>
        </w:rPr>
        <w:t>B2B</w:t>
      </w:r>
      <w:r>
        <w:rPr>
          <w:rFonts w:ascii="Arial" w:cs="Arial" w:eastAsia="Arial" w:hAnsi="Arial"/>
          <w:sz w:val="17"/>
          <w:szCs w:val="17"/>
          <w:color w:val="auto"/>
        </w:rPr>
        <w:t>) communication services in (i) the United Kingdom (</w:t>
      </w:r>
      <w:r>
        <w:rPr>
          <w:rFonts w:ascii="Arial" w:cs="Arial" w:eastAsia="Arial" w:hAnsi="Arial"/>
          <w:sz w:val="17"/>
          <w:szCs w:val="17"/>
          <w:b w:val="1"/>
          <w:bCs w:val="1"/>
          <w:color w:val="auto"/>
        </w:rPr>
        <w:t>U.K.</w:t>
      </w:r>
      <w:r>
        <w:rPr>
          <w:rFonts w:ascii="Arial" w:cs="Arial" w:eastAsia="Arial" w:hAnsi="Arial"/>
          <w:sz w:val="17"/>
          <w:szCs w:val="17"/>
          <w:color w:val="auto"/>
        </w:rPr>
        <w:t>) and Ireland through Virgin Media Inc. (</w:t>
      </w:r>
      <w:r>
        <w:rPr>
          <w:rFonts w:ascii="Arial" w:cs="Arial" w:eastAsia="Arial" w:hAnsi="Arial"/>
          <w:sz w:val="17"/>
          <w:szCs w:val="17"/>
          <w:b w:val="1"/>
          <w:bCs w:val="1"/>
          <w:color w:val="auto"/>
        </w:rPr>
        <w:t>Virgin Media</w:t>
      </w:r>
      <w:r>
        <w:rPr>
          <w:rFonts w:ascii="Arial" w:cs="Arial" w:eastAsia="Arial" w:hAnsi="Arial"/>
          <w:sz w:val="17"/>
          <w:szCs w:val="17"/>
          <w:color w:val="auto"/>
        </w:rPr>
        <w:t>), (ii) Germany through Unitymedia GmbH (</w:t>
      </w:r>
      <w:r>
        <w:rPr>
          <w:rFonts w:ascii="Arial" w:cs="Arial" w:eastAsia="Arial" w:hAnsi="Arial"/>
          <w:sz w:val="17"/>
          <w:szCs w:val="17"/>
          <w:b w:val="1"/>
          <w:bCs w:val="1"/>
          <w:color w:val="auto"/>
        </w:rPr>
        <w:t>Unitymedia</w:t>
      </w:r>
      <w:r>
        <w:rPr>
          <w:rFonts w:ascii="Arial" w:cs="Arial" w:eastAsia="Arial" w:hAnsi="Arial"/>
          <w:sz w:val="17"/>
          <w:szCs w:val="17"/>
          <w:color w:val="auto"/>
        </w:rPr>
        <w:t>), (iii) Belgium through Telenet Group Holding N.V. (</w:t>
      </w:r>
      <w:r>
        <w:rPr>
          <w:rFonts w:ascii="Arial" w:cs="Arial" w:eastAsia="Arial" w:hAnsi="Arial"/>
          <w:sz w:val="17"/>
          <w:szCs w:val="17"/>
          <w:b w:val="1"/>
          <w:bCs w:val="1"/>
          <w:color w:val="auto"/>
        </w:rPr>
        <w:t>Telenet</w:t>
      </w:r>
      <w:r>
        <w:rPr>
          <w:rFonts w:ascii="Arial" w:cs="Arial" w:eastAsia="Arial" w:hAnsi="Arial"/>
          <w:sz w:val="17"/>
          <w:szCs w:val="17"/>
          <w:color w:val="auto"/>
        </w:rPr>
        <w:t xml:space="preserve">), a 57.6%-owned subsidiary, and (iv) seven other European countries through UPC Holding B.V. and UPC Broadband Slovakia s.r.o (collectively, </w:t>
      </w:r>
      <w:r>
        <w:rPr>
          <w:rFonts w:ascii="Arial" w:cs="Arial" w:eastAsia="Arial" w:hAnsi="Arial"/>
          <w:sz w:val="17"/>
          <w:szCs w:val="17"/>
          <w:b w:val="1"/>
          <w:bCs w:val="1"/>
          <w:color w:val="auto"/>
        </w:rPr>
        <w:t>UPC Holding</w:t>
      </w:r>
      <w:r>
        <w:rPr>
          <w:rFonts w:ascii="Arial" w:cs="Arial" w:eastAsia="Arial" w:hAnsi="Arial"/>
          <w:sz w:val="17"/>
          <w:szCs w:val="17"/>
          <w:color w:val="auto"/>
        </w:rPr>
        <w:t>). Virgin Media, Unitymedia and UPC Holding are each wholly-owned subsidiaries of Liberty Global. In addition, we own a 50% noncontrolling interest in the VodafoneZiggo JV (as defined in note 5), which provides video, broadband internet, fixed-line telephony, mobile and B2B services in the Netherlands.</w:t>
      </w:r>
    </w:p>
    <w:p>
      <w:pPr>
        <w:spacing w:after="0" w:line="17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Prior to the completion of the Split-off Transaction (as defined and described in note 4), we also provided residential and B2B services in (i) 18 countries, predominantly in Latin America and the Caribbean, through Cable &amp;Wireless Communications Limited (</w:t>
      </w:r>
      <w:r>
        <w:rPr>
          <w:rFonts w:ascii="Arial" w:cs="Arial" w:eastAsia="Arial" w:hAnsi="Arial"/>
          <w:sz w:val="17"/>
          <w:szCs w:val="17"/>
          <w:b w:val="1"/>
          <w:bCs w:val="1"/>
          <w:color w:val="auto"/>
        </w:rPr>
        <w:t>C&amp;W</w:t>
      </w:r>
      <w:r>
        <w:rPr>
          <w:rFonts w:ascii="Arial" w:cs="Arial" w:eastAsia="Arial" w:hAnsi="Arial"/>
          <w:sz w:val="17"/>
          <w:szCs w:val="17"/>
          <w:color w:val="auto"/>
        </w:rPr>
        <w:t>), (ii) Chile through VTR.com SpA (</w:t>
      </w:r>
      <w:r>
        <w:rPr>
          <w:rFonts w:ascii="Arial" w:cs="Arial" w:eastAsia="Arial" w:hAnsi="Arial"/>
          <w:sz w:val="17"/>
          <w:szCs w:val="17"/>
          <w:b w:val="1"/>
          <w:bCs w:val="1"/>
          <w:color w:val="auto"/>
        </w:rPr>
        <w:t>VTR</w:t>
      </w:r>
      <w:r>
        <w:rPr>
          <w:rFonts w:ascii="Arial" w:cs="Arial" w:eastAsia="Arial" w:hAnsi="Arial"/>
          <w:sz w:val="17"/>
          <w:szCs w:val="17"/>
          <w:color w:val="auto"/>
        </w:rPr>
        <w:t>) and (iii) Puerto Rico through Liberty Cablevision of Puerto Rico LLC (</w:t>
      </w:r>
      <w:r>
        <w:rPr>
          <w:rFonts w:ascii="Arial" w:cs="Arial" w:eastAsia="Arial" w:hAnsi="Arial"/>
          <w:sz w:val="17"/>
          <w:szCs w:val="17"/>
          <w:b w:val="1"/>
          <w:bCs w:val="1"/>
          <w:color w:val="auto"/>
        </w:rPr>
        <w:t>Liberty Puerto Rico</w:t>
      </w:r>
      <w:r>
        <w:rPr>
          <w:rFonts w:ascii="Arial" w:cs="Arial" w:eastAsia="Arial" w:hAnsi="Arial"/>
          <w:sz w:val="17"/>
          <w:szCs w:val="17"/>
          <w:color w:val="auto"/>
        </w:rPr>
        <w:t>). C&amp;W and VTR were wholly-owned subsidiaries, and Liberty Puerto Rico was an entity in which we held a 60.0% ownership interest. C&amp;W also provided (a) B2B services in certain other countries in Latin America and the Caribbean and (b) wholesale services over its sub-sea and terrestrial networks that connected over 40 markets in that region. The operations of C&amp;W, VTR, Liberty Puerto Rico and certain other entities that were associated with our businesses in Latin America and the Caribbean are collectively referred to here as the “</w:t>
      </w:r>
      <w:r>
        <w:rPr>
          <w:rFonts w:ascii="Arial" w:cs="Arial" w:eastAsia="Arial" w:hAnsi="Arial"/>
          <w:sz w:val="17"/>
          <w:szCs w:val="17"/>
          <w:b w:val="1"/>
          <w:bCs w:val="1"/>
          <w:color w:val="auto"/>
        </w:rPr>
        <w:t>LiLAC Group</w:t>
      </w:r>
      <w:r>
        <w:rPr>
          <w:rFonts w:ascii="Arial" w:cs="Arial" w:eastAsia="Arial" w:hAnsi="Arial"/>
          <w:sz w:val="17"/>
          <w:szCs w:val="17"/>
          <w:color w:val="auto"/>
        </w:rPr>
        <w:t>.” As a result of the Split-off Transaction, the entities attributed to the LiLAC Group are reflected as discontinued operations in our condensed consolidated statements of operations and cash flows for the three months ended March 31, 2017. Unless otherwise noted, the amounts presented in these notes relate only to our continuing operations.</w:t>
      </w:r>
    </w:p>
    <w:p>
      <w:pPr>
        <w:spacing w:after="0" w:line="18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unaudited condensed consolidated financial statements have been prepared in accordance with accounting principles generally accepted in the United States (</w:t>
      </w:r>
      <w:r>
        <w:rPr>
          <w:rFonts w:ascii="Arial" w:cs="Arial" w:eastAsia="Arial" w:hAnsi="Arial"/>
          <w:sz w:val="17"/>
          <w:szCs w:val="17"/>
          <w:b w:val="1"/>
          <w:bCs w:val="1"/>
          <w:color w:val="auto"/>
        </w:rPr>
        <w:t>U.S. GAAP</w:t>
      </w:r>
      <w:r>
        <w:rPr>
          <w:rFonts w:ascii="Arial" w:cs="Arial" w:eastAsia="Arial" w:hAnsi="Arial"/>
          <w:sz w:val="17"/>
          <w:szCs w:val="17"/>
          <w:color w:val="auto"/>
        </w:rPr>
        <w:t xml:space="preserve">) and with the instructions to Form 10-Q and Article 10 of Regulation S-X for interim financial information. Accordingly, these financial statements do not include all of the information required by U.S.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2017 consolidated financial statements and notes thereto included in our 2017 Annual Report on Form 10-K (our </w:t>
      </w:r>
      <w:r>
        <w:rPr>
          <w:rFonts w:ascii="Arial" w:cs="Arial" w:eastAsia="Arial" w:hAnsi="Arial"/>
          <w:sz w:val="17"/>
          <w:szCs w:val="17"/>
          <w:b w:val="1"/>
          <w:bCs w:val="1"/>
          <w:color w:val="auto"/>
        </w:rPr>
        <w:t>10-K</w:t>
      </w:r>
      <w:r>
        <w:rPr>
          <w:rFonts w:ascii="Arial" w:cs="Arial" w:eastAsia="Arial" w:hAnsi="Arial"/>
          <w:sz w:val="17"/>
          <w:szCs w:val="17"/>
          <w:color w:val="auto"/>
        </w:rPr>
        <w:t>).</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useful lives of long-lived assets, share-based compensation and actuarial liabilities associated with certain benefit plans. Actual results could differ from those estimates.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Unless otherwise indicated, ownership percentages and convenience translations into United States (</w:t>
      </w:r>
      <w:r>
        <w:rPr>
          <w:rFonts w:ascii="Arial" w:cs="Arial" w:eastAsia="Arial" w:hAnsi="Arial"/>
          <w:sz w:val="16"/>
          <w:szCs w:val="16"/>
          <w:b w:val="1"/>
          <w:bCs w:val="1"/>
          <w:color w:val="auto"/>
        </w:rPr>
        <w:t>U.S.</w:t>
      </w:r>
      <w:r>
        <w:rPr>
          <w:rFonts w:ascii="Arial" w:cs="Arial" w:eastAsia="Arial" w:hAnsi="Arial"/>
          <w:sz w:val="16"/>
          <w:szCs w:val="16"/>
          <w:color w:val="auto"/>
        </w:rPr>
        <w:t>) dollars are calculated as of March 31, 2018.</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3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Changes and Recent Accounting Pronouncements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2014-09</w:t>
      </w:r>
    </w:p>
    <w:p>
      <w:pPr>
        <w:spacing w:after="0" w:line="221"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6"/>
          <w:szCs w:val="16"/>
          <w:color w:val="auto"/>
        </w:rPr>
        <w:t>In May 2014, the Financial Accounting Standards Board (</w:t>
      </w:r>
      <w:r>
        <w:rPr>
          <w:rFonts w:ascii="Arial" w:cs="Arial" w:eastAsia="Arial" w:hAnsi="Arial"/>
          <w:sz w:val="16"/>
          <w:szCs w:val="16"/>
          <w:b w:val="1"/>
          <w:bCs w:val="1"/>
          <w:color w:val="auto"/>
        </w:rPr>
        <w:t>FASB</w:t>
      </w:r>
      <w:r>
        <w:rPr>
          <w:rFonts w:ascii="Arial" w:cs="Arial" w:eastAsia="Arial" w:hAnsi="Arial"/>
          <w:sz w:val="16"/>
          <w:szCs w:val="16"/>
          <w:color w:val="auto"/>
        </w:rPr>
        <w:t>) issued Accounting Standards Update (</w:t>
      </w:r>
      <w:r>
        <w:rPr>
          <w:rFonts w:ascii="Arial" w:cs="Arial" w:eastAsia="Arial" w:hAnsi="Arial"/>
          <w:sz w:val="16"/>
          <w:szCs w:val="16"/>
          <w:b w:val="1"/>
          <w:bCs w:val="1"/>
          <w:color w:val="auto"/>
        </w:rPr>
        <w:t>ASU</w:t>
      </w:r>
      <w:r>
        <w:rPr>
          <w:rFonts w:ascii="Arial" w:cs="Arial" w:eastAsia="Arial" w:hAnsi="Arial"/>
          <w:sz w:val="16"/>
          <w:szCs w:val="16"/>
          <w:color w:val="auto"/>
        </w:rPr>
        <w:t xml:space="preserve">)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w:t>
      </w:r>
      <w:r>
        <w:rPr>
          <w:rFonts w:ascii="Arial" w:cs="Arial" w:eastAsia="Arial" w:hAnsi="Arial"/>
          <w:sz w:val="16"/>
          <w:szCs w:val="16"/>
          <w:b w:val="1"/>
          <w:bCs w:val="1"/>
          <w:color w:val="auto"/>
        </w:rPr>
        <w:t>ASU 2014-09</w:t>
      </w:r>
      <w:r>
        <w:rPr>
          <w:rFonts w:ascii="Arial" w:cs="Arial" w:eastAsia="Arial" w:hAnsi="Arial"/>
          <w:sz w:val="16"/>
          <w:szCs w:val="16"/>
          <w:color w:val="auto"/>
        </w:rPr>
        <w:t>), which requires an entity to recognize the amount of revenue to which it expects to be entitled for the transfer of goods or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to customers. We adopted ASU 2014-09 effective January 1, 2018 by recording the cumulative effect of the adoption to our accumulated deficit. We applied the new standard to contracts that were not complete at January 1, 2018. The comparative information for the three months ended March 31, 2017 contained within these condensed consolidated financial statements and notes has not been restated and continues to be reported under the accounting standards in effect for such period. The implementation of ASU 2014-09 did not have a material impact on our consolidated financial statements.</w:t>
      </w:r>
    </w:p>
    <w:p>
      <w:pPr>
        <w:spacing w:after="0" w:line="16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principal impacts of ASU 2014-09 on our revenue recognition policies relate to our accounting for (i) time-limited discounts and free service periods provided to our customers and (ii) certain upfront fees charged to our customers, as follows:</w:t>
      </w:r>
    </w:p>
    <w:p>
      <w:pPr>
        <w:spacing w:after="0" w:line="170" w:lineRule="exact"/>
        <w:rPr>
          <w:sz w:val="20"/>
          <w:szCs w:val="20"/>
          <w:color w:val="auto"/>
        </w:rPr>
      </w:pPr>
    </w:p>
    <w:p>
      <w:pPr>
        <w:jc w:val="both"/>
        <w:ind w:left="660" w:hanging="328"/>
        <w:spacing w:after="0" w:line="27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When we enter into contracts to provide services to our customers, we often provide time-limited discounts or free service periods. Under previous accounting rules, we recognized revenue, net of discounts, during the promotional periods and did not recognize any revenue during free service periods. Under ASU 2014-09, revenue recognition for those contracts that contain substantive termination penalties is accelerated, as the impact of the discounts or free service periods is recognized uniformly over the contractual period. For contracts that do not have substantive termination penalties, we continue to record the impacts of partial or full discounts during the applicable promotional periods.</w:t>
      </w:r>
    </w:p>
    <w:p>
      <w:pPr>
        <w:spacing w:after="0" w:line="172"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When we enter into contracts to provide services to our customers, we often charge installation or other upfront fees. Under previous accounting rules, installation fees related to services provided over our cable networks were recognized as revenue during the period in which the installation occurred to the extent these fees were equal to or less than direct selling costs. Under ASU 2014-09, these fees are generally deferred and recognized as revenue over the contractual period, or longer if the upfront fee results in a material renewal right.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ASU 2014-09 also impacted our accounting for certain upfront costs directly associated with obtaining and fulfilling customer contracts. Under our previous policy, these costs were expensed as incurred unless the costs were in the scope of another accounting topic that allowed for capitalization. Under ASU 2014-09, the upfront costs associated with contracts that have substantive termination penalties and a term of one year or more are recognized as assets and amortized to operating costs and expenses over the applicable period benefited.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make any significant changes to our internal control environment as a result of adopting ASU 2014-09.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regarding our adoption of ASU 2014-09, see note 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3"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cumulative effect of the adoption of ASU 2014-09 on our summary balance sheet information as of January 1, 2018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ind w:right="471"/>
              <w:spacing w:after="0"/>
              <w:rPr>
                <w:sz w:val="20"/>
                <w:szCs w:val="20"/>
                <w:color w:val="auto"/>
              </w:rPr>
            </w:pPr>
            <w:r>
              <w:rPr>
                <w:rFonts w:ascii="Arial" w:cs="Arial" w:eastAsia="Arial" w:hAnsi="Arial"/>
                <w:sz w:val="16"/>
                <w:szCs w:val="16"/>
                <w:b w:val="1"/>
                <w:bCs w:val="1"/>
                <w:color w:val="auto"/>
              </w:rPr>
              <w:t>Balance at</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ASU 2014-09</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rPr>
              <w:t>Balance at January</w:t>
            </w:r>
          </w:p>
        </w:tc>
      </w:tr>
      <w:tr>
        <w:trPr>
          <w:trHeight w:val="210"/>
        </w:trPr>
        <w:tc>
          <w:tcPr>
            <w:tcW w:w="6740" w:type="dxa"/>
            <w:vAlign w:val="bottom"/>
          </w:tcPr>
          <w:p>
            <w:pPr>
              <w:spacing w:after="0"/>
              <w:rPr>
                <w:sz w:val="18"/>
                <w:szCs w:val="18"/>
                <w:color w:val="auto"/>
              </w:rPr>
            </w:pPr>
          </w:p>
        </w:tc>
        <w:tc>
          <w:tcPr>
            <w:tcW w:w="1680" w:type="dxa"/>
            <w:vAlign w:val="bottom"/>
            <w:gridSpan w:val="2"/>
          </w:tcPr>
          <w:p>
            <w:pPr>
              <w:jc w:val="right"/>
              <w:ind w:right="171"/>
              <w:spacing w:after="0"/>
              <w:rPr>
                <w:sz w:val="20"/>
                <w:szCs w:val="20"/>
                <w:color w:val="auto"/>
              </w:rPr>
            </w:pPr>
            <w:r>
              <w:rPr>
                <w:rFonts w:ascii="Arial" w:cs="Arial" w:eastAsia="Arial" w:hAnsi="Arial"/>
                <w:sz w:val="16"/>
                <w:szCs w:val="16"/>
                <w:b w:val="1"/>
                <w:bCs w:val="1"/>
                <w:color w:val="auto"/>
                <w:w w:val="97"/>
              </w:rPr>
              <w:t>December 31, 2017</w:t>
            </w:r>
          </w:p>
        </w:tc>
        <w:tc>
          <w:tcPr>
            <w:tcW w:w="1460" w:type="dxa"/>
            <w:vAlign w:val="bottom"/>
          </w:tcPr>
          <w:p>
            <w:pPr>
              <w:jc w:val="center"/>
              <w:ind w:right="12"/>
              <w:spacing w:after="0"/>
              <w:rPr>
                <w:sz w:val="20"/>
                <w:szCs w:val="20"/>
                <w:color w:val="auto"/>
              </w:rPr>
            </w:pPr>
            <w:r>
              <w:rPr>
                <w:rFonts w:ascii="Arial" w:cs="Arial" w:eastAsia="Arial" w:hAnsi="Arial"/>
                <w:sz w:val="16"/>
                <w:szCs w:val="16"/>
                <w:b w:val="1"/>
                <w:bCs w:val="1"/>
                <w:color w:val="auto"/>
                <w:w w:val="90"/>
              </w:rPr>
              <w:t>Adjustments</w:t>
            </w:r>
          </w:p>
        </w:tc>
        <w:tc>
          <w:tcPr>
            <w:tcW w:w="380" w:type="dxa"/>
            <w:vAlign w:val="bottom"/>
          </w:tcPr>
          <w:p>
            <w:pPr>
              <w:spacing w:after="0"/>
              <w:rPr>
                <w:sz w:val="18"/>
                <w:szCs w:val="18"/>
                <w:color w:val="auto"/>
              </w:rPr>
            </w:pPr>
          </w:p>
        </w:tc>
        <w:tc>
          <w:tcPr>
            <w:tcW w:w="1160" w:type="dxa"/>
            <w:vAlign w:val="bottom"/>
          </w:tcPr>
          <w:p>
            <w:pPr>
              <w:jc w:val="right"/>
              <w:ind w:right="411"/>
              <w:spacing w:after="0"/>
              <w:rPr>
                <w:sz w:val="20"/>
                <w:szCs w:val="20"/>
                <w:color w:val="auto"/>
              </w:rPr>
            </w:pPr>
            <w:r>
              <w:rPr>
                <w:rFonts w:ascii="Arial" w:cs="Arial" w:eastAsia="Arial" w:hAnsi="Arial"/>
                <w:sz w:val="16"/>
                <w:szCs w:val="16"/>
                <w:b w:val="1"/>
                <w:bCs w:val="1"/>
                <w:color w:val="auto"/>
              </w:rPr>
              <w:t>1, 2018</w:t>
            </w: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ind w:right="12"/>
              <w:spacing w:after="0"/>
              <w:rPr>
                <w:sz w:val="20"/>
                <w:szCs w:val="20"/>
                <w:color w:val="auto"/>
              </w:rPr>
            </w:pPr>
            <w:r>
              <w:rPr>
                <w:rFonts w:ascii="Arial" w:cs="Arial" w:eastAsia="Arial" w:hAnsi="Arial"/>
                <w:sz w:val="16"/>
                <w:szCs w:val="16"/>
                <w:b w:val="1"/>
                <w:bCs w:val="1"/>
                <w:color w:val="auto"/>
                <w:w w:val="90"/>
              </w:rPr>
              <w:t>in millions</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receivables, net</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1,540.4</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1,537.2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363.5</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177.3</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540.8</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and related note receivables (a)</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6,671.4</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191.2</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6,862.6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3,157.2</w:t>
            </w:r>
          </w:p>
        </w:tc>
        <w:tc>
          <w:tcPr>
            <w:tcW w:w="1460" w:type="dxa"/>
            <w:vAlign w:val="bottom"/>
          </w:tcPr>
          <w:p>
            <w:pPr>
              <w:jc w:val="right"/>
              <w:spacing w:after="0"/>
              <w:rPr>
                <w:sz w:val="20"/>
                <w:szCs w:val="20"/>
                <w:color w:val="auto"/>
              </w:rPr>
            </w:pPr>
            <w:r>
              <w:rPr>
                <w:rFonts w:ascii="Arial" w:cs="Arial" w:eastAsia="Arial" w:hAnsi="Arial"/>
                <w:sz w:val="18"/>
                <w:szCs w:val="18"/>
                <w:color w:val="auto"/>
              </w:rPr>
              <w:t>(16.0)</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3,141.2</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 net</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4,166.5</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50.5</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4,217.0</w:t>
            </w:r>
          </w:p>
        </w:tc>
      </w:tr>
      <w:tr>
        <w:trPr>
          <w:trHeight w:val="284"/>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1,048.1</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32.3</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1,080.4</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accrued and current liabilities</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1,920.8</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1,922.0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3,110.7</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41.8</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3,152.5</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4"/>
        </w:trPr>
        <w:tc>
          <w:tcPr>
            <w:tcW w:w="6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 (a)</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(6,217.6)</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320.1</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(5,897.5)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(412.0)</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4.4</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(407.6)</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_______________</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ASU 2014-09 adjustment amounts include the impact of our $191.2 million share of the VodafoneZiggo JV’s adjustment to its accumulated deficit.</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impact of our adoption of ASU 2014-09 on our condensed consolidated balance sheet as of March 31, 2018 was not materially different from the impacts set forth in the above January 1, 2018 summary balance sheet information. Similarly, the adoption of ASU 2014-09 did not have a material impact on our condensed consolidated statement of operations for the three months ended March 31, 2018.</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2017-07</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Improving the Presentation of the Net Periodic Pension Cost and Net Periodic Postretirement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Benefit Cost </w:t>
      </w:r>
      <w:r>
        <w:rPr>
          <w:rFonts w:ascii="Arial" w:cs="Arial" w:eastAsia="Arial" w:hAnsi="Arial"/>
          <w:sz w:val="17"/>
          <w:szCs w:val="17"/>
          <w:color w:val="auto"/>
        </w:rPr>
        <w:t>(</w:t>
      </w:r>
      <w:r>
        <w:rPr>
          <w:rFonts w:ascii="Arial" w:cs="Arial" w:eastAsia="Arial" w:hAnsi="Arial"/>
          <w:sz w:val="17"/>
          <w:szCs w:val="17"/>
          <w:b w:val="1"/>
          <w:bCs w:val="1"/>
          <w:color w:val="auto"/>
        </w:rPr>
        <w:t>ASU 2017-07</w:t>
      </w:r>
      <w:r>
        <w:rPr>
          <w:rFonts w:ascii="Arial" w:cs="Arial" w:eastAsia="Arial" w:hAnsi="Arial"/>
          <w:sz w:val="17"/>
          <w:szCs w:val="17"/>
          <w:color w:val="auto"/>
        </w:rPr>
        <w:t>), which changes the presentation of periodic benefit cost components. Under ASU 2017-07, we continue to present the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 of our net benefit cost as a component of operating income but present the other components of our net benefit cost, which can include credits, within non-operating income (expense) in our consolidated statements of operations. We adopted ASU 2017-07 on January 1, 2018 on a retrospective basis, which resulted in the reclassification to other income, net, of credits within our SG&amp;A expenses and operating expenses of $3.2 million and $0.9 million, respectively, in our condensed consolidated statement of operations for the three months ended March 31, 2017.</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2016-01</w:t>
      </w:r>
    </w:p>
    <w:p>
      <w:pPr>
        <w:spacing w:after="0" w:line="22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xml:space="preserve"> (</w:t>
      </w:r>
      <w:r>
        <w:rPr>
          <w:rFonts w:ascii="Arial" w:cs="Arial" w:eastAsia="Arial" w:hAnsi="Arial"/>
          <w:sz w:val="16"/>
          <w:szCs w:val="16"/>
          <w:b w:val="1"/>
          <w:bCs w:val="1"/>
          <w:color w:val="auto"/>
        </w:rPr>
        <w:t>ASU 2016-01</w:t>
      </w:r>
      <w:r>
        <w:rPr>
          <w:rFonts w:ascii="Arial" w:cs="Arial" w:eastAsia="Arial" w:hAnsi="Arial"/>
          <w:sz w:val="16"/>
          <w:szCs w:val="16"/>
          <w:color w:val="auto"/>
        </w:rPr>
        <w:t>), which updates certain aspects of recognition, measurement, presentation and disclosure of financial instruments. ASU 2016-01 primarily impacts our accounting for certain equity investments that were previously accounted for under the cost method. Under ASU 2016-01, these investments, which do not have readily determinable fair values, are accounted for at cost minus impairment, adjusted for any observable price changes of similar investments of the same issuer. We adopted the amendments of ASU 2016-01 related to equity securities without readily determinable fair values on January 1, 2018 on a prospective basis.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2016-18</w:t>
      </w:r>
    </w:p>
    <w:p>
      <w:pPr>
        <w:spacing w:after="0" w:line="22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Restricted Cash</w:t>
      </w:r>
      <w:r>
        <w:rPr>
          <w:rFonts w:ascii="Arial" w:cs="Arial" w:eastAsia="Arial" w:hAnsi="Arial"/>
          <w:sz w:val="18"/>
          <w:szCs w:val="18"/>
          <w:color w:val="auto"/>
        </w:rPr>
        <w:t xml:space="preserve"> (</w:t>
      </w:r>
      <w:r>
        <w:rPr>
          <w:rFonts w:ascii="Arial" w:cs="Arial" w:eastAsia="Arial" w:hAnsi="Arial"/>
          <w:sz w:val="18"/>
          <w:szCs w:val="18"/>
          <w:b w:val="1"/>
          <w:bCs w:val="1"/>
          <w:color w:val="auto"/>
        </w:rPr>
        <w:t>ASU 2016-18</w:t>
      </w:r>
      <w:r>
        <w:rPr>
          <w:rFonts w:ascii="Arial" w:cs="Arial" w:eastAsia="Arial" w:hAnsi="Arial"/>
          <w:sz w:val="18"/>
          <w:szCs w:val="18"/>
          <w:color w:val="auto"/>
        </w:rPr>
        <w:t>), which requires the change in restricted cash to be included together with the change in cash and cash equivalents in our consolidated statement of cash flows. We adopted ASU 2016-18 on January 1, 2018 on a retrospective basis.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2016-02</w:t>
      </w:r>
    </w:p>
    <w:p>
      <w:pPr>
        <w:spacing w:after="0" w:line="2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t>
      </w:r>
      <w:r>
        <w:rPr>
          <w:rFonts w:ascii="Arial" w:cs="Arial" w:eastAsia="Arial" w:hAnsi="Arial"/>
          <w:sz w:val="17"/>
          <w:szCs w:val="17"/>
          <w:b w:val="1"/>
          <w:bCs w:val="1"/>
          <w:color w:val="auto"/>
        </w:rPr>
        <w:t>ASU 2016-02</w:t>
      </w:r>
      <w:r>
        <w:rPr>
          <w:rFonts w:ascii="Arial" w:cs="Arial" w:eastAsia="Arial" w:hAnsi="Arial"/>
          <w:sz w:val="17"/>
          <w:szCs w:val="17"/>
          <w:color w:val="auto"/>
        </w:rPr>
        <w:t>), which, for most leases, will result in lessees recognizing right-of-use assets and lease liabilities on the balance sheet with additional disclosures about leasing arrangements. ASU 2016-02 requires lessees and lessors to recognize and measure leases at the beginning of the earliest period presented using a modified retrospective approach, although the FASB has proposed an additional transition method to simplify the modified retrospective approach. The modified retrospective approach also includes a number of optional practical expedients an entity may elect to apply. ASU 2016-02 is effective for annual reporting periods beginning after December 15, 2018, including interim periods within those fiscal years, with early adoption permitted. We will adopt ASU 2016-02 on January 1, 2019. Although we are currently evaluating the effect that ASU 2016-02 will have on our consolidated financial statements, the main impact of the adoption of this standard will be the recognition of right-of-use assets and lease liabilities in our consolidated balance sheet for those leases classified as operating leases under current U.S. GAAP. For a summary of our undiscounted future minimum lease payments under non-cancellable operating leases as of March 31, 2018, see note 15. We currently do not expect ASU 2016-02 to have a significant impact on our consolidated statements of operations or cash flows.</w:t>
      </w:r>
    </w:p>
    <w:p>
      <w:pPr>
        <w:spacing w:after="0" w:line="178"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 and Related Costs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revenue recognition and certain other accounting polices, as revised to reflect the impacts of our adoption of ASU 2014-09, are set forth below.</w:t>
      </w:r>
    </w:p>
    <w:p>
      <w:pPr>
        <w:spacing w:after="0" w:line="23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Service Revenue — Cable Networks. </w:t>
      </w:r>
      <w:r>
        <w:rPr>
          <w:rFonts w:ascii="Arial" w:cs="Arial" w:eastAsia="Arial" w:hAnsi="Arial"/>
          <w:sz w:val="17"/>
          <w:szCs w:val="17"/>
          <w:color w:val="auto"/>
        </w:rPr>
        <w:t>We recognize revenue from the provision of video, broadband internet and fixed-line telephony services over our</w:t>
      </w:r>
      <w:r>
        <w:rPr>
          <w:rFonts w:ascii="Arial" w:cs="Arial" w:eastAsia="Arial" w:hAnsi="Arial"/>
          <w:sz w:val="17"/>
          <w:szCs w:val="17"/>
          <w:i w:val="1"/>
          <w:iCs w:val="1"/>
          <w:color w:val="auto"/>
        </w:rPr>
        <w:t xml:space="preserve"> </w:t>
      </w:r>
      <w:r>
        <w:rPr>
          <w:rFonts w:ascii="Arial" w:cs="Arial" w:eastAsia="Arial" w:hAnsi="Arial"/>
          <w:sz w:val="17"/>
          <w:szCs w:val="17"/>
          <w:color w:val="auto"/>
        </w:rPr>
        <w:t>cable network to customers in the periods the related services are provided, with the exception of revenue recognized pursuant to certain contracts that contain promotional discounts, as described below. Installation fees related to services provided over our cable network are generally deferred and recognized as revenue over the contractual period, or longer if the upfront fee results in a material renewal right.</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Sale of Multiple Products and Services. </w:t>
      </w:r>
      <w:r>
        <w:rPr>
          <w:rFonts w:ascii="Arial" w:cs="Arial" w:eastAsia="Arial" w:hAnsi="Arial"/>
          <w:sz w:val="16"/>
          <w:szCs w:val="16"/>
          <w:color w:val="auto"/>
        </w:rPr>
        <w:t>We sell video, broadband internet, fixed-line telephony and, in most of our markets, mobile services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 bundled packages at a rate lower than if the customer purchased each product on a standalone basis. Revenue from bundled packages generally is allocated proportionally to the individual products or services based on the relative standalone selling price for each respective product or service.</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Mobile Revenue — General. </w:t>
      </w:r>
      <w:r>
        <w:rPr>
          <w:rFonts w:ascii="Arial" w:cs="Arial" w:eastAsia="Arial" w:hAnsi="Arial"/>
          <w:sz w:val="18"/>
          <w:szCs w:val="18"/>
          <w:color w:val="auto"/>
        </w:rPr>
        <w:t>Consideration from mobile contracts is allocated to the airtime service component and the handset component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standalone selling prices of each component. In markets where we offer handsets and airtime services in separate contracts entered into at the same time, we account for these contracts as a single contract.</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Mobile Revenue — Airtime Services. </w:t>
      </w:r>
      <w:r>
        <w:rPr>
          <w:rFonts w:ascii="Arial" w:cs="Arial" w:eastAsia="Arial" w:hAnsi="Arial"/>
          <w:sz w:val="16"/>
          <w:szCs w:val="16"/>
          <w:color w:val="auto"/>
        </w:rPr>
        <w:t>We recognize revenue from mobile services in the periods in which the related services are provided. Revenue from</w:t>
      </w:r>
      <w:r>
        <w:rPr>
          <w:rFonts w:ascii="Arial" w:cs="Arial" w:eastAsia="Arial" w:hAnsi="Arial"/>
          <w:sz w:val="16"/>
          <w:szCs w:val="16"/>
          <w:i w:val="1"/>
          <w:iCs w:val="1"/>
          <w:color w:val="auto"/>
        </w:rPr>
        <w:t xml:space="preserve"> </w:t>
      </w:r>
      <w:r>
        <w:rPr>
          <w:rFonts w:ascii="Arial" w:cs="Arial" w:eastAsia="Arial" w:hAnsi="Arial"/>
          <w:sz w:val="16"/>
          <w:szCs w:val="16"/>
          <w:color w:val="auto"/>
        </w:rPr>
        <w:t>pre-pay customers is deferred prior to the commencement of services and recognized as the services are rendered or usage rights expire.</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Mobile Revenue — Handset Revenue. </w:t>
      </w:r>
      <w:r>
        <w:rPr>
          <w:rFonts w:ascii="Arial" w:cs="Arial" w:eastAsia="Arial" w:hAnsi="Arial"/>
          <w:sz w:val="18"/>
          <w:szCs w:val="18"/>
          <w:color w:val="auto"/>
        </w:rPr>
        <w:t>Revenue from the sale of handsets is recognized at the point in which the goods have been transferred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Some of our mobile handset contracts that permit the customer to take control of the handset upfront and pay for the handset in installments over a contractual period may contain a significant financing component. For contracts with terms of one year or more, we recognize any significant financing component as revenue over the contractual period using the effective interest method. We do not record the effect of a significant financing component if the contractual period is less than one year.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3"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B2B Revenue. </w:t>
      </w:r>
      <w:r>
        <w:rPr>
          <w:rFonts w:ascii="Arial" w:cs="Arial" w:eastAsia="Arial" w:hAnsi="Arial"/>
          <w:sz w:val="18"/>
          <w:szCs w:val="18"/>
          <w:color w:val="auto"/>
        </w:rPr>
        <w:t>We defer upfront installation and certain nonrecurring fees received on B2B contracts where we maintain ownership of the installed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The deferred fees are amortized into revenue on a straight-line basis, generally over the longer of the term of the arrangement or the expected period of performance.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Contract Costs. </w:t>
      </w:r>
      <w:r>
        <w:rPr>
          <w:rFonts w:ascii="Arial" w:cs="Arial" w:eastAsia="Arial" w:hAnsi="Arial"/>
          <w:sz w:val="18"/>
          <w:szCs w:val="18"/>
          <w:color w:val="auto"/>
        </w:rPr>
        <w:t>Incremental costs to obtain a contract with a customer, such as incremental sales commissions, are generally recognized as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to SG&amp;A expenses over the applicable period benefited, which generally is the contract life. If, however, the amortization period is less than one year, we expense such costs in the period incurred.</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 fulfillment costs, such as porting costs, are recognized as assets and amortized to other operating costs over the applicable period benefited, which is generally the substantive contract term for the related service contract.</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Promotional Discounts. </w:t>
      </w:r>
      <w:r>
        <w:rPr>
          <w:rFonts w:ascii="Arial" w:cs="Arial" w:eastAsia="Arial" w:hAnsi="Arial"/>
          <w:sz w:val="18"/>
          <w:szCs w:val="18"/>
          <w:color w:val="auto"/>
        </w:rPr>
        <w:t>For subscriber promotions, such as discounted or free services during an introductory period, revenue is recognized uniformly</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contractual period if the contract has substantive termination penalties. If a contract does not have substantive termination penalties, revenue is recognized only to the extent of the discounted monthly fees charged to the subscriber, if any.</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Subscriber Advance Payments. </w:t>
      </w:r>
      <w:r>
        <w:rPr>
          <w:rFonts w:ascii="Arial" w:cs="Arial" w:eastAsia="Arial" w:hAnsi="Arial"/>
          <w:sz w:val="18"/>
          <w:szCs w:val="18"/>
          <w:color w:val="auto"/>
        </w:rPr>
        <w:t>Payments received in advance for the services we provide are deferred and recognized as revenue when the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are provided.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Sales, Use and Other Value-Added Taxes. </w:t>
      </w:r>
      <w:r>
        <w:rPr>
          <w:rFonts w:ascii="Arial" w:cs="Arial" w:eastAsia="Arial" w:hAnsi="Arial"/>
          <w:sz w:val="18"/>
          <w:szCs w:val="18"/>
          <w:color w:val="auto"/>
        </w:rPr>
        <w:t>Revenue is recorded net of applicable sales, use and other value-added taxes.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disaggregation of our revenue by major category and by reportable and geographic segment, see note 16.</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timing of revenue recognition may differ from the timing of invoicing our customers. We record a trade receivable when we have transferred goods or services to a customer but have not yet received payment. Our trade receivables are reported net of an allowance for doubtful accounts. Such allowance aggregated $107.4 million and $108.0 million at March 31, 2018 and January 1, 2018, respectively.</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we transfer goods or services to a customer but do not have an unconditional right to payment, we record a contract asset. Contract assets typically arise from the uniform recognition of introductory promotional discounts over the contract period. Our contract assets were $46.8 million and $42.0 million as of March 31, 2018 and January 1, 2018, respectively. The current- and long-term portions of our contract asset balance at March 31, 2018 are included within other current assets and other assets, net, respectively, in our condensed consolidated balance sheet.</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$1,306.3 million and $1,160.6 million as of March 31, 2018 and January 1, 2018, respectively. The increase in deferred revenue for the three months ended March 31, 2018 is primarily due to increased advanced billings in certain markets, partially offset by $719.3 million of revenue recognized that was included in our deferred revenue balance at January 1, 2018. The current- and long-term portions of our deferred revenue balance at March 31, 2018 are included within deferred revenue and other long-term liabilities, respectively, in our condensed consolidated balance sheet.</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Costs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aggregate assets associated with incremental costs to obtain a contract and contract fulfillment costs were $186.1 million and $182.1 million at March 31, 2018 and January 1, 2018, respectively. The current and long-term portions of our assets related to contract costs at March 31, 2018 are included within other current assets and other assets, net, respectively, in our condensed consolidated balance sheet. We recorded amortization of $54.1 million during the three months ended March 31, 2018 related to these assets.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3"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Unsatisfied Performance Obligations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large portion of our revenue is derived from customers who are not subject to contracts. Revenue from customers who are subject to contracts is generally recognized over the term of such contracts, which is typically 12 to 24 months for our residential service and mobile contracts and one to five years for our B2B contracts.</w:t>
      </w:r>
    </w:p>
    <w:p>
      <w:pPr>
        <w:spacing w:after="0" w:line="177"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 Disposals and Discontinued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2017 Acquisitions</w:t>
      </w:r>
    </w:p>
    <w:p>
      <w:pPr>
        <w:spacing w:after="0" w:line="2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SFR BeLux</w:t>
      </w:r>
      <w:r>
        <w:rPr>
          <w:rFonts w:ascii="Arial" w:cs="Arial" w:eastAsia="Arial" w:hAnsi="Arial"/>
          <w:sz w:val="18"/>
          <w:szCs w:val="18"/>
          <w:color w:val="auto"/>
        </w:rPr>
        <w:t>. On June 19, 2017, Telenet acquired Coditel Brabant sprl, operating under the SFR brand (</w:t>
      </w:r>
      <w:r>
        <w:rPr>
          <w:rFonts w:ascii="Arial" w:cs="Arial" w:eastAsia="Arial" w:hAnsi="Arial"/>
          <w:sz w:val="18"/>
          <w:szCs w:val="18"/>
          <w:b w:val="1"/>
          <w:bCs w:val="1"/>
          <w:color w:val="auto"/>
        </w:rPr>
        <w:t>SFR BeLux</w:t>
      </w:r>
      <w:r>
        <w:rPr>
          <w:rFonts w:ascii="Arial" w:cs="Arial" w:eastAsia="Arial" w:hAnsi="Arial"/>
          <w:sz w:val="18"/>
          <w:szCs w:val="18"/>
          <w:color w:val="auto"/>
        </w:rPr>
        <w:t>), for a cash and debt free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price of €369.0 million ($410.3 million at the applicable rates) (the </w:t>
      </w:r>
      <w:r>
        <w:rPr>
          <w:rFonts w:ascii="Arial" w:cs="Arial" w:eastAsia="Arial" w:hAnsi="Arial"/>
          <w:sz w:val="18"/>
          <w:szCs w:val="18"/>
          <w:b w:val="1"/>
          <w:bCs w:val="1"/>
          <w:color w:val="auto"/>
        </w:rPr>
        <w:t>SFR BeLux Acquisition</w:t>
      </w:r>
      <w:r>
        <w:rPr>
          <w:rFonts w:ascii="Arial" w:cs="Arial" w:eastAsia="Arial" w:hAnsi="Arial"/>
          <w:sz w:val="18"/>
          <w:szCs w:val="18"/>
          <w:color w:val="auto"/>
        </w:rPr>
        <w:t>) after post-closing adjustments. SFR BeLux provides cable services to households and businesses in Belgium (Brussels and Wallonia regions) and Luxembourg and offers mobile services in Belgium through a mobile virtual network operator (</w:t>
      </w:r>
      <w:r>
        <w:rPr>
          <w:rFonts w:ascii="Arial" w:cs="Arial" w:eastAsia="Arial" w:hAnsi="Arial"/>
          <w:sz w:val="18"/>
          <w:szCs w:val="18"/>
          <w:b w:val="1"/>
          <w:bCs w:val="1"/>
          <w:color w:val="auto"/>
        </w:rPr>
        <w:t>MVNO</w:t>
      </w:r>
      <w:r>
        <w:rPr>
          <w:rFonts w:ascii="Arial" w:cs="Arial" w:eastAsia="Arial" w:hAnsi="Arial"/>
          <w:sz w:val="18"/>
          <w:szCs w:val="18"/>
          <w:color w:val="auto"/>
        </w:rPr>
        <w:t>) agreement with Telenet Group BVBA (</w:t>
      </w:r>
      <w:r>
        <w:rPr>
          <w:rFonts w:ascii="Arial" w:cs="Arial" w:eastAsia="Arial" w:hAnsi="Arial"/>
          <w:sz w:val="18"/>
          <w:szCs w:val="18"/>
          <w:b w:val="1"/>
          <w:bCs w:val="1"/>
          <w:color w:val="auto"/>
        </w:rPr>
        <w:t>BASE</w:t>
      </w:r>
      <w:r>
        <w:rPr>
          <w:rFonts w:ascii="Arial" w:cs="Arial" w:eastAsia="Arial" w:hAnsi="Arial"/>
          <w:sz w:val="18"/>
          <w:szCs w:val="18"/>
          <w:color w:val="auto"/>
        </w:rPr>
        <w:t>).</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Pending Disposal</w:t>
      </w:r>
    </w:p>
    <w:p>
      <w:pPr>
        <w:spacing w:after="0" w:line="2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color w:val="auto"/>
        </w:rPr>
        <w:t>On December 22, 2017, we reached an agreement to sell our Austrian operations, “</w:t>
      </w:r>
      <w:r>
        <w:rPr>
          <w:rFonts w:ascii="Arial" w:cs="Arial" w:eastAsia="Arial" w:hAnsi="Arial"/>
          <w:sz w:val="17"/>
          <w:szCs w:val="17"/>
          <w:b w:val="1"/>
          <w:bCs w:val="1"/>
          <w:color w:val="auto"/>
        </w:rPr>
        <w:t>UPC Austria</w:t>
      </w:r>
      <w:r>
        <w:rPr>
          <w:rFonts w:ascii="Arial" w:cs="Arial" w:eastAsia="Arial" w:hAnsi="Arial"/>
          <w:sz w:val="17"/>
          <w:szCs w:val="17"/>
          <w:color w:val="auto"/>
        </w:rPr>
        <w:t>,” to a third party for a total enterprise value of approximately €1.9 billion ($2.3 billion), subject to customary debt and working capital adjustments at completion. Closing of the transaction is subject to regulatory approval, which is not expected until the second half of 2018. The proceeds from the sale are expected to be used for general corporate purposes, which may include leverage reduction for the remaining UPC Holding borrowing group, re-investment into our business and support for our share repurchase program. In our segment presentation, UPC Austria is included in our Switzerland/Austria segment.</w:t>
      </w:r>
    </w:p>
    <w:p>
      <w:pPr>
        <w:spacing w:after="0" w:line="17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we have agreed to provide certain transitional services for a period of up to four years. These services principally comprise network and information technology-related functions. The annual charges will depend on the actual level of services required by the purchaser. Liberty Global will also allow the use of the UPC brand for a transitional period of up to three years as part of the transaction.</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Effective with the signing of the agreement, we began accounting for UPC Austria as held for sale. Accordingly, we no longer depreciate or amortize the long-lived assets of UPC Austria. Long-lived assets classified as held for sale are measured at the lower of carrying amount or fair value less cost to sell. Since the aggregate carrying value of UPC Austria is less than the estimated fair value less cost to sell, no adjustment to the carrying value was necessary. The carrying amounts of UPC Austria’s major classes of assets and liabilities, which are are classified as held for sale, are summarized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7"/>
                <w:szCs w:val="17"/>
                <w:color w:val="auto"/>
              </w:rPr>
            </w:pPr>
          </w:p>
        </w:tc>
        <w:tc>
          <w:tcPr>
            <w:tcW w:w="1220" w:type="dxa"/>
            <w:vAlign w:val="bottom"/>
          </w:tcPr>
          <w:p>
            <w:pPr>
              <w:jc w:val="right"/>
              <w:ind w:right="152"/>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r>
      <w:tr>
        <w:trPr>
          <w:trHeight w:val="33"/>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4"/>
          </w:tcPr>
          <w:p>
            <w:pPr>
              <w:jc w:val="right"/>
              <w:ind w:right="952"/>
              <w:spacing w:after="0"/>
              <w:rPr>
                <w:sz w:val="20"/>
                <w:szCs w:val="20"/>
                <w:color w:val="auto"/>
              </w:rPr>
            </w:pPr>
            <w:r>
              <w:rPr>
                <w:rFonts w:ascii="Arial" w:cs="Arial" w:eastAsia="Arial" w:hAnsi="Arial"/>
                <w:sz w:val="16"/>
                <w:szCs w:val="16"/>
                <w:b w:val="1"/>
                <w:bCs w:val="1"/>
                <w:color w:val="auto"/>
              </w:rPr>
              <w:t>in millions</w:t>
            </w:r>
          </w:p>
        </w:tc>
      </w:tr>
      <w:tr>
        <w:trPr>
          <w:trHeight w:val="276"/>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assets other than cash</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494.0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451.9</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assets, net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1,279.2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1,216.5</w:t>
            </w: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Current portion of debt and capital lease obligations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0.8</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accrued and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77.8</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183.7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156.3</w:t>
            </w: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283"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condensed consolidated statements of operations include aggregate earnings before income taxes attributable to UPC Austria of $55.5 million and $30.2 million during the three months ended March 31, 2018 and 2017, respectively, and aggregate earnings before income taxes attributable to Liberty Global shareholders of $53.2 million and $28.5 million, respectively.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On December 29, 2017, in order to effect the split-off of the LiLAC Group (the </w:t>
      </w:r>
      <w:r>
        <w:rPr>
          <w:rFonts w:ascii="Arial" w:cs="Arial" w:eastAsia="Arial" w:hAnsi="Arial"/>
          <w:sz w:val="18"/>
          <w:szCs w:val="18"/>
          <w:b w:val="1"/>
          <w:bCs w:val="1"/>
          <w:color w:val="auto"/>
        </w:rPr>
        <w:t>Split-off Transaction</w:t>
      </w:r>
      <w:r>
        <w:rPr>
          <w:rFonts w:ascii="Arial" w:cs="Arial" w:eastAsia="Arial" w:hAnsi="Arial"/>
          <w:sz w:val="18"/>
          <w:szCs w:val="18"/>
          <w:color w:val="auto"/>
        </w:rPr>
        <w:t xml:space="preserve">), we distributed 100% of the common shares (the </w:t>
      </w:r>
      <w:r>
        <w:rPr>
          <w:rFonts w:ascii="Arial" w:cs="Arial" w:eastAsia="Arial" w:hAnsi="Arial"/>
          <w:sz w:val="18"/>
          <w:szCs w:val="18"/>
          <w:b w:val="1"/>
          <w:bCs w:val="1"/>
          <w:color w:val="auto"/>
        </w:rPr>
        <w:t>Distribution</w:t>
      </w:r>
      <w:r>
        <w:rPr>
          <w:rFonts w:ascii="Arial" w:cs="Arial" w:eastAsia="Arial" w:hAnsi="Arial"/>
          <w:sz w:val="18"/>
          <w:szCs w:val="18"/>
          <w:color w:val="auto"/>
        </w:rPr>
        <w:t>) of Liberty Latin America Ltd. (</w:t>
      </w:r>
      <w:r>
        <w:rPr>
          <w:rFonts w:ascii="Arial" w:cs="Arial" w:eastAsia="Arial" w:hAnsi="Arial"/>
          <w:sz w:val="18"/>
          <w:szCs w:val="18"/>
          <w:b w:val="1"/>
          <w:bCs w:val="1"/>
          <w:color w:val="auto"/>
        </w:rPr>
        <w:t>Liberty Latin America</w:t>
      </w:r>
      <w:r>
        <w:rPr>
          <w:rFonts w:ascii="Arial" w:cs="Arial" w:eastAsia="Arial" w:hAnsi="Arial"/>
          <w:sz w:val="18"/>
          <w:szCs w:val="18"/>
          <w:color w:val="auto"/>
        </w:rPr>
        <w:t>) to the holders of our then outstanding LiLAC Class A, Class B and Class C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shares (collectively, the </w:t>
      </w:r>
      <w:r>
        <w:rPr>
          <w:rFonts w:ascii="Arial" w:cs="Arial" w:eastAsia="Arial" w:hAnsi="Arial"/>
          <w:sz w:val="18"/>
          <w:szCs w:val="18"/>
          <w:b w:val="1"/>
          <w:bCs w:val="1"/>
          <w:color w:val="auto"/>
        </w:rPr>
        <w:t>LiLAC Shares</w:t>
      </w:r>
      <w:r>
        <w:rPr>
          <w:rFonts w:ascii="Arial" w:cs="Arial" w:eastAsia="Arial" w:hAnsi="Arial"/>
          <w:sz w:val="18"/>
          <w:szCs w:val="18"/>
          <w:color w:val="auto"/>
        </w:rPr>
        <w:t>). Just prior to the completion of the Split-off Transaction, all of the businesses, assets and liabilities of the LiLAC Group were transferred to Liberty Latin America, which was then a wholly-owned subsidiary of Liberty Global. Following the Distribution, the LiLAC Shares were redesignated as deferred shares (with virtually no economic rights) and Liberty Latin America became an independent publicly-traded company that is no longer consolidated by Liberty Global. Accordingly, the entities comprising the LiLAC Group are reflected as discontinued operations in our condensed consolidated statements of operations and cash flows for the three months ended March 31, 2017. No gain or loss was recognized in connection with the Split-off Transaction.</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connection with the Split-off Transaction, we entered into several agreements that govern certain transactions and other matters between our company and Liberty Latin America (the </w:t>
      </w:r>
      <w:r>
        <w:rPr>
          <w:rFonts w:ascii="Arial" w:cs="Arial" w:eastAsia="Arial" w:hAnsi="Arial"/>
          <w:sz w:val="18"/>
          <w:szCs w:val="18"/>
          <w:b w:val="1"/>
          <w:bCs w:val="1"/>
          <w:color w:val="auto"/>
        </w:rPr>
        <w:t>Split-off Agreements</w:t>
      </w:r>
      <w:r>
        <w:rPr>
          <w:rFonts w:ascii="Arial" w:cs="Arial" w:eastAsia="Arial" w:hAnsi="Arial"/>
          <w:sz w:val="18"/>
          <w:szCs w:val="18"/>
          <w:color w:val="auto"/>
        </w:rPr>
        <w:t>). During the three months ended March 31, 2018, the impacts of the Split-off Agreements and other normal recurring transactions between our company and Liberty Latin America were not material.</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operating results of the LiLAC Group for the three months ended March 31, 2017, which are classified as discontinued operations in our condensed consolidated statement of operations, are summarized in the following table (in millions, except share and per share amount). These amounts exclude the LiLAC Group’s intercompany revenue and expenses that are eliminated within our condensed consolidated statement of operations.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910.9</w:t>
            </w:r>
          </w:p>
        </w:tc>
      </w:tr>
      <w:tr>
        <w:trPr>
          <w:trHeight w:val="20"/>
        </w:trPr>
        <w:tc>
          <w:tcPr>
            <w:tcW w:w="10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134.8</w:t>
            </w:r>
          </w:p>
        </w:tc>
      </w:tr>
      <w:tr>
        <w:trPr>
          <w:trHeight w:val="251"/>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 and noncontrolling interests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r>
      <w:tr>
        <w:trPr>
          <w:trHeight w:val="20"/>
        </w:trPr>
        <w:tc>
          <w:tcPr>
            <w:tcW w:w="10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r>
      <w:tr>
        <w:trPr>
          <w:trHeight w:val="251"/>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noncontrolling interests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10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Loss from discontinued operations attributable to Liberty Global shareholders, net of taxes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51"/>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loss from discontinued operations attributable to Liberty Global shareholders per LiLAC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0"/>
        </w:trPr>
        <w:tc>
          <w:tcPr>
            <w:tcW w:w="10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7"/>
        </w:trPr>
        <w:tc>
          <w:tcPr>
            <w:tcW w:w="10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6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ordinary shares outstanding - basic and diluted</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172,743,854</w:t>
            </w:r>
          </w:p>
        </w:tc>
      </w:tr>
      <w:tr>
        <w:trPr>
          <w:trHeight w:val="20"/>
        </w:trPr>
        <w:tc>
          <w:tcPr>
            <w:tcW w:w="10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reported a loss from discontinued operations attributable to Liberty Global shareholders during the three months ended March 31, 2017. Therefore, the potentially dilutive effect of certain share-based incentive awards with respect to LiLAC Shares was not included in the computation of diluted loss from discontinued operations attributable to Liberty Global shareholders per LiLAC Share because their inclusion would have been anti-dilutive to the computation or, in the case of certain performance-based restricted share units (</w:t>
      </w:r>
      <w:r>
        <w:rPr>
          <w:rFonts w:ascii="Arial" w:cs="Arial" w:eastAsia="Arial" w:hAnsi="Arial"/>
          <w:sz w:val="16"/>
          <w:szCs w:val="16"/>
          <w:b w:val="1"/>
          <w:bCs w:val="1"/>
          <w:color w:val="auto"/>
        </w:rPr>
        <w:t>PSUs</w:t>
      </w:r>
      <w:r>
        <w:rPr>
          <w:rFonts w:ascii="Arial" w:cs="Arial" w:eastAsia="Arial" w:hAnsi="Arial"/>
          <w:sz w:val="16"/>
          <w:szCs w:val="16"/>
          <w:color w:val="auto"/>
        </w:rPr>
        <w:t>), because such awards had not yet met the applicable performance criteria.</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w:t>
      </w:r>
    </w:p>
    <w:p>
      <w:pPr>
        <w:spacing w:after="0" w:line="22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i w:val="1"/>
          <w:iCs w:val="1"/>
          <w:color w:val="auto"/>
        </w:rPr>
        <w:t>Multimedia</w:t>
      </w:r>
      <w:r>
        <w:rPr>
          <w:rFonts w:ascii="Arial" w:cs="Arial" w:eastAsia="Arial" w:hAnsi="Arial"/>
          <w:sz w:val="16"/>
          <w:szCs w:val="16"/>
          <w:color w:val="auto"/>
        </w:rPr>
        <w:t>. On October 18, 2016, our subsidiary UPC Polska SP Z.o.o. (</w:t>
      </w:r>
      <w:r>
        <w:rPr>
          <w:rFonts w:ascii="Arial" w:cs="Arial" w:eastAsia="Arial" w:hAnsi="Arial"/>
          <w:sz w:val="16"/>
          <w:szCs w:val="16"/>
          <w:b w:val="1"/>
          <w:bCs w:val="1"/>
          <w:color w:val="auto"/>
        </w:rPr>
        <w:t>UPC Poland</w:t>
      </w:r>
      <w:r>
        <w:rPr>
          <w:rFonts w:ascii="Arial" w:cs="Arial" w:eastAsia="Arial" w:hAnsi="Arial"/>
          <w:sz w:val="16"/>
          <w:szCs w:val="16"/>
          <w:color w:val="auto"/>
        </w:rPr>
        <w:t>) entered into a definitive agreement to acquire the cable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of Multimedia Polska S.A. (</w:t>
      </w:r>
      <w:r>
        <w:rPr>
          <w:rFonts w:ascii="Arial" w:cs="Arial" w:eastAsia="Arial" w:hAnsi="Arial"/>
          <w:sz w:val="16"/>
          <w:szCs w:val="16"/>
          <w:b w:val="1"/>
          <w:bCs w:val="1"/>
          <w:color w:val="auto"/>
        </w:rPr>
        <w:t>Multimedia</w:t>
      </w:r>
      <w:r>
        <w:rPr>
          <w:rFonts w:ascii="Arial" w:cs="Arial" w:eastAsia="Arial" w:hAnsi="Arial"/>
          <w:sz w:val="16"/>
          <w:szCs w:val="16"/>
          <w:color w:val="auto"/>
        </w:rPr>
        <w:t>), the third-largest cable operator in Poland. On October 18, 2017, the Polish regulator issued a statement of objection against the proposed transaction on the basis that such transaction could restrict competition in a number of cities across the country. On March 23, 2018, UPC Poland withdrew its application for regulatory clearance to acquire Multimedia after failing to agree to revised commercial terms with the sellers that take into account current regulatory and market conditions. In addition, the agreement to acquire Multimedia has been terminated.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3"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u w:val="single" w:color="auto"/>
          <w:color w:val="auto"/>
        </w:rPr>
        <w:t>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investments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7"/>
                <w:szCs w:val="17"/>
                <w:color w:val="auto"/>
              </w:rPr>
            </w:pPr>
          </w:p>
        </w:tc>
        <w:tc>
          <w:tcPr>
            <w:tcW w:w="122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Accounting Method</w:t>
            </w:r>
          </w:p>
        </w:tc>
        <w:tc>
          <w:tcPr>
            <w:tcW w:w="220" w:type="dxa"/>
            <w:vAlign w:val="bottom"/>
          </w:tcPr>
          <w:p>
            <w:pPr>
              <w:spacing w:after="0"/>
              <w:rPr>
                <w:sz w:val="18"/>
                <w:szCs w:val="18"/>
                <w:color w:val="auto"/>
              </w:rPr>
            </w:pPr>
          </w:p>
        </w:tc>
        <w:tc>
          <w:tcPr>
            <w:tcW w:w="11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4"/>
          </w:tcPr>
          <w:p>
            <w:pPr>
              <w:jc w:val="right"/>
              <w:ind w:right="951"/>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76"/>
        </w:trPr>
        <w:tc>
          <w:tcPr>
            <w:tcW w:w="8580" w:type="dxa"/>
            <w:vAlign w:val="bottom"/>
          </w:tcPr>
          <w:p>
            <w:pPr>
              <w:ind w:left="40"/>
              <w:spacing w:after="0"/>
              <w:rPr>
                <w:sz w:val="20"/>
                <w:szCs w:val="20"/>
                <w:color w:val="auto"/>
              </w:rPr>
            </w:pPr>
            <w:r>
              <w:rPr>
                <w:rFonts w:ascii="Arial" w:cs="Arial" w:eastAsia="Arial" w:hAnsi="Arial"/>
                <w:sz w:val="18"/>
                <w:szCs w:val="18"/>
                <w:color w:val="auto"/>
              </w:rPr>
              <w:t>Equity (a):</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VodafoneZiggo JV (b)</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4,162.8</w:t>
            </w:r>
          </w:p>
        </w:tc>
        <w:tc>
          <w:tcPr>
            <w:tcW w:w="0" w:type="dxa"/>
            <w:vAlign w:val="bottom"/>
          </w:tcPr>
          <w:p>
            <w:pPr>
              <w:spacing w:after="0"/>
              <w:rPr>
                <w:sz w:val="1"/>
                <w:szCs w:val="1"/>
                <w:color w:val="auto"/>
              </w:rPr>
            </w:pP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 equity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4,324.6</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Fair value:</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ITV plc (</w:t>
            </w:r>
            <w:r>
              <w:rPr>
                <w:rFonts w:ascii="Arial" w:cs="Arial" w:eastAsia="Arial" w:hAnsi="Arial"/>
                <w:sz w:val="18"/>
                <w:szCs w:val="18"/>
                <w:b w:val="1"/>
                <w:bCs w:val="1"/>
                <w:color w:val="auto"/>
              </w:rPr>
              <w:t>ITV</w:t>
            </w:r>
            <w:r>
              <w:rPr>
                <w:rFonts w:ascii="Arial" w:cs="Arial" w:eastAsia="Arial" w:hAnsi="Arial"/>
                <w:sz w:val="18"/>
                <w:szCs w:val="18"/>
                <w:color w:val="auto"/>
              </w:rPr>
              <w:t>) — subject to re-use rights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892.0</w:t>
            </w:r>
          </w:p>
        </w:tc>
        <w:tc>
          <w:tcPr>
            <w:tcW w:w="0" w:type="dxa"/>
            <w:vAlign w:val="bottom"/>
          </w:tcPr>
          <w:p>
            <w:pPr>
              <w:spacing w:after="0"/>
              <w:rPr>
                <w:sz w:val="1"/>
                <w:szCs w:val="1"/>
                <w:color w:val="auto"/>
              </w:rPr>
            </w:pP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Sumitomo Corporation (</w:t>
            </w:r>
            <w:r>
              <w:rPr>
                <w:rFonts w:ascii="Arial" w:cs="Arial" w:eastAsia="Arial" w:hAnsi="Arial"/>
                <w:sz w:val="18"/>
                <w:szCs w:val="18"/>
                <w:b w:val="1"/>
                <w:bCs w:val="1"/>
                <w:color w:val="auto"/>
              </w:rPr>
              <w:t>Sumitomo</w:t>
            </w: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768.3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776.5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ITI Neovision S.A. (</w:t>
            </w:r>
            <w:r>
              <w:rPr>
                <w:rFonts w:ascii="Arial" w:cs="Arial" w:eastAsia="Arial" w:hAnsi="Arial"/>
                <w:sz w:val="18"/>
                <w:szCs w:val="18"/>
                <w:b w:val="1"/>
                <w:bCs w:val="1"/>
                <w:color w:val="auto"/>
              </w:rPr>
              <w:t>ITI Neovision</w:t>
            </w: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Casa Systems, Inc. (</w:t>
            </w:r>
            <w:r>
              <w:rPr>
                <w:rFonts w:ascii="Arial" w:cs="Arial" w:eastAsia="Arial" w:hAnsi="Arial"/>
                <w:sz w:val="18"/>
                <w:szCs w:val="18"/>
                <w:b w:val="1"/>
                <w:bCs w:val="1"/>
                <w:color w:val="auto"/>
              </w:rPr>
              <w:t>Casa</w:t>
            </w: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Lions Gate Entertainment Corp (</w:t>
            </w:r>
            <w:r>
              <w:rPr>
                <w:rFonts w:ascii="Arial" w:cs="Arial" w:eastAsia="Arial" w:hAnsi="Arial"/>
                <w:sz w:val="18"/>
                <w:szCs w:val="18"/>
                <w:b w:val="1"/>
                <w:bCs w:val="1"/>
                <w:color w:val="auto"/>
              </w:rPr>
              <w:t>Lionsgate</w:t>
            </w: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291.3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 fair value</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2,315.3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Cost (c)</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6,862.2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6,671.4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March 31, 2018 and December 31, 2017, the aggregate carrying amounts of our equity method investments did not materially exceed our proportionate share of the respective investees’ net assets.</w:t>
      </w:r>
    </w:p>
    <w:p>
      <w:pPr>
        <w:spacing w:after="0" w:line="166" w:lineRule="exact"/>
        <w:rPr>
          <w:rFonts w:ascii="Arial" w:cs="Arial" w:eastAsia="Arial" w:hAnsi="Arial"/>
          <w:sz w:val="18"/>
          <w:szCs w:val="18"/>
          <w:color w:val="auto"/>
        </w:rPr>
      </w:pPr>
    </w:p>
    <w:p>
      <w:pPr>
        <w:jc w:val="both"/>
        <w:ind w:left="500" w:hanging="492"/>
        <w:spacing w:after="0" w:line="256"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Amounts include a related-party note receivable (the </w:t>
      </w:r>
      <w:r>
        <w:rPr>
          <w:rFonts w:ascii="Arial" w:cs="Arial" w:eastAsia="Arial" w:hAnsi="Arial"/>
          <w:sz w:val="18"/>
          <w:szCs w:val="18"/>
          <w:b w:val="1"/>
          <w:bCs w:val="1"/>
          <w:color w:val="auto"/>
        </w:rPr>
        <w:t>VodafoneZiggo JV Receivable</w:t>
      </w:r>
      <w:r>
        <w:rPr>
          <w:rFonts w:ascii="Arial" w:cs="Arial" w:eastAsia="Arial" w:hAnsi="Arial"/>
          <w:sz w:val="18"/>
          <w:szCs w:val="18"/>
          <w:color w:val="auto"/>
        </w:rPr>
        <w:t>) with a principal amount of $1,106.2 million and $1,081.9 million, respectively, due from a subsidiary of the VodafoneZiggo JV (as defined below) to a subsidiary of Liberty Global. The VodafoneZiggo JV Receivable bears interest at 5.55% and requires €100.0 million ($122.9 million) of principal to be paid annually during the first three years of the agreement, with the remaining principal due on January 16, 2027. The accrued interest on the VodafoneZiggo JV Receivable will be payable in a manner mutually agreed upon by Liberty Global and the VodafoneZiggo JV. During the three months ended March 31, 2018, interest accrued on the VodafoneZiggo JV Receivable was $15.2 million, all of which has been cash settled.</w:t>
      </w:r>
    </w:p>
    <w:p>
      <w:pPr>
        <w:spacing w:after="0" w:line="191"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result of the January 1, 2018 adoption of ASU 2016-01, all of our cost investments have been reclassified to fair value 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information regarding the impact of the adoption of ASU 2014-09 on our accumulated deficit and our investment in the VodafoneZiggo JV, see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3"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share of losses of affiliates, net:</w:t>
      </w:r>
    </w:p>
    <w:p>
      <w:pPr>
        <w:spacing w:after="0" w:line="172"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VodafoneZiggo JV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7"/>
        </w:trPr>
        <w:tc>
          <w:tcPr>
            <w:tcW w:w="902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9020" w:type="dxa"/>
            <w:vAlign w:val="bottom"/>
            <w:vMerge w:val="restart"/>
          </w:tcPr>
          <w:p>
            <w:pPr>
              <w:jc w:val="right"/>
              <w:ind w:right="7570"/>
              <w:spacing w:after="0"/>
              <w:rPr>
                <w:sz w:val="20"/>
                <w:szCs w:val="20"/>
                <w:color w:val="auto"/>
              </w:rPr>
            </w:pPr>
            <w:r>
              <w:rPr>
                <w:rFonts w:ascii="Arial" w:cs="Arial" w:eastAsia="Arial" w:hAnsi="Arial"/>
                <w:sz w:val="18"/>
                <w:szCs w:val="18"/>
                <w:color w:val="auto"/>
                <w:w w:val="89"/>
              </w:rPr>
              <w:t>_______________</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86"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Amounts include the net effect of (i) 100% of the interest income earned on the VodafoneZiggo JV Receivable, (ii) 100% of the share-based compensation expense associated with Liberty Global awards held by VodafoneZiggo JV employees who were formerly employees of Liberty Global, as these awards remain our responsibility, and (iii) our 50% share of the remaining results of operations of the VodafoneZiggo JV.</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VodafoneZiggo JV. </w:t>
      </w:r>
      <w:r>
        <w:rPr>
          <w:rFonts w:ascii="Arial" w:cs="Arial" w:eastAsia="Arial" w:hAnsi="Arial"/>
          <w:sz w:val="18"/>
          <w:szCs w:val="18"/>
          <w:color w:val="auto"/>
        </w:rPr>
        <w:t>On December 31, 2016, one of our wholly-owned subsidiaries contributed VodafoneZiggo Holding B.V. and its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VodafoneZiggo Holding</w:t>
      </w:r>
      <w:r>
        <w:rPr>
          <w:rFonts w:ascii="Arial" w:cs="Arial" w:eastAsia="Arial" w:hAnsi="Arial"/>
          <w:sz w:val="18"/>
          <w:szCs w:val="18"/>
          <w:color w:val="auto"/>
        </w:rPr>
        <w:t>) to VodafoneZiggo Group Holding B.V., an entity that was formed as a 50:50 joint venture (the “</w:t>
      </w:r>
      <w:r>
        <w:rPr>
          <w:rFonts w:ascii="Arial" w:cs="Arial" w:eastAsia="Arial" w:hAnsi="Arial"/>
          <w:sz w:val="18"/>
          <w:szCs w:val="18"/>
          <w:b w:val="1"/>
          <w:bCs w:val="1"/>
          <w:color w:val="auto"/>
        </w:rPr>
        <w:t>VodafoneZiggo JV</w:t>
      </w:r>
      <w:r>
        <w:rPr>
          <w:rFonts w:ascii="Arial" w:cs="Arial" w:eastAsia="Arial" w:hAnsi="Arial"/>
          <w:sz w:val="18"/>
          <w:szCs w:val="18"/>
          <w:color w:val="auto"/>
        </w:rPr>
        <w:t>”) between Vodafone Group plc (</w:t>
      </w:r>
      <w:r>
        <w:rPr>
          <w:rFonts w:ascii="Arial" w:cs="Arial" w:eastAsia="Arial" w:hAnsi="Arial"/>
          <w:sz w:val="18"/>
          <w:szCs w:val="18"/>
          <w:b w:val="1"/>
          <w:bCs w:val="1"/>
          <w:color w:val="auto"/>
        </w:rPr>
        <w:t>Vodafone</w:t>
      </w:r>
      <w:r>
        <w:rPr>
          <w:rFonts w:ascii="Arial" w:cs="Arial" w:eastAsia="Arial" w:hAnsi="Arial"/>
          <w:sz w:val="18"/>
          <w:szCs w:val="18"/>
          <w:color w:val="auto"/>
        </w:rPr>
        <w:t xml:space="preserve">) and Liberty Global (the </w:t>
      </w:r>
      <w:r>
        <w:rPr>
          <w:rFonts w:ascii="Arial" w:cs="Arial" w:eastAsia="Arial" w:hAnsi="Arial"/>
          <w:sz w:val="18"/>
          <w:szCs w:val="18"/>
          <w:b w:val="1"/>
          <w:bCs w:val="1"/>
          <w:color w:val="auto"/>
        </w:rPr>
        <w:t>VodafoneZiggo JV Transaction</w:t>
      </w:r>
      <w:r>
        <w:rPr>
          <w:rFonts w:ascii="Arial" w:cs="Arial" w:eastAsia="Arial" w:hAnsi="Arial"/>
          <w:sz w:val="18"/>
          <w:szCs w:val="18"/>
          <w:color w:val="auto"/>
        </w:rPr>
        <w:t>).</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January 4, 2017, in connection with the completion of the VodafoneZiggo JV Transaction, we received cash of €2.2 billion ($2.4 billion at the transaction date) comprising (i) a distribution reflecting our 50% share of the €2.8 billion ($2.9 billion at the transaction date) of net proceeds from the various debt financing arrangements entered into by certain subsidiaries of VodafoneZiggo Holding during the third quarter of 2016 and (ii) an equalization payment from Vodafone of €802.9 million ($840.8 million at the transaction date) that was subject to post-closing adjustments. During the second quarter of 2017, the equalization amount was finalized, resulting in the receipt of an additional €3.9 million ($4.5 million at the transaction date) from Vodafone.</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quarter of 2017, we paid $162.6 million of VAT on behalf of the VodafoneZiggo JV associated with the termination of a services agreement with Ziggo Group Holding B.V. that was in effect prior to the closing of the VodafoneZiggo JV Transaction. This advance was repaid during the first quarter of 2017.</w:t>
      </w:r>
    </w:p>
    <w:p>
      <w:pPr>
        <w:spacing w:after="0" w:line="17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Pursuant to an agreement entered into in connection with the formation of the VodafoneZiggo JV (the </w:t>
      </w:r>
      <w:r>
        <w:rPr>
          <w:rFonts w:ascii="Arial" w:cs="Arial" w:eastAsia="Arial" w:hAnsi="Arial"/>
          <w:sz w:val="17"/>
          <w:szCs w:val="17"/>
          <w:b w:val="1"/>
          <w:bCs w:val="1"/>
          <w:color w:val="auto"/>
        </w:rPr>
        <w:t>Framework Agreement</w:t>
      </w:r>
      <w:r>
        <w:rPr>
          <w:rFonts w:ascii="Arial" w:cs="Arial" w:eastAsia="Arial" w:hAnsi="Arial"/>
          <w:sz w:val="17"/>
          <w:szCs w:val="17"/>
          <w:color w:val="auto"/>
        </w:rPr>
        <w:t xml:space="preserve">), Liberty Global provides certain services to the VodafoneZiggo JV on a transitional or ongoing basis (collectively, the </w:t>
      </w:r>
      <w:r>
        <w:rPr>
          <w:rFonts w:ascii="Arial" w:cs="Arial" w:eastAsia="Arial" w:hAnsi="Arial"/>
          <w:sz w:val="17"/>
          <w:szCs w:val="17"/>
          <w:b w:val="1"/>
          <w:bCs w:val="1"/>
          <w:color w:val="auto"/>
        </w:rPr>
        <w:t>JV Services</w:t>
      </w:r>
      <w:r>
        <w:rPr>
          <w:rFonts w:ascii="Arial" w:cs="Arial" w:eastAsia="Arial" w:hAnsi="Arial"/>
          <w:sz w:val="17"/>
          <w:szCs w:val="17"/>
          <w:color w:val="auto"/>
        </w:rPr>
        <w:t>). The JV Services provided by Liberty Global consist primarily of (i) technology and other services and (ii) capital-related expenditures for assets that will be used by, or will otherwise benefit, the VodafoneZiggo JV. Liberty Global charges both fixed and usage-based fees to the VodafoneZiggo JV for the JV Services provided during the term of the Framework Agreement. During the three months ended March 31, 2018 and 2017, we recorded revenue of $34.5 million and $31.5 million, respectively, related to the JV Services. In addition, at March 31, 2018 and December 31, 2017, $65.9 million and $33.3 million, respectively, was due from the VodafoneZiggo JV primarily related to (a) services performed under the Framework Agreement and (b) amounts incurred by Liberty Global for certain equipment and licenses purchased on behalf of the VodafoneZiggo JV. Amounts due from the VodafoneZiggo JV, which are periodically cash settled, are included in other current assets in our condensed consolidated balance sheet.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3"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VodafoneZiggo JV is experiencing significant competition. In particular, the mobile operations of the VodafoneZiggo JV continue to experience competitive pressure on pricing, characterized by aggressive promotion campaigns, heavy marketing efforts and increasing or unlimited data bundles. If the adverse impacts of economic, competitive, regulatory or other factors were to cause significant deterioration of the results of operations or cash flows of the VodafoneZiggo JV, we could conclude in future periods that our investment in the VodafoneZiggo JV is impaired or management of the VodafoneZiggo JV could conclude that an impairment of the VodafoneZiggo JV goodwill and, to a lesser extent, long-lived assets, is required. Any such impairment of the VodafoneZiggo JV’s goodwill or our investment in the VodafoneZiggo JV would be reflected as a component of share of results of affiliates, net, in our condensed consolidated statement of operations. Our share of any such impairment charges could be significant.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summarized results of operations of the VodafoneZiggo JV are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center"/>
              <w:ind w:right="212"/>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gridSpan w:val="3"/>
          </w:tcPr>
          <w:p>
            <w:pPr>
              <w:jc w:val="center"/>
              <w:ind w:left="555"/>
              <w:spacing w:after="0"/>
              <w:rPr>
                <w:sz w:val="20"/>
                <w:szCs w:val="20"/>
                <w:color w:val="auto"/>
              </w:rPr>
            </w:pPr>
            <w:r>
              <w:rPr>
                <w:rFonts w:ascii="Arial" w:cs="Arial" w:eastAsia="Arial" w:hAnsi="Arial"/>
                <w:sz w:val="16"/>
                <w:szCs w:val="16"/>
                <w:b w:val="1"/>
                <w:bCs w:val="1"/>
                <w:color w:val="auto"/>
                <w:w w:val="94"/>
              </w:rPr>
              <w:t>March 31,</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5"/>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3"/>
          </w:tcPr>
          <w:p>
            <w:pPr>
              <w:jc w:val="center"/>
              <w:ind w:left="555"/>
              <w:spacing w:after="0"/>
              <w:rPr>
                <w:sz w:val="20"/>
                <w:szCs w:val="20"/>
                <w:color w:val="auto"/>
              </w:rPr>
            </w:pPr>
            <w:r>
              <w:rPr>
                <w:rFonts w:ascii="Arial" w:cs="Arial" w:eastAsia="Arial" w:hAnsi="Arial"/>
                <w:sz w:val="16"/>
                <w:szCs w:val="16"/>
                <w:b w:val="1"/>
                <w:bCs w:val="1"/>
                <w:color w:val="auto"/>
                <w:w w:val="93"/>
              </w:rPr>
              <w:t>in millions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1,195.0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1,083.8</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general, we seek to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Arial" w:cs="Arial" w:eastAsia="Arial" w:hAnsi="Arial"/>
          <w:sz w:val="17"/>
          <w:szCs w:val="17"/>
          <w:b w:val="1"/>
          <w:bCs w:val="1"/>
          <w:color w:val="auto"/>
        </w:rPr>
        <w:t>$</w:t>
      </w:r>
      <w:r>
        <w:rPr>
          <w:rFonts w:ascii="Arial" w:cs="Arial" w:eastAsia="Arial" w:hAnsi="Arial"/>
          <w:sz w:val="17"/>
          <w:szCs w:val="17"/>
          <w:color w:val="auto"/>
        </w:rPr>
        <w:t>), the euro (</w:t>
      </w:r>
      <w:r>
        <w:rPr>
          <w:rFonts w:ascii="Arial" w:cs="Arial" w:eastAsia="Arial" w:hAnsi="Arial"/>
          <w:sz w:val="17"/>
          <w:szCs w:val="17"/>
          <w:b w:val="1"/>
          <w:bCs w:val="1"/>
          <w:color w:val="auto"/>
        </w:rPr>
        <w:t>€</w:t>
      </w:r>
      <w:r>
        <w:rPr>
          <w:rFonts w:ascii="Arial" w:cs="Arial" w:eastAsia="Arial" w:hAnsi="Arial"/>
          <w:sz w:val="17"/>
          <w:szCs w:val="17"/>
          <w:color w:val="auto"/>
        </w:rPr>
        <w:t>), the British pound sterling (</w:t>
      </w:r>
      <w:r>
        <w:rPr>
          <w:rFonts w:ascii="Arial" w:cs="Arial" w:eastAsia="Arial" w:hAnsi="Arial"/>
          <w:sz w:val="17"/>
          <w:szCs w:val="17"/>
          <w:b w:val="1"/>
          <w:bCs w:val="1"/>
          <w:color w:val="auto"/>
        </w:rPr>
        <w:t>£</w:t>
      </w:r>
      <w:r>
        <w:rPr>
          <w:rFonts w:ascii="Arial" w:cs="Arial" w:eastAsia="Arial" w:hAnsi="Arial"/>
          <w:sz w:val="17"/>
          <w:szCs w:val="17"/>
          <w:color w:val="auto"/>
        </w:rPr>
        <w:t>), the Swiss franc (</w:t>
      </w:r>
      <w:r>
        <w:rPr>
          <w:rFonts w:ascii="Arial" w:cs="Arial" w:eastAsia="Arial" w:hAnsi="Arial"/>
          <w:sz w:val="17"/>
          <w:szCs w:val="17"/>
          <w:b w:val="1"/>
          <w:bCs w:val="1"/>
          <w:color w:val="auto"/>
        </w:rPr>
        <w:t>CHF</w:t>
      </w:r>
      <w:r>
        <w:rPr>
          <w:rFonts w:ascii="Arial" w:cs="Arial" w:eastAsia="Arial" w:hAnsi="Arial"/>
          <w:sz w:val="17"/>
          <w:szCs w:val="17"/>
          <w:color w:val="auto"/>
        </w:rPr>
        <w:t>), the Czech koruna (</w:t>
      </w:r>
      <w:r>
        <w:rPr>
          <w:rFonts w:ascii="Arial" w:cs="Arial" w:eastAsia="Arial" w:hAnsi="Arial"/>
          <w:sz w:val="17"/>
          <w:szCs w:val="17"/>
          <w:b w:val="1"/>
          <w:bCs w:val="1"/>
          <w:color w:val="auto"/>
        </w:rPr>
        <w:t>CZK</w:t>
      </w:r>
      <w:r>
        <w:rPr>
          <w:rFonts w:ascii="Arial" w:cs="Arial" w:eastAsia="Arial" w:hAnsi="Arial"/>
          <w:sz w:val="17"/>
          <w:szCs w:val="17"/>
          <w:color w:val="auto"/>
        </w:rPr>
        <w:t>), the Hungarian forint (</w:t>
      </w:r>
      <w:r>
        <w:rPr>
          <w:rFonts w:ascii="Arial" w:cs="Arial" w:eastAsia="Arial" w:hAnsi="Arial"/>
          <w:sz w:val="17"/>
          <w:szCs w:val="17"/>
          <w:b w:val="1"/>
          <w:bCs w:val="1"/>
          <w:color w:val="auto"/>
        </w:rPr>
        <w:t>HUF</w:t>
      </w:r>
      <w:r>
        <w:rPr>
          <w:rFonts w:ascii="Arial" w:cs="Arial" w:eastAsia="Arial" w:hAnsi="Arial"/>
          <w:sz w:val="17"/>
          <w:szCs w:val="17"/>
          <w:color w:val="auto"/>
        </w:rPr>
        <w:t>), the Polish zloty (</w:t>
      </w:r>
      <w:r>
        <w:rPr>
          <w:rFonts w:ascii="Arial" w:cs="Arial" w:eastAsia="Arial" w:hAnsi="Arial"/>
          <w:sz w:val="17"/>
          <w:szCs w:val="17"/>
          <w:b w:val="1"/>
          <w:bCs w:val="1"/>
          <w:color w:val="auto"/>
        </w:rPr>
        <w:t>PLN</w:t>
      </w:r>
      <w:r>
        <w:rPr>
          <w:rFonts w:ascii="Arial" w:cs="Arial" w:eastAsia="Arial" w:hAnsi="Arial"/>
          <w:sz w:val="17"/>
          <w:szCs w:val="17"/>
          <w:color w:val="auto"/>
        </w:rPr>
        <w:t>) and the Romanian lei (</w:t>
      </w:r>
      <w:r>
        <w:rPr>
          <w:rFonts w:ascii="Arial" w:cs="Arial" w:eastAsia="Arial" w:hAnsi="Arial"/>
          <w:sz w:val="17"/>
          <w:szCs w:val="17"/>
          <w:b w:val="1"/>
          <w:bCs w:val="1"/>
          <w:color w:val="auto"/>
        </w:rPr>
        <w:t>RON</w:t>
      </w:r>
      <w:r>
        <w:rPr>
          <w:rFonts w:ascii="Arial" w:cs="Arial" w:eastAsia="Arial" w:hAnsi="Arial"/>
          <w:sz w:val="17"/>
          <w:szCs w:val="17"/>
          <w:color w:val="auto"/>
        </w:rPr>
        <w:t>). With the exception of a limited number of our foreign currency forward contracts, we do not apply hedge accounting to our derivative instruments. Accordingly, changes in the fair values of most of our derivative instruments are recorded in realized and unrealized gains or losses on derivative instruments, net, in our condensed consolidated statements of operations.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details of the fair values of our derivative instrument assets and liabilities: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3"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ind w:left="80"/>
              <w:spacing w:after="0"/>
              <w:rPr>
                <w:sz w:val="20"/>
                <w:szCs w:val="20"/>
                <w:color w:val="auto"/>
              </w:rPr>
            </w:pPr>
            <w:r>
              <w:rPr>
                <w:rFonts w:ascii="Arial" w:cs="Arial" w:eastAsia="Arial" w:hAnsi="Arial"/>
                <w:sz w:val="16"/>
                <w:szCs w:val="16"/>
                <w:b w:val="1"/>
                <w:bCs w:val="1"/>
                <w:color w:val="auto"/>
              </w:rPr>
              <w:t>March 31, 2018</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gridSpan w:val="4"/>
          </w:tcPr>
          <w:p>
            <w:pPr>
              <w:ind w:left="100"/>
              <w:spacing w:after="0"/>
              <w:rPr>
                <w:sz w:val="20"/>
                <w:szCs w:val="20"/>
                <w:color w:val="auto"/>
              </w:rPr>
            </w:pPr>
            <w:r>
              <w:rPr>
                <w:rFonts w:ascii="Arial" w:cs="Arial" w:eastAsia="Arial" w:hAnsi="Arial"/>
                <w:sz w:val="16"/>
                <w:szCs w:val="16"/>
                <w:b w:val="1"/>
                <w:bCs w:val="1"/>
                <w:color w:val="auto"/>
              </w:rPr>
              <w:t>December 31, 2017</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Current (a)</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Long-term (a)</w:t>
            </w: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20"/>
                <w:szCs w:val="20"/>
                <w:color w:val="auto"/>
              </w:rPr>
            </w:pPr>
          </w:p>
        </w:tc>
        <w:tc>
          <w:tcPr>
            <w:tcW w:w="1080" w:type="dxa"/>
            <w:vAlign w:val="bottom"/>
          </w:tcPr>
          <w:p>
            <w:pPr>
              <w:jc w:val="right"/>
              <w:ind w:right="132"/>
              <w:spacing w:after="0"/>
              <w:rPr>
                <w:sz w:val="20"/>
                <w:szCs w:val="20"/>
                <w:color w:val="auto"/>
              </w:rPr>
            </w:pPr>
            <w:r>
              <w:rPr>
                <w:rFonts w:ascii="Arial" w:cs="Arial" w:eastAsia="Arial" w:hAnsi="Arial"/>
                <w:sz w:val="16"/>
                <w:szCs w:val="16"/>
                <w:b w:val="1"/>
                <w:bCs w:val="1"/>
                <w:color w:val="auto"/>
              </w:rPr>
              <w:t>Current (a)</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Long-term (a)</w:t>
            </w: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852"/>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180"/>
              <w:spacing w:after="0"/>
              <w:rPr>
                <w:sz w:val="20"/>
                <w:szCs w:val="20"/>
                <w:color w:val="auto"/>
              </w:rPr>
            </w:pPr>
            <w:r>
              <w:rPr>
                <w:rFonts w:ascii="Arial" w:cs="Arial" w:eastAsia="Arial" w:hAnsi="Arial"/>
                <w:sz w:val="18"/>
                <w:szCs w:val="18"/>
                <w:color w:val="auto"/>
                <w:w w:val="91"/>
              </w:rPr>
              <w:t>Cross-currency and interest rate derivative</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340"/>
              <w:spacing w:after="0"/>
              <w:rPr>
                <w:sz w:val="20"/>
                <w:szCs w:val="20"/>
                <w:color w:val="auto"/>
              </w:rPr>
            </w:pPr>
            <w:r>
              <w:rPr>
                <w:rFonts w:ascii="Arial" w:cs="Arial" w:eastAsia="Arial" w:hAnsi="Arial"/>
                <w:sz w:val="18"/>
                <w:szCs w:val="18"/>
                <w:color w:val="auto"/>
              </w:rPr>
              <w:t>contracts (b)</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362.7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1,089.9</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1,452.6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1,171.4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1,729.9</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Equity-related derivative instruments (c)</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29"/>
        </w:trPr>
        <w:tc>
          <w:tcPr>
            <w:tcW w:w="3320" w:type="dxa"/>
            <w:vAlign w:val="bottom"/>
          </w:tcPr>
          <w:p>
            <w:pPr>
              <w:ind w:left="180"/>
              <w:spacing w:after="0"/>
              <w:rPr>
                <w:sz w:val="20"/>
                <w:szCs w:val="20"/>
                <w:color w:val="auto"/>
              </w:rPr>
            </w:pPr>
            <w:r>
              <w:rPr>
                <w:rFonts w:ascii="Arial" w:cs="Arial" w:eastAsia="Arial" w:hAnsi="Arial"/>
                <w:sz w:val="18"/>
                <w:szCs w:val="18"/>
                <w:color w:val="auto"/>
              </w:rPr>
              <w:t>Foreign currency forward and option</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340"/>
              <w:spacing w:after="0"/>
              <w:rPr>
                <w:sz w:val="20"/>
                <w:szCs w:val="20"/>
                <w:color w:val="auto"/>
              </w:rPr>
            </w:pPr>
            <w:r>
              <w:rPr>
                <w:rFonts w:ascii="Arial" w:cs="Arial" w:eastAsia="Arial" w:hAnsi="Arial"/>
                <w:sz w:val="18"/>
                <w:szCs w:val="18"/>
                <w:color w:val="auto"/>
              </w:rPr>
              <w:t>contracts</w:t>
            </w:r>
          </w:p>
        </w:tc>
        <w:tc>
          <w:tcPr>
            <w:tcW w:w="18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3320" w:type="dxa"/>
            <w:vAlign w:val="bottom"/>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374.2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1,795.7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2,169.9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576.0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1,733.0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2,309.0</w:t>
            </w:r>
          </w:p>
        </w:tc>
        <w:tc>
          <w:tcPr>
            <w:tcW w:w="0" w:type="dxa"/>
            <w:vAlign w:val="bottom"/>
          </w:tcPr>
          <w:p>
            <w:pPr>
              <w:spacing w:after="0"/>
              <w:rPr>
                <w:sz w:val="1"/>
                <w:szCs w:val="1"/>
                <w:color w:val="auto"/>
              </w:rPr>
            </w:pPr>
          </w:p>
        </w:tc>
      </w:tr>
      <w:tr>
        <w:trPr>
          <w:trHeight w:val="67"/>
        </w:trPr>
        <w:tc>
          <w:tcPr>
            <w:tcW w:w="33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8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3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72"/>
        </w:trPr>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ind w:left="80"/>
              <w:spacing w:after="0"/>
              <w:rPr>
                <w:sz w:val="20"/>
                <w:szCs w:val="20"/>
                <w:color w:val="auto"/>
              </w:rPr>
            </w:pPr>
            <w:r>
              <w:rPr>
                <w:rFonts w:ascii="Arial" w:cs="Arial" w:eastAsia="Arial" w:hAnsi="Arial"/>
                <w:sz w:val="16"/>
                <w:szCs w:val="16"/>
                <w:b w:val="1"/>
                <w:bCs w:val="1"/>
                <w:color w:val="auto"/>
              </w:rPr>
              <w:t>March 31, 2018</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gridSpan w:val="4"/>
          </w:tcPr>
          <w:p>
            <w:pPr>
              <w:ind w:left="100"/>
              <w:spacing w:after="0"/>
              <w:rPr>
                <w:sz w:val="20"/>
                <w:szCs w:val="20"/>
                <w:color w:val="auto"/>
              </w:rPr>
            </w:pPr>
            <w:r>
              <w:rPr>
                <w:rFonts w:ascii="Arial" w:cs="Arial" w:eastAsia="Arial" w:hAnsi="Arial"/>
                <w:sz w:val="16"/>
                <w:szCs w:val="16"/>
                <w:b w:val="1"/>
                <w:bCs w:val="1"/>
                <w:color w:val="auto"/>
              </w:rPr>
              <w:t>December 31, 2017</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Current (a)</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Long-term (a)</w:t>
            </w: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20"/>
                <w:szCs w:val="20"/>
                <w:color w:val="auto"/>
              </w:rPr>
            </w:pPr>
          </w:p>
        </w:tc>
        <w:tc>
          <w:tcPr>
            <w:tcW w:w="1080" w:type="dxa"/>
            <w:vAlign w:val="bottom"/>
          </w:tcPr>
          <w:p>
            <w:pPr>
              <w:jc w:val="right"/>
              <w:ind w:right="132"/>
              <w:spacing w:after="0"/>
              <w:rPr>
                <w:sz w:val="20"/>
                <w:szCs w:val="20"/>
                <w:color w:val="auto"/>
              </w:rPr>
            </w:pPr>
            <w:r>
              <w:rPr>
                <w:rFonts w:ascii="Arial" w:cs="Arial" w:eastAsia="Arial" w:hAnsi="Arial"/>
                <w:sz w:val="16"/>
                <w:szCs w:val="16"/>
                <w:b w:val="1"/>
                <w:bCs w:val="1"/>
                <w:color w:val="auto"/>
              </w:rPr>
              <w:t>Current (a)</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Long-term (a)</w:t>
            </w: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852"/>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33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Cross-currency and interest rate derivative</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contracts (b)</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1,967.1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2,347.2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2,105.5</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w w:val="98"/>
              </w:rPr>
              <w:t>Equity-related derivative instruments (c)</w:t>
            </w:r>
          </w:p>
        </w:tc>
        <w:tc>
          <w:tcPr>
            <w:tcW w:w="1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forward and option</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contracts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7"/>
        </w:trPr>
        <w:tc>
          <w:tcPr>
            <w:tcW w:w="3320" w:type="dxa"/>
            <w:vAlign w:val="bottom"/>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391.0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1,967.1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2,358.1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1,866.6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2,118.8</w:t>
            </w:r>
          </w:p>
        </w:tc>
        <w:tc>
          <w:tcPr>
            <w:tcW w:w="0" w:type="dxa"/>
            <w:vAlign w:val="bottom"/>
          </w:tcPr>
          <w:p>
            <w:pPr>
              <w:spacing w:after="0"/>
              <w:rPr>
                <w:sz w:val="1"/>
                <w:szCs w:val="1"/>
                <w:color w:val="auto"/>
              </w:rPr>
            </w:pPr>
          </w:p>
        </w:tc>
      </w:tr>
      <w:tr>
        <w:trPr>
          <w:trHeight w:val="27"/>
        </w:trPr>
        <w:tc>
          <w:tcPr>
            <w:tcW w:w="332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2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current derivative liabilities, long-term derivative assets and long-term derivative liabilities are included in other current and accrued liabilities, other assets, net, and other long-term liabilities, respectively, in our condensed consolidated balance sheets.</w:t>
      </w:r>
    </w:p>
    <w:p>
      <w:pPr>
        <w:spacing w:after="0" w:line="170" w:lineRule="exact"/>
        <w:rPr>
          <w:rFonts w:ascii="Arial" w:cs="Arial" w:eastAsia="Arial" w:hAnsi="Arial"/>
          <w:sz w:val="18"/>
          <w:szCs w:val="18"/>
          <w:color w:val="auto"/>
        </w:rPr>
      </w:pPr>
    </w:p>
    <w:p>
      <w:pPr>
        <w:jc w:val="both"/>
        <w:ind w:left="500" w:hanging="492"/>
        <w:spacing w:after="0" w:line="255"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9). The changes in the credit risk valuation adjustments associated with our cross-currency and interest rate derivative contracts resulted in a net gain of $47.2 million and $65.9 million during the three months ended March 31, 2018 and 2017, respectively. These amounts are included in realized and unrealized losses on derivative instruments, net, in our condensed consolidated statements of operations. For further information regarding our fair value measurements, see note 7.</w:t>
      </w:r>
    </w:p>
    <w:p>
      <w:pPr>
        <w:spacing w:after="0" w:line="189" w:lineRule="exact"/>
        <w:rPr>
          <w:rFonts w:ascii="Arial" w:cs="Arial" w:eastAsia="Arial" w:hAnsi="Arial"/>
          <w:sz w:val="18"/>
          <w:szCs w:val="18"/>
          <w:color w:val="auto"/>
        </w:rPr>
      </w:pPr>
    </w:p>
    <w:p>
      <w:pPr>
        <w:jc w:val="both"/>
        <w:ind w:left="500" w:hanging="492"/>
        <w:spacing w:after="0" w:line="274"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Our equity-related derivative instruments primarily include the fair value of (i) the share collar (the </w:t>
      </w:r>
      <w:r>
        <w:rPr>
          <w:rFonts w:ascii="Arial" w:cs="Arial" w:eastAsia="Arial" w:hAnsi="Arial"/>
          <w:sz w:val="17"/>
          <w:szCs w:val="17"/>
          <w:b w:val="1"/>
          <w:bCs w:val="1"/>
          <w:color w:val="auto"/>
        </w:rPr>
        <w:t>ITV Collar</w:t>
      </w:r>
      <w:r>
        <w:rPr>
          <w:rFonts w:ascii="Arial" w:cs="Arial" w:eastAsia="Arial" w:hAnsi="Arial"/>
          <w:sz w:val="17"/>
          <w:szCs w:val="17"/>
          <w:color w:val="auto"/>
        </w:rPr>
        <w:t xml:space="preserve">) with respect to ITV shares held by our company, (ii) the share collar (the </w:t>
      </w:r>
      <w:r>
        <w:rPr>
          <w:rFonts w:ascii="Arial" w:cs="Arial" w:eastAsia="Arial" w:hAnsi="Arial"/>
          <w:sz w:val="17"/>
          <w:szCs w:val="17"/>
          <w:b w:val="1"/>
          <w:bCs w:val="1"/>
          <w:color w:val="auto"/>
        </w:rPr>
        <w:t>Sumitomo Collar</w:t>
      </w:r>
      <w:r>
        <w:rPr>
          <w:rFonts w:ascii="Arial" w:cs="Arial" w:eastAsia="Arial" w:hAnsi="Arial"/>
          <w:sz w:val="17"/>
          <w:szCs w:val="17"/>
          <w:color w:val="auto"/>
        </w:rPr>
        <w:t xml:space="preserve">) with respect to a portion of the shares of Sumitomo held by our company and (iii) the prepaid forward transaction (the </w:t>
      </w:r>
      <w:r>
        <w:rPr>
          <w:rFonts w:ascii="Arial" w:cs="Arial" w:eastAsia="Arial" w:hAnsi="Arial"/>
          <w:sz w:val="17"/>
          <w:szCs w:val="17"/>
          <w:b w:val="1"/>
          <w:bCs w:val="1"/>
          <w:color w:val="auto"/>
        </w:rPr>
        <w:t>Lionsgate Forward</w:t>
      </w:r>
      <w:r>
        <w:rPr>
          <w:rFonts w:ascii="Arial" w:cs="Arial" w:eastAsia="Arial" w:hAnsi="Arial"/>
          <w:sz w:val="17"/>
          <w:szCs w:val="17"/>
          <w:color w:val="auto"/>
        </w:rPr>
        <w:t>) with respect to 1.25 million of our voting and 1.25 million of our non-voting Lionsgate shares. The fair values of the ITV Collar, the Sumitomo Collar and the Lionsgate Forward do not include credit risk valuation adjustments as we assume that any losses incurred by our company in the event of nonperformance by the respective counterparty would be, subject to relevant insolvency laws, fully offset against amounts we owe to such counterparty pursuant to the related secured borrowing arrangements.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realized and unrealized losses on derivative instruments, net,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71"/>
              <w:spacing w:after="0"/>
              <w:rPr>
                <w:sz w:val="20"/>
                <w:szCs w:val="20"/>
                <w:color w:val="auto"/>
              </w:rPr>
            </w:pPr>
            <w:r>
              <w:rPr>
                <w:rFonts w:ascii="Arial" w:cs="Arial" w:eastAsia="Arial" w:hAnsi="Arial"/>
                <w:sz w:val="16"/>
                <w:szCs w:val="16"/>
                <w:b w:val="1"/>
                <w:bCs w:val="1"/>
                <w:color w:val="auto"/>
                <w:w w:val="90"/>
              </w:rPr>
              <w:t>Three months ended</w:t>
            </w:r>
          </w:p>
        </w:tc>
      </w:tr>
      <w:tr>
        <w:trPr>
          <w:trHeight w:val="257"/>
        </w:trPr>
        <w:tc>
          <w:tcPr>
            <w:tcW w:w="8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gridSpan w:val="3"/>
          </w:tcPr>
          <w:p>
            <w:pPr>
              <w:jc w:val="center"/>
              <w:ind w:left="493"/>
              <w:spacing w:after="0"/>
              <w:rPr>
                <w:sz w:val="20"/>
                <w:szCs w:val="20"/>
                <w:color w:val="auto"/>
              </w:rPr>
            </w:pPr>
            <w:r>
              <w:rPr>
                <w:rFonts w:ascii="Arial" w:cs="Arial" w:eastAsia="Arial" w:hAnsi="Arial"/>
                <w:sz w:val="16"/>
                <w:szCs w:val="16"/>
                <w:b w:val="1"/>
                <w:bCs w:val="1"/>
                <w:color w:val="auto"/>
                <w:w w:val="97"/>
              </w:rPr>
              <w:t>March 31,</w:t>
            </w:r>
          </w:p>
        </w:tc>
        <w:tc>
          <w:tcPr>
            <w:tcW w:w="860" w:type="dxa"/>
            <w:vAlign w:val="bottom"/>
          </w:tcPr>
          <w:p>
            <w:pPr>
              <w:spacing w:after="0"/>
              <w:rPr>
                <w:sz w:val="22"/>
                <w:szCs w:val="22"/>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center"/>
              <w:ind w:left="493"/>
              <w:spacing w:after="0"/>
              <w:rPr>
                <w:sz w:val="20"/>
                <w:szCs w:val="20"/>
                <w:color w:val="auto"/>
              </w:rPr>
            </w:pPr>
            <w:r>
              <w:rPr>
                <w:rFonts w:ascii="Arial" w:cs="Arial" w:eastAsia="Arial" w:hAnsi="Arial"/>
                <w:sz w:val="16"/>
                <w:szCs w:val="16"/>
                <w:b w:val="1"/>
                <w:bCs w:val="1"/>
                <w:color w:val="auto"/>
                <w:w w:val="90"/>
              </w:rPr>
              <w:t>in millions</w:t>
            </w:r>
          </w:p>
        </w:tc>
        <w:tc>
          <w:tcPr>
            <w:tcW w:w="86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Cross-currency and interest rate derivative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r>
      <w:tr>
        <w:trPr>
          <w:trHeight w:val="223"/>
        </w:trPr>
        <w:tc>
          <w:tcPr>
            <w:tcW w:w="8800" w:type="dxa"/>
            <w:vAlign w:val="bottom"/>
          </w:tcPr>
          <w:p>
            <w:pPr>
              <w:ind w:left="40"/>
              <w:spacing w:after="0"/>
              <w:rPr>
                <w:sz w:val="20"/>
                <w:szCs w:val="20"/>
                <w:color w:val="auto"/>
              </w:rPr>
            </w:pPr>
            <w:r>
              <w:rPr>
                <w:rFonts w:ascii="Arial" w:cs="Arial" w:eastAsia="Arial" w:hAnsi="Arial"/>
                <w:sz w:val="18"/>
                <w:szCs w:val="18"/>
                <w:color w:val="auto"/>
              </w:rPr>
              <w:t>Equity-related derivative instruments: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41"/>
        </w:trPr>
        <w:tc>
          <w:tcPr>
            <w:tcW w:w="8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ITV Collar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Sumitomo Collar</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Lionsgate Forward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equity-related derivative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Foreign currency forward and option contracts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(241.8)</w:t>
            </w:r>
          </w:p>
        </w:tc>
      </w:tr>
      <w:tr>
        <w:trPr>
          <w:trHeight w:val="27"/>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83" w:right="239" w:bottom="184" w:gutter="0" w:footer="0" w:header="0"/>
        </w:sectPr>
      </w:pPr>
    </w:p>
    <w:bookmarkStart w:id="20" w:name="page21"/>
    <w:bookmarkEnd w:id="20"/>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019"/>
          </w:cols>
          <w:pgMar w:left="1440" w:top="125"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For foreign currency forward contracts that are used to hedge capital expenditures, the net cash received or paid is classified as an adjustment to capital expenditures in our condensed consolidated statements of cash flows. For derivative contracts that are terminated prior to maturity, the cash paid or received upon termination that relates to future periods is classified as a financing activity. The following table sets forth the classification of the net cash inflows (outflows) of our derivative instruments: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6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Three months ended</w:t>
            </w:r>
          </w:p>
        </w:tc>
      </w:tr>
      <w:tr>
        <w:trPr>
          <w:trHeight w:val="257"/>
        </w:trPr>
        <w:tc>
          <w:tcPr>
            <w:tcW w:w="8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March 31,</w:t>
            </w:r>
          </w:p>
        </w:tc>
        <w:tc>
          <w:tcPr>
            <w:tcW w:w="860" w:type="dxa"/>
            <w:vAlign w:val="bottom"/>
          </w:tcPr>
          <w:p>
            <w:pPr>
              <w:spacing w:after="0"/>
              <w:rPr>
                <w:sz w:val="22"/>
                <w:szCs w:val="22"/>
                <w:color w:val="auto"/>
              </w:rPr>
            </w:pPr>
          </w:p>
        </w:tc>
      </w:tr>
      <w:tr>
        <w:trPr>
          <w:trHeight w:val="33"/>
        </w:trPr>
        <w:tc>
          <w:tcPr>
            <w:tcW w:w="88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r>
      <w:tr>
        <w:trPr>
          <w:trHeight w:val="33"/>
        </w:trPr>
        <w:tc>
          <w:tcPr>
            <w:tcW w:w="88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in millions</w:t>
            </w:r>
          </w:p>
        </w:tc>
        <w:tc>
          <w:tcPr>
            <w:tcW w:w="86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82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5"/>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82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(150.5)</w:t>
            </w:r>
          </w:p>
        </w:tc>
      </w:tr>
      <w:tr>
        <w:trPr>
          <w:trHeight w:val="27"/>
        </w:trPr>
        <w:tc>
          <w:tcPr>
            <w:tcW w:w="8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5"/>
              </w:rPr>
              <w:t>74.5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With the exception of a limited number of instances where we have required a counterparty to post collateral, neither party has posted collateral under the derivative instruments of our subsidiary borrowing groups. At March 31, 2018, our exposure to counterparty credit risk included derivative assets with an aggregate fair value of $205.3 million.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3"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our Derivative Instruments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Cross-currency Derivative Contracts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noted above, we are exposed to foreign currency exchange rate risk in situations where our debt is denominated in a currency other than the functional currency of the operations whose cash flows support our ability to repay or refinance such debt. Although we generally seek to match the denomination of our subsidiaries’ borrowings with the functional currency of the operations that are supporting the respective borrowings, market conditions or other factors may cause us to enter into borrowing arrangements that are not denominated in the functional currency of the underlying operations (unmatched debt). Our policy is generally to provide for an economic hedge against foreign currency exchange rate movements by using derivative instruments to synthetically convert unmatched debt into the applicable underlying currency. At March 31, 2018,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March 31,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280" w:type="dxa"/>
            <w:vAlign w:val="bottom"/>
            <w:gridSpan w:val="2"/>
          </w:tcPr>
          <w:p>
            <w:pPr>
              <w:jc w:val="center"/>
              <w:ind w:left="11"/>
              <w:spacing w:after="0"/>
              <w:rPr>
                <w:sz w:val="20"/>
                <w:szCs w:val="20"/>
                <w:color w:val="auto"/>
              </w:rPr>
            </w:pPr>
            <w:r>
              <w:rPr>
                <w:rFonts w:ascii="Arial" w:cs="Arial" w:eastAsia="Arial" w:hAnsi="Arial"/>
                <w:sz w:val="16"/>
                <w:szCs w:val="16"/>
                <w:b w:val="1"/>
                <w:bCs w:val="1"/>
                <w:color w:val="auto"/>
                <w:w w:val="93"/>
              </w:rPr>
              <w:t>Notional amount</w:t>
            </w: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due from</w:t>
            </w:r>
          </w:p>
        </w:tc>
        <w:tc>
          <w:tcPr>
            <w:tcW w:w="2040" w:type="dxa"/>
            <w:vAlign w:val="bottom"/>
            <w:gridSpan w:val="2"/>
          </w:tcPr>
          <w:p>
            <w:pPr>
              <w:jc w:val="center"/>
              <w:ind w:left="132"/>
              <w:spacing w:after="0"/>
              <w:rPr>
                <w:sz w:val="20"/>
                <w:szCs w:val="20"/>
                <w:color w:val="auto"/>
              </w:rPr>
            </w:pPr>
            <w:r>
              <w:rPr>
                <w:rFonts w:ascii="Arial" w:cs="Arial" w:eastAsia="Arial" w:hAnsi="Arial"/>
                <w:sz w:val="16"/>
                <w:szCs w:val="16"/>
                <w:b w:val="1"/>
                <w:bCs w:val="1"/>
                <w:color w:val="auto"/>
                <w:w w:val="90"/>
              </w:rPr>
              <w:t>Notional amount due to</w:t>
            </w:r>
          </w:p>
        </w:tc>
        <w:tc>
          <w:tcPr>
            <w:tcW w:w="7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r>
      <w:tr>
        <w:trPr>
          <w:trHeight w:val="210"/>
        </w:trPr>
        <w:tc>
          <w:tcPr>
            <w:tcW w:w="20" w:type="dxa"/>
            <w:vAlign w:val="bottom"/>
          </w:tcPr>
          <w:p>
            <w:pPr>
              <w:spacing w:after="0"/>
              <w:rPr>
                <w:sz w:val="18"/>
                <w:szCs w:val="18"/>
                <w:color w:val="auto"/>
              </w:rPr>
            </w:pPr>
          </w:p>
        </w:tc>
        <w:tc>
          <w:tcPr>
            <w:tcW w:w="6060" w:type="dxa"/>
            <w:vAlign w:val="bottom"/>
            <w:gridSpan w:val="2"/>
          </w:tcPr>
          <w:p>
            <w:pPr>
              <w:ind w:left="20"/>
              <w:spacing w:after="0"/>
              <w:rPr>
                <w:sz w:val="20"/>
                <w:szCs w:val="20"/>
                <w:color w:val="auto"/>
              </w:rPr>
            </w:pPr>
            <w:r>
              <w:rPr>
                <w:rFonts w:ascii="Arial" w:cs="Arial" w:eastAsia="Arial" w:hAnsi="Arial"/>
                <w:sz w:val="16"/>
                <w:szCs w:val="16"/>
                <w:b w:val="1"/>
                <w:bCs w:val="1"/>
                <w:color w:val="auto"/>
              </w:rPr>
              <w:t>Borrowing group</w:t>
            </w:r>
          </w:p>
        </w:tc>
        <w:tc>
          <w:tcPr>
            <w:tcW w:w="1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counterparty</w:t>
            </w:r>
          </w:p>
        </w:tc>
        <w:tc>
          <w:tcPr>
            <w:tcW w:w="2040" w:type="dxa"/>
            <w:vAlign w:val="bottom"/>
            <w:gridSpan w:val="2"/>
          </w:tcPr>
          <w:p>
            <w:pPr>
              <w:jc w:val="center"/>
              <w:ind w:left="132"/>
              <w:spacing w:after="0"/>
              <w:rPr>
                <w:sz w:val="20"/>
                <w:szCs w:val="20"/>
                <w:color w:val="auto"/>
              </w:rPr>
            </w:pPr>
            <w:r>
              <w:rPr>
                <w:rFonts w:ascii="Arial" w:cs="Arial" w:eastAsia="Arial" w:hAnsi="Arial"/>
                <w:sz w:val="16"/>
                <w:szCs w:val="16"/>
                <w:b w:val="1"/>
                <w:bCs w:val="1"/>
                <w:color w:val="auto"/>
                <w:w w:val="91"/>
              </w:rPr>
              <w:t>counterparty</w:t>
            </w:r>
          </w:p>
        </w:tc>
        <w:tc>
          <w:tcPr>
            <w:tcW w:w="7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33"/>
        </w:trPr>
        <w:tc>
          <w:tcPr>
            <w:tcW w:w="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in years</w:t>
            </w:r>
          </w:p>
        </w:tc>
      </w:tr>
      <w:tr>
        <w:trPr>
          <w:trHeight w:val="276"/>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Virgin Media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339.6</w:t>
            </w:r>
          </w:p>
        </w:tc>
        <w:tc>
          <w:tcPr>
            <w:tcW w:w="7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4.8</w:t>
            </w:r>
          </w:p>
        </w:tc>
      </w:tr>
      <w:tr>
        <w:trPr>
          <w:trHeight w:val="243"/>
        </w:trPr>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8,933.0</w:t>
            </w:r>
          </w:p>
        </w:tc>
        <w:tc>
          <w:tcPr>
            <w:tcW w:w="980" w:type="dxa"/>
            <w:vAlign w:val="bottom"/>
          </w:tcPr>
          <w:p>
            <w:pPr>
              <w:ind w:lef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5,844.3</w:t>
            </w:r>
          </w:p>
        </w:tc>
        <w:tc>
          <w:tcPr>
            <w:tcW w:w="780" w:type="dxa"/>
            <w:vAlign w:val="bottom"/>
          </w:tcPr>
          <w:p>
            <w:pPr>
              <w:ind w:left="120"/>
              <w:spacing w:after="0"/>
              <w:rPr>
                <w:sz w:val="20"/>
                <w:szCs w:val="20"/>
                <w:color w:val="auto"/>
              </w:rPr>
            </w:pPr>
            <w:r>
              <w:rPr>
                <w:rFonts w:ascii="Arial" w:cs="Arial" w:eastAsia="Arial" w:hAnsi="Arial"/>
                <w:sz w:val="18"/>
                <w:szCs w:val="18"/>
                <w:color w:val="auto"/>
              </w:rPr>
              <w:t>(a) (b)</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5.5</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2,396.1</w:t>
            </w:r>
          </w:p>
        </w:tc>
        <w:tc>
          <w:tcPr>
            <w:tcW w:w="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3,450.0</w:t>
            </w:r>
          </w:p>
        </w:tc>
        <w:tc>
          <w:tcPr>
            <w:tcW w:w="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6.8</w:t>
            </w:r>
          </w:p>
        </w:tc>
      </w:tr>
      <w:tr>
        <w:trPr>
          <w:trHeight w:val="189"/>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2,765.0</w:t>
            </w:r>
          </w:p>
        </w:tc>
        <w:tc>
          <w:tcPr>
            <w:tcW w:w="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2,276.7</w:t>
            </w:r>
          </w:p>
        </w:tc>
        <w:tc>
          <w:tcPr>
            <w:tcW w:w="7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6.5</w:t>
            </w:r>
          </w:p>
        </w:tc>
      </w:tr>
      <w:tr>
        <w:trPr>
          <w:trHeight w:val="243"/>
        </w:trPr>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1,200.0</w:t>
            </w:r>
          </w:p>
        </w:tc>
        <w:tc>
          <w:tcPr>
            <w:tcW w:w="980" w:type="dxa"/>
            <w:vAlign w:val="bottom"/>
          </w:tcPr>
          <w:p>
            <w:pPr>
              <w:ind w:left="260"/>
              <w:spacing w:after="0"/>
              <w:rPr>
                <w:sz w:val="20"/>
                <w:szCs w:val="20"/>
                <w:color w:val="auto"/>
              </w:rPr>
            </w:pPr>
            <w:r>
              <w:rPr>
                <w:rFonts w:ascii="Arial" w:cs="Arial" w:eastAsia="Arial" w:hAnsi="Arial"/>
                <w:sz w:val="18"/>
                <w:szCs w:val="18"/>
                <w:color w:val="auto"/>
              </w:rPr>
              <w:t>CHF</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1,107.5</w:t>
            </w:r>
          </w:p>
        </w:tc>
        <w:tc>
          <w:tcPr>
            <w:tcW w:w="780" w:type="dxa"/>
            <w:vAlign w:val="bottom"/>
          </w:tcPr>
          <w:p>
            <w:pPr>
              <w:ind w:left="120"/>
              <w:spacing w:after="0"/>
              <w:rPr>
                <w:sz w:val="20"/>
                <w:szCs w:val="20"/>
                <w:color w:val="auto"/>
              </w:rPr>
            </w:pPr>
            <w:r>
              <w:rPr>
                <w:rFonts w:ascii="Arial" w:cs="Arial" w:eastAsia="Arial" w:hAnsi="Arial"/>
                <w:sz w:val="18"/>
                <w:szCs w:val="18"/>
                <w:color w:val="auto"/>
              </w:rPr>
              <w:t>(b)</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7.0</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2,521.2</w:t>
            </w:r>
          </w:p>
        </w:tc>
        <w:tc>
          <w:tcPr>
            <w:tcW w:w="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CHF</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2,901.0</w:t>
            </w:r>
          </w:p>
        </w:tc>
        <w:tc>
          <w:tcPr>
            <w:tcW w:w="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5.7</w:t>
            </w:r>
          </w:p>
        </w:tc>
      </w:tr>
      <w:tr>
        <w:trPr>
          <w:trHeight w:val="243"/>
        </w:trPr>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418.5</w:t>
            </w:r>
          </w:p>
        </w:tc>
        <w:tc>
          <w:tcPr>
            <w:tcW w:w="980" w:type="dxa"/>
            <w:vAlign w:val="bottom"/>
          </w:tcPr>
          <w:p>
            <w:pPr>
              <w:ind w:left="260"/>
              <w:spacing w:after="0"/>
              <w:rPr>
                <w:sz w:val="20"/>
                <w:szCs w:val="20"/>
                <w:color w:val="auto"/>
              </w:rPr>
            </w:pPr>
            <w:r>
              <w:rPr>
                <w:rFonts w:ascii="Arial" w:cs="Arial" w:eastAsia="Arial" w:hAnsi="Arial"/>
                <w:sz w:val="18"/>
                <w:szCs w:val="18"/>
                <w:color w:val="auto"/>
              </w:rPr>
              <w:t>CZK</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11,521.8</w:t>
            </w:r>
          </w:p>
        </w:tc>
        <w:tc>
          <w:tcPr>
            <w:tcW w:w="7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2.3</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HUF</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138,437.5</w:t>
            </w:r>
          </w:p>
        </w:tc>
        <w:tc>
          <w:tcPr>
            <w:tcW w:w="7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3.8</w:t>
            </w:r>
          </w:p>
        </w:tc>
      </w:tr>
      <w:tr>
        <w:trPr>
          <w:trHeight w:val="243"/>
        </w:trPr>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851.6</w:t>
            </w:r>
          </w:p>
        </w:tc>
        <w:tc>
          <w:tcPr>
            <w:tcW w:w="980" w:type="dxa"/>
            <w:vAlign w:val="bottom"/>
          </w:tcPr>
          <w:p>
            <w:pPr>
              <w:ind w:left="260"/>
              <w:spacing w:after="0"/>
              <w:rPr>
                <w:sz w:val="20"/>
                <w:szCs w:val="20"/>
                <w:color w:val="auto"/>
              </w:rPr>
            </w:pPr>
            <w:r>
              <w:rPr>
                <w:rFonts w:ascii="Arial" w:cs="Arial" w:eastAsia="Arial" w:hAnsi="Arial"/>
                <w:sz w:val="18"/>
                <w:szCs w:val="18"/>
                <w:color w:val="auto"/>
              </w:rPr>
              <w:t>PLN</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3,604.5</w:t>
            </w:r>
          </w:p>
        </w:tc>
        <w:tc>
          <w:tcPr>
            <w:tcW w:w="7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3.5</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RON</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650.0</w:t>
            </w:r>
          </w:p>
        </w:tc>
        <w:tc>
          <w:tcPr>
            <w:tcW w:w="7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3.9</w:t>
            </w:r>
          </w:p>
        </w:tc>
      </w:tr>
      <w:tr>
        <w:trPr>
          <w:trHeight w:val="189"/>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Unitymedia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3,155.0</w:t>
            </w:r>
          </w:p>
        </w:tc>
        <w:tc>
          <w:tcPr>
            <w:tcW w:w="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2,603.5</w:t>
            </w:r>
          </w:p>
        </w:tc>
        <w:tc>
          <w:tcPr>
            <w:tcW w:w="7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6.3</w:t>
            </w:r>
          </w:p>
        </w:tc>
      </w:tr>
      <w:tr>
        <w:trPr>
          <w:trHeight w:val="189"/>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3,195.0</w:t>
            </w:r>
          </w:p>
        </w:tc>
        <w:tc>
          <w:tcPr>
            <w:tcW w:w="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2,834.1</w:t>
            </w:r>
          </w:p>
        </w:tc>
        <w:tc>
          <w:tcPr>
            <w:tcW w:w="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7.1</w:t>
            </w: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_______________</w:t>
            </w: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187" w:lineRule="exact"/>
        <w:rPr>
          <w:sz w:val="20"/>
          <w:szCs w:val="20"/>
          <w:color w:val="auto"/>
        </w:rPr>
      </w:pPr>
    </w:p>
    <w:p>
      <w:pPr>
        <w:jc w:val="both"/>
        <w:ind w:left="500" w:hanging="492"/>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certain derivative instruments that do not involve the exchange of notional amounts at the inception and maturity of the instruments. Accordingly, the only cash flows associated with these derivative instruments are coupon-related payments and receipts. At March 31, 2018, the total U.S. dollar equivalents of the notional amount of these derivative instruments was $3.8 billion.</w:t>
      </w:r>
    </w:p>
    <w:p>
      <w:pPr>
        <w:spacing w:after="0" w:line="181"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certain derivative instruments that are “forward-starting,” such that the initial exchange occurs at a date subsequent to March 31, 2018. These instruments are typically entered into in order to extend existing hedges without the need to amend existing contracts.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3"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Swap Contracts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noted above, we enter into interest rate swaps to protect against increases in the interest rates on our variable-rate debt. The following table sets forth the total U.S. dollar equivalents of the notional amounts and the related weighted average remaining contractual lives of our interest rate swap contracts at March 31, 2018: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4"/>
          </w:tcPr>
          <w:p>
            <w:pPr>
              <w:ind w:left="40"/>
              <w:spacing w:after="0"/>
              <w:rPr>
                <w:sz w:val="20"/>
                <w:szCs w:val="20"/>
                <w:color w:val="auto"/>
              </w:rPr>
            </w:pPr>
            <w:r>
              <w:rPr>
                <w:rFonts w:ascii="Arial" w:cs="Arial" w:eastAsia="Arial" w:hAnsi="Arial"/>
                <w:sz w:val="16"/>
                <w:szCs w:val="16"/>
                <w:b w:val="1"/>
                <w:bCs w:val="1"/>
                <w:color w:val="auto"/>
              </w:rPr>
              <w:t>Borrowing group pays fixed rate (a)</w:t>
            </w:r>
          </w:p>
        </w:tc>
        <w:tc>
          <w:tcPr>
            <w:tcW w:w="160" w:type="dxa"/>
            <w:vAlign w:val="bottom"/>
          </w:tcPr>
          <w:p>
            <w:pPr>
              <w:spacing w:after="0"/>
              <w:rPr>
                <w:sz w:val="18"/>
                <w:szCs w:val="18"/>
                <w:color w:val="auto"/>
              </w:rPr>
            </w:pPr>
          </w:p>
        </w:tc>
        <w:tc>
          <w:tcPr>
            <w:tcW w:w="2680" w:type="dxa"/>
            <w:vAlign w:val="bottom"/>
            <w:gridSpan w:val="3"/>
          </w:tcPr>
          <w:p>
            <w:pPr>
              <w:ind w:left="40"/>
              <w:spacing w:after="0"/>
              <w:rPr>
                <w:sz w:val="20"/>
                <w:szCs w:val="20"/>
                <w:color w:val="auto"/>
              </w:rPr>
            </w:pPr>
            <w:r>
              <w:rPr>
                <w:rFonts w:ascii="Arial" w:cs="Arial" w:eastAsia="Arial" w:hAnsi="Arial"/>
                <w:sz w:val="16"/>
                <w:szCs w:val="16"/>
                <w:b w:val="1"/>
                <w:bCs w:val="1"/>
                <w:color w:val="auto"/>
                <w:w w:val="95"/>
              </w:rPr>
              <w:t>Borrowing group receives fixed rate</w:t>
            </w:r>
          </w:p>
        </w:tc>
      </w:tr>
      <w:tr>
        <w:trPr>
          <w:trHeight w:val="33"/>
        </w:trPr>
        <w:tc>
          <w:tcPr>
            <w:tcW w:w="18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18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group</w:t>
            </w: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Notional amount</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 life</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Notional amount</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33"/>
        </w:trPr>
        <w:tc>
          <w:tcPr>
            <w:tcW w:w="184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8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in millions</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 years</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in years</w:t>
            </w:r>
          </w:p>
        </w:tc>
      </w:tr>
      <w:tr>
        <w:trPr>
          <w:trHeight w:val="276"/>
        </w:trPr>
        <w:tc>
          <w:tcPr>
            <w:tcW w:w="18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19,778.6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12,515.8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5.9</w:t>
            </w:r>
          </w:p>
        </w:tc>
      </w:tr>
      <w:tr>
        <w:trPr>
          <w:trHeight w:val="162"/>
        </w:trPr>
        <w:tc>
          <w:tcPr>
            <w:tcW w:w="18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UPC Holding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5,988.0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3,543.8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7.5</w:t>
            </w:r>
          </w:p>
        </w:tc>
      </w:tr>
      <w:tr>
        <w:trPr>
          <w:trHeight w:val="162"/>
        </w:trPr>
        <w:tc>
          <w:tcPr>
            <w:tcW w:w="18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Unitymedia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8,766.1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6,208.0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7.2</w:t>
            </w:r>
          </w:p>
        </w:tc>
      </w:tr>
      <w:tr>
        <w:trPr>
          <w:trHeight w:val="162"/>
        </w:trPr>
        <w:tc>
          <w:tcPr>
            <w:tcW w:w="18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Telenet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3,880.3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1,753.9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5.5</w:t>
            </w:r>
          </w:p>
        </w:tc>
      </w:tr>
      <w:tr>
        <w:trPr>
          <w:trHeight w:val="432"/>
        </w:trPr>
        <w:tc>
          <w:tcPr>
            <w:tcW w:w="1840" w:type="dxa"/>
            <w:vAlign w:val="bottom"/>
          </w:tcPr>
          <w:p>
            <w:pPr>
              <w:spacing w:after="0"/>
              <w:rPr>
                <w:sz w:val="20"/>
                <w:szCs w:val="20"/>
                <w:color w:val="auto"/>
              </w:rPr>
            </w:pPr>
            <w:r>
              <w:rPr>
                <w:rFonts w:ascii="Arial" w:cs="Arial" w:eastAsia="Arial" w:hAnsi="Arial"/>
                <w:sz w:val="18"/>
                <w:szCs w:val="18"/>
                <w:color w:val="auto"/>
              </w:rPr>
              <w:t>_______________</w:t>
            </w:r>
          </w:p>
        </w:tc>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202"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forward-starting derivative instruments.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Swap Options</w:t>
      </w:r>
    </w:p>
    <w:p>
      <w:pPr>
        <w:spacing w:after="0" w:line="221" w:lineRule="exact"/>
        <w:rPr>
          <w:sz w:val="20"/>
          <w:szCs w:val="20"/>
          <w:color w:val="auto"/>
        </w:rPr>
      </w:pPr>
    </w:p>
    <w:p>
      <w:pPr>
        <w:jc w:val="both"/>
        <w:ind w:firstLine="243"/>
        <w:spacing w:after="0" w:line="314" w:lineRule="auto"/>
        <w:rPr>
          <w:sz w:val="20"/>
          <w:szCs w:val="20"/>
          <w:color w:val="auto"/>
        </w:rPr>
      </w:pPr>
      <w:r>
        <w:rPr>
          <w:rFonts w:ascii="Arial" w:cs="Arial" w:eastAsia="Arial" w:hAnsi="Arial"/>
          <w:sz w:val="16"/>
          <w:szCs w:val="16"/>
          <w:color w:val="auto"/>
        </w:rPr>
        <w:t>We have entered into various interest rate swap options (</w:t>
      </w:r>
      <w:r>
        <w:rPr>
          <w:rFonts w:ascii="Arial" w:cs="Arial" w:eastAsia="Arial" w:hAnsi="Arial"/>
          <w:sz w:val="16"/>
          <w:szCs w:val="16"/>
          <w:b w:val="1"/>
          <w:bCs w:val="1"/>
          <w:color w:val="auto"/>
        </w:rPr>
        <w:t>swaptions</w:t>
      </w:r>
      <w:r>
        <w:rPr>
          <w:rFonts w:ascii="Arial" w:cs="Arial" w:eastAsia="Arial" w:hAnsi="Arial"/>
          <w:sz w:val="16"/>
          <w:szCs w:val="16"/>
          <w:color w:val="auto"/>
        </w:rPr>
        <w:t>), which give us the right, but not the obligation, to enter into certain interest rate swap contracts at set dates in the future, with each such contract having a life of no more than three years. At the transaction date, the strike rate of each of these contracts was above the corresponding market rate. The following table sets forth certain information regarding our swaptions at March 31, 2018:</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148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Underlying swap</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option expiration</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538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group</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Notional amount</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currency</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period (a)</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strike rate (b)</w:t>
            </w:r>
          </w:p>
        </w:tc>
      </w:tr>
      <w:tr>
        <w:trPr>
          <w:trHeight w:val="33"/>
        </w:trPr>
        <w:tc>
          <w:tcPr>
            <w:tcW w:w="1960" w:type="dxa"/>
            <w:vAlign w:val="bottom"/>
            <w:tcBorders>
              <w:bottom w:val="single" w:sz="8" w:color="auto"/>
            </w:tcBorders>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19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millions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 years</w:t>
            </w:r>
          </w:p>
        </w:tc>
        <w:tc>
          <w:tcPr>
            <w:tcW w:w="1480" w:type="dxa"/>
            <w:vAlign w:val="bottom"/>
          </w:tcPr>
          <w:p>
            <w:pPr>
              <w:spacing w:after="0"/>
              <w:rPr>
                <w:sz w:val="20"/>
                <w:szCs w:val="20"/>
                <w:color w:val="auto"/>
              </w:rPr>
            </w:pPr>
          </w:p>
        </w:tc>
      </w:tr>
      <w:tr>
        <w:trPr>
          <w:trHeight w:val="276"/>
        </w:trPr>
        <w:tc>
          <w:tcPr>
            <w:tcW w:w="19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7,445.5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2.45%</w:t>
            </w:r>
          </w:p>
        </w:tc>
      </w:tr>
      <w:tr>
        <w:trPr>
          <w:trHeight w:val="243"/>
        </w:trPr>
        <w:tc>
          <w:tcPr>
            <w:tcW w:w="19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878.4</w:t>
            </w:r>
          </w:p>
        </w:tc>
        <w:tc>
          <w:tcPr>
            <w:tcW w:w="120" w:type="dxa"/>
            <w:vAlign w:val="bottom"/>
          </w:tcPr>
          <w:p>
            <w:pPr>
              <w:spacing w:after="0"/>
              <w:rPr>
                <w:sz w:val="21"/>
                <w:szCs w:val="21"/>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1.2</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1.98%</w:t>
            </w:r>
          </w:p>
        </w:tc>
      </w:tr>
      <w:tr>
        <w:trPr>
          <w:trHeight w:val="27"/>
        </w:trPr>
        <w:tc>
          <w:tcPr>
            <w:tcW w:w="19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2"/>
        </w:trPr>
        <w:tc>
          <w:tcPr>
            <w:tcW w:w="1960" w:type="dxa"/>
            <w:vAlign w:val="bottom"/>
            <w:shd w:val="clear" w:color="auto" w:fill="CCEEFF"/>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UPC Holding</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1,376.6</w:t>
            </w:r>
          </w:p>
        </w:tc>
        <w:tc>
          <w:tcPr>
            <w:tcW w:w="120" w:type="dxa"/>
            <w:vAlign w:val="bottom"/>
          </w:tcPr>
          <w:p>
            <w:pPr>
              <w:spacing w:after="0"/>
              <w:rPr>
                <w:sz w:val="21"/>
                <w:szCs w:val="21"/>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CHF</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0.8</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1.22%</w:t>
            </w:r>
          </w:p>
        </w:tc>
      </w:tr>
      <w:tr>
        <w:trPr>
          <w:trHeight w:val="27"/>
        </w:trPr>
        <w:tc>
          <w:tcPr>
            <w:tcW w:w="19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2"/>
        </w:trPr>
        <w:tc>
          <w:tcPr>
            <w:tcW w:w="1960" w:type="dxa"/>
            <w:vAlign w:val="bottom"/>
            <w:shd w:val="clear" w:color="auto" w:fill="CCEEFF"/>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Unitymedia</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4,372.2</w:t>
            </w:r>
          </w:p>
        </w:tc>
        <w:tc>
          <w:tcPr>
            <w:tcW w:w="120" w:type="dxa"/>
            <w:vAlign w:val="bottom"/>
          </w:tcPr>
          <w:p>
            <w:pPr>
              <w:spacing w:after="0"/>
              <w:rPr>
                <w:sz w:val="21"/>
                <w:szCs w:val="21"/>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1.6</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1.93%</w:t>
            </w:r>
          </w:p>
        </w:tc>
      </w:tr>
      <w:tr>
        <w:trPr>
          <w:trHeight w:val="243"/>
        </w:trPr>
        <w:tc>
          <w:tcPr>
            <w:tcW w:w="1960" w:type="dxa"/>
            <w:vAlign w:val="bottom"/>
          </w:tcPr>
          <w:p>
            <w:pPr>
              <w:spacing w:after="0"/>
              <w:rPr>
                <w:sz w:val="20"/>
                <w:szCs w:val="20"/>
                <w:color w:val="auto"/>
              </w:rPr>
            </w:pPr>
            <w:r>
              <w:rPr>
                <w:rFonts w:ascii="Arial" w:cs="Arial" w:eastAsia="Arial" w:hAnsi="Arial"/>
                <w:sz w:val="18"/>
                <w:szCs w:val="18"/>
                <w:color w:val="auto"/>
              </w:rPr>
              <w:t>______________</w:t>
            </w: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202"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weighted average period until the date on which we have the option to enter into the interest rate swap contracts.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weighted average interest rate that we would pay if we exercised our option to enter into the interest rate swap contracts.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Basis Swaps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w:t>
      </w:r>
    </w:p>
    <w:p>
      <w:pPr>
        <w:sectPr>
          <w:pgSz w:w="11900" w:h="16838" w:orient="portrait"/>
          <w:cols w:equalWidth="0" w:num="1">
            <w:col w:w="11420"/>
          </w:cols>
          <w:pgMar w:left="240" w:top="283"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283" w:right="2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ts forth the total U.S. dollar equivalents of the notional amounts and related weighted average remaining contractual lives of our basis swap contracts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Notional amount due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836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group</w:t>
            </w: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from counterparty</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33"/>
        </w:trPr>
        <w:tc>
          <w:tcPr>
            <w:tcW w:w="1840" w:type="dxa"/>
            <w:vAlign w:val="bottom"/>
            <w:tcBorders>
              <w:bottom w:val="single" w:sz="8" w:color="auto"/>
            </w:tcBorders>
          </w:tcPr>
          <w:p>
            <w:pPr>
              <w:spacing w:after="0"/>
              <w:rPr>
                <w:sz w:val="2"/>
                <w:szCs w:val="2"/>
                <w:color w:val="auto"/>
              </w:rPr>
            </w:pPr>
          </w:p>
        </w:tc>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8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in millions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in years</w:t>
            </w:r>
          </w:p>
        </w:tc>
      </w:tr>
      <w:tr>
        <w:trPr>
          <w:trHeight w:val="276"/>
        </w:trPr>
        <w:tc>
          <w:tcPr>
            <w:tcW w:w="18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4,661.5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0.7</w:t>
            </w:r>
          </w:p>
        </w:tc>
      </w:tr>
      <w:tr>
        <w:trPr>
          <w:trHeight w:val="162"/>
        </w:trPr>
        <w:tc>
          <w:tcPr>
            <w:tcW w:w="184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UPC Holding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1,975.0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0.8</w:t>
            </w:r>
          </w:p>
        </w:tc>
      </w:tr>
      <w:tr>
        <w:trPr>
          <w:trHeight w:val="162"/>
        </w:trPr>
        <w:tc>
          <w:tcPr>
            <w:tcW w:w="184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Unitymedia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1,705.0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0.6</w:t>
            </w:r>
          </w:p>
        </w:tc>
      </w:tr>
      <w:tr>
        <w:trPr>
          <w:trHeight w:val="162"/>
        </w:trPr>
        <w:tc>
          <w:tcPr>
            <w:tcW w:w="184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Telenet (a)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0.8</w:t>
            </w:r>
          </w:p>
        </w:tc>
      </w:tr>
      <w:tr>
        <w:trPr>
          <w:trHeight w:val="432"/>
        </w:trPr>
        <w:tc>
          <w:tcPr>
            <w:tcW w:w="1840" w:type="dxa"/>
            <w:vAlign w:val="bottom"/>
          </w:tcPr>
          <w:p>
            <w:pPr>
              <w:spacing w:after="0"/>
              <w:rPr>
                <w:sz w:val="20"/>
                <w:szCs w:val="20"/>
                <w:color w:val="auto"/>
              </w:rPr>
            </w:pPr>
            <w:r>
              <w:rPr>
                <w:rFonts w:ascii="Arial" w:cs="Arial" w:eastAsia="Arial" w:hAnsi="Arial"/>
                <w:sz w:val="18"/>
                <w:szCs w:val="18"/>
                <w:color w:val="auto"/>
              </w:rPr>
              <w:t>_______________</w:t>
            </w:r>
          </w:p>
        </w:tc>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202"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forward-starting derivative instruments.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Caps and Collars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enter into interest rate cap and collar agreements that lock in a maximum interest rate if variable rates rise, but also allow our company to benefit, to a limited extent in the case of collars, from declines in market rates. At March 31, 2018, the total U.S. dollar equivalents of the notional amounts of our interest rate caps and collars were $175.2 million and $697.5 million, respectively.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Impact of Derivative Instruments on Borrowing Costs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impact of the derivative instruments that mitigate our foreign currency and interest rate risk, as described above, on our borrowing costs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88"/>
              </w:rPr>
              <w:t>Increase (decrease) to</w:t>
            </w:r>
          </w:p>
        </w:tc>
      </w:tr>
      <w:tr>
        <w:trPr>
          <w:trHeight w:val="203"/>
        </w:trPr>
        <w:tc>
          <w:tcPr>
            <w:tcW w:w="936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1"/>
              </w:rPr>
              <w:t>borrowing costs at March</w:t>
            </w:r>
          </w:p>
        </w:tc>
      </w:tr>
      <w:tr>
        <w:trPr>
          <w:trHeight w:val="210"/>
        </w:trPr>
        <w:tc>
          <w:tcPr>
            <w:tcW w:w="936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2"/>
              </w:rPr>
              <w:t>31, 2018 (a)</w:t>
            </w:r>
          </w:p>
        </w:tc>
      </w:tr>
      <w:tr>
        <w:trPr>
          <w:trHeight w:val="33"/>
        </w:trPr>
        <w:tc>
          <w:tcPr>
            <w:tcW w:w="93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4"/>
        </w:trPr>
        <w:tc>
          <w:tcPr>
            <w:tcW w:w="936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UPC Holding</w:t>
            </w:r>
          </w:p>
        </w:tc>
        <w:tc>
          <w:tcPr>
            <w:tcW w:w="2060" w:type="dxa"/>
            <w:vAlign w:val="bottom"/>
          </w:tcPr>
          <w:p>
            <w:pPr>
              <w:jc w:val="right"/>
              <w:spacing w:after="0"/>
              <w:rPr>
                <w:sz w:val="20"/>
                <w:szCs w:val="20"/>
                <w:color w:val="auto"/>
              </w:rPr>
            </w:pPr>
            <w:r>
              <w:rPr>
                <w:rFonts w:ascii="Arial" w:cs="Arial" w:eastAsia="Arial" w:hAnsi="Arial"/>
                <w:sz w:val="18"/>
                <w:szCs w:val="18"/>
                <w:color w:val="auto"/>
              </w:rPr>
              <w:t>0.15 %</w:t>
            </w:r>
          </w:p>
        </w:tc>
      </w:tr>
      <w:tr>
        <w:trPr>
          <w:trHeight w:val="27"/>
        </w:trPr>
        <w:tc>
          <w:tcPr>
            <w:tcW w:w="9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Unitymedia</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Telenet</w:t>
            </w:r>
          </w:p>
        </w:tc>
        <w:tc>
          <w:tcPr>
            <w:tcW w:w="2060" w:type="dxa"/>
            <w:vAlign w:val="bottom"/>
          </w:tcPr>
          <w:p>
            <w:pPr>
              <w:jc w:val="right"/>
              <w:spacing w:after="0"/>
              <w:rPr>
                <w:sz w:val="20"/>
                <w:szCs w:val="20"/>
                <w:color w:val="auto"/>
              </w:rPr>
            </w:pPr>
            <w:r>
              <w:rPr>
                <w:rFonts w:ascii="Arial" w:cs="Arial" w:eastAsia="Arial" w:hAnsi="Arial"/>
                <w:sz w:val="18"/>
                <w:szCs w:val="18"/>
                <w:color w:val="auto"/>
              </w:rPr>
              <w:t>(0.33)%</w:t>
            </w:r>
          </w:p>
        </w:tc>
      </w:tr>
      <w:tr>
        <w:trPr>
          <w:trHeight w:val="27"/>
        </w:trPr>
        <w:tc>
          <w:tcPr>
            <w:tcW w:w="9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3"/>
        </w:trPr>
        <w:tc>
          <w:tcPr>
            <w:tcW w:w="9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decrease to borrowing costs</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7"/>
        </w:trPr>
        <w:tc>
          <w:tcPr>
            <w:tcW w:w="93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the effect of derivative instruments in effect at March 31, 2018 and does not include forward-starting derivative instruments or swaptions.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Forwards and Options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Certain of our subsidiaries enter into foreign currency forward and option contracts with respect to non-functional currency exposure. As of March 31, 2018, the total U.S. dollar equivalents of the notional amount of foreign currency forward and option contracts was $1.2 billion.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3"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We use the fair value method to account for (i) certain of our investments, (ii) our derivative instruments, (iii) certain instruments that we classify as debt and (iv) the borrowed shares of Sumitomo pursuant to a securities lending arrangement (the </w:t>
      </w:r>
      <w:r>
        <w:rPr>
          <w:rFonts w:ascii="Arial" w:cs="Arial" w:eastAsia="Arial" w:hAnsi="Arial"/>
          <w:sz w:val="18"/>
          <w:szCs w:val="18"/>
          <w:b w:val="1"/>
          <w:bCs w:val="1"/>
          <w:color w:val="auto"/>
        </w:rPr>
        <w:t>Sumitomo Share Loan</w:t>
      </w:r>
      <w:r>
        <w:rPr>
          <w:rFonts w:ascii="Arial" w:cs="Arial" w:eastAsia="Arial" w:hAnsi="Arial"/>
          <w:sz w:val="18"/>
          <w:szCs w:val="18"/>
          <w:color w:val="auto"/>
        </w:rPr>
        <w:t>). The reported fair values of these investments and instruments as of March 31, 2018 likely will not represent the value that will be paid or received upon the ultimate settlement or disposition of these assets and liabilities.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U.S. 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swaps are quantified and further explained in note 6.</w:t>
      </w:r>
    </w:p>
    <w:p>
      <w:pPr>
        <w:spacing w:after="0" w:line="18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Fair value measurements are also used in connection with nonrecurring valuations performed in connection with acquisition accounting and impairment assessments. The nonrecurring valuations associated with acquisition accounting primarily include the valuation of reporting units, customer relationship and other intangible assets and property and equipment. Unless a reporting unit has a readily determinable fair value, the valuation of reporting units is based at least in part on discounted cash flow analyses. With the exception of certain inputs for our weighted average cost of capital and discount rate calculations that are derived from pricing services, the inputs used in our discounted cash flow analyses, such as forecasts of future cash flows,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Most of our nonrecurring valuations use significant unobservable inputs and therefore fall under Level 3 of the fair value hierarchy. During the three months ended March 31, 2018 and 2017, we did not perform significant nonrecurring fair value measurements.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concerning our fair value measurements, see note 8 to the consolidated financial statements included in our 10-K.</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3"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assets and liabilities that are measured at fair value on a recurring basis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6"/>
          </w:tcPr>
          <w:p>
            <w:pPr>
              <w:jc w:val="center"/>
              <w:ind w:left="1013"/>
              <w:spacing w:after="0"/>
              <w:rPr>
                <w:sz w:val="20"/>
                <w:szCs w:val="20"/>
                <w:color w:val="auto"/>
              </w:rPr>
            </w:pPr>
            <w:r>
              <w:rPr>
                <w:rFonts w:ascii="Arial" w:cs="Arial" w:eastAsia="Arial" w:hAnsi="Arial"/>
                <w:sz w:val="16"/>
                <w:szCs w:val="16"/>
                <w:b w:val="1"/>
                <w:bCs w:val="1"/>
                <w:color w:val="auto"/>
                <w:w w:val="91"/>
              </w:rPr>
              <w:t>Fair value measurements at</w:t>
            </w:r>
          </w:p>
        </w:tc>
        <w:tc>
          <w:tcPr>
            <w:tcW w:w="128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March 31, 2018 using:</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Quoted prices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Significant</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73"/>
              <w:spacing w:after="0"/>
              <w:rPr>
                <w:sz w:val="20"/>
                <w:szCs w:val="20"/>
                <w:color w:val="auto"/>
              </w:rPr>
            </w:pPr>
            <w:r>
              <w:rPr>
                <w:rFonts w:ascii="Arial" w:cs="Arial" w:eastAsia="Arial" w:hAnsi="Arial"/>
                <w:sz w:val="16"/>
                <w:szCs w:val="16"/>
                <w:b w:val="1"/>
                <w:bCs w:val="1"/>
                <w:color w:val="auto"/>
                <w:w w:val="90"/>
              </w:rPr>
              <w:t>in active</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other</w:t>
            </w:r>
          </w:p>
        </w:tc>
        <w:tc>
          <w:tcPr>
            <w:tcW w:w="200" w:type="dxa"/>
            <w:vAlign w:val="bottom"/>
          </w:tcPr>
          <w:p>
            <w:pPr>
              <w:spacing w:after="0"/>
              <w:rPr>
                <w:sz w:val="17"/>
                <w:szCs w:val="17"/>
                <w:color w:val="auto"/>
              </w:rPr>
            </w:pPr>
          </w:p>
        </w:tc>
        <w:tc>
          <w:tcPr>
            <w:tcW w:w="1280" w:type="dxa"/>
            <w:vAlign w:val="bottom"/>
          </w:tcPr>
          <w:p>
            <w:pPr>
              <w:jc w:val="center"/>
              <w:ind w:right="92"/>
              <w:spacing w:after="0"/>
              <w:rPr>
                <w:sz w:val="20"/>
                <w:szCs w:val="20"/>
                <w:color w:val="auto"/>
              </w:rPr>
            </w:pPr>
            <w:r>
              <w:rPr>
                <w:rFonts w:ascii="Arial" w:cs="Arial" w:eastAsia="Arial" w:hAnsi="Arial"/>
                <w:sz w:val="16"/>
                <w:szCs w:val="16"/>
                <w:b w:val="1"/>
                <w:bCs w:val="1"/>
                <w:color w:val="auto"/>
                <w:w w:val="90"/>
              </w:rPr>
              <w:t>Significant</w:t>
            </w: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73"/>
              <w:spacing w:after="0"/>
              <w:rPr>
                <w:sz w:val="20"/>
                <w:szCs w:val="20"/>
                <w:color w:val="auto"/>
              </w:rPr>
            </w:pPr>
            <w:r>
              <w:rPr>
                <w:rFonts w:ascii="Arial" w:cs="Arial" w:eastAsia="Arial" w:hAnsi="Arial"/>
                <w:sz w:val="16"/>
                <w:szCs w:val="16"/>
                <w:b w:val="1"/>
                <w:bCs w:val="1"/>
                <w:color w:val="auto"/>
                <w:w w:val="94"/>
              </w:rPr>
              <w:t>markets for</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7"/>
              </w:rPr>
              <w:t>observable</w:t>
            </w:r>
          </w:p>
        </w:tc>
        <w:tc>
          <w:tcPr>
            <w:tcW w:w="200" w:type="dxa"/>
            <w:vAlign w:val="bottom"/>
          </w:tcPr>
          <w:p>
            <w:pPr>
              <w:spacing w:after="0"/>
              <w:rPr>
                <w:sz w:val="17"/>
                <w:szCs w:val="17"/>
                <w:color w:val="auto"/>
              </w:rPr>
            </w:pPr>
          </w:p>
        </w:tc>
        <w:tc>
          <w:tcPr>
            <w:tcW w:w="1280" w:type="dxa"/>
            <w:vAlign w:val="bottom"/>
          </w:tcPr>
          <w:p>
            <w:pPr>
              <w:jc w:val="center"/>
              <w:ind w:right="112"/>
              <w:spacing w:after="0"/>
              <w:rPr>
                <w:sz w:val="20"/>
                <w:szCs w:val="20"/>
                <w:color w:val="auto"/>
              </w:rPr>
            </w:pPr>
            <w:r>
              <w:rPr>
                <w:rFonts w:ascii="Arial" w:cs="Arial" w:eastAsia="Arial" w:hAnsi="Arial"/>
                <w:sz w:val="16"/>
                <w:szCs w:val="16"/>
                <w:b w:val="1"/>
                <w:bCs w:val="1"/>
                <w:color w:val="auto"/>
                <w:w w:val="88"/>
              </w:rPr>
              <w:t>unobservable</w:t>
            </w: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87"/>
              </w:rPr>
              <w:t>identical assets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inputs</w:t>
            </w:r>
          </w:p>
        </w:tc>
        <w:tc>
          <w:tcPr>
            <w:tcW w:w="200" w:type="dxa"/>
            <w:vAlign w:val="bottom"/>
          </w:tcPr>
          <w:p>
            <w:pPr>
              <w:spacing w:after="0"/>
              <w:rPr>
                <w:sz w:val="17"/>
                <w:szCs w:val="17"/>
                <w:color w:val="auto"/>
              </w:rPr>
            </w:pPr>
          </w:p>
        </w:tc>
        <w:tc>
          <w:tcPr>
            <w:tcW w:w="1280" w:type="dxa"/>
            <w:vAlign w:val="bottom"/>
          </w:tcPr>
          <w:p>
            <w:pPr>
              <w:jc w:val="center"/>
              <w:ind w:right="112"/>
              <w:spacing w:after="0"/>
              <w:rPr>
                <w:sz w:val="20"/>
                <w:szCs w:val="20"/>
                <w:color w:val="auto"/>
              </w:rPr>
            </w:pPr>
            <w:r>
              <w:rPr>
                <w:rFonts w:ascii="Arial" w:cs="Arial" w:eastAsia="Arial" w:hAnsi="Arial"/>
                <w:sz w:val="16"/>
                <w:szCs w:val="16"/>
                <w:b w:val="1"/>
                <w:bCs w:val="1"/>
                <w:color w:val="auto"/>
                <w:w w:val="91"/>
              </w:rPr>
              <w:t>inputs</w:t>
            </w:r>
          </w:p>
        </w:tc>
      </w:tr>
      <w:tr>
        <w:trPr>
          <w:trHeight w:val="176"/>
        </w:trPr>
        <w:tc>
          <w:tcPr>
            <w:tcW w:w="516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Description</w:t>
            </w:r>
          </w:p>
        </w:tc>
        <w:tc>
          <w:tcPr>
            <w:tcW w:w="240" w:type="dxa"/>
            <w:vAlign w:val="bottom"/>
          </w:tcPr>
          <w:p>
            <w:pPr>
              <w:spacing w:after="0"/>
              <w:rPr>
                <w:sz w:val="15"/>
                <w:szCs w:val="15"/>
                <w:color w:val="auto"/>
              </w:rPr>
            </w:pPr>
          </w:p>
        </w:tc>
        <w:tc>
          <w:tcPr>
            <w:tcW w:w="1260" w:type="dxa"/>
            <w:vAlign w:val="bottom"/>
          </w:tcPr>
          <w:p>
            <w:pPr>
              <w:jc w:val="right"/>
              <w:ind w:right="491"/>
              <w:spacing w:after="0" w:line="176"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93"/>
              <w:spacing w:after="0" w:line="176" w:lineRule="exact"/>
              <w:rPr>
                <w:sz w:val="20"/>
                <w:szCs w:val="20"/>
                <w:color w:val="auto"/>
              </w:rPr>
            </w:pPr>
            <w:r>
              <w:rPr>
                <w:rFonts w:ascii="Arial" w:cs="Arial" w:eastAsia="Arial" w:hAnsi="Arial"/>
                <w:sz w:val="16"/>
                <w:szCs w:val="16"/>
                <w:b w:val="1"/>
                <w:bCs w:val="1"/>
                <w:color w:val="auto"/>
                <w:w w:val="92"/>
              </w:rPr>
              <w:t>(Level 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center"/>
              <w:ind w:right="440"/>
              <w:spacing w:after="0" w:line="176" w:lineRule="exact"/>
              <w:rPr>
                <w:sz w:val="20"/>
                <w:szCs w:val="20"/>
                <w:color w:val="auto"/>
              </w:rPr>
            </w:pPr>
            <w:r>
              <w:rPr>
                <w:rFonts w:ascii="Arial" w:cs="Arial" w:eastAsia="Arial" w:hAnsi="Arial"/>
                <w:sz w:val="16"/>
                <w:szCs w:val="16"/>
                <w:b w:val="1"/>
                <w:bCs w:val="1"/>
                <w:color w:val="auto"/>
                <w:w w:val="92"/>
              </w:rPr>
              <w:t>(Level 2)</w:t>
            </w:r>
          </w:p>
        </w:tc>
        <w:tc>
          <w:tcPr>
            <w:tcW w:w="200" w:type="dxa"/>
            <w:vAlign w:val="bottom"/>
          </w:tcPr>
          <w:p>
            <w:pPr>
              <w:spacing w:after="0"/>
              <w:rPr>
                <w:sz w:val="15"/>
                <w:szCs w:val="15"/>
                <w:color w:val="auto"/>
              </w:rPr>
            </w:pPr>
          </w:p>
        </w:tc>
        <w:tc>
          <w:tcPr>
            <w:tcW w:w="1280" w:type="dxa"/>
            <w:vAlign w:val="bottom"/>
          </w:tcPr>
          <w:p>
            <w:pPr>
              <w:jc w:val="center"/>
              <w:ind w:right="112"/>
              <w:spacing w:after="0" w:line="176" w:lineRule="exact"/>
              <w:rPr>
                <w:sz w:val="20"/>
                <w:szCs w:val="20"/>
                <w:color w:val="auto"/>
              </w:rPr>
            </w:pPr>
            <w:r>
              <w:rPr>
                <w:rFonts w:ascii="Arial" w:cs="Arial" w:eastAsia="Arial" w:hAnsi="Arial"/>
                <w:sz w:val="16"/>
                <w:szCs w:val="16"/>
                <w:b w:val="1"/>
                <w:bCs w:val="1"/>
                <w:color w:val="auto"/>
                <w:w w:val="92"/>
              </w:rPr>
              <w:t>(Level 3)</w:t>
            </w:r>
          </w:p>
        </w:tc>
      </w:tr>
      <w:tr>
        <w:trPr>
          <w:trHeight w:val="48"/>
        </w:trPr>
        <w:tc>
          <w:tcPr>
            <w:tcW w:w="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43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17"/>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Cross-currency and interest rate derivative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Equity-related derivative instruments</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705.3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705.3</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forward and option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714.1</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2,288.8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1,828.4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460.4</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1,828.4</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1,174.5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Cross-currency and interest rate derivative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620"/>
              <w:spacing w:after="0"/>
              <w:rPr>
                <w:sz w:val="20"/>
                <w:szCs w:val="20"/>
                <w:color w:val="auto"/>
              </w:rPr>
            </w:pPr>
            <w:r>
              <w:rPr>
                <w:rFonts w:ascii="Arial" w:cs="Arial" w:eastAsia="Arial" w:hAnsi="Arial"/>
                <w:sz w:val="18"/>
                <w:szCs w:val="18"/>
                <w:color w:val="auto"/>
              </w:rPr>
              <w:t>Equity-related derivative instruments</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5.1</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Foreign currency forward and option contracts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5120" w:type="dxa"/>
            <w:vAlign w:val="bottom"/>
            <w:gridSpan w:val="2"/>
          </w:tcPr>
          <w:p>
            <w:pPr>
              <w:ind w:left="460"/>
              <w:spacing w:after="0"/>
              <w:rPr>
                <w:sz w:val="20"/>
                <w:szCs w:val="20"/>
                <w:color w:val="auto"/>
              </w:rPr>
            </w:pPr>
            <w:r>
              <w:rPr>
                <w:rFonts w:ascii="Arial" w:cs="Arial" w:eastAsia="Arial" w:hAnsi="Arial"/>
                <w:sz w:val="18"/>
                <w:szCs w:val="18"/>
                <w:color w:val="auto"/>
              </w:rPr>
              <w:t>Total derivative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2,358.1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2,349.7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Debt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237"/>
        </w:trPr>
        <w:tc>
          <w:tcPr>
            <w:tcW w:w="40" w:type="dxa"/>
            <w:vAlign w:val="bottom"/>
          </w:tcPr>
          <w:p>
            <w:pPr>
              <w:spacing w:after="0"/>
              <w:rPr>
                <w:sz w:val="20"/>
                <w:szCs w:val="20"/>
                <w:color w:val="auto"/>
              </w:rPr>
            </w:pPr>
          </w:p>
        </w:tc>
        <w:tc>
          <w:tcPr>
            <w:tcW w:w="5120" w:type="dxa"/>
            <w:vAlign w:val="bottom"/>
            <w:gridSpan w:val="2"/>
          </w:tcPr>
          <w:p>
            <w:pPr>
              <w:ind w:left="46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3,307.7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615.1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2,684.2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77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7"/>
          </w:tcPr>
          <w:p>
            <w:pPr>
              <w:jc w:val="center"/>
              <w:ind w:left="1013"/>
              <w:spacing w:after="0"/>
              <w:rPr>
                <w:sz w:val="20"/>
                <w:szCs w:val="20"/>
                <w:color w:val="auto"/>
              </w:rPr>
            </w:pPr>
            <w:r>
              <w:rPr>
                <w:rFonts w:ascii="Arial" w:cs="Arial" w:eastAsia="Arial" w:hAnsi="Arial"/>
                <w:sz w:val="16"/>
                <w:szCs w:val="16"/>
                <w:b w:val="1"/>
                <w:bCs w:val="1"/>
                <w:color w:val="auto"/>
                <w:w w:val="91"/>
              </w:rPr>
              <w:t>Fair value measurements at</w:t>
            </w:r>
          </w:p>
        </w:tc>
        <w:tc>
          <w:tcPr>
            <w:tcW w:w="128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40" w:type="dxa"/>
            <w:vAlign w:val="bottom"/>
            <w:gridSpan w:val="6"/>
          </w:tcPr>
          <w:p>
            <w:pPr>
              <w:jc w:val="center"/>
              <w:ind w:right="10"/>
              <w:spacing w:after="0"/>
              <w:rPr>
                <w:sz w:val="20"/>
                <w:szCs w:val="20"/>
                <w:color w:val="auto"/>
              </w:rPr>
            </w:pPr>
            <w:r>
              <w:rPr>
                <w:rFonts w:ascii="Arial" w:cs="Arial" w:eastAsia="Arial" w:hAnsi="Arial"/>
                <w:sz w:val="16"/>
                <w:szCs w:val="16"/>
                <w:b w:val="1"/>
                <w:bCs w:val="1"/>
                <w:color w:val="auto"/>
                <w:w w:val="89"/>
              </w:rPr>
              <w:t>December 31, 2017 using:</w:t>
            </w: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right="33"/>
              <w:spacing w:after="0"/>
              <w:rPr>
                <w:sz w:val="20"/>
                <w:szCs w:val="20"/>
                <w:color w:val="auto"/>
              </w:rPr>
            </w:pPr>
            <w:r>
              <w:rPr>
                <w:rFonts w:ascii="Arial" w:cs="Arial" w:eastAsia="Arial" w:hAnsi="Arial"/>
                <w:sz w:val="16"/>
                <w:szCs w:val="16"/>
                <w:b w:val="1"/>
                <w:bCs w:val="1"/>
                <w:color w:val="auto"/>
                <w:w w:val="89"/>
              </w:rPr>
              <w:t>Quoted prices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Significant</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13"/>
              <w:spacing w:after="0"/>
              <w:rPr>
                <w:sz w:val="20"/>
                <w:szCs w:val="20"/>
                <w:color w:val="auto"/>
              </w:rPr>
            </w:pPr>
            <w:r>
              <w:rPr>
                <w:rFonts w:ascii="Arial" w:cs="Arial" w:eastAsia="Arial" w:hAnsi="Arial"/>
                <w:sz w:val="16"/>
                <w:szCs w:val="16"/>
                <w:b w:val="1"/>
                <w:bCs w:val="1"/>
                <w:color w:val="auto"/>
                <w:w w:val="90"/>
              </w:rPr>
              <w:t>in active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other</w:t>
            </w:r>
          </w:p>
        </w:tc>
        <w:tc>
          <w:tcPr>
            <w:tcW w:w="200" w:type="dxa"/>
            <w:vAlign w:val="bottom"/>
          </w:tcPr>
          <w:p>
            <w:pPr>
              <w:spacing w:after="0"/>
              <w:rPr>
                <w:sz w:val="17"/>
                <w:szCs w:val="17"/>
                <w:color w:val="auto"/>
              </w:rPr>
            </w:pPr>
          </w:p>
        </w:tc>
        <w:tc>
          <w:tcPr>
            <w:tcW w:w="1280" w:type="dxa"/>
            <w:vAlign w:val="bottom"/>
          </w:tcPr>
          <w:p>
            <w:pPr>
              <w:jc w:val="center"/>
              <w:ind w:right="92"/>
              <w:spacing w:after="0"/>
              <w:rPr>
                <w:sz w:val="20"/>
                <w:szCs w:val="20"/>
                <w:color w:val="auto"/>
              </w:rPr>
            </w:pPr>
            <w:r>
              <w:rPr>
                <w:rFonts w:ascii="Arial" w:cs="Arial" w:eastAsia="Arial" w:hAnsi="Arial"/>
                <w:sz w:val="16"/>
                <w:szCs w:val="16"/>
                <w:b w:val="1"/>
                <w:bCs w:val="1"/>
                <w:color w:val="auto"/>
                <w:w w:val="90"/>
              </w:rPr>
              <w:t>Significant</w:t>
            </w: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13"/>
              <w:spacing w:after="0"/>
              <w:rPr>
                <w:sz w:val="20"/>
                <w:szCs w:val="20"/>
                <w:color w:val="auto"/>
              </w:rPr>
            </w:pPr>
            <w:r>
              <w:rPr>
                <w:rFonts w:ascii="Arial" w:cs="Arial" w:eastAsia="Arial" w:hAnsi="Arial"/>
                <w:sz w:val="16"/>
                <w:szCs w:val="16"/>
                <w:b w:val="1"/>
                <w:bCs w:val="1"/>
                <w:color w:val="auto"/>
                <w:w w:val="94"/>
              </w:rPr>
              <w:t>markets for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7"/>
              </w:rPr>
              <w:t>observable</w:t>
            </w:r>
          </w:p>
        </w:tc>
        <w:tc>
          <w:tcPr>
            <w:tcW w:w="200" w:type="dxa"/>
            <w:vAlign w:val="bottom"/>
          </w:tcPr>
          <w:p>
            <w:pPr>
              <w:spacing w:after="0"/>
              <w:rPr>
                <w:sz w:val="17"/>
                <w:szCs w:val="17"/>
                <w:color w:val="auto"/>
              </w:rPr>
            </w:pPr>
          </w:p>
        </w:tc>
        <w:tc>
          <w:tcPr>
            <w:tcW w:w="1280" w:type="dxa"/>
            <w:vAlign w:val="bottom"/>
          </w:tcPr>
          <w:p>
            <w:pPr>
              <w:jc w:val="center"/>
              <w:ind w:right="112"/>
              <w:spacing w:after="0"/>
              <w:rPr>
                <w:sz w:val="20"/>
                <w:szCs w:val="20"/>
                <w:color w:val="auto"/>
              </w:rPr>
            </w:pPr>
            <w:r>
              <w:rPr>
                <w:rFonts w:ascii="Arial" w:cs="Arial" w:eastAsia="Arial" w:hAnsi="Arial"/>
                <w:sz w:val="16"/>
                <w:szCs w:val="16"/>
                <w:b w:val="1"/>
                <w:bCs w:val="1"/>
                <w:color w:val="auto"/>
                <w:w w:val="88"/>
              </w:rPr>
              <w:t>unobservable</w:t>
            </w: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33"/>
              <w:spacing w:after="0"/>
              <w:rPr>
                <w:sz w:val="20"/>
                <w:szCs w:val="20"/>
                <w:color w:val="auto"/>
              </w:rPr>
            </w:pPr>
            <w:r>
              <w:rPr>
                <w:rFonts w:ascii="Arial" w:cs="Arial" w:eastAsia="Arial" w:hAnsi="Arial"/>
                <w:sz w:val="16"/>
                <w:szCs w:val="16"/>
                <w:b w:val="1"/>
                <w:bCs w:val="1"/>
                <w:color w:val="auto"/>
                <w:w w:val="87"/>
              </w:rPr>
              <w:t>identical assets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inputs</w:t>
            </w:r>
          </w:p>
        </w:tc>
        <w:tc>
          <w:tcPr>
            <w:tcW w:w="200" w:type="dxa"/>
            <w:vAlign w:val="bottom"/>
          </w:tcPr>
          <w:p>
            <w:pPr>
              <w:spacing w:after="0"/>
              <w:rPr>
                <w:sz w:val="17"/>
                <w:szCs w:val="17"/>
                <w:color w:val="auto"/>
              </w:rPr>
            </w:pPr>
          </w:p>
        </w:tc>
        <w:tc>
          <w:tcPr>
            <w:tcW w:w="1280" w:type="dxa"/>
            <w:vAlign w:val="bottom"/>
          </w:tcPr>
          <w:p>
            <w:pPr>
              <w:jc w:val="center"/>
              <w:ind w:right="112"/>
              <w:spacing w:after="0"/>
              <w:rPr>
                <w:sz w:val="20"/>
                <w:szCs w:val="20"/>
                <w:color w:val="auto"/>
              </w:rPr>
            </w:pPr>
            <w:r>
              <w:rPr>
                <w:rFonts w:ascii="Arial" w:cs="Arial" w:eastAsia="Arial" w:hAnsi="Arial"/>
                <w:sz w:val="16"/>
                <w:szCs w:val="16"/>
                <w:b w:val="1"/>
                <w:bCs w:val="1"/>
                <w:color w:val="auto"/>
                <w:w w:val="91"/>
              </w:rPr>
              <w:t>inputs</w:t>
            </w:r>
          </w:p>
        </w:tc>
      </w:tr>
      <w:tr>
        <w:trPr>
          <w:trHeight w:val="176"/>
        </w:trPr>
        <w:tc>
          <w:tcPr>
            <w:tcW w:w="516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Description</w:t>
            </w:r>
          </w:p>
        </w:tc>
        <w:tc>
          <w:tcPr>
            <w:tcW w:w="1620" w:type="dxa"/>
            <w:vAlign w:val="bottom"/>
            <w:gridSpan w:val="3"/>
          </w:tcPr>
          <w:p>
            <w:pPr>
              <w:ind w:left="100"/>
              <w:spacing w:after="0" w:line="176" w:lineRule="exact"/>
              <w:rPr>
                <w:sz w:val="20"/>
                <w:szCs w:val="20"/>
                <w:color w:val="auto"/>
              </w:rPr>
            </w:pPr>
            <w:r>
              <w:rPr>
                <w:rFonts w:ascii="Arial" w:cs="Arial" w:eastAsia="Arial" w:hAnsi="Arial"/>
                <w:sz w:val="16"/>
                <w:szCs w:val="16"/>
                <w:b w:val="1"/>
                <w:bCs w:val="1"/>
                <w:color w:val="auto"/>
              </w:rPr>
              <w:t>December 31, 2017</w:t>
            </w:r>
          </w:p>
        </w:tc>
        <w:tc>
          <w:tcPr>
            <w:tcW w:w="180" w:type="dxa"/>
            <w:vAlign w:val="bottom"/>
          </w:tcPr>
          <w:p>
            <w:pPr>
              <w:spacing w:after="0"/>
              <w:rPr>
                <w:sz w:val="15"/>
                <w:szCs w:val="15"/>
                <w:color w:val="auto"/>
              </w:rPr>
            </w:pPr>
          </w:p>
        </w:tc>
        <w:tc>
          <w:tcPr>
            <w:tcW w:w="1240" w:type="dxa"/>
            <w:vAlign w:val="bottom"/>
          </w:tcPr>
          <w:p>
            <w:pPr>
              <w:jc w:val="center"/>
              <w:ind w:right="33"/>
              <w:spacing w:after="0" w:line="176" w:lineRule="exact"/>
              <w:rPr>
                <w:sz w:val="20"/>
                <w:szCs w:val="20"/>
                <w:color w:val="auto"/>
              </w:rPr>
            </w:pPr>
            <w:r>
              <w:rPr>
                <w:rFonts w:ascii="Arial" w:cs="Arial" w:eastAsia="Arial" w:hAnsi="Arial"/>
                <w:sz w:val="16"/>
                <w:szCs w:val="16"/>
                <w:b w:val="1"/>
                <w:bCs w:val="1"/>
                <w:color w:val="auto"/>
                <w:w w:val="92"/>
              </w:rPr>
              <w:t>(Level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center"/>
              <w:ind w:right="440"/>
              <w:spacing w:after="0" w:line="176" w:lineRule="exact"/>
              <w:rPr>
                <w:sz w:val="20"/>
                <w:szCs w:val="20"/>
                <w:color w:val="auto"/>
              </w:rPr>
            </w:pPr>
            <w:r>
              <w:rPr>
                <w:rFonts w:ascii="Arial" w:cs="Arial" w:eastAsia="Arial" w:hAnsi="Arial"/>
                <w:sz w:val="16"/>
                <w:szCs w:val="16"/>
                <w:b w:val="1"/>
                <w:bCs w:val="1"/>
                <w:color w:val="auto"/>
                <w:w w:val="92"/>
              </w:rPr>
              <w:t>(Level 2)</w:t>
            </w:r>
          </w:p>
        </w:tc>
        <w:tc>
          <w:tcPr>
            <w:tcW w:w="200" w:type="dxa"/>
            <w:vAlign w:val="bottom"/>
          </w:tcPr>
          <w:p>
            <w:pPr>
              <w:spacing w:after="0"/>
              <w:rPr>
                <w:sz w:val="15"/>
                <w:szCs w:val="15"/>
                <w:color w:val="auto"/>
              </w:rPr>
            </w:pPr>
          </w:p>
        </w:tc>
        <w:tc>
          <w:tcPr>
            <w:tcW w:w="1280" w:type="dxa"/>
            <w:vAlign w:val="bottom"/>
          </w:tcPr>
          <w:p>
            <w:pPr>
              <w:jc w:val="center"/>
              <w:ind w:right="112"/>
              <w:spacing w:after="0" w:line="176" w:lineRule="exact"/>
              <w:rPr>
                <w:sz w:val="20"/>
                <w:szCs w:val="20"/>
                <w:color w:val="auto"/>
              </w:rPr>
            </w:pPr>
            <w:r>
              <w:rPr>
                <w:rFonts w:ascii="Arial" w:cs="Arial" w:eastAsia="Arial" w:hAnsi="Arial"/>
                <w:sz w:val="16"/>
                <w:szCs w:val="16"/>
                <w:b w:val="1"/>
                <w:bCs w:val="1"/>
                <w:color w:val="auto"/>
                <w:w w:val="92"/>
              </w:rPr>
              <w:t>(Level 3)</w:t>
            </w:r>
          </w:p>
        </w:tc>
      </w:tr>
      <w:tr>
        <w:trPr>
          <w:trHeight w:val="48"/>
        </w:trPr>
        <w:tc>
          <w:tcPr>
            <w:tcW w:w="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43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17"/>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4"/>
          </w:tcPr>
          <w:p>
            <w:pPr>
              <w:jc w:val="right"/>
              <w:spacing w:after="0"/>
              <w:rPr>
                <w:sz w:val="20"/>
                <w:szCs w:val="20"/>
                <w:color w:val="auto"/>
              </w:rPr>
            </w:pPr>
            <w:r>
              <w:rPr>
                <w:rFonts w:ascii="Arial" w:cs="Arial" w:eastAsia="Arial" w:hAnsi="Arial"/>
                <w:sz w:val="16"/>
                <w:szCs w:val="16"/>
                <w:b w:val="1"/>
                <w:bCs w:val="1"/>
                <w:color w:val="auto"/>
              </w:rPr>
              <w:t>in millions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Cross-currency and interest rate derivative contracts</w:t>
            </w: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Equity-related derivative instruments</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560.9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560.9</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forward and option contracts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derivative instruments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568.6</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Investments</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2,315.3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1,908.7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406.6</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1,908.7</w:t>
            </w:r>
          </w:p>
        </w:tc>
        <w:tc>
          <w:tcPr>
            <w:tcW w:w="5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975.2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Cross-currency and interest rate derivative contracts</w:t>
            </w: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620"/>
              <w:spacing w:after="0"/>
              <w:rPr>
                <w:sz w:val="20"/>
                <w:szCs w:val="20"/>
                <w:color w:val="auto"/>
              </w:rPr>
            </w:pPr>
            <w:r>
              <w:rPr>
                <w:rFonts w:ascii="Arial" w:cs="Arial" w:eastAsia="Arial" w:hAnsi="Arial"/>
                <w:sz w:val="18"/>
                <w:szCs w:val="18"/>
                <w:color w:val="auto"/>
              </w:rPr>
              <w:t>Equity-related derivative instruments</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Foreign currency forward and option contracts</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5120" w:type="dxa"/>
            <w:vAlign w:val="bottom"/>
            <w:gridSpan w:val="2"/>
          </w:tcPr>
          <w:p>
            <w:pPr>
              <w:ind w:left="720"/>
              <w:spacing w:after="0"/>
              <w:rPr>
                <w:sz w:val="20"/>
                <w:szCs w:val="20"/>
                <w:color w:val="auto"/>
              </w:rPr>
            </w:pPr>
            <w:r>
              <w:rPr>
                <w:rFonts w:ascii="Arial" w:cs="Arial" w:eastAsia="Arial" w:hAnsi="Arial"/>
                <w:sz w:val="18"/>
                <w:szCs w:val="18"/>
                <w:color w:val="auto"/>
              </w:rPr>
              <w:t>Total derivative instruments</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2,118.8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2,110.2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Debt</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5120" w:type="dxa"/>
            <w:vAlign w:val="bottom"/>
            <w:gridSpan w:val="2"/>
          </w:tcPr>
          <w:p>
            <w:pPr>
              <w:ind w:left="460"/>
              <w:spacing w:after="0"/>
              <w:rPr>
                <w:sz w:val="20"/>
                <w:szCs w:val="20"/>
                <w:color w:val="auto"/>
              </w:rPr>
            </w:pPr>
            <w:r>
              <w:rPr>
                <w:rFonts w:ascii="Arial" w:cs="Arial" w:eastAsia="Arial" w:hAnsi="Arial"/>
                <w:sz w:val="18"/>
                <w:szCs w:val="18"/>
                <w:color w:val="auto"/>
              </w:rPr>
              <w:t>Total liabilities</w:t>
            </w:r>
          </w:p>
        </w:tc>
        <w:tc>
          <w:tcPr>
            <w:tcW w:w="48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3,084.5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2,454.2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reconciliation of the beginning and ending balances of our assets and liabilities measured at fair value on a recurring basis using significant unobservable, or Level 3, inputs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Cross-currency and</w:t>
            </w: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Equity-related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interest rate</w:t>
            </w: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derivative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Arial" w:cs="Arial" w:eastAsia="Arial" w:hAnsi="Arial"/>
                <w:sz w:val="16"/>
                <w:szCs w:val="16"/>
                <w:b w:val="1"/>
                <w:bCs w:val="1"/>
                <w:color w:val="auto"/>
              </w:rPr>
              <w:t>Investments</w:t>
            </w: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derivative contracts</w:t>
            </w: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instruments</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r>
      <w:tr>
        <w:trPr>
          <w:trHeight w:val="33"/>
        </w:trPr>
        <w:tc>
          <w:tcPr>
            <w:tcW w:w="5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5"/>
          </w:tcPr>
          <w:p>
            <w:pPr>
              <w:ind w:left="880"/>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Balance of net assets at January 1, 2018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406.6</w:t>
            </w:r>
          </w:p>
        </w:tc>
        <w:tc>
          <w:tcPr>
            <w:tcW w:w="12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555.5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966.6</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Gains included in net loss (a):</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Realized and unrealized gains on derivative instruments, net</w:t>
            </w:r>
          </w:p>
        </w:tc>
        <w:tc>
          <w:tcPr>
            <w:tcW w:w="2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146.2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Realized and unrealized gains due to changes in fair values of</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52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certain investments and debt, net</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14.7</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ASU 2016-01</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 and other, net</w:t>
            </w:r>
          </w:p>
        </w:tc>
        <w:tc>
          <w:tcPr>
            <w:tcW w:w="2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of net assets at March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3"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283" w:right="2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Most of these net gains relate to assets and liabilities that we continue to carry on our condensed consolidated balance sheet as of March 31, 2018.</w:t>
      </w:r>
    </w:p>
    <w:p>
      <w:pPr>
        <w:spacing w:after="0" w:line="24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u w:val="single" w:color="auto"/>
          <w:color w:val="auto"/>
        </w:rPr>
        <w:t>Long-lived Assets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property and equipment and the related accumulated depreciation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7"/>
                <w:szCs w:val="17"/>
                <w:color w:val="auto"/>
              </w:rPr>
            </w:pPr>
          </w:p>
        </w:tc>
        <w:tc>
          <w:tcPr>
            <w:tcW w:w="1200" w:type="dxa"/>
            <w:vAlign w:val="bottom"/>
          </w:tcPr>
          <w:p>
            <w:pPr>
              <w:jc w:val="right"/>
              <w:ind w:right="132"/>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8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r>
      <w:tr>
        <w:trPr>
          <w:trHeight w:val="33"/>
        </w:trPr>
        <w:tc>
          <w:tcPr>
            <w:tcW w:w="8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r>
      <w:tr>
        <w:trPr>
          <w:trHeight w:val="230"/>
        </w:trPr>
        <w:tc>
          <w:tcPr>
            <w:tcW w:w="8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gridSpan w:val="4"/>
            <w:shd w:val="clear" w:color="auto" w:fill="CCEEFF"/>
          </w:tcPr>
          <w:p>
            <w:pPr>
              <w:jc w:val="right"/>
              <w:ind w:right="952"/>
              <w:spacing w:after="0"/>
              <w:rPr>
                <w:sz w:val="20"/>
                <w:szCs w:val="20"/>
                <w:color w:val="auto"/>
              </w:rPr>
            </w:pPr>
            <w:r>
              <w:rPr>
                <w:rFonts w:ascii="Arial" w:cs="Arial" w:eastAsia="Arial" w:hAnsi="Arial"/>
                <w:sz w:val="16"/>
                <w:szCs w:val="16"/>
                <w:b w:val="1"/>
                <w:bCs w:val="1"/>
                <w:color w:val="auto"/>
              </w:rPr>
              <w:t>in millions</w:t>
            </w:r>
          </w:p>
        </w:tc>
      </w:tr>
      <w:tr>
        <w:trPr>
          <w:trHeight w:val="324"/>
        </w:trPr>
        <w:tc>
          <w:tcPr>
            <w:tcW w:w="8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systems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26,482.9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25,202.2</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Customer premises equipment</w:t>
            </w:r>
          </w:p>
        </w:tc>
        <w:tc>
          <w:tcPr>
            <w:tcW w:w="2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5,930.3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5,617.7</w:t>
            </w: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Support equipment, buildings and land</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5,759.4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5,415.1</w:t>
            </w:r>
          </w:p>
        </w:tc>
      </w:tr>
      <w:tr>
        <w:trPr>
          <w:trHeight w:val="237"/>
        </w:trPr>
        <w:tc>
          <w:tcPr>
            <w:tcW w:w="8520" w:type="dxa"/>
            <w:vAlign w:val="bottom"/>
          </w:tcPr>
          <w:p>
            <w:pPr>
              <w:ind w:left="280"/>
              <w:spacing w:after="0"/>
              <w:rPr>
                <w:sz w:val="20"/>
                <w:szCs w:val="20"/>
                <w:color w:val="auto"/>
              </w:rPr>
            </w:pPr>
            <w:r>
              <w:rPr>
                <w:rFonts w:ascii="Arial" w:cs="Arial" w:eastAsia="Arial" w:hAnsi="Arial"/>
                <w:sz w:val="18"/>
                <w:szCs w:val="18"/>
                <w:color w:val="auto"/>
              </w:rPr>
              <w:t>Total property and equipment, gross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38,172.6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36,235.0</w:t>
            </w: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(16,699.6)</w:t>
            </w:r>
          </w:p>
        </w:tc>
      </w:tr>
      <w:tr>
        <w:trPr>
          <w:trHeight w:val="237"/>
        </w:trPr>
        <w:tc>
          <w:tcPr>
            <w:tcW w:w="8520" w:type="dxa"/>
            <w:vAlign w:val="bottom"/>
          </w:tcPr>
          <w:p>
            <w:pPr>
              <w:ind w:left="50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20,196.3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19,535.4</w:t>
            </w:r>
          </w:p>
        </w:tc>
      </w:tr>
      <w:tr>
        <w:trPr>
          <w:trHeight w:val="27"/>
        </w:trPr>
        <w:tc>
          <w:tcPr>
            <w:tcW w:w="8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three months ended March 31, 2018 and 2017, we recorded non-cash increases to our property and equipment related to vendor financing arrangements of $743.4 million and $614.4 million, respectively, which exclude related VAT of $107.1 million and $97.7 million, respectively, that was also financed by our vendors under these arrangements. In addition, during the three months ended March 31, 2018 and 2017, we recorded non-cash increases to our property and equipment related to assets acquired under capital leases of $29.5 million and $31.4 million, respectively.</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our goodwill during the three months ended March 31, 2018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Foreign</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Acquisitions</w:t>
            </w: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currency</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and related</w:t>
            </w: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translation</w:t>
            </w:r>
          </w:p>
        </w:tc>
        <w:tc>
          <w:tcPr>
            <w:tcW w:w="200" w:type="dxa"/>
            <w:vAlign w:val="bottom"/>
          </w:tcPr>
          <w:p>
            <w:pPr>
              <w:spacing w:after="0"/>
              <w:rPr>
                <w:sz w:val="17"/>
                <w:szCs w:val="17"/>
                <w:color w:val="auto"/>
              </w:rPr>
            </w:pPr>
          </w:p>
        </w:tc>
        <w:tc>
          <w:tcPr>
            <w:tcW w:w="1160" w:type="dxa"/>
            <w:vAlign w:val="bottom"/>
          </w:tcPr>
          <w:p>
            <w:pPr>
              <w:jc w:val="right"/>
              <w:ind w:right="252"/>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January 1, 2018</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adjustments</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adjustments</w:t>
            </w:r>
          </w:p>
        </w:tc>
        <w:tc>
          <w:tcPr>
            <w:tcW w:w="20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r>
      <w:tr>
        <w:trPr>
          <w:trHeight w:val="33"/>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gridSpan w:val="5"/>
            <w:shd w:val="clear" w:color="auto" w:fill="CCEEFF"/>
          </w:tcPr>
          <w:p>
            <w:pPr>
              <w:ind w:left="86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324"/>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8,426.3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Belgium</w:t>
            </w: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2,681.7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2,686.7</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3,511.5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Switzerland/Austria</w:t>
            </w: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2,931.3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2,981.8</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1,381.9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Central and Corporate</w:t>
            </w: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12.3</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18,547.4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19,000.5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283" w:right="2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Intangible Assets Subject to Amortization, Net</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details of our intangible assets subject to amortization, which are included in other assets, net, in our condensed consolidated balance sheets, are set forth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March 31, 2018</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2017</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Gross carrying</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Net carrying</w:t>
            </w: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Accumulated</w:t>
            </w:r>
          </w:p>
        </w:tc>
        <w:tc>
          <w:tcPr>
            <w:tcW w:w="12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Arial" w:cs="Arial" w:eastAsia="Arial" w:hAnsi="Arial"/>
                <w:sz w:val="16"/>
                <w:szCs w:val="16"/>
                <w:b w:val="1"/>
                <w:bCs w:val="1"/>
                <w:color w:val="auto"/>
                <w:w w:val="94"/>
              </w:rPr>
              <w:t>Net carrying</w:t>
            </w:r>
          </w:p>
        </w:tc>
      </w:tr>
      <w:tr>
        <w:trPr>
          <w:trHeight w:val="210"/>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amount</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amortization</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amount</w:t>
            </w:r>
          </w:p>
        </w:tc>
        <w:tc>
          <w:tcPr>
            <w:tcW w:w="30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6"/>
                <w:szCs w:val="16"/>
                <w:b w:val="1"/>
                <w:bCs w:val="1"/>
                <w:color w:val="auto"/>
                <w:w w:val="89"/>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Pr>
          <w:p>
            <w:pPr>
              <w:spacing w:after="0"/>
              <w:rPr>
                <w:sz w:val="18"/>
                <w:szCs w:val="18"/>
                <w:color w:val="auto"/>
              </w:rPr>
            </w:pPr>
          </w:p>
        </w:tc>
        <w:tc>
          <w:tcPr>
            <w:tcW w:w="1020" w:type="dxa"/>
            <w:vAlign w:val="bottom"/>
          </w:tcPr>
          <w:p>
            <w:pPr>
              <w:jc w:val="right"/>
              <w:ind w:right="214"/>
              <w:spacing w:after="0"/>
              <w:rPr>
                <w:sz w:val="20"/>
                <w:szCs w:val="20"/>
                <w:color w:val="auto"/>
              </w:rPr>
            </w:pPr>
            <w:r>
              <w:rPr>
                <w:rFonts w:ascii="Arial" w:cs="Arial" w:eastAsia="Arial" w:hAnsi="Arial"/>
                <w:sz w:val="16"/>
                <w:szCs w:val="16"/>
                <w:b w:val="1"/>
                <w:bCs w:val="1"/>
                <w:color w:val="auto"/>
              </w:rPr>
              <w:t>amount</w:t>
            </w:r>
          </w:p>
        </w:tc>
      </w:tr>
      <w:tr>
        <w:trPr>
          <w:trHeight w:val="33"/>
        </w:trPr>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ind w:left="680"/>
              <w:spacing w:after="0"/>
              <w:rPr>
                <w:sz w:val="20"/>
                <w:szCs w:val="20"/>
                <w:color w:val="auto"/>
              </w:rPr>
            </w:pPr>
            <w:r>
              <w:rPr>
                <w:rFonts w:ascii="Arial" w:cs="Arial" w:eastAsia="Arial" w:hAnsi="Arial"/>
                <w:sz w:val="16"/>
                <w:szCs w:val="16"/>
                <w:b w:val="1"/>
                <w:bCs w:val="1"/>
                <w:color w:val="auto"/>
                <w:w w:val="90"/>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5,095.0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(3,512.8)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1,582.2</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4,862.4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(3,240.3)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1,622.1</w:t>
            </w: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313.3</w:t>
            </w:r>
          </w:p>
        </w:tc>
      </w:tr>
      <w:tr>
        <w:trPr>
          <w:trHeight w:val="237"/>
        </w:trPr>
        <w:tc>
          <w:tcPr>
            <w:tcW w:w="3780" w:type="dxa"/>
            <w:vAlign w:val="bottom"/>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5,650.3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(3,762.5)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1,887.8</w:t>
            </w:r>
          </w:p>
        </w:tc>
        <w:tc>
          <w:tcPr>
            <w:tcW w:w="100" w:type="dxa"/>
            <w:vAlign w:val="bottom"/>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5,405.1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(3,469.7)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1,935.4</w:t>
            </w:r>
          </w:p>
        </w:tc>
      </w:tr>
      <w:tr>
        <w:trPr>
          <w:trHeight w:val="27"/>
        </w:trPr>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72"/>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43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 and Capital Lease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 dollar equivalents of the components of our debt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March 31, 2018</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w w:val="91"/>
              </w:rPr>
              <w:t>Weighted</w:t>
            </w:r>
          </w:p>
        </w:tc>
        <w:tc>
          <w:tcPr>
            <w:tcW w:w="100" w:type="dxa"/>
            <w:vAlign w:val="bottom"/>
          </w:tcPr>
          <w:p>
            <w:pPr>
              <w:spacing w:after="0"/>
              <w:rPr>
                <w:sz w:val="14"/>
                <w:szCs w:val="14"/>
                <w:color w:val="auto"/>
              </w:rPr>
            </w:pPr>
          </w:p>
        </w:tc>
        <w:tc>
          <w:tcPr>
            <w:tcW w:w="2260" w:type="dxa"/>
            <w:vAlign w:val="bottom"/>
            <w:gridSpan w:val="5"/>
            <w:vMerge w:val="restart"/>
          </w:tcPr>
          <w:p>
            <w:pPr>
              <w:ind w:left="80"/>
              <w:spacing w:after="0"/>
              <w:rPr>
                <w:sz w:val="20"/>
                <w:szCs w:val="20"/>
                <w:color w:val="auto"/>
              </w:rPr>
            </w:pPr>
            <w:r>
              <w:rPr>
                <w:rFonts w:ascii="Arial" w:cs="Arial" w:eastAsia="Arial" w:hAnsi="Arial"/>
                <w:sz w:val="15"/>
                <w:szCs w:val="15"/>
                <w:b w:val="1"/>
                <w:bCs w:val="1"/>
                <w:color w:val="auto"/>
                <w:w w:val="98"/>
              </w:rPr>
              <w:t>Unused borrowing capacity (b)</w:t>
            </w:r>
          </w:p>
        </w:tc>
        <w:tc>
          <w:tcPr>
            <w:tcW w:w="260" w:type="dxa"/>
            <w:vAlign w:val="bottom"/>
          </w:tcPr>
          <w:p>
            <w:pPr>
              <w:spacing w:after="0"/>
              <w:rPr>
                <w:sz w:val="14"/>
                <w:szCs w:val="14"/>
                <w:color w:val="auto"/>
              </w:rPr>
            </w:pPr>
          </w:p>
        </w:tc>
        <w:tc>
          <w:tcPr>
            <w:tcW w:w="2340" w:type="dxa"/>
            <w:vAlign w:val="bottom"/>
            <w:gridSpan w:val="6"/>
            <w:vMerge w:val="restart"/>
          </w:tcPr>
          <w:p>
            <w:pPr>
              <w:jc w:val="right"/>
              <w:ind w:right="560"/>
              <w:spacing w:after="0"/>
              <w:rPr>
                <w:sz w:val="20"/>
                <w:szCs w:val="20"/>
                <w:color w:val="auto"/>
              </w:rPr>
            </w:pPr>
            <w:r>
              <w:rPr>
                <w:rFonts w:ascii="Arial" w:cs="Arial" w:eastAsia="Arial" w:hAnsi="Arial"/>
                <w:sz w:val="15"/>
                <w:szCs w:val="15"/>
                <w:b w:val="1"/>
                <w:bCs w:val="1"/>
                <w:color w:val="auto"/>
              </w:rPr>
              <w:t>Estimated fair value (c)</w:t>
            </w:r>
          </w:p>
        </w:tc>
        <w:tc>
          <w:tcPr>
            <w:tcW w:w="260" w:type="dxa"/>
            <w:vAlign w:val="bottom"/>
          </w:tcPr>
          <w:p>
            <w:pPr>
              <w:spacing w:after="0"/>
              <w:rPr>
                <w:sz w:val="14"/>
                <w:szCs w:val="14"/>
                <w:color w:val="auto"/>
              </w:rPr>
            </w:pPr>
          </w:p>
        </w:tc>
        <w:tc>
          <w:tcPr>
            <w:tcW w:w="2220" w:type="dxa"/>
            <w:vAlign w:val="bottom"/>
            <w:gridSpan w:val="4"/>
            <w:vMerge w:val="restart"/>
          </w:tcPr>
          <w:p>
            <w:pPr>
              <w:jc w:val="right"/>
              <w:ind w:right="571"/>
              <w:spacing w:after="0"/>
              <w:rPr>
                <w:sz w:val="20"/>
                <w:szCs w:val="20"/>
                <w:color w:val="auto"/>
              </w:rPr>
            </w:pPr>
            <w:r>
              <w:rPr>
                <w:rFonts w:ascii="Arial" w:cs="Arial" w:eastAsia="Arial" w:hAnsi="Arial"/>
                <w:sz w:val="15"/>
                <w:szCs w:val="15"/>
                <w:b w:val="1"/>
                <w:bCs w:val="1"/>
                <w:color w:val="auto"/>
              </w:rPr>
              <w:t>Principal amount</w:t>
            </w:r>
          </w:p>
        </w:tc>
        <w:tc>
          <w:tcPr>
            <w:tcW w:w="0" w:type="dxa"/>
            <w:vAlign w:val="bottom"/>
          </w:tcPr>
          <w:p>
            <w:pPr>
              <w:spacing w:after="0"/>
              <w:rPr>
                <w:sz w:val="1"/>
                <w:szCs w:val="1"/>
                <w:color w:val="auto"/>
              </w:rPr>
            </w:pPr>
          </w:p>
        </w:tc>
      </w:tr>
      <w:tr>
        <w:trPr>
          <w:trHeight w:val="94"/>
        </w:trPr>
        <w:tc>
          <w:tcPr>
            <w:tcW w:w="2960" w:type="dxa"/>
            <w:vAlign w:val="bottom"/>
          </w:tcPr>
          <w:p>
            <w:pPr>
              <w:spacing w:after="0"/>
              <w:rPr>
                <w:sz w:val="8"/>
                <w:szCs w:val="8"/>
                <w:color w:val="auto"/>
              </w:rPr>
            </w:pPr>
          </w:p>
        </w:tc>
        <w:tc>
          <w:tcPr>
            <w:tcW w:w="1000" w:type="dxa"/>
            <w:vAlign w:val="bottom"/>
            <w:vMerge w:val="restart"/>
          </w:tcPr>
          <w:p>
            <w:pPr>
              <w:jc w:val="center"/>
              <w:spacing w:after="0" w:line="162" w:lineRule="exact"/>
              <w:rPr>
                <w:sz w:val="20"/>
                <w:szCs w:val="20"/>
                <w:color w:val="auto"/>
              </w:rPr>
            </w:pPr>
            <w:r>
              <w:rPr>
                <w:rFonts w:ascii="Arial" w:cs="Arial" w:eastAsia="Arial" w:hAnsi="Arial"/>
                <w:sz w:val="15"/>
                <w:szCs w:val="15"/>
                <w:b w:val="1"/>
                <w:bCs w:val="1"/>
                <w:color w:val="auto"/>
                <w:w w:val="91"/>
              </w:rPr>
              <w:t>average</w:t>
            </w:r>
          </w:p>
        </w:tc>
        <w:tc>
          <w:tcPr>
            <w:tcW w:w="100" w:type="dxa"/>
            <w:vAlign w:val="bottom"/>
          </w:tcPr>
          <w:p>
            <w:pPr>
              <w:spacing w:after="0"/>
              <w:rPr>
                <w:sz w:val="8"/>
                <w:szCs w:val="8"/>
                <w:color w:val="auto"/>
              </w:rPr>
            </w:pPr>
          </w:p>
        </w:tc>
        <w:tc>
          <w:tcPr>
            <w:tcW w:w="2260" w:type="dxa"/>
            <w:vAlign w:val="bottom"/>
            <w:gridSpan w:val="5"/>
            <w:vMerge w:val="continue"/>
          </w:tcPr>
          <w:p>
            <w:pPr>
              <w:spacing w:after="0"/>
              <w:rPr>
                <w:sz w:val="8"/>
                <w:szCs w:val="8"/>
                <w:color w:val="auto"/>
              </w:rPr>
            </w:pPr>
          </w:p>
        </w:tc>
        <w:tc>
          <w:tcPr>
            <w:tcW w:w="260" w:type="dxa"/>
            <w:vAlign w:val="bottom"/>
          </w:tcPr>
          <w:p>
            <w:pPr>
              <w:spacing w:after="0"/>
              <w:rPr>
                <w:sz w:val="8"/>
                <w:szCs w:val="8"/>
                <w:color w:val="auto"/>
              </w:rPr>
            </w:pPr>
          </w:p>
        </w:tc>
        <w:tc>
          <w:tcPr>
            <w:tcW w:w="2340" w:type="dxa"/>
            <w:vAlign w:val="bottom"/>
            <w:gridSpan w:val="6"/>
            <w:vMerge w:val="continue"/>
          </w:tcPr>
          <w:p>
            <w:pPr>
              <w:spacing w:after="0"/>
              <w:rPr>
                <w:sz w:val="8"/>
                <w:szCs w:val="8"/>
                <w:color w:val="auto"/>
              </w:rPr>
            </w:pPr>
          </w:p>
        </w:tc>
        <w:tc>
          <w:tcPr>
            <w:tcW w:w="260" w:type="dxa"/>
            <w:vAlign w:val="bottom"/>
          </w:tcPr>
          <w:p>
            <w:pPr>
              <w:spacing w:after="0"/>
              <w:rPr>
                <w:sz w:val="8"/>
                <w:szCs w:val="8"/>
                <w:color w:val="auto"/>
              </w:rPr>
            </w:pPr>
          </w:p>
        </w:tc>
        <w:tc>
          <w:tcPr>
            <w:tcW w:w="22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9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interest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400"/>
              <w:spacing w:after="0" w:line="162" w:lineRule="exact"/>
              <w:rPr>
                <w:sz w:val="20"/>
                <w:szCs w:val="20"/>
                <w:color w:val="auto"/>
              </w:rPr>
            </w:pPr>
            <w:r>
              <w:rPr>
                <w:rFonts w:ascii="Arial" w:cs="Arial" w:eastAsia="Arial" w:hAnsi="Arial"/>
                <w:sz w:val="15"/>
                <w:szCs w:val="15"/>
                <w:b w:val="1"/>
                <w:bCs w:val="1"/>
                <w:color w:val="auto"/>
                <w:w w:val="93"/>
              </w:rPr>
              <w:t>Borrowing</w:t>
            </w:r>
          </w:p>
        </w:tc>
        <w:tc>
          <w:tcPr>
            <w:tcW w:w="98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U.S. $</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20"/>
              <w:spacing w:after="0" w:line="162" w:lineRule="exact"/>
              <w:rPr>
                <w:sz w:val="20"/>
                <w:szCs w:val="20"/>
                <w:color w:val="auto"/>
              </w:rPr>
            </w:pPr>
            <w:r>
              <w:rPr>
                <w:rFonts w:ascii="Arial" w:cs="Arial" w:eastAsia="Arial" w:hAnsi="Arial"/>
                <w:sz w:val="15"/>
                <w:szCs w:val="15"/>
                <w:b w:val="1"/>
                <w:bCs w:val="1"/>
                <w:color w:val="auto"/>
              </w:rPr>
              <w:t>December 31,</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91"/>
              <w:spacing w:after="0" w:line="162" w:lineRule="exact"/>
              <w:rPr>
                <w:sz w:val="20"/>
                <w:szCs w:val="20"/>
                <w:color w:val="auto"/>
              </w:rPr>
            </w:pPr>
            <w:r>
              <w:rPr>
                <w:rFonts w:ascii="Arial" w:cs="Arial" w:eastAsia="Arial" w:hAnsi="Arial"/>
                <w:sz w:val="15"/>
                <w:szCs w:val="15"/>
                <w:b w:val="1"/>
                <w:bCs w:val="1"/>
                <w:color w:val="auto"/>
                <w:w w:val="90"/>
              </w:rPr>
              <w:t>December 31,</w:t>
            </w: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rate (a)</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5"/>
                <w:szCs w:val="15"/>
                <w:b w:val="1"/>
                <w:bCs w:val="1"/>
                <w:color w:val="auto"/>
                <w:w w:val="91"/>
              </w:rPr>
              <w:t>currency</w:t>
            </w: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5"/>
                <w:szCs w:val="15"/>
                <w:b w:val="1"/>
                <w:bCs w:val="1"/>
                <w:color w:val="auto"/>
                <w:w w:val="91"/>
              </w:rPr>
              <w:t>equivalent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9"/>
              </w:rPr>
              <w:t>March 31, 2018</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5"/>
                <w:szCs w:val="15"/>
                <w:b w:val="1"/>
                <w:bCs w:val="1"/>
                <w:color w:val="auto"/>
              </w:rPr>
              <w:t>2017</w:t>
            </w: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5"/>
                <w:szCs w:val="15"/>
                <w:b w:val="1"/>
                <w:bCs w:val="1"/>
                <w:color w:val="auto"/>
              </w:rPr>
              <w:t>March 31, 2018</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5"/>
                <w:szCs w:val="15"/>
                <w:b w:val="1"/>
                <w:bCs w:val="1"/>
                <w:color w:val="auto"/>
              </w:rPr>
              <w:t>2017</w:t>
            </w:r>
          </w:p>
        </w:tc>
        <w:tc>
          <w:tcPr>
            <w:tcW w:w="0" w:type="dxa"/>
            <w:vAlign w:val="bottom"/>
          </w:tcPr>
          <w:p>
            <w:pPr>
              <w:spacing w:after="0"/>
              <w:rPr>
                <w:sz w:val="1"/>
                <w:szCs w:val="1"/>
                <w:color w:val="auto"/>
              </w:rPr>
            </w:pPr>
          </w:p>
        </w:tc>
      </w:tr>
      <w:tr>
        <w:trPr>
          <w:trHeight w:val="246"/>
        </w:trPr>
        <w:tc>
          <w:tcPr>
            <w:tcW w:w="29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520" w:type="dxa"/>
            <w:vAlign w:val="bottom"/>
            <w:gridSpan w:val="5"/>
          </w:tcPr>
          <w:p>
            <w:pPr>
              <w:spacing w:after="0"/>
              <w:rPr>
                <w:sz w:val="20"/>
                <w:szCs w:val="20"/>
                <w:color w:val="auto"/>
              </w:rPr>
            </w:pPr>
            <w:r>
              <w:rPr>
                <w:rFonts w:ascii="Arial" w:cs="Arial" w:eastAsia="Arial" w:hAnsi="Arial"/>
                <w:sz w:val="15"/>
                <w:szCs w:val="15"/>
                <w:b w:val="1"/>
                <w:bCs w:val="1"/>
                <w:color w:val="auto"/>
              </w:rPr>
              <w:t>in millions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2"/>
        </w:trPr>
        <w:tc>
          <w:tcPr>
            <w:tcW w:w="2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 Notes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9,891.3</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9,987.4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9,750.9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9,565.7</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VM Credit Facilities</w:t>
            </w:r>
          </w:p>
        </w:tc>
        <w:tc>
          <w:tcPr>
            <w:tcW w:w="100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(d)</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946.2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4,889.0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4,681.5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4,869.2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4,676.2</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Unitymedia Notes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5,892.3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5,773.3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5,555.2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5,465.2</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Unitymedia Credit Facilities</w:t>
            </w:r>
          </w:p>
        </w:tc>
        <w:tc>
          <w:tcPr>
            <w:tcW w:w="100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614.6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2,718.7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2,698.4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2,719.0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2,696.8</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UPCB SPE Notes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2,582.6</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UPC Holding Bank Facility</w:t>
            </w:r>
          </w:p>
        </w:tc>
        <w:tc>
          <w:tcPr>
            <w:tcW w:w="100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990.1</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1,216.9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2,596.8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2,576.4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2,589.6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2,576.1</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UPC Holding Senior Notes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1,313.4</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Telenet Credit Facility</w:t>
            </w:r>
          </w:p>
        </w:tc>
        <w:tc>
          <w:tcPr>
            <w:tcW w:w="100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(e)</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846.9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2,211.3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2,188.9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2,197.2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2,177.6</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Telenet Senior Secured Notes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1,721.3</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Telenet SPE Notes</w:t>
            </w:r>
          </w:p>
        </w:tc>
        <w:tc>
          <w:tcPr>
            <w:tcW w:w="100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960.2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1,014.4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893.6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937.7</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financing (f)</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3,768.1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4,039.7</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ITV Collar Loan</w:t>
            </w:r>
          </w:p>
        </w:tc>
        <w:tc>
          <w:tcPr>
            <w:tcW w:w="1000" w:type="dxa"/>
            <w:vAlign w:val="bottom"/>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1,484.6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1,445.8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1,517.1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1,463.8</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Sumitomo Share Loan (g)</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621.7</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w w:val="94"/>
              </w:rPr>
              <w:t>Derivative-related debt instruments (h)</w:t>
            </w:r>
          </w:p>
        </w:tc>
        <w:tc>
          <w:tcPr>
            <w:tcW w:w="100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604.4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612.4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585.6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592.5</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Sumitomo Collar Loan</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Other (i)</w:t>
            </w:r>
          </w:p>
        </w:tc>
        <w:tc>
          <w:tcPr>
            <w:tcW w:w="100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413.4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debt before deferred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financing costs, discounts and</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3,624.6</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41,716.3</w:t>
            </w:r>
          </w:p>
        </w:tc>
        <w:tc>
          <w:tcPr>
            <w:tcW w:w="3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41,859.3</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41,333.1</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41,017.6</w:t>
            </w:r>
          </w:p>
        </w:tc>
        <w:tc>
          <w:tcPr>
            <w:tcW w:w="0" w:type="dxa"/>
            <w:vAlign w:val="bottom"/>
          </w:tcPr>
          <w:p>
            <w:pPr>
              <w:spacing w:after="0"/>
              <w:rPr>
                <w:sz w:val="1"/>
                <w:szCs w:val="1"/>
                <w:color w:val="auto"/>
              </w:rPr>
            </w:pPr>
          </w:p>
        </w:tc>
      </w:tr>
      <w:tr>
        <w:trPr>
          <w:trHeight w:val="237"/>
        </w:trPr>
        <w:tc>
          <w:tcPr>
            <w:tcW w:w="2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premiums</w:t>
            </w:r>
          </w:p>
        </w:tc>
        <w:tc>
          <w:tcPr>
            <w:tcW w:w="10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320" w:type="dxa"/>
            <w:vAlign w:val="bottom"/>
            <w:gridSpan w:val="3"/>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total debt before deferred financing costs, discounts and premiums to total debt and capital lease obligations: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93"/>
              <w:spacing w:after="0"/>
              <w:rPr>
                <w:sz w:val="20"/>
                <w:szCs w:val="20"/>
                <w:color w:val="auto"/>
              </w:rPr>
            </w:pPr>
            <w:r>
              <w:rPr>
                <w:rFonts w:ascii="Arial" w:cs="Arial" w:eastAsia="Arial" w:hAnsi="Arial"/>
                <w:sz w:val="15"/>
                <w:szCs w:val="15"/>
                <w:b w:val="1"/>
                <w:bCs w:val="1"/>
                <w:color w:val="auto"/>
                <w:w w:val="92"/>
              </w:rPr>
              <w:t>December 31,</w:t>
            </w:r>
          </w:p>
        </w:tc>
      </w:tr>
      <w:tr>
        <w:trPr>
          <w:trHeight w:val="202"/>
        </w:trPr>
        <w:tc>
          <w:tcPr>
            <w:tcW w:w="8920" w:type="dxa"/>
            <w:vAlign w:val="bottom"/>
          </w:tcPr>
          <w:p>
            <w:pPr>
              <w:spacing w:after="0"/>
              <w:rPr>
                <w:sz w:val="17"/>
                <w:szCs w:val="17"/>
                <w:color w:val="auto"/>
              </w:rPr>
            </w:pP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5"/>
                <w:szCs w:val="15"/>
                <w:b w:val="1"/>
                <w:bCs w:val="1"/>
                <w:color w:val="auto"/>
              </w:rPr>
              <w:t>March 31, 2018</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5"/>
                <w:szCs w:val="15"/>
                <w:b w:val="1"/>
                <w:bCs w:val="1"/>
                <w:color w:val="auto"/>
              </w:rPr>
              <w:t>2017</w:t>
            </w:r>
          </w:p>
        </w:tc>
      </w:tr>
      <w:tr>
        <w:trPr>
          <w:trHeight w:val="250"/>
        </w:trPr>
        <w:tc>
          <w:tcPr>
            <w:tcW w:w="8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40" w:type="dxa"/>
            <w:vAlign w:val="bottom"/>
            <w:gridSpan w:val="4"/>
          </w:tcPr>
          <w:p>
            <w:pPr>
              <w:jc w:val="right"/>
              <w:ind w:right="813"/>
              <w:spacing w:after="0"/>
              <w:rPr>
                <w:sz w:val="20"/>
                <w:szCs w:val="20"/>
                <w:color w:val="auto"/>
              </w:rPr>
            </w:pPr>
            <w:r>
              <w:rPr>
                <w:rFonts w:ascii="Arial" w:cs="Arial" w:eastAsia="Arial" w:hAnsi="Arial"/>
                <w:sz w:val="15"/>
                <w:szCs w:val="15"/>
                <w:b w:val="1"/>
                <w:bCs w:val="1"/>
                <w:color w:val="auto"/>
              </w:rPr>
              <w:t>in millions</w:t>
            </w:r>
          </w:p>
        </w:tc>
      </w:tr>
      <w:tr>
        <w:trPr>
          <w:trHeight w:val="180"/>
        </w:trPr>
        <w:tc>
          <w:tcPr>
            <w:tcW w:w="8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Total debt before deferred financing costs, discounts and premiums</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41,333.1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41,017.6</w:t>
            </w: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costs, discounts and premiums, net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r>
      <w:tr>
        <w:trPr>
          <w:trHeight w:val="237"/>
        </w:trPr>
        <w:tc>
          <w:tcPr>
            <w:tcW w:w="8920" w:type="dxa"/>
            <w:vAlign w:val="bottom"/>
          </w:tcPr>
          <w:p>
            <w:pPr>
              <w:ind w:left="280"/>
              <w:spacing w:after="0"/>
              <w:rPr>
                <w:sz w:val="20"/>
                <w:szCs w:val="20"/>
                <w:color w:val="auto"/>
              </w:rPr>
            </w:pPr>
            <w:r>
              <w:rPr>
                <w:rFonts w:ascii="Arial" w:cs="Arial" w:eastAsia="Arial" w:hAnsi="Arial"/>
                <w:sz w:val="18"/>
                <w:szCs w:val="18"/>
                <w:color w:val="auto"/>
              </w:rPr>
              <w:t>Total carrying amount of debt</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41,116.4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40,794.4</w:t>
            </w: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 (j)</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1,420.5</w:t>
            </w:r>
          </w:p>
        </w:tc>
      </w:tr>
      <w:tr>
        <w:trPr>
          <w:trHeight w:val="237"/>
        </w:trPr>
        <w:tc>
          <w:tcPr>
            <w:tcW w:w="8920" w:type="dxa"/>
            <w:vAlign w:val="bottom"/>
          </w:tcPr>
          <w:p>
            <w:pPr>
              <w:ind w:left="380"/>
              <w:spacing w:after="0"/>
              <w:rPr>
                <w:sz w:val="20"/>
                <w:szCs w:val="20"/>
                <w:color w:val="auto"/>
              </w:rPr>
            </w:pPr>
            <w:r>
              <w:rPr>
                <w:rFonts w:ascii="Arial" w:cs="Arial" w:eastAsia="Arial" w:hAnsi="Arial"/>
                <w:sz w:val="18"/>
                <w:szCs w:val="18"/>
                <w:color w:val="auto"/>
              </w:rPr>
              <w:t>Total debt and capital lease obligations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42,566.7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42,214.9</w:t>
            </w: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debt and capital lease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(4,165.4)</w:t>
            </w:r>
          </w:p>
        </w:tc>
      </w:tr>
      <w:tr>
        <w:trPr>
          <w:trHeight w:val="257"/>
        </w:trPr>
        <w:tc>
          <w:tcPr>
            <w:tcW w:w="8920" w:type="dxa"/>
            <w:vAlign w:val="bottom"/>
          </w:tcPr>
          <w:p>
            <w:pPr>
              <w:ind w:left="40"/>
              <w:spacing w:after="0"/>
              <w:rPr>
                <w:sz w:val="20"/>
                <w:szCs w:val="20"/>
                <w:color w:val="auto"/>
              </w:rPr>
            </w:pPr>
            <w:r>
              <w:rPr>
                <w:rFonts w:ascii="Arial" w:cs="Arial" w:eastAsia="Arial" w:hAnsi="Arial"/>
                <w:sz w:val="18"/>
                <w:szCs w:val="18"/>
                <w:color w:val="auto"/>
              </w:rPr>
              <w:t>Long-term debt and capital lease obligations</w:t>
            </w: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38,276.0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38,049.5</w:t>
            </w:r>
          </w:p>
        </w:tc>
      </w:tr>
      <w:tr>
        <w:trPr>
          <w:trHeight w:val="20"/>
        </w:trPr>
        <w:tc>
          <w:tcPr>
            <w:tcW w:w="8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500" w:hanging="492"/>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weighted average interest rate in effect at March 31, 2018 for all borrowings outstanding pursuant to each debt instrument, including any applicable margin. The interest rates presented represent stated rates and do not include the</w:t>
      </w:r>
    </w:p>
    <w:p>
      <w:pPr>
        <w:sectPr>
          <w:pgSz w:w="11900" w:h="16838" w:orient="portrait"/>
          <w:cols w:equalWidth="0" w:num="1">
            <w:col w:w="11420"/>
          </w:cols>
          <w:pgMar w:left="240" w:top="283"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283" w:right="2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500"/>
        <w:spacing w:after="0" w:line="306" w:lineRule="auto"/>
        <w:rPr>
          <w:sz w:val="20"/>
          <w:szCs w:val="20"/>
          <w:color w:val="auto"/>
        </w:rPr>
      </w:pPr>
      <w:r>
        <w:rPr>
          <w:rFonts w:ascii="Arial" w:cs="Arial" w:eastAsia="Arial" w:hAnsi="Arial"/>
          <w:sz w:val="18"/>
          <w:szCs w:val="18"/>
          <w:color w:val="auto"/>
        </w:rPr>
        <w:t>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our weighted average interest rate on our aggregate variable- and fixed-rate indebtedness was 4.20% at March 31, 2018. For information regarding our derivative instruments, see note 6.</w:t>
      </w:r>
    </w:p>
    <w:p>
      <w:pPr>
        <w:spacing w:after="0" w:line="160" w:lineRule="exact"/>
        <w:rPr>
          <w:sz w:val="20"/>
          <w:szCs w:val="20"/>
          <w:color w:val="auto"/>
        </w:rPr>
      </w:pPr>
    </w:p>
    <w:p>
      <w:pPr>
        <w:jc w:val="both"/>
        <w:ind w:left="500" w:hanging="492"/>
        <w:spacing w:after="0" w:line="293"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Unused borrowing capacity represents the maximum availability under the applicable facility at March 31, 2018 without regard to covenant compliance calculations or other conditions precedent to borrowing. At March 31, 2018, based on the applicable leverage covenants, the full amount of unused borrowing capacity was available to be borrowed under each of the respective subsidiary facilities, and based on the applicable leverage-based restricted payment tests, there were no restrictions on the respective subsidiary's ability to make loans or distributions from this availability to Liberty Global or its subsidiaries or other equity holders. Upon completion of the relevant March 31, 2018 compliance reporting requirements, we expect that the full amount of unused borrowing capacity will continue to be available and that there will be no restrictions with respect to loans or distributions.</w:t>
      </w:r>
    </w:p>
    <w:p>
      <w:pPr>
        <w:spacing w:after="0" w:line="164" w:lineRule="exact"/>
        <w:rPr>
          <w:rFonts w:ascii="Arial" w:cs="Arial" w:eastAsia="Arial" w:hAnsi="Arial"/>
          <w:sz w:val="16"/>
          <w:szCs w:val="16"/>
          <w:color w:val="auto"/>
        </w:rPr>
      </w:pPr>
    </w:p>
    <w:p>
      <w:pPr>
        <w:jc w:val="both"/>
        <w:ind w:left="500" w:hanging="492"/>
        <w:spacing w:after="0" w:line="302"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estimated fair values of our debt instruments are generally determined using the average of applicable bid and ask prices (mostly Level 1 of the fair value hierarchy) or, when quoted market prices are unavailable or not considered indicative of fair value, discounted cash flow models (mostly Level 2 of the fair value hierarchy). The discount rates used in the cash flow models are based on the market interest rates and estimated credit spreads of the applicable entity, to the extent available, and other relevant factors. For additional information regarding fair value hierarchies, see note 7.</w:t>
      </w:r>
    </w:p>
    <w:p>
      <w:pPr>
        <w:spacing w:after="0" w:line="154" w:lineRule="exact"/>
        <w:rPr>
          <w:rFonts w:ascii="Arial" w:cs="Arial" w:eastAsia="Arial" w:hAnsi="Arial"/>
          <w:sz w:val="16"/>
          <w:szCs w:val="16"/>
          <w:color w:val="auto"/>
        </w:rPr>
      </w:pPr>
    </w:p>
    <w:p>
      <w:pPr>
        <w:ind w:left="820" w:hanging="812"/>
        <w:spacing w:after="0" w:line="255" w:lineRule="auto"/>
        <w:tabs>
          <w:tab w:leader="none" w:pos="4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Unused borrowing capacity under the VM Credit Facilities relates to multi-currency revolving facilities with an aggregate maximum borrowing capacity equivalent to £675.0 million ($946.2 million). In February 2018, the VM Revolving Facility was amended and split into two revolving facilities. VM Revolving Facility A is a multi-currency revolving facility maturing on December 31, 2021 with a maximum borrowing capacity equivalent to £75.0 million ($105.2 million), and VM Revolving Facility B is a multi-currency revolving facility maturing on January 15, 2024 with a maximum borrowing capacity equivalent to £600.0 million ($841.0 million). All other terms from the previously existing VM Revolving Facility continue to apply to the new revolving facilities.</w:t>
      </w:r>
    </w:p>
    <w:p>
      <w:pPr>
        <w:spacing w:after="0" w:line="193" w:lineRule="exact"/>
        <w:rPr>
          <w:rFonts w:ascii="Arial" w:cs="Arial" w:eastAsia="Arial" w:hAnsi="Arial"/>
          <w:sz w:val="18"/>
          <w:szCs w:val="18"/>
          <w:color w:val="auto"/>
        </w:rPr>
      </w:pPr>
    </w:p>
    <w:p>
      <w:pPr>
        <w:ind w:left="820" w:hanging="812"/>
        <w:spacing w:after="0" w:line="286" w:lineRule="auto"/>
        <w:tabs>
          <w:tab w:leader="none" w:pos="4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Unused borrowing capacity under the Telenet Credit Facility comprises (i) €400.0 million ($491.6 million) under Telenet Facility AG, (ii) $300.0 million under the Telenet Facility AL Add-on, as defined and described below, (iii) €25.0 million ($30.7 million) under the Telenet Overdraft Facility and (iv) €20.0 million ($24.6 million) under the Telenet Revolving Facility, each of which were undrawn at March 31, 2018.</w:t>
      </w:r>
    </w:p>
    <w:p>
      <w:pPr>
        <w:spacing w:after="0" w:line="165" w:lineRule="exact"/>
        <w:rPr>
          <w:rFonts w:ascii="Arial" w:cs="Arial" w:eastAsia="Arial" w:hAnsi="Arial"/>
          <w:sz w:val="17"/>
          <w:szCs w:val="17"/>
          <w:color w:val="auto"/>
        </w:rPr>
      </w:pPr>
    </w:p>
    <w:p>
      <w:pPr>
        <w:ind w:left="820" w:hanging="812"/>
        <w:spacing w:after="0" w:line="259" w:lineRule="auto"/>
        <w:tabs>
          <w:tab w:leader="none" w:pos="4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amounts owed pursuant to interest-bearing vendor financing arrangements that are used to finance certain of our property and equipment additions and, to a lesser extent, certain of our operating expenses. These obligations are generally due within one year and include VAT that was paid on our behalf by the vendor. Repayments of vendor financing obligations are included in repayments and repurchases of debt and capital lease obligations in our condensed consolidated statements of cash flows.</w:t>
      </w:r>
    </w:p>
    <w:p>
      <w:pPr>
        <w:spacing w:after="0" w:line="186"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Sumitomo Share Loan is carried at fair value. For information regarding fair value hierarchies, see note 7.</w:t>
      </w:r>
    </w:p>
    <w:p>
      <w:pPr>
        <w:spacing w:after="0" w:line="225" w:lineRule="exact"/>
        <w:rPr>
          <w:rFonts w:ascii="Arial" w:cs="Arial" w:eastAsia="Arial" w:hAnsi="Arial"/>
          <w:sz w:val="18"/>
          <w:szCs w:val="18"/>
          <w:color w:val="auto"/>
        </w:rPr>
      </w:pPr>
    </w:p>
    <w:p>
      <w:pPr>
        <w:ind w:left="820" w:hanging="812"/>
        <w:spacing w:after="0" w:line="264" w:lineRule="auto"/>
        <w:tabs>
          <w:tab w:leader="none" w:pos="4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amounts associated with certain derivative-related borrowing instruments, including $334.5 million and $344.0 million at March 31, 2018 and December 31, 2017, respectively, carried at fair value. These instruments mature at various dates through January 2025. For information regarding fair value hierarchies, see note 7.</w:t>
      </w:r>
    </w:p>
    <w:p>
      <w:pPr>
        <w:spacing w:after="0" w:line="181" w:lineRule="exact"/>
        <w:rPr>
          <w:rFonts w:ascii="Arial" w:cs="Arial" w:eastAsia="Arial" w:hAnsi="Arial"/>
          <w:sz w:val="18"/>
          <w:szCs w:val="18"/>
          <w:color w:val="auto"/>
        </w:rPr>
      </w:pPr>
    </w:p>
    <w:p>
      <w:pPr>
        <w:ind w:left="820" w:hanging="812"/>
        <w:spacing w:after="0" w:line="277" w:lineRule="auto"/>
        <w:tabs>
          <w:tab w:leader="none" w:pos="4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include $158.4 million and $160.9 million at March 31, 2018 and December 31, 2017, respectively, of debt collateralized by certain trade receivables of Virgin Media.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3"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U.S. dollar equivalents of our consolidated capital lease obligations are as follows:</w:t>
      </w:r>
    </w:p>
    <w:p>
      <w:pPr>
        <w:spacing w:after="0" w:line="172" w:lineRule="exact"/>
        <w:rPr>
          <w:sz w:val="20"/>
          <w:szCs w:val="20"/>
          <w:color w:val="auto"/>
        </w:rPr>
      </w:pPr>
    </w:p>
    <w:tbl>
      <w:tblPr>
        <w:tblLayout w:type="fixed"/>
        <w:tblInd w:w="80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72"/>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7740" w:type="dxa"/>
            <w:vAlign w:val="bottom"/>
          </w:tcPr>
          <w:p>
            <w:pPr>
              <w:spacing w:after="0"/>
              <w:rPr>
                <w:sz w:val="18"/>
                <w:szCs w:val="18"/>
                <w:color w:val="auto"/>
              </w:rPr>
            </w:pPr>
          </w:p>
        </w:tc>
        <w:tc>
          <w:tcPr>
            <w:tcW w:w="1360" w:type="dxa"/>
            <w:vAlign w:val="bottom"/>
            <w:gridSpan w:val="3"/>
          </w:tcPr>
          <w:p>
            <w:pPr>
              <w:ind w:left="80"/>
              <w:spacing w:after="0"/>
              <w:rPr>
                <w:sz w:val="20"/>
                <w:szCs w:val="20"/>
                <w:color w:val="auto"/>
              </w:rPr>
            </w:pPr>
            <w:r>
              <w:rPr>
                <w:rFonts w:ascii="Arial" w:cs="Arial" w:eastAsia="Arial" w:hAnsi="Arial"/>
                <w:sz w:val="16"/>
                <w:szCs w:val="16"/>
                <w:b w:val="1"/>
                <w:bCs w:val="1"/>
                <w:color w:val="auto"/>
              </w:rPr>
              <w:t>March 31, 2018</w:t>
            </w:r>
          </w:p>
        </w:tc>
        <w:tc>
          <w:tcPr>
            <w:tcW w:w="120" w:type="dxa"/>
            <w:vAlign w:val="bottom"/>
          </w:tcPr>
          <w:p>
            <w:pPr>
              <w:spacing w:after="0"/>
              <w:rPr>
                <w:sz w:val="18"/>
                <w:szCs w:val="18"/>
                <w:color w:val="auto"/>
              </w:rPr>
            </w:pPr>
          </w:p>
        </w:tc>
        <w:tc>
          <w:tcPr>
            <w:tcW w:w="11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r>
      <w:tr>
        <w:trPr>
          <w:trHeight w:val="33"/>
        </w:trPr>
        <w:tc>
          <w:tcPr>
            <w:tcW w:w="7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r>
      <w:tr>
        <w:trPr>
          <w:trHeight w:val="217"/>
        </w:trPr>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gridSpan w:val="4"/>
          </w:tcPr>
          <w:p>
            <w:pPr>
              <w:jc w:val="right"/>
              <w:ind w:right="852"/>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7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7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Unitymedia</w:t>
            </w:r>
          </w:p>
        </w:tc>
        <w:tc>
          <w:tcPr>
            <w:tcW w:w="360" w:type="dxa"/>
            <w:vAlign w:val="bottom"/>
          </w:tcPr>
          <w:p>
            <w:pPr>
              <w:jc w:val="right"/>
              <w:ind w:right="153"/>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733.6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722.4</w:t>
            </w:r>
          </w:p>
        </w:tc>
      </w:tr>
      <w:tr>
        <w:trPr>
          <w:trHeight w:val="27"/>
        </w:trPr>
        <w:tc>
          <w:tcPr>
            <w:tcW w:w="7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456.1</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UPC Holding</w:t>
            </w:r>
          </w:p>
        </w:tc>
        <w:tc>
          <w:tcPr>
            <w:tcW w:w="3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95.7</w:t>
            </w:r>
          </w:p>
        </w:tc>
      </w:tr>
      <w:tr>
        <w:trPr>
          <w:trHeight w:val="27"/>
        </w:trPr>
        <w:tc>
          <w:tcPr>
            <w:tcW w:w="7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Virgin Media</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Other subsidiaries</w:t>
            </w:r>
          </w:p>
        </w:tc>
        <w:tc>
          <w:tcPr>
            <w:tcW w:w="3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67.2</w:t>
            </w:r>
          </w:p>
        </w:tc>
      </w:tr>
      <w:tr>
        <w:trPr>
          <w:trHeight w:val="27"/>
        </w:trPr>
        <w:tc>
          <w:tcPr>
            <w:tcW w:w="7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1,420.5</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Refinancing Transactions - General Information</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At March 31, 2018, most of our outstanding debt had been incurred by one of our four subsidiary “borrowing groups.” References to these borrowing groups, which comprise Virgin Media, Unitymedia, UPC Holding and Telenet, include their respective restricted parent and subsidiary entities. Below we provide summary descriptions of any financing transactions completed during the first three months of 2018. Unless otherwise noted, the terms and conditions of any new notes and/or credit facilities are largely consistent with those of existing notes and credit facilities of the corresponding borrowing group with regard to covenants, events of default and change of control provisions, among other items. For information regarding the general terms and conditions of our debt and capitalized terms not defined herein, see note 10 to the consolidated financial statements included in our 10-K.</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Telenet Refinancing Transactions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2018, Telenet used existing cash to prepay 10% of the original principal amount of Telenet Funded Facility AB, together with accrued and unpaid interest and the related prepayment premiums, which was owed to Telenet Finance VI and, in turn, Telenet Finance VI used such proceeds to redeem 10% of the original principal amount of the Telenet Finance VI Notes. In connection with this transaction, Telenet recognized a loss on debt modification and extinguishment, net, of $2.6 million related to (i) the payment of $2.0 million of redemption premiums and (ii) the write-off of $0.6 million of unamortized deferred financing costs and discounts.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color w:val="auto"/>
        </w:rPr>
        <w:t xml:space="preserve">In March 2018, commitments under Telenet Facility AL were increased by $300.0 million (the </w:t>
      </w:r>
      <w:r>
        <w:rPr>
          <w:rFonts w:ascii="Arial" w:cs="Arial" w:eastAsia="Arial" w:hAnsi="Arial"/>
          <w:sz w:val="17"/>
          <w:szCs w:val="17"/>
          <w:b w:val="1"/>
          <w:bCs w:val="1"/>
          <w:color w:val="auto"/>
        </w:rPr>
        <w:t>Telenet Facility AL Add-on</w:t>
      </w:r>
      <w:r>
        <w:rPr>
          <w:rFonts w:ascii="Arial" w:cs="Arial" w:eastAsia="Arial" w:hAnsi="Arial"/>
          <w:sz w:val="17"/>
          <w:szCs w:val="17"/>
          <w:color w:val="auto"/>
        </w:rPr>
        <w:t>). The terms of the Telenet Facility AL Add-on are consistent with those of Telenet Facility AL. In April 2018, Telenet drew the full $300.0 million of the Telenet Facility AL Add-on and used the net proceeds, together with existing cash, to prepay in full the €250.0 million ($307.3 million) outstanding principal amount under Telenet Facility V, together with accrued and unpaid interest and the related prepayment premiums, which was owed to Telenet Finance V and, in turn, Telenet Finance V used such proceeds to redeem in full the €250.0 million outstanding principal amount of the Telenet Finance V Notes.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3"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Maturities of Debt and Capital Lease Obligations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Maturities of our debt and capital lease obligations as of March 31, 2018 are presented below for the named entity and its subsidiaries, unless otherwise noted. Amounts presented below represent U.S. dollar equivalents based on March 31, 2018 exchange rates: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Debt: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UPC</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b w:val="1"/>
                <w:bCs w:val="1"/>
                <w:color w:val="auto"/>
              </w:rPr>
              <w:t>Virgin Media</w:t>
            </w:r>
          </w:p>
        </w:tc>
        <w:tc>
          <w:tcPr>
            <w:tcW w:w="14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Unitymedia</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Holding (a)</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Telenet (b)</w:t>
            </w:r>
          </w:p>
        </w:tc>
        <w:tc>
          <w:tcPr>
            <w:tcW w:w="24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000" w:type="dxa"/>
            <w:vAlign w:val="bottom"/>
          </w:tcPr>
          <w:p>
            <w:pPr>
              <w:ind w:left="40"/>
              <w:spacing w:after="0"/>
              <w:rPr>
                <w:sz w:val="20"/>
                <w:szCs w:val="20"/>
                <w:color w:val="auto"/>
              </w:rPr>
            </w:pPr>
            <w:r>
              <w:rPr>
                <w:rFonts w:ascii="Arial" w:cs="Arial" w:eastAsia="Arial" w:hAnsi="Arial"/>
                <w:sz w:val="18"/>
                <w:szCs w:val="18"/>
                <w:color w:val="auto"/>
              </w:rPr>
              <w:t>Year ending December 31:</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2018 (remainder of year)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4,159.4</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360.2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1,402.6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1,657.1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3,095.6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777.6</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979.6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515.1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1,517.4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11,960.2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7,973.0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31,076.5</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8"/>
                <w:szCs w:val="18"/>
                <w:color w:val="auto"/>
              </w:rPr>
              <w:t>Total debt maturities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17,296.6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8,945.6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7,221.8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5,417.6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2,451.5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41,333.1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Deferred financing costs, discounts and premiums, net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8"/>
                <w:szCs w:val="18"/>
                <w:color w:val="auto"/>
              </w:rPr>
              <w:t>Total debt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17,235.0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8,894.9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7,169.4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5,393.1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2,424.0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41,116.4</w:t>
            </w:r>
          </w:p>
        </w:tc>
        <w:tc>
          <w:tcPr>
            <w:tcW w:w="0" w:type="dxa"/>
            <w:vAlign w:val="bottom"/>
          </w:tcPr>
          <w:p>
            <w:pPr>
              <w:spacing w:after="0"/>
              <w:rPr>
                <w:sz w:val="1"/>
                <w:szCs w:val="1"/>
                <w:color w:val="auto"/>
              </w:rPr>
            </w:pPr>
          </w:p>
        </w:tc>
      </w:tr>
      <w:tr>
        <w:trPr>
          <w:trHeight w:val="67"/>
        </w:trPr>
        <w:tc>
          <w:tcPr>
            <w:tcW w:w="40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Current portion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4,150.2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Noncurrent portion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14,909.3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8,449.7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6,552.6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4,656.4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2,398.2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36,966.2</w:t>
            </w:r>
          </w:p>
        </w:tc>
        <w:tc>
          <w:tcPr>
            <w:tcW w:w="0" w:type="dxa"/>
            <w:vAlign w:val="bottom"/>
          </w:tcPr>
          <w:p>
            <w:pPr>
              <w:spacing w:after="0"/>
              <w:rPr>
                <w:sz w:val="1"/>
                <w:szCs w:val="1"/>
                <w:color w:val="auto"/>
              </w:rPr>
            </w:pPr>
          </w:p>
        </w:tc>
      </w:tr>
      <w:tr>
        <w:trPr>
          <w:trHeight w:val="27"/>
        </w:trPr>
        <w:tc>
          <w:tcPr>
            <w:tcW w:w="40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Amounts include certain senior secured notes issued by special purpose financing entities that are consolidated by UPC Holding and Liberty Global.</w:t>
      </w:r>
    </w:p>
    <w:p>
      <w:pPr>
        <w:spacing w:after="0" w:line="248" w:lineRule="exact"/>
        <w:rPr>
          <w:rFonts w:ascii="Arial" w:cs="Arial" w:eastAsia="Arial" w:hAnsi="Arial"/>
          <w:sz w:val="16"/>
          <w:szCs w:val="16"/>
          <w:color w:val="auto"/>
        </w:rPr>
      </w:pPr>
    </w:p>
    <w:p>
      <w:pPr>
        <w:ind w:left="500" w:hanging="492"/>
        <w:spacing w:after="0"/>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Amounts include certain senior secured notes issued by special purpose financing entities that are consolidated by Telenet and Liberty Global.</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3"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Capital lease obligations: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UPC</w:t>
            </w: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Unitymedia</w:t>
            </w:r>
          </w:p>
        </w:tc>
        <w:tc>
          <w:tcPr>
            <w:tcW w:w="2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Telenet</w:t>
            </w:r>
          </w:p>
        </w:tc>
        <w:tc>
          <w:tcPr>
            <w:tcW w:w="2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Holding</w:t>
            </w:r>
          </w:p>
        </w:tc>
        <w:tc>
          <w:tcPr>
            <w:tcW w:w="1240" w:type="dxa"/>
            <w:vAlign w:val="bottom"/>
            <w:gridSpan w:val="3"/>
          </w:tcPr>
          <w:p>
            <w:pPr>
              <w:ind w:left="120"/>
              <w:spacing w:after="0"/>
              <w:rPr>
                <w:sz w:val="20"/>
                <w:szCs w:val="20"/>
                <w:color w:val="auto"/>
              </w:rPr>
            </w:pPr>
            <w:r>
              <w:rPr>
                <w:rFonts w:ascii="Arial" w:cs="Arial" w:eastAsia="Arial" w:hAnsi="Arial"/>
                <w:sz w:val="16"/>
                <w:szCs w:val="16"/>
                <w:b w:val="1"/>
                <w:bCs w:val="1"/>
                <w:color w:val="auto"/>
              </w:rPr>
              <w:t>Virgin Media</w:t>
            </w:r>
          </w:p>
        </w:tc>
        <w:tc>
          <w:tcPr>
            <w:tcW w:w="24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right"/>
              <w:ind w:right="52"/>
              <w:spacing w:after="0"/>
              <w:rPr>
                <w:sz w:val="20"/>
                <w:szCs w:val="20"/>
                <w:color w:val="auto"/>
              </w:rPr>
            </w:pPr>
            <w:r>
              <w:rPr>
                <w:rFonts w:ascii="Arial" w:cs="Arial" w:eastAsia="Arial" w:hAnsi="Arial"/>
                <w:sz w:val="16"/>
                <w:szCs w:val="16"/>
                <w:b w:val="1"/>
                <w:bCs w:val="1"/>
                <w:color w:val="auto"/>
              </w:rPr>
              <w:t>in millions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2018 (remainder of year)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620.7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1,046.6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principal and interest payments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2,211.7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Amounts representing interest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(761.4)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Present value of net minimum lease payments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733.6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Current portion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67"/>
        </w:trPr>
        <w:tc>
          <w:tcPr>
            <w:tcW w:w="40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Noncurrent portion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Non-cash Refinancing Transactions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months ended March 31, 2017, certain of our refinancing transactions included non-cash borrowings and repayments of debt aggregating $2,800.5 million.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3"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0" w:hanging="472"/>
        <w:spacing w:after="0"/>
        <w:tabs>
          <w:tab w:leader="none" w:pos="4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Income tax expense attributable to our loss from continuing operations before income taxes differs from the amounts computed using the applicable income tax rate as a result of the following factors: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71"/>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gridSpan w:val="3"/>
          </w:tcPr>
          <w:p>
            <w:pPr>
              <w:jc w:val="center"/>
              <w:ind w:left="492"/>
              <w:spacing w:after="0"/>
              <w:rPr>
                <w:sz w:val="20"/>
                <w:szCs w:val="20"/>
                <w:color w:val="auto"/>
              </w:rPr>
            </w:pPr>
            <w:r>
              <w:rPr>
                <w:rFonts w:ascii="Arial" w:cs="Arial" w:eastAsia="Arial" w:hAnsi="Arial"/>
                <w:sz w:val="16"/>
                <w:szCs w:val="16"/>
                <w:b w:val="1"/>
                <w:bCs w:val="1"/>
                <w:color w:val="auto"/>
                <w:w w:val="97"/>
              </w:rPr>
              <w:t>March 31,</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center"/>
              <w:ind w:left="492"/>
              <w:spacing w:after="0"/>
              <w:rPr>
                <w:sz w:val="20"/>
                <w:szCs w:val="20"/>
                <w:color w:val="auto"/>
              </w:rPr>
            </w:pPr>
            <w:r>
              <w:rPr>
                <w:rFonts w:ascii="Arial" w:cs="Arial" w:eastAsia="Arial" w:hAnsi="Arial"/>
                <w:sz w:val="16"/>
                <w:szCs w:val="16"/>
                <w:b w:val="1"/>
                <w:bCs w:val="1"/>
                <w:color w:val="auto"/>
                <w:w w:val="90"/>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Computed “expected” tax benefit (a)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Mandatory Repatriation Tax (b)</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allowances (b) (c):</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Benefit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553.4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Non-deductible or non-taxable foreign currency exchange results (c):</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Benefit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or non-taxable interest and other items (c):</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6"/>
              </w:rPr>
              <w:t>Basis and other differences in the treatment of items associated with investments in subsidiaries and affiliates (c):</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Benefit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rate differences (c) (d):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Recognition of previously unrecognized tax benefits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income tax expense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7"/>
        </w:trPr>
        <w:tc>
          <w:tcPr>
            <w:tcW w:w="88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statutory or “expected” tax rates are U.K. rates of 19.0% for the 2018 period and 19.25% for the 2017 period. The statutory rate for the 2017 period represents the blended rate in effect for the year ended December 31, 2017 based on the 20.0% statutory rate that was in effect for the first quarter of 2017 and the 19.0% statutory rate that was in effect for the remainder of 2017.</w:t>
      </w:r>
    </w:p>
    <w:p>
      <w:pPr>
        <w:spacing w:after="0" w:line="181" w:lineRule="exact"/>
        <w:rPr>
          <w:rFonts w:ascii="Arial" w:cs="Arial" w:eastAsia="Arial" w:hAnsi="Arial"/>
          <w:sz w:val="18"/>
          <w:szCs w:val="18"/>
          <w:color w:val="auto"/>
        </w:rPr>
      </w:pPr>
    </w:p>
    <w:p>
      <w:pPr>
        <w:jc w:val="both"/>
        <w:ind w:left="500" w:hanging="492"/>
        <w:spacing w:after="0" w:line="286"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As further discussed below, the liability we have recorded for the Mandatory Repatriation Tax (as defined and described below) is significantly lower than the amount included in our income tax expense due primarily to the expected use of carryforward tax attributes in the U.S., all of which were subject to valuation allowances prior to the recognition of the Mandatory Repatriation Tax during the first quarter of 2018.</w:t>
      </w:r>
    </w:p>
    <w:p>
      <w:pPr>
        <w:spacing w:after="0" w:line="165"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Country jurisdictions giving rise to income tax benefits are grouped together and shown separately from country jurisdictions giving rise to income tax expenses.</w:t>
      </w:r>
    </w:p>
    <w:p>
      <w:pPr>
        <w:spacing w:after="0" w:line="170"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reflect adjustments (either a benefit or an expense) to the “expected” tax benefit for statutory rates in jurisdictions in which we operate outside of the U.K.</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283" w:right="2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color w:val="auto"/>
        </w:rPr>
        <w:t xml:space="preserve">The Tax Cuts and Jobs Act (the </w:t>
      </w:r>
      <w:r>
        <w:rPr>
          <w:rFonts w:ascii="Arial" w:cs="Arial" w:eastAsia="Arial" w:hAnsi="Arial"/>
          <w:sz w:val="17"/>
          <w:szCs w:val="17"/>
          <w:b w:val="1"/>
          <w:bCs w:val="1"/>
          <w:color w:val="auto"/>
        </w:rPr>
        <w:t>2017 U.S. Tax Act</w:t>
      </w:r>
      <w:r>
        <w:rPr>
          <w:rFonts w:ascii="Arial" w:cs="Arial" w:eastAsia="Arial" w:hAnsi="Arial"/>
          <w:sz w:val="17"/>
          <w:szCs w:val="17"/>
          <w:color w:val="auto"/>
        </w:rPr>
        <w:t xml:space="preserve">) was signed into law on December 22, 2017. In addition to lowering the U.S. corporate tax rate from 35% to 21% effective January 1, 2018, the 2017 U.S. Tax Act contains significant changes to the U.S. income tax regime, including (i) changes to the formation and use of net operating losses incurred after December 31, 2017, (ii) changes to the income tax deductibility of certain business expenses, including interest expense and compensation paid to certain executive officers, (iii) the imposition of taxes on a one-time deemed mandatory repatriation of earnings and profits of foreign corporations (the </w:t>
      </w:r>
      <w:r>
        <w:rPr>
          <w:rFonts w:ascii="Arial" w:cs="Arial" w:eastAsia="Arial" w:hAnsi="Arial"/>
          <w:sz w:val="17"/>
          <w:szCs w:val="17"/>
          <w:b w:val="1"/>
          <w:bCs w:val="1"/>
          <w:color w:val="auto"/>
        </w:rPr>
        <w:t>Mandatory Repatriation Tax</w:t>
      </w:r>
      <w:r>
        <w:rPr>
          <w:rFonts w:ascii="Arial" w:cs="Arial" w:eastAsia="Arial" w:hAnsi="Arial"/>
          <w:sz w:val="17"/>
          <w:szCs w:val="17"/>
          <w:color w:val="auto"/>
        </w:rPr>
        <w:t>) and (iv) a new tax on global intangible low-taxed income.</w:t>
      </w:r>
    </w:p>
    <w:p>
      <w:pPr>
        <w:spacing w:after="0" w:line="17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Mandatory Repatriation Tax requires that the aggregate post-1986 earnings and profits of our foreign corporations be included in our U.S. taxable income. The one-time repatriation of undistributed foreign earnings and profits is then taxed at a rate of 15.5% for cash earnings and 8% for non-cash earnings, both as defined in the 2017 U.S. Tax Act, and is payable, interest free, over an eight year period according to a prescribed payment schedule with 45% of the tax due in the last two years. At March 31, 2018, we have recorded an estimate of our liability for the Mandatory Repatriation Tax of $417.9 million after considering the expected use of carryforward tax attributes and other filing positions. As the calculations and application of the tax laws underlying the Mandatory Repatriation Tax are complex and given we are continuing to evaluate various historical transactions and analyze substantial information that supports our ownership structure and the operating history of our foreign subsidiaries, our estimate is subject to change during the remaining quarters of 2018.</w:t>
      </w:r>
    </w:p>
    <w:p>
      <w:pPr>
        <w:spacing w:after="0" w:line="19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At March 31, 2018, our unrecognized tax benefits of $790.5 million included $573.7 million of tax benefits that would have a favorable impact on our effective income tax rate if ultimately recognized, after considering amounts that we would expect to be offset by valuation allowances and other factors.</w:t>
      </w:r>
    </w:p>
    <w:p>
      <w:pPr>
        <w:spacing w:after="0" w:line="14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During the next 12 months, it is reasonably possible that the resolution of ongoing examinations by tax authorities, as well as the expiration of statutes of limitation, could result in reductions to our unrecognized tax benefits related to tax positions taken as of March 31, 2018. The amount of any such reductions could range up to $125.0 million, all of which would have a positive impact on our effective tax rate. Other than the potential impacts of these ongoing examinations and the expected expiration of certain statutes of limitation, we do not expect any material changes to our unrecognized tax benefits during the next 12 months. No assurance can be given as to the nature or impact of any changes in our unrecognized tax positions during the next 12 months.</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currently undergoing income tax audits in Belgium, Germany, the Netherlands and the U.S. Except as noted below, any adjustments that might arise from the foregoing examinations are not expected to have a material impact on our consolidated financial position or results of operations. In the U.S., we have received notices of adjustment from the Internal Revenue Service with respect to our 2009 and 2010 income tax returns, and have entered into the appeals process with respect to the 2009 and 2010 matters. While we believe that the ultimate resolution of these proposed adjustments will not have a material impact on our consolidated financial position, results of operations or cash flows, no assurance can be given that this will be the case given the amounts involved and the complex nature of the related issues.</w:t>
      </w:r>
    </w:p>
    <w:p>
      <w:pPr>
        <w:spacing w:after="0" w:line="189" w:lineRule="exact"/>
        <w:rPr>
          <w:sz w:val="20"/>
          <w:szCs w:val="20"/>
          <w:color w:val="auto"/>
        </w:rPr>
      </w:pPr>
    </w:p>
    <w:p>
      <w:pPr>
        <w:ind w:left="480" w:hanging="472"/>
        <w:spacing w:after="0"/>
        <w:tabs>
          <w:tab w:leader="none" w:pos="4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three months ended March 31, 2018, we repurchased (i) 2,258,800 shares of our class A ordinary shares at an average price per share of $32.44 and (ii) 12,551,500 shares of our class C ordinary shares at an average price per share of $33.70, for an aggregate purchase price of $496.3 million, including direct acquisition costs. At March 31, 2018, the remaining amount authorized for share repurchases was $1,571.5 million.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3"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0" w:hanging="472"/>
        <w:spacing w:after="0"/>
        <w:tabs>
          <w:tab w:leader="none" w:pos="4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117"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Performance-based incentive awards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Non-performance based share-based incentive awards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Other (b)</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Liberty Global</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Telenet share-based incentive awards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9020" w:type="dxa"/>
            <w:vAlign w:val="bottom"/>
          </w:tcPr>
          <w:p>
            <w:pPr>
              <w:ind w:left="4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67"/>
        </w:trPr>
        <w:tc>
          <w:tcPr>
            <w:tcW w:w="90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Included in:</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SG&amp;A expense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7"/>
        </w:trPr>
        <w:tc>
          <w:tcPr>
            <w:tcW w:w="9020" w:type="dxa"/>
            <w:vAlign w:val="bottom"/>
          </w:tcPr>
          <w:p>
            <w:pPr>
              <w:ind w:left="4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902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line="282"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PSUs and (ii) through March 31, 2017, performance grant units (</w:t>
      </w:r>
      <w:r>
        <w:rPr>
          <w:rFonts w:ascii="Arial" w:cs="Arial" w:eastAsia="Arial" w:hAnsi="Arial"/>
          <w:sz w:val="18"/>
          <w:szCs w:val="18"/>
          <w:b w:val="1"/>
          <w:bCs w:val="1"/>
          <w:color w:val="auto"/>
        </w:rPr>
        <w:t>PGUs</w:t>
      </w:r>
      <w:r>
        <w:rPr>
          <w:rFonts w:ascii="Arial" w:cs="Arial" w:eastAsia="Arial" w:hAnsi="Arial"/>
          <w:sz w:val="18"/>
          <w:szCs w:val="18"/>
          <w:color w:val="auto"/>
        </w:rPr>
        <w:t>) held by our Chief Executive Officer.</w:t>
      </w:r>
    </w:p>
    <w:p>
      <w:pPr>
        <w:spacing w:after="0" w:line="165" w:lineRule="exact"/>
        <w:rPr>
          <w:rFonts w:ascii="Arial" w:cs="Arial" w:eastAsia="Arial" w:hAnsi="Arial"/>
          <w:sz w:val="18"/>
          <w:szCs w:val="18"/>
          <w:color w:val="auto"/>
        </w:rPr>
      </w:pPr>
    </w:p>
    <w:p>
      <w:pPr>
        <w:jc w:val="both"/>
        <w:ind w:left="500" w:hanging="492"/>
        <w:spacing w:after="0" w:line="279"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Represents annual incentive compensation and defined contribution plan liabilities that have been or are expected to be settled with Liberty Global ordinary shares. In the case of the annual incentive compensation, shares will be issued to senior management and key employees pursuant to a shareholding incentive program that was implemented in 2018. The shareholding incentive program allows these employees to elect to receive up to 100% of their annual incentive compensation in ordinary shares of Liberty Global in lieu of cash.</w:t>
      </w:r>
    </w:p>
    <w:p>
      <w:pPr>
        <w:spacing w:after="0" w:line="167"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The following table provides the aggregate number of options and share appreciation rights (</w:t>
      </w:r>
      <w:r>
        <w:rPr>
          <w:rFonts w:ascii="Arial" w:cs="Arial" w:eastAsia="Arial" w:hAnsi="Arial"/>
          <w:sz w:val="18"/>
          <w:szCs w:val="18"/>
          <w:b w:val="1"/>
          <w:bCs w:val="1"/>
          <w:color w:val="auto"/>
        </w:rPr>
        <w:t>SARs</w:t>
      </w:r>
      <w:r>
        <w:rPr>
          <w:rFonts w:ascii="Arial" w:cs="Arial" w:eastAsia="Arial" w:hAnsi="Arial"/>
          <w:sz w:val="18"/>
          <w:szCs w:val="18"/>
          <w:color w:val="auto"/>
        </w:rPr>
        <w:t>) with respect to awards issued by Liberty Global that were (i) outstanding and (ii) exercisable as of March 31, 2018.</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Held by Liberty Global employees: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Outstanding</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Exercisable</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Held by former Liberty Global employees: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Outstanding</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Exercisable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980" w:type="dxa"/>
            <w:vAlign w:val="bottom"/>
            <w:gridSpan w:val="5"/>
          </w:tcPr>
          <w:p>
            <w:pPr>
              <w:ind w:left="1180"/>
              <w:spacing w:after="0"/>
              <w:rPr>
                <w:sz w:val="20"/>
                <w:szCs w:val="20"/>
                <w:color w:val="auto"/>
              </w:rPr>
            </w:pPr>
            <w:r>
              <w:rPr>
                <w:rFonts w:ascii="Arial" w:cs="Arial" w:eastAsia="Arial" w:hAnsi="Arial"/>
                <w:sz w:val="16"/>
                <w:szCs w:val="16"/>
                <w:b w:val="1"/>
                <w:bCs w:val="1"/>
                <w:color w:val="auto"/>
              </w:rPr>
              <w:t>Class A</w:t>
            </w:r>
          </w:p>
        </w:tc>
        <w:tc>
          <w:tcPr>
            <w:tcW w:w="2820" w:type="dxa"/>
            <w:vAlign w:val="bottom"/>
            <w:gridSpan w:val="4"/>
          </w:tcPr>
          <w:p>
            <w:pPr>
              <w:jc w:val="right"/>
              <w:ind w:right="1053"/>
              <w:spacing w:after="0"/>
              <w:rPr>
                <w:sz w:val="20"/>
                <w:szCs w:val="20"/>
                <w:color w:val="auto"/>
              </w:rPr>
            </w:pPr>
            <w:r>
              <w:rPr>
                <w:rFonts w:ascii="Arial" w:cs="Arial" w:eastAsia="Arial" w:hAnsi="Arial"/>
                <w:sz w:val="16"/>
                <w:szCs w:val="16"/>
                <w:b w:val="1"/>
                <w:bCs w:val="1"/>
                <w:color w:val="auto"/>
              </w:rPr>
              <w:t>Class C</w:t>
            </w: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09"/>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Weighted Average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Number of shares</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Number of shares</w:t>
            </w: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exercise or base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underlying</w:t>
            </w:r>
          </w:p>
        </w:tc>
        <w:tc>
          <w:tcPr>
            <w:tcW w:w="120" w:type="dxa"/>
            <w:vAlign w:val="bottom"/>
          </w:tcPr>
          <w:p>
            <w:pPr>
              <w:spacing w:after="0"/>
              <w:rPr>
                <w:sz w:val="17"/>
                <w:szCs w:val="17"/>
                <w:color w:val="auto"/>
              </w:rPr>
            </w:pPr>
          </w:p>
        </w:tc>
        <w:tc>
          <w:tcPr>
            <w:tcW w:w="1240" w:type="dxa"/>
            <w:vAlign w:val="bottom"/>
          </w:tcPr>
          <w:p>
            <w:pPr>
              <w:jc w:val="center"/>
              <w:ind w:right="33"/>
              <w:spacing w:after="0"/>
              <w:rPr>
                <w:sz w:val="20"/>
                <w:szCs w:val="20"/>
                <w:color w:val="auto"/>
              </w:rPr>
            </w:pPr>
            <w:r>
              <w:rPr>
                <w:rFonts w:ascii="Arial" w:cs="Arial" w:eastAsia="Arial" w:hAnsi="Arial"/>
                <w:sz w:val="16"/>
                <w:szCs w:val="16"/>
                <w:b w:val="1"/>
                <w:bCs w:val="1"/>
                <w:color w:val="auto"/>
                <w:w w:val="86"/>
              </w:rPr>
              <w:t>exercise or base</w:t>
            </w:r>
          </w:p>
        </w:tc>
      </w:tr>
      <w:tr>
        <w:trPr>
          <w:trHeight w:val="210"/>
        </w:trPr>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underlying awards</w:t>
            </w: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price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awards</w:t>
            </w:r>
          </w:p>
        </w:tc>
        <w:tc>
          <w:tcPr>
            <w:tcW w:w="120" w:type="dxa"/>
            <w:vAlign w:val="bottom"/>
          </w:tcPr>
          <w:p>
            <w:pPr>
              <w:spacing w:after="0"/>
              <w:rPr>
                <w:sz w:val="18"/>
                <w:szCs w:val="18"/>
                <w:color w:val="auto"/>
              </w:rPr>
            </w:pPr>
          </w:p>
        </w:tc>
        <w:tc>
          <w:tcPr>
            <w:tcW w:w="1240" w:type="dxa"/>
            <w:vAlign w:val="bottom"/>
          </w:tcPr>
          <w:p>
            <w:pPr>
              <w:jc w:val="center"/>
              <w:ind w:right="33"/>
              <w:spacing w:after="0"/>
              <w:rPr>
                <w:sz w:val="20"/>
                <w:szCs w:val="20"/>
                <w:color w:val="auto"/>
              </w:rPr>
            </w:pPr>
            <w:r>
              <w:rPr>
                <w:rFonts w:ascii="Arial" w:cs="Arial" w:eastAsia="Arial" w:hAnsi="Arial"/>
                <w:sz w:val="16"/>
                <w:szCs w:val="16"/>
                <w:b w:val="1"/>
                <w:bCs w:val="1"/>
                <w:color w:val="auto"/>
                <w:w w:val="94"/>
              </w:rPr>
              <w:t>price</w:t>
            </w: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507"/>
        </w:trPr>
        <w:tc>
          <w:tcPr>
            <w:tcW w:w="1380" w:type="dxa"/>
            <w:vAlign w:val="bottom"/>
          </w:tcPr>
          <w:p>
            <w:pPr>
              <w:jc w:val="right"/>
              <w:ind w:right="54"/>
              <w:spacing w:after="0"/>
              <w:rPr>
                <w:sz w:val="20"/>
                <w:szCs w:val="20"/>
                <w:color w:val="auto"/>
              </w:rPr>
            </w:pPr>
            <w:r>
              <w:rPr>
                <w:rFonts w:ascii="Arial" w:cs="Arial" w:eastAsia="Arial" w:hAnsi="Arial"/>
                <w:sz w:val="18"/>
                <w:szCs w:val="18"/>
                <w:color w:val="auto"/>
              </w:rPr>
              <w:t>13,646,355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32.42</w:t>
            </w:r>
          </w:p>
        </w:tc>
        <w:tc>
          <w:tcPr>
            <w:tcW w:w="12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33,039,573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30.17</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1380" w:type="dxa"/>
            <w:vAlign w:val="bottom"/>
          </w:tcPr>
          <w:p>
            <w:pPr>
              <w:jc w:val="right"/>
              <w:ind w:right="54"/>
              <w:spacing w:after="0"/>
              <w:rPr>
                <w:sz w:val="20"/>
                <w:szCs w:val="20"/>
                <w:color w:val="auto"/>
              </w:rPr>
            </w:pPr>
            <w:r>
              <w:rPr>
                <w:rFonts w:ascii="Arial" w:cs="Arial" w:eastAsia="Arial" w:hAnsi="Arial"/>
                <w:sz w:val="18"/>
                <w:szCs w:val="18"/>
                <w:color w:val="auto"/>
              </w:rPr>
              <w:t>9,288,574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30.98</w:t>
            </w:r>
          </w:p>
        </w:tc>
        <w:tc>
          <w:tcPr>
            <w:tcW w:w="120" w:type="dxa"/>
            <w:vAlign w:val="bottom"/>
          </w:tcPr>
          <w:p>
            <w:pPr>
              <w:spacing w:after="0"/>
              <w:rPr>
                <w:sz w:val="19"/>
                <w:szCs w:val="19"/>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23,002,488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28.68</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818"/>
        </w:trPr>
        <w:tc>
          <w:tcPr>
            <w:tcW w:w="1380" w:type="dxa"/>
            <w:vAlign w:val="bottom"/>
          </w:tcPr>
          <w:p>
            <w:pPr>
              <w:jc w:val="right"/>
              <w:ind w:right="54"/>
              <w:spacing w:after="0"/>
              <w:rPr>
                <w:sz w:val="20"/>
                <w:szCs w:val="20"/>
                <w:color w:val="auto"/>
              </w:rPr>
            </w:pPr>
            <w:r>
              <w:rPr>
                <w:rFonts w:ascii="Arial" w:cs="Arial" w:eastAsia="Arial" w:hAnsi="Arial"/>
                <w:sz w:val="18"/>
                <w:szCs w:val="18"/>
                <w:color w:val="auto"/>
              </w:rPr>
              <w:t>1,119,188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31.69</w:t>
            </w:r>
          </w:p>
        </w:tc>
        <w:tc>
          <w:tcPr>
            <w:tcW w:w="12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2,694,366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29.41</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1380" w:type="dxa"/>
            <w:vAlign w:val="bottom"/>
          </w:tcPr>
          <w:p>
            <w:pPr>
              <w:jc w:val="right"/>
              <w:ind w:right="54"/>
              <w:spacing w:after="0"/>
              <w:rPr>
                <w:sz w:val="20"/>
                <w:szCs w:val="20"/>
                <w:color w:val="auto"/>
              </w:rPr>
            </w:pPr>
            <w:r>
              <w:rPr>
                <w:rFonts w:ascii="Arial" w:cs="Arial" w:eastAsia="Arial" w:hAnsi="Arial"/>
                <w:sz w:val="18"/>
                <w:szCs w:val="18"/>
                <w:color w:val="auto"/>
              </w:rPr>
              <w:t>883,260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30.57</w:t>
            </w:r>
          </w:p>
        </w:tc>
        <w:tc>
          <w:tcPr>
            <w:tcW w:w="120" w:type="dxa"/>
            <w:vAlign w:val="bottom"/>
          </w:tcPr>
          <w:p>
            <w:pPr>
              <w:spacing w:after="0"/>
              <w:rPr>
                <w:sz w:val="19"/>
                <w:szCs w:val="19"/>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2,221,060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28.28</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-1345565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-985520</wp:posOffset>
            </wp:positionV>
            <wp:extent cx="7246620"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-565150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-213995</wp:posOffset>
            </wp:positionV>
            <wp:extent cx="7246620" cy="197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800"/>
          </w:cols>
          <w:pgMar w:left="240" w:top="283"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283" w:right="23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aggregate number of restricted share units (</w:t>
      </w:r>
      <w:r>
        <w:rPr>
          <w:rFonts w:ascii="Arial" w:cs="Arial" w:eastAsia="Arial" w:hAnsi="Arial"/>
          <w:sz w:val="18"/>
          <w:szCs w:val="18"/>
          <w:b w:val="1"/>
          <w:bCs w:val="1"/>
          <w:color w:val="auto"/>
        </w:rPr>
        <w:t>RSUs</w:t>
      </w:r>
      <w:r>
        <w:rPr>
          <w:rFonts w:ascii="Arial" w:cs="Arial" w:eastAsia="Arial" w:hAnsi="Arial"/>
          <w:sz w:val="18"/>
          <w:szCs w:val="18"/>
          <w:color w:val="auto"/>
        </w:rPr>
        <w:t>) and PSUs that were outstanding as of March 31,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1480" w:type="dxa"/>
            <w:vAlign w:val="bottom"/>
            <w:gridSpan w:val="2"/>
          </w:tcPr>
          <w:p>
            <w:pPr>
              <w:ind w:left="420"/>
              <w:spacing w:after="0"/>
              <w:rPr>
                <w:sz w:val="20"/>
                <w:szCs w:val="20"/>
                <w:color w:val="auto"/>
              </w:rPr>
            </w:pPr>
            <w:r>
              <w:rPr>
                <w:rFonts w:ascii="Arial" w:cs="Arial" w:eastAsia="Arial" w:hAnsi="Arial"/>
                <w:sz w:val="16"/>
                <w:szCs w:val="16"/>
                <w:b w:val="1"/>
                <w:bCs w:val="1"/>
                <w:color w:val="auto"/>
              </w:rPr>
              <w:t>Class A</w:t>
            </w:r>
          </w:p>
        </w:tc>
        <w:tc>
          <w:tcPr>
            <w:tcW w:w="1360" w:type="dxa"/>
            <w:vAlign w:val="bottom"/>
          </w:tcPr>
          <w:p>
            <w:pPr>
              <w:jc w:val="right"/>
              <w:ind w:right="332"/>
              <w:spacing w:after="0"/>
              <w:rPr>
                <w:sz w:val="20"/>
                <w:szCs w:val="20"/>
                <w:color w:val="auto"/>
              </w:rPr>
            </w:pPr>
            <w:r>
              <w:rPr>
                <w:rFonts w:ascii="Arial" w:cs="Arial" w:eastAsia="Arial" w:hAnsi="Arial"/>
                <w:sz w:val="16"/>
                <w:szCs w:val="16"/>
                <w:b w:val="1"/>
                <w:bCs w:val="1"/>
                <w:color w:val="auto"/>
              </w:rPr>
              <w:t>Class C</w:t>
            </w:r>
          </w:p>
        </w:tc>
        <w:tc>
          <w:tcPr>
            <w:tcW w:w="0" w:type="dxa"/>
            <w:vAlign w:val="bottom"/>
          </w:tcPr>
          <w:p>
            <w:pPr>
              <w:spacing w:after="0"/>
              <w:rPr>
                <w:sz w:val="1"/>
                <w:szCs w:val="1"/>
                <w:color w:val="auto"/>
              </w:rPr>
            </w:pPr>
          </w:p>
        </w:tc>
      </w:tr>
      <w:tr>
        <w:trPr>
          <w:trHeight w:val="33"/>
        </w:trPr>
        <w:tc>
          <w:tcPr>
            <w:tcW w:w="8580" w:type="dxa"/>
            <w:vAlign w:val="bottom"/>
            <w:vMerge w:val="restart"/>
          </w:tcPr>
          <w:p>
            <w:pPr>
              <w:ind w:left="40"/>
              <w:spacing w:after="0"/>
              <w:rPr>
                <w:sz w:val="20"/>
                <w:szCs w:val="20"/>
                <w:color w:val="auto"/>
              </w:rPr>
            </w:pPr>
            <w:r>
              <w:rPr>
                <w:rFonts w:ascii="Arial" w:cs="Arial" w:eastAsia="Arial" w:hAnsi="Arial"/>
                <w:sz w:val="18"/>
                <w:szCs w:val="18"/>
                <w:color w:val="auto"/>
              </w:rPr>
              <w:t>Held by Liberty Global employees:</w:t>
            </w: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8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RSUs</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441,526</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867,216</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PSUs</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2,288,455</w:t>
            </w:r>
          </w:p>
        </w:tc>
        <w:tc>
          <w:tcPr>
            <w:tcW w:w="120" w:type="dxa"/>
            <w:vAlign w:val="bottom"/>
          </w:tcPr>
          <w:p>
            <w:pPr>
              <w:spacing w:after="0"/>
              <w:rPr>
                <w:sz w:val="19"/>
                <w:szCs w:val="19"/>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4,582,600</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Held by former Liberty Global employees:</w:t>
            </w: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RSUs</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14,914</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29,898</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PSUs</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136,617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273,591</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2018 PSUs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March 2018, the compensation committee of our board of directors approved the grant of 1,303,776 PSUs to executive officers and key employees (the </w:t>
      </w:r>
      <w:r>
        <w:rPr>
          <w:rFonts w:ascii="Arial" w:cs="Arial" w:eastAsia="Arial" w:hAnsi="Arial"/>
          <w:sz w:val="17"/>
          <w:szCs w:val="17"/>
          <w:b w:val="1"/>
          <w:bCs w:val="1"/>
          <w:color w:val="auto"/>
        </w:rPr>
        <w:t>2018 PSUs</w:t>
      </w:r>
      <w:r>
        <w:rPr>
          <w:rFonts w:ascii="Arial" w:cs="Arial" w:eastAsia="Arial" w:hAnsi="Arial"/>
          <w:sz w:val="17"/>
          <w:szCs w:val="17"/>
          <w:color w:val="auto"/>
        </w:rPr>
        <w:t xml:space="preserve">) pursuant to a performance plan that is based on the achievement of a specified compound annual growth rate </w:t>
      </w:r>
      <w:r>
        <w:rPr>
          <w:rFonts w:ascii="Arial" w:cs="Arial" w:eastAsia="Arial" w:hAnsi="Arial"/>
          <w:sz w:val="17"/>
          <w:szCs w:val="17"/>
          <w:b w:val="1"/>
          <w:bCs w:val="1"/>
          <w:color w:val="auto"/>
        </w:rPr>
        <w:t>(CAGR)</w:t>
      </w:r>
      <w:r>
        <w:rPr>
          <w:rFonts w:ascii="Arial" w:cs="Arial" w:eastAsia="Arial" w:hAnsi="Arial"/>
          <w:sz w:val="17"/>
          <w:szCs w:val="17"/>
          <w:color w:val="auto"/>
        </w:rPr>
        <w:t xml:space="preserve"> with respect to our Adjusted OIBDA (as defined in note 16) during the two-year period ending December 31, 2019. The 2018 PSUs include over- and under-performance payout opportunities should the Adjusted OIBDA CAGR exceed or fail to meet the target, as applicable. A performance range of 50% to 125% of the target Adjusted OIBDA CAGR will generally result in award recipients earning 50% to 150% of their target 2018 PSUs, subject to reduction or forfeiture based on individual performance. The earned 2018 PSUs will vest 50% on April 1, 2020 and 50% on October 1, 2020.</w:t>
      </w:r>
    </w:p>
    <w:p>
      <w:pPr>
        <w:spacing w:after="0" w:line="174"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Liability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our restructuring liabilities during the three months ended March 31, 2018 is set forth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Employee</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4"/>
              </w:rPr>
              <w:t>severance</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Contract</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and</w:t>
            </w:r>
          </w:p>
        </w:tc>
        <w:tc>
          <w:tcPr>
            <w:tcW w:w="30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Office</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termination and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termination</w:t>
            </w:r>
          </w:p>
        </w:tc>
        <w:tc>
          <w:tcPr>
            <w:tcW w:w="3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5"/>
              </w:rPr>
              <w:t>closures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other</w:t>
            </w:r>
          </w:p>
        </w:tc>
        <w:tc>
          <w:tcPr>
            <w:tcW w:w="34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ind w:left="860"/>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Restructuring liability as of January 1, 2018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62.0</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Cash paid</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Restructuring liability as of March, 31, 2018</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87.7</w:t>
            </w:r>
          </w:p>
        </w:tc>
      </w:tr>
      <w:tr>
        <w:trPr>
          <w:trHeight w:val="67"/>
        </w:trPr>
        <w:tc>
          <w:tcPr>
            <w:tcW w:w="51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102"/>
        </w:trPr>
        <w:tc>
          <w:tcPr>
            <w:tcW w:w="51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Current portion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70.0</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87.7</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restructuring charges during the three months ended March 31, 2018 included $39.2 million of costs in Belgium attributable to the migration of Telenet’s mobile subscribers from an MVNO arrangement to Telenet’s mobile network. In March 2018, Telenet completed the migration and recorded the costs associated with meeting its minimum guarantee commitment under the MVNO agreement as a restructuring charge. The MVNO agreement does not expire until the end of 2018.</w:t>
      </w:r>
    </w:p>
    <w:p>
      <w:pPr>
        <w:spacing w:after="0" w:line="183" w:lineRule="exact"/>
        <w:rPr>
          <w:sz w:val="20"/>
          <w:szCs w:val="20"/>
          <w:color w:val="auto"/>
        </w:rPr>
      </w:pPr>
    </w:p>
    <w:p>
      <w:pPr>
        <w:ind w:left="480" w:hanging="472"/>
        <w:spacing w:after="0"/>
        <w:tabs>
          <w:tab w:leader="none" w:pos="4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or Loss per Share</w:t>
      </w:r>
    </w:p>
    <w:p>
      <w:pPr>
        <w:spacing w:after="0" w:line="2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Basic earnings or loss per share (</w:t>
      </w:r>
      <w:r>
        <w:rPr>
          <w:rFonts w:ascii="Arial" w:cs="Arial" w:eastAsia="Arial" w:hAnsi="Arial"/>
          <w:sz w:val="18"/>
          <w:szCs w:val="18"/>
          <w:b w:val="1"/>
          <w:bCs w:val="1"/>
          <w:color w:val="auto"/>
        </w:rPr>
        <w:t>EPS</w:t>
      </w:r>
      <w:r>
        <w:rPr>
          <w:rFonts w:ascii="Arial" w:cs="Arial" w:eastAsia="Arial" w:hAnsi="Arial"/>
          <w:sz w:val="18"/>
          <w:szCs w:val="18"/>
          <w:color w:val="auto"/>
        </w:rPr>
        <w:t>) is computed by dividing net earnings or loss by the weighted average number of shares outstanding for the period. Diluted EPS presents the dilutive effect, if any, on a per share basis of potential shares (e.g., options, SARs, RSUs and PSUs) as if they had been exercised, vested or converted at the beginning of the periods presented.</w:t>
      </w:r>
    </w:p>
    <w:p>
      <w:pPr>
        <w:sectPr>
          <w:pgSz w:w="11900" w:h="16838" w:orient="portrait"/>
          <w:cols w:equalWidth="0" w:num="1">
            <w:col w:w="11420"/>
          </w:cols>
          <w:pgMar w:left="240" w:top="283"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283" w:right="2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reported losses attributable to Liberty Global shareholders for the three months ended March 31, 2018 and 2017. Therefore, the potentially dilutive effect at March 31, 2018 and 2017 of the following items were not included in the computation of diluted loss per share attributable to Liberty Global shareholders because their inclusion would have been anti-dilutive to the computation or, in the case of certain PSUs, because such awards had not yet met the applicable performance criteria: (i) the aggregate number of outstanding options, SARs and RSUs of approximately 51.9 million and 48.7 million, respectively, and (ii) the aggregate number of PSUs of approximately 7.3 million and 7.9 million, respectively.</w:t>
      </w:r>
    </w:p>
    <w:p>
      <w:pPr>
        <w:spacing w:after="0" w:line="169" w:lineRule="exact"/>
        <w:rPr>
          <w:sz w:val="20"/>
          <w:szCs w:val="20"/>
          <w:color w:val="auto"/>
        </w:rPr>
      </w:pPr>
    </w:p>
    <w:p>
      <w:pPr>
        <w:ind w:left="480" w:hanging="472"/>
        <w:spacing w:after="0"/>
        <w:tabs>
          <w:tab w:leader="none" w:pos="4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normal course of business, we have entered into agreements that commit our company to make cash payments in future periods with respect to programming commitments, network and connectivity commitments, purchases of customer premises and other equipment and services, non-cancellable operating leases and other items. The following table sets forth the U.S. dollar equivalents of such commitments as of March 31, 2018. The commitments included in this table do not reflect liabilities that are included in our March 31, 2018 condensed consolidated balance sheet.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rPr>
              <w:t>Payments due during:</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90"/>
        </w:trPr>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Remainder</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0"/>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of 2018</w:t>
            </w:r>
          </w:p>
        </w:tc>
        <w:tc>
          <w:tcPr>
            <w:tcW w:w="24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27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r>
      <w:tr>
        <w:trPr>
          <w:trHeight w:val="33"/>
        </w:trPr>
        <w:tc>
          <w:tcPr>
            <w:tcW w:w="2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03"/>
        </w:trPr>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Programming commitments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2,720.8</w:t>
            </w: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Network and connectivity</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300" w:type="dxa"/>
            <w:vAlign w:val="bottom"/>
          </w:tcPr>
          <w:p>
            <w:pPr>
              <w:ind w:left="120"/>
              <w:spacing w:after="0"/>
              <w:rPr>
                <w:sz w:val="20"/>
                <w:szCs w:val="20"/>
                <w:color w:val="auto"/>
              </w:rPr>
            </w:pPr>
            <w:r>
              <w:rPr>
                <w:rFonts w:ascii="Arial" w:cs="Arial" w:eastAsia="Arial" w:hAnsi="Arial"/>
                <w:sz w:val="18"/>
                <w:szCs w:val="18"/>
                <w:color w:val="auto"/>
              </w:rPr>
              <w:t>commitments</w:t>
            </w:r>
          </w:p>
        </w:tc>
        <w:tc>
          <w:tcPr>
            <w:tcW w:w="1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640.7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396.4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319.1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281.1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914.9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2,705.3</w:t>
            </w:r>
          </w:p>
        </w:tc>
      </w:tr>
      <w:tr>
        <w:trPr>
          <w:trHeight w:val="27"/>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commitments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1,501.2</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718.5</w:t>
            </w:r>
          </w:p>
        </w:tc>
      </w:tr>
      <w:tr>
        <w:trPr>
          <w:trHeight w:val="27"/>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commitments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r>
      <w:tr>
        <w:trPr>
          <w:trHeight w:val="237"/>
        </w:trPr>
        <w:tc>
          <w:tcPr>
            <w:tcW w:w="2300" w:type="dxa"/>
            <w:vAlign w:val="bottom"/>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2,617.3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1,704.2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1,144.0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659.9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1,186.2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7,684.0</w:t>
            </w:r>
          </w:p>
        </w:tc>
      </w:tr>
      <w:tr>
        <w:trPr>
          <w:trHeight w:val="27"/>
        </w:trPr>
        <w:tc>
          <w:tcPr>
            <w:tcW w:w="2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that this will continue to be the case in future periods. In this regard, our total programming and copyright costs aggregated $508.2 million and $438.6 million during the three months ended March 31, 2018 and 2017, respectively.</w:t>
      </w:r>
    </w:p>
    <w:p>
      <w:pPr>
        <w:spacing w:after="0" w:line="1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Network and connectivity commitments include (i) Telenet’s commitments for certain operating costs associated with its leased network, (ii) commitments associated with our MVNO agreements and (iii) service commitments associated with our network extension projects, primarily in the U.K. Telenet’s commitments for certain operating costs are subject to adjustment based on changes in the network operating costs incurred by Telenet with respect to its own networks. These potential adjustments are not subject to reasonable estimation and, therefore, are not included in the above table. The amounts reflected in the above table with respect to certain of our MVNO commitments represent fixed minimum amounts payable under these agreements and, therefore, may be significantly less than the actual amounts we ultimately pay in these periods.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Purchase commitments include unconditional and legally binding obligations related to (i) the purchase of customer premises and other equipment and</w:t>
      </w:r>
    </w:p>
    <w:p>
      <w:pPr>
        <w:spacing w:after="0" w:line="46" w:lineRule="exact"/>
        <w:rPr>
          <w:sz w:val="20"/>
          <w:szCs w:val="20"/>
          <w:color w:val="auto"/>
        </w:rPr>
      </w:pPr>
    </w:p>
    <w:p>
      <w:pPr>
        <w:ind w:left="5620" w:right="3260" w:hanging="5612"/>
        <w:spacing w:after="0" w:line="542" w:lineRule="auto"/>
        <w:tabs>
          <w:tab w:leader="none" w:pos="269"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service-related commitments, including call center, information technology and maintenance services. 37</w:t>
      </w:r>
    </w:p>
    <w:p>
      <w:pPr>
        <w:sectPr>
          <w:pgSz w:w="11900" w:h="16838" w:orient="portrait"/>
          <w:cols w:equalWidth="0" w:num="1">
            <w:col w:w="11420"/>
          </w:cols>
          <w:pgMar w:left="240" w:top="283"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the three months ended March 31, 2018 and 2017, see note 6.</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Guarantees and Other Credit Enhancements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Legal and Regulatory Proceedings and Other Contingencies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Interkabel Acquisition. </w:t>
      </w:r>
      <w:r>
        <w:rPr>
          <w:rFonts w:ascii="Arial" w:cs="Arial" w:eastAsia="Arial" w:hAnsi="Arial"/>
          <w:sz w:val="16"/>
          <w:szCs w:val="16"/>
          <w:color w:val="auto"/>
        </w:rPr>
        <w:t>On November 26, 2007, Telenet and four associations of municipalities in Belgium, which we refer to as the pure</w:t>
      </w:r>
      <w:r>
        <w:rPr>
          <w:rFonts w:ascii="Arial" w:cs="Arial" w:eastAsia="Arial" w:hAnsi="Arial"/>
          <w:sz w:val="16"/>
          <w:szCs w:val="16"/>
          <w:i w:val="1"/>
          <w:iCs w:val="1"/>
          <w:color w:val="auto"/>
        </w:rPr>
        <w:t xml:space="preserve"> </w:t>
      </w:r>
      <w:r>
        <w:rPr>
          <w:rFonts w:ascii="Arial" w:cs="Arial" w:eastAsia="Arial" w:hAnsi="Arial"/>
          <w:sz w:val="16"/>
          <w:szCs w:val="16"/>
          <w:color w:val="auto"/>
        </w:rPr>
        <w:t>intercommunales or the “</w:t>
      </w:r>
      <w:r>
        <w:rPr>
          <w:rFonts w:ascii="Arial" w:cs="Arial" w:eastAsia="Arial" w:hAnsi="Arial"/>
          <w:sz w:val="16"/>
          <w:szCs w:val="16"/>
          <w:b w:val="1"/>
          <w:bCs w:val="1"/>
          <w:color w:val="auto"/>
        </w:rPr>
        <w:t>PICs</w:t>
      </w:r>
      <w:r>
        <w:rPr>
          <w:rFonts w:ascii="Arial" w:cs="Arial" w:eastAsia="Arial" w:hAnsi="Arial"/>
          <w:sz w:val="16"/>
          <w:szCs w:val="16"/>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Arial" w:cs="Arial" w:eastAsia="Arial" w:hAnsi="Arial"/>
          <w:sz w:val="16"/>
          <w:szCs w:val="16"/>
          <w:b w:val="1"/>
          <w:bCs w:val="1"/>
          <w:color w:val="auto"/>
        </w:rPr>
        <w:t>2008 PICs Agreement</w:t>
      </w:r>
      <w:r>
        <w:rPr>
          <w:rFonts w:ascii="Arial" w:cs="Arial" w:eastAsia="Arial" w:hAnsi="Arial"/>
          <w:sz w:val="16"/>
          <w:szCs w:val="16"/>
          <w:color w:val="auto"/>
        </w:rPr>
        <w:t>), which closed effective October 1, 2008. Beginning in December 2007, Proximus NV/SA (</w:t>
      </w:r>
      <w:r>
        <w:rPr>
          <w:rFonts w:ascii="Arial" w:cs="Arial" w:eastAsia="Arial" w:hAnsi="Arial"/>
          <w:sz w:val="16"/>
          <w:szCs w:val="16"/>
          <w:b w:val="1"/>
          <w:bCs w:val="1"/>
          <w:color w:val="auto"/>
        </w:rPr>
        <w:t>Proximus</w:t>
      </w:r>
      <w:r>
        <w:rPr>
          <w:rFonts w:ascii="Arial" w:cs="Arial" w:eastAsia="Arial" w:hAnsi="Arial"/>
          <w:sz w:val="16"/>
          <w:szCs w:val="16"/>
          <w:color w:val="auto"/>
        </w:rPr>
        <w:t xml:space="preserve">),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this appeal judgment before the Cour de Cassation (the </w:t>
      </w:r>
      <w:r>
        <w:rPr>
          <w:rFonts w:ascii="Arial" w:cs="Arial" w:eastAsia="Arial" w:hAnsi="Arial"/>
          <w:sz w:val="16"/>
          <w:szCs w:val="16"/>
          <w:b w:val="1"/>
          <w:bCs w:val="1"/>
          <w:color w:val="auto"/>
        </w:rPr>
        <w:t>Belgian Supreme Court</w:t>
      </w:r>
      <w:r>
        <w:rPr>
          <w:rFonts w:ascii="Arial" w:cs="Arial" w:eastAsia="Arial" w:hAnsi="Arial"/>
          <w:sz w:val="16"/>
          <w:szCs w:val="16"/>
          <w:color w:val="auto"/>
        </w:rPr>
        <w:t>), which confirmed the appeal judgment in September 2010. On April 6, 2009, the Court of First Instance of Antwerp ruled in favor of the PICs and Telenet in the civil procedure on the merits, dismissing Proximus’s request for the rescission of the agreement-in-principle and the 2008 PICs Agreement. On June 12, 2009, Proximus appealed this judgment with the Court of Appeal of Antwerp. In this appeal, Proximus is now also seeking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($1.7 billion).</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December 2017, the Court of Appeals of Antwerp issued a judgment rejecting Proximus’ claims. Proximus has the right to appeal the Court of Appeals of Antwerp’s judgment with the Belgian Supreme Court, however Proximus has not done so to date. No assurance can be given as to the outcome of these or other proceedings. However, an unfavorable outcome of existing or future proceedings could potentially lead to the annulment of the 2008 PICs Agreement and/or to an obligation of Telenet to pay compensation for damages, subject to the relevant provisions of the 2008 PICs Agreement, which stipulate that Telenet is responsible for damages in excess of €20.0 million ($24.6 million).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185"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6"/>
          <w:szCs w:val="16"/>
          <w:i w:val="1"/>
          <w:iCs w:val="1"/>
          <w:color w:val="auto"/>
        </w:rPr>
        <w:t xml:space="preserve">Telekom Deutschland Litigation. </w:t>
      </w:r>
      <w:r>
        <w:rPr>
          <w:rFonts w:ascii="Arial" w:cs="Arial" w:eastAsia="Arial" w:hAnsi="Arial"/>
          <w:sz w:val="16"/>
          <w:szCs w:val="16"/>
          <w:color w:val="auto"/>
        </w:rPr>
        <w:t>On December 28, 2012, Unitymedia filed a lawsuit against Telekom Deutschland GmbH (</w:t>
      </w:r>
      <w:r>
        <w:rPr>
          <w:rFonts w:ascii="Arial" w:cs="Arial" w:eastAsia="Arial" w:hAnsi="Arial"/>
          <w:sz w:val="16"/>
          <w:szCs w:val="16"/>
          <w:b w:val="1"/>
          <w:bCs w:val="1"/>
          <w:color w:val="auto"/>
        </w:rPr>
        <w:t>Telekom Deutschland</w:t>
      </w:r>
      <w:r>
        <w:rPr>
          <w:rFonts w:ascii="Arial" w:cs="Arial" w:eastAsia="Arial" w:hAnsi="Arial"/>
          <w:sz w:val="16"/>
          <w:szCs w:val="16"/>
          <w:color w:val="auto"/>
        </w:rPr>
        <w:t>), in</w:t>
      </w:r>
      <w:r>
        <w:rPr>
          <w:rFonts w:ascii="Arial" w:cs="Arial" w:eastAsia="Arial" w:hAnsi="Arial"/>
          <w:sz w:val="16"/>
          <w:szCs w:val="16"/>
          <w:i w:val="1"/>
          <w:iCs w:val="1"/>
          <w:color w:val="auto"/>
        </w:rPr>
        <w:t xml:space="preserve"> </w:t>
      </w:r>
      <w:r>
        <w:rPr>
          <w:rFonts w:ascii="Arial" w:cs="Arial" w:eastAsia="Arial" w:hAnsi="Arial"/>
          <w:sz w:val="16"/>
          <w:szCs w:val="16"/>
          <w:color w:val="auto"/>
        </w:rPr>
        <w:t>which Unitymedia asserts that it pays excessive prices for the co-use of Telekom Deutschland’s cable ducts in Unitymedia’s footprint. The Federal Network Agency approved rates for the co-use of certain ducts of Telekom Deutschland in March 2011. Based in part on these approved rates, Unitymedia is seeking a reduction of the annual lease fees (approximately €76 million ($93 million) for 2017) by approximately two-thirds and the return of similarly calculated overpayments from 2009 through the ultimate settlement date, plus accrued interest. In October 2016, the first instance court dismissed this action. Unitymedia has appealed this decision, however, the resolution of this matter may take several years and no assurance can be given that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3"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Unitymedia’s claims will be successful. Any recovery by Unitymedia will not be reflected in our consolidated financial statements until such time as the final disposition of this matter has been reached.</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Belgium Regulatory Developments. </w:t>
      </w:r>
      <w:r>
        <w:rPr>
          <w:rFonts w:ascii="Arial" w:cs="Arial" w:eastAsia="Arial" w:hAnsi="Arial"/>
          <w:sz w:val="17"/>
          <w:szCs w:val="17"/>
          <w:color w:val="auto"/>
        </w:rPr>
        <w:t>In 2011, the Belgisch Instituut voor Post en Telecommunicatie and the regional regulators for the media sectors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(together, the </w:t>
      </w:r>
      <w:r>
        <w:rPr>
          <w:rFonts w:ascii="Arial" w:cs="Arial" w:eastAsia="Arial" w:hAnsi="Arial"/>
          <w:sz w:val="17"/>
          <w:szCs w:val="17"/>
          <w:b w:val="1"/>
          <w:bCs w:val="1"/>
          <w:color w:val="auto"/>
        </w:rPr>
        <w:t>Belgium Regulatory Authorities</w:t>
      </w:r>
      <w:r>
        <w:rPr>
          <w:rFonts w:ascii="Arial" w:cs="Arial" w:eastAsia="Arial" w:hAnsi="Arial"/>
          <w:sz w:val="17"/>
          <w:szCs w:val="17"/>
          <w:color w:val="auto"/>
        </w:rPr>
        <w:t xml:space="preserve">) found Telenet to have significant market power in the broadcasting market (the </w:t>
      </w:r>
      <w:r>
        <w:rPr>
          <w:rFonts w:ascii="Arial" w:cs="Arial" w:eastAsia="Arial" w:hAnsi="Arial"/>
          <w:sz w:val="17"/>
          <w:szCs w:val="17"/>
          <w:b w:val="1"/>
          <w:bCs w:val="1"/>
          <w:color w:val="auto"/>
        </w:rPr>
        <w:t>2011 Decision</w:t>
      </w:r>
      <w:r>
        <w:rPr>
          <w:rFonts w:ascii="Arial" w:cs="Arial" w:eastAsia="Arial" w:hAnsi="Arial"/>
          <w:sz w:val="17"/>
          <w:szCs w:val="17"/>
          <w:color w:val="auto"/>
        </w:rPr>
        <w:t>). The 2011 Decision imposed on Telenet an obligation to provide third-party operators, at specified tariff rates, with (i) a resale offer of an analog television package, (ii) access to digital television platforms and (iii) a resale offer of broadband internet access in combination with the digital television access obligation. We refer to the tariff portion of the 2011 Decision as the “</w:t>
      </w:r>
      <w:r>
        <w:rPr>
          <w:rFonts w:ascii="Arial" w:cs="Arial" w:eastAsia="Arial" w:hAnsi="Arial"/>
          <w:sz w:val="17"/>
          <w:szCs w:val="17"/>
          <w:b w:val="1"/>
          <w:bCs w:val="1"/>
          <w:color w:val="auto"/>
        </w:rPr>
        <w:t>Retail Minus Rules</w:t>
      </w:r>
      <w:r>
        <w:rPr>
          <w:rFonts w:ascii="Arial" w:cs="Arial" w:eastAsia="Arial" w:hAnsi="Arial"/>
          <w:sz w:val="17"/>
          <w:szCs w:val="17"/>
          <w:color w:val="auto"/>
        </w:rPr>
        <w:t>”. On November 12, 2014, the 2011 Decision was upheld by the Court of Appeal, and the Court of Appeal also accepted Proximus’ claim that Proximus should be allowed access to the digital television platforms of other operators, including Telenet, for the purpose of reselling bundles of digital video and broadband internet services. On November 30, 2015, Telenet filed an appeal of the Court of Appeal’s ruling with the Belgian Supreme Court. As required by the 2011 Decision, Telenet has implemented the access obligations at the rates specified by the Retail Minus Rules, and on March 1, 2016, Orange Belgium NV launched a commercial offer combining a cable television package with broadband internet access for certain of their mobile customers. On October 2, 2017, in a separate action, the Court of Appeal annulled the Retail Minus Rules, but maintained the effects of the Retail Minus Rules until April 30, 2018. Accordingly, as of May 1, 2018, the tariff rates for Telenet’s resale obligations will be unregulated until a new decision from the Belgium Regulatory Authorities is adopted.</w:t>
      </w:r>
    </w:p>
    <w:p>
      <w:pPr>
        <w:spacing w:after="0" w:line="17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On July 7, 2017, the Belgium Regulatory Authorities published a draft market review decision (the </w:t>
      </w:r>
      <w:r>
        <w:rPr>
          <w:rFonts w:ascii="Arial" w:cs="Arial" w:eastAsia="Arial" w:hAnsi="Arial"/>
          <w:sz w:val="16"/>
          <w:szCs w:val="16"/>
          <w:b w:val="1"/>
          <w:bCs w:val="1"/>
          <w:color w:val="auto"/>
        </w:rPr>
        <w:t>2017 Draft Decision</w:t>
      </w:r>
      <w:r>
        <w:rPr>
          <w:rFonts w:ascii="Arial" w:cs="Arial" w:eastAsia="Arial" w:hAnsi="Arial"/>
          <w:sz w:val="16"/>
          <w:szCs w:val="16"/>
          <w:color w:val="auto"/>
        </w:rPr>
        <w:t>) that, once adopted, will replace the 2011 Decision. The 2017 Draft Decision proposed a finding of significant market power of Telenet in the wholesale broadband market. Proposed obligations include (i) providing third-party operators with access to the digital television platform (including basic digital video and analog video) and (ii) making available to third-party operators a bitstream offer of broadband internet access (including fixed voice as an option). The 2017 Draft Decision was notified to the European Commission on April 27, 2018. The European Commission must review the 2017 Draft Decision within one month of its notification, which timeframe can be extended by another two months if the European Commission determines that the 2017 Draft Decision creates a barrier to the European single market or is incompatible with European Union (</w:t>
      </w:r>
      <w:r>
        <w:rPr>
          <w:rFonts w:ascii="Arial" w:cs="Arial" w:eastAsia="Arial" w:hAnsi="Arial"/>
          <w:sz w:val="16"/>
          <w:szCs w:val="16"/>
          <w:b w:val="1"/>
          <w:bCs w:val="1"/>
          <w:color w:val="auto"/>
        </w:rPr>
        <w:t>E.U.</w:t>
      </w:r>
      <w:r>
        <w:rPr>
          <w:rFonts w:ascii="Arial" w:cs="Arial" w:eastAsia="Arial" w:hAnsi="Arial"/>
          <w:sz w:val="16"/>
          <w:szCs w:val="16"/>
          <w:color w:val="auto"/>
        </w:rPr>
        <w:t>) law. Telenet considers the 2017 Draft Decision to be inconsistent with the principle of technology-neutral regulation and the European Single Market Strategy to stimulate further investments in broadband networks.</w:t>
      </w:r>
    </w:p>
    <w:p>
      <w:pPr>
        <w:spacing w:after="0" w:line="16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2011 Decision and the 2017 Draft Decision aim to, and in their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(i) limit the bandwidth available to Telenet to provide new or expanded products and services to the customers served by its network and (ii) adversely impact Telenet’s ability to maintain or increase its revenue and cash flows. The extent of any such adverse impacts ultimately will be dependent on the extent that competitors take advantage of the resale access afforded to Telenet’s network, the rates that Telenet receives for such access and other competitive factors or market developments.</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Virgin Media VAT Matters. </w:t>
      </w:r>
      <w:r>
        <w:rPr>
          <w:rFonts w:ascii="Arial" w:cs="Arial" w:eastAsia="Arial" w:hAnsi="Arial"/>
          <w:sz w:val="17"/>
          <w:szCs w:val="17"/>
          <w:color w:val="auto"/>
        </w:rPr>
        <w:t>Virgin Media’s application of VAT with respect to certain revenue generating activities has been challenged by the U.K. tax</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authorities. Virgin Media has estimated its maximum exposure in the event of an unfavorable outcome to be £47 million ($66 million) as of March 31, 2018. No portion of this exposure has been accrued by Virgin Media as the likelihood of loss is not considered to be probable. A court hearing was held at the end of September 2014 in relation to the U.K. tax authorities’ challenge and the timing of the court’s decision is uncertain.</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March 19, 2014, the U.K. government announced a change in legislation with respect to the charging of VAT in connection with prompt payment discounts such as those that we offer to our fixed-line telephony customers. This change, which took effect on May 1, 2014, impacted our company and some of our competitors. The U.K. tax authority issued a decision in the fourth quarter of 2015 challenging our application of the prompt payment discount rules prior to the May 1, 2014 change in legislation. We have appealed this decision. As part of the appeal process, we were required to make aggregate payments of £67.0 million ($99.1 million at the respective transaction dates), which included the challenged amount of £63.7 million and related interest of £3.3 million. The aggregate amount paid does not include penalties, which could be significant in the unlikely event that penalties were to be assessed. This matter will likely be subject to court proceedings that could delay the ultimate resolution for an extended period of time. No portion of this potential exposure has been accrued by our company as the likelihood of loss is not considered to be probable.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3"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Ziggo Acquisition Matter. </w:t>
      </w:r>
      <w:r>
        <w:rPr>
          <w:rFonts w:ascii="Arial" w:cs="Arial" w:eastAsia="Arial" w:hAnsi="Arial"/>
          <w:sz w:val="17"/>
          <w:szCs w:val="17"/>
          <w:color w:val="auto"/>
        </w:rPr>
        <w:t>In July 2015, KPN N.V. appealed the European Commission’s 2014 approval of the acquisition by Liberty Global of Ziggo</w:t>
      </w:r>
      <w:r>
        <w:rPr>
          <w:rFonts w:ascii="Arial" w:cs="Arial" w:eastAsia="Arial" w:hAnsi="Arial"/>
          <w:sz w:val="17"/>
          <w:szCs w:val="17"/>
          <w:i w:val="1"/>
          <w:iCs w:val="1"/>
          <w:color w:val="auto"/>
        </w:rPr>
        <w:t xml:space="preserve"> </w:t>
      </w:r>
      <w:r>
        <w:rPr>
          <w:rFonts w:ascii="Arial" w:cs="Arial" w:eastAsia="Arial" w:hAnsi="Arial"/>
          <w:sz w:val="17"/>
          <w:szCs w:val="17"/>
          <w:color w:val="auto"/>
        </w:rPr>
        <w:t>Holding B.V. (</w:t>
      </w:r>
      <w:r>
        <w:rPr>
          <w:rFonts w:ascii="Arial" w:cs="Arial" w:eastAsia="Arial" w:hAnsi="Arial"/>
          <w:sz w:val="17"/>
          <w:szCs w:val="17"/>
          <w:b w:val="1"/>
          <w:bCs w:val="1"/>
          <w:color w:val="auto"/>
        </w:rPr>
        <w:t>Ziggo</w:t>
      </w:r>
      <w:r>
        <w:rPr>
          <w:rFonts w:ascii="Arial" w:cs="Arial" w:eastAsia="Arial" w:hAnsi="Arial"/>
          <w:sz w:val="17"/>
          <w:szCs w:val="17"/>
          <w:color w:val="auto"/>
        </w:rPr>
        <w:t>). We were not a party to that case. In October 2017, the E.U. General Court annulled the European Commission’s approval on procedural grounds in that it found that the European Commission had failed to adequately explain the reasons for elements of its decision. This annulment has no impact on the day-to-day operations of the VodafoneZiggo JV. We are in the process of renotifying our acquisition of Ziggo to the European Commission for a new merger clearance and expect to complete this process during 2018. The 2014 merger clearance was based on certain remedies, and our expectation is that these remedies will continue. However, there can be no assurance that other remedies will not be required as a result of the renotification and any such additional remedies may have an operational impact for the VodafoneZiggo JV.</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Other Regulatory Issues. </w:t>
      </w:r>
      <w:r>
        <w:rPr>
          <w:rFonts w:ascii="Arial" w:cs="Arial" w:eastAsia="Arial" w:hAnsi="Arial"/>
          <w:sz w:val="18"/>
          <w:szCs w:val="18"/>
          <w:color w:val="auto"/>
        </w:rPr>
        <w:t>Video distribution, broadband internet, fixed-line telephony, mobile and content businesses are regulated in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countries in which we or our affiliates operate. The scope of regulation varies from country to country, although in some significant respects regulation in European markets is harmonized under the regulatory structure of the E.U.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In addition, regulation may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19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Effective April 1, 2017, the rateable value of our existing network and other assets in the U.K. increased significantly. This increase affects the amount we pay for network infrastructure charges as the annual amount payable to the U.K. government is calculated by applying a percentage multiplier to the rateable value of assets. This change, together with a similar change in Ireland, has and will continue to significantly increase our network infrastructure charges. We expect the full year 2018 impact of this increase will be approximately £20 million ($27 million), as compared to 2017, and the impact will build to an aggregate increase of up to £110 million ($154 million) in 2021, as compared to the 12 months ended March 31, 2017. We continue to believe that these increases are excessive and retain the right of appeal should more favorable agreements be reached with other operators. The rateable value of network and other assets constructed under our network extension program in the U.K. remains subject to review by the U.K. government.</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131" w:lineRule="exact"/>
        <w:rPr>
          <w:sz w:val="20"/>
          <w:szCs w:val="20"/>
          <w:color w:val="auto"/>
        </w:rPr>
      </w:pPr>
    </w:p>
    <w:p>
      <w:pPr>
        <w:ind w:left="480" w:hanging="472"/>
        <w:spacing w:after="0"/>
        <w:tabs>
          <w:tab w:leader="none" w:pos="4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generally identify our reportable segments as (i) those consolidated subsidiaries that represent 10% or more of our revenue, Adjusted OIBDA (as defined below) or total assets or (ii) those equity method affiliates where our investment or share of revenue or Adjusted OIBDA represents 10% or more of our total assets, revenue or Adjusted OIBDA,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OIBDA. In addition, we review non-financial measures such as subscriber growth, as appropriate.</w:t>
      </w:r>
    </w:p>
    <w:p>
      <w:pPr>
        <w:spacing w:after="0" w:line="19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Adjusted OIBDA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Arial" w:cs="Arial" w:eastAsia="Arial" w:hAnsi="Arial"/>
          <w:sz w:val="16"/>
          <w:szCs w:val="16"/>
          <w:b w:val="1"/>
          <w:bCs w:val="1"/>
          <w:color w:val="auto"/>
        </w:rPr>
        <w:t>Adjusted OIBDA</w:t>
      </w:r>
      <w:r>
        <w:rPr>
          <w:rFonts w:ascii="Arial" w:cs="Arial" w:eastAsia="Arial" w:hAnsi="Arial"/>
          <w:sz w:val="16"/>
          <w:szCs w:val="16"/>
          <w:color w:val="auto"/>
        </w:rPr>
        <w:t xml:space="preserve"> is defined as operating income before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3"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acquisition-related items, such as gains and losses on the settlement of contingent consideration. Our internal decision makers believe Adjusted OIBDA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A reconciliation of total segment Adjusted OIBDA to our earnings (loss) from continuing operations before income taxes is presented below.</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2018, our reportable segments are as follows: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w:t>
      </w:r>
    </w:p>
    <w:p>
      <w:pPr>
        <w:spacing w:after="0" w:line="148" w:lineRule="exact"/>
        <w:rPr>
          <w:sz w:val="20"/>
          <w:szCs w:val="20"/>
          <w:color w:val="auto"/>
        </w:rPr>
      </w:pPr>
    </w:p>
    <w:p>
      <w:pPr>
        <w:ind w:left="720" w:hanging="388"/>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U.K./Ireland</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Belgium</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Germany</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Switzerland/Austria</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Central and Eastern Europe</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Nonconsolidated:</w:t>
      </w:r>
    </w:p>
    <w:p>
      <w:pPr>
        <w:spacing w:after="0" w:line="148" w:lineRule="exact"/>
        <w:rPr>
          <w:sz w:val="20"/>
          <w:szCs w:val="20"/>
          <w:color w:val="auto"/>
        </w:rPr>
      </w:pPr>
    </w:p>
    <w:p>
      <w:pPr>
        <w:ind w:left="720" w:hanging="388"/>
        <w:spacing w:after="0"/>
        <w:tabs>
          <w:tab w:leader="none" w:pos="72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VodafoneZiggo JV</w:t>
      </w:r>
    </w:p>
    <w:p>
      <w:pPr>
        <w:spacing w:after="0" w:line="2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All of the reportable segments set forth above derive their revenue primarily from residential and B2B communications services, including video, broadband internet, fixed-line telephony and mobile services. At March 31, 2018, we provided residential and B2B communications services in 11 European countries, including direct-to-home satellite (</w:t>
      </w:r>
      <w:r>
        <w:rPr>
          <w:rFonts w:ascii="Arial" w:cs="Arial" w:eastAsia="Arial" w:hAnsi="Arial"/>
          <w:sz w:val="18"/>
          <w:szCs w:val="18"/>
          <w:b w:val="1"/>
          <w:bCs w:val="1"/>
          <w:color w:val="auto"/>
        </w:rPr>
        <w:t>DTH</w:t>
      </w:r>
      <w:r>
        <w:rPr>
          <w:rFonts w:ascii="Arial" w:cs="Arial" w:eastAsia="Arial" w:hAnsi="Arial"/>
          <w:sz w:val="18"/>
          <w:szCs w:val="18"/>
          <w:color w:val="auto"/>
        </w:rPr>
        <w:t>) services to customers in the Czech Republic, Hungary, Romania and Slovakia through a Luxembourg-based organization that we refer to as “</w:t>
      </w:r>
      <w:r>
        <w:rPr>
          <w:rFonts w:ascii="Arial" w:cs="Arial" w:eastAsia="Arial" w:hAnsi="Arial"/>
          <w:sz w:val="18"/>
          <w:szCs w:val="18"/>
          <w:b w:val="1"/>
          <w:bCs w:val="1"/>
          <w:color w:val="auto"/>
        </w:rPr>
        <w:t>UPC DTH</w:t>
      </w:r>
      <w:r>
        <w:rPr>
          <w:rFonts w:ascii="Arial" w:cs="Arial" w:eastAsia="Arial" w:hAnsi="Arial"/>
          <w:sz w:val="18"/>
          <w:szCs w:val="18"/>
          <w:color w:val="auto"/>
        </w:rPr>
        <w:t>.” In addition to UPC DTH, our Central and Eastern Europe segment includes our broadband communications operations in the Czech Republic, Hungary, Poland, Romania and Slovakia. Our central and corporate functions are included in an operating segment that we refer to as “</w:t>
      </w:r>
      <w:r>
        <w:rPr>
          <w:rFonts w:ascii="Arial" w:cs="Arial" w:eastAsia="Arial" w:hAnsi="Arial"/>
          <w:sz w:val="18"/>
          <w:szCs w:val="18"/>
          <w:b w:val="1"/>
          <w:bCs w:val="1"/>
          <w:color w:val="auto"/>
        </w:rPr>
        <w:t>Central and Corporate</w:t>
      </w:r>
      <w:r>
        <w:rPr>
          <w:rFonts w:ascii="Arial" w:cs="Arial" w:eastAsia="Arial" w:hAnsi="Arial"/>
          <w:sz w:val="18"/>
          <w:szCs w:val="18"/>
          <w:color w:val="auto"/>
        </w:rPr>
        <w:t>,” which primarily includes (i) revenue earned from services provided to the VodafoneZiggo JV and Liberty Latin America and (ii) costs associated with certain centralized functions, including billing systems, network operations, technology, marketing, facilities, finance and other administrative functions.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3"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Performance Measures of Our Reportable Segments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amounts presented below represent 100% of each of our reportable segment’s revenue and Adjusted OIBDA. As we have the ability to control Telenet, we consolidate 100% of Telenet’s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 Similarly, despite only holding a 50% noncontrolling interest in the VodafoneZiggo JV, we present 100% of its revenue and Adjusted OIBDA in the tables below. Our share of the VodafoneZiggo JV's operating results is included in share of losses of affiliates, net, in our condensed consolidated statements of operations.</w:t>
      </w:r>
    </w:p>
    <w:p>
      <w:pPr>
        <w:spacing w:after="0" w:line="125" w:lineRule="exact"/>
        <w:rPr>
          <w:sz w:val="20"/>
          <w:szCs w:val="20"/>
          <w:color w:val="auto"/>
        </w:rPr>
      </w:pPr>
    </w:p>
    <w:p>
      <w:pPr>
        <w:ind w:left="9820"/>
        <w:spacing w:after="0"/>
        <w:rPr>
          <w:sz w:val="20"/>
          <w:szCs w:val="20"/>
          <w:color w:val="auto"/>
        </w:rPr>
      </w:pPr>
      <w:r>
        <w:rPr>
          <w:rFonts w:ascii="Arial" w:cs="Arial" w:eastAsia="Arial" w:hAnsi="Arial"/>
          <w:sz w:val="16"/>
          <w:szCs w:val="16"/>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37465</wp:posOffset>
            </wp:positionV>
            <wp:extent cx="1663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66" w:lineRule="exact"/>
        <w:rPr>
          <w:sz w:val="20"/>
          <w:szCs w:val="20"/>
          <w:color w:val="auto"/>
        </w:rPr>
      </w:pPr>
    </w:p>
    <w:p>
      <w:pPr>
        <w:ind w:left="94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2" w:lineRule="exact"/>
        <w:rPr>
          <w:sz w:val="20"/>
          <w:szCs w:val="20"/>
          <w:color w:val="auto"/>
        </w:rPr>
      </w:pPr>
    </w:p>
    <w:p>
      <w:pPr>
        <w:ind w:left="9260"/>
        <w:spacing w:after="0"/>
        <w:tabs>
          <w:tab w:leader="none" w:pos="1062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37465</wp:posOffset>
            </wp:positionV>
            <wp:extent cx="1663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66" w:lineRule="exact"/>
        <w:rPr>
          <w:sz w:val="20"/>
          <w:szCs w:val="20"/>
          <w:color w:val="auto"/>
        </w:rPr>
      </w:pPr>
    </w:p>
    <w:p>
      <w:pPr>
        <w:ind w:left="9760"/>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U.K./Ireland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Belgium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Switzerland/Austria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Central and Eastern Europe</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Central and Corporate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Intersegment eliminations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VodafoneZiggo JV</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1,778.2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1,504.4</w:t>
            </w:r>
          </w:p>
        </w:tc>
      </w:tr>
      <w:tr>
        <w:trPr>
          <w:trHeight w:val="270"/>
        </w:trPr>
        <w:tc>
          <w:tcPr>
            <w:tcW w:w="3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759.6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661.4</w:t>
            </w:r>
          </w:p>
        </w:tc>
      </w:tr>
      <w:tr>
        <w:trPr>
          <w:trHeight w:val="270"/>
        </w:trPr>
        <w:tc>
          <w:tcPr>
            <w:tcW w:w="3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782.8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629.1</w:t>
            </w:r>
          </w:p>
        </w:tc>
      </w:tr>
      <w:tr>
        <w:trPr>
          <w:trHeight w:val="270"/>
        </w:trPr>
        <w:tc>
          <w:tcPr>
            <w:tcW w:w="3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454.6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423.7</w:t>
            </w:r>
          </w:p>
        </w:tc>
      </w:tr>
      <w:tr>
        <w:trPr>
          <w:trHeight w:val="270"/>
        </w:trPr>
        <w:tc>
          <w:tcPr>
            <w:tcW w:w="3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330.8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271.3</w:t>
            </w:r>
          </w:p>
        </w:tc>
      </w:tr>
      <w:tr>
        <w:trPr>
          <w:trHeight w:val="270"/>
        </w:trPr>
        <w:tc>
          <w:tcPr>
            <w:tcW w:w="3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32.8</w:t>
            </w:r>
          </w:p>
        </w:tc>
      </w:tr>
      <w:tr>
        <w:trPr>
          <w:trHeight w:val="270"/>
        </w:trPr>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4,156.1</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3,519.0</w:t>
            </w:r>
          </w:p>
        </w:tc>
      </w:tr>
      <w:tr>
        <w:trPr>
          <w:trHeight w:val="27"/>
        </w:trPr>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48"/>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1,195.0</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1,083.8</w:t>
            </w:r>
          </w:p>
        </w:tc>
      </w:tr>
      <w:tr>
        <w:trPr>
          <w:trHeight w:val="27"/>
        </w:trPr>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-5582285</wp:posOffset>
            </wp:positionH>
            <wp:positionV relativeFrom="paragraph">
              <wp:posOffset>-1465580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-1122680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-779780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-419735</wp:posOffset>
            </wp:positionV>
            <wp:extent cx="7246620"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Adjusted OIBDA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37465</wp:posOffset>
            </wp:positionV>
            <wp:extent cx="18008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33020</wp:posOffset>
            </wp:positionV>
            <wp:extent cx="18008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72" w:lineRule="exact"/>
        <w:rPr>
          <w:sz w:val="20"/>
          <w:szCs w:val="20"/>
          <w:color w:val="auto"/>
        </w:rPr>
      </w:pPr>
    </w:p>
    <w:p>
      <w:pPr>
        <w:ind w:left="240"/>
        <w:spacing w:after="0"/>
        <w:tabs>
          <w:tab w:leader="none" w:pos="182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37465</wp:posOffset>
            </wp:positionV>
            <wp:extent cx="18008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in millions</w:t>
      </w:r>
    </w:p>
    <w:p>
      <w:pPr>
        <w:spacing w:after="0" w:line="200" w:lineRule="exact"/>
        <w:rPr>
          <w:sz w:val="20"/>
          <w:szCs w:val="20"/>
          <w:color w:val="auto"/>
        </w:rPr>
      </w:pPr>
    </w:p>
    <w:p>
      <w:pPr>
        <w:sectPr>
          <w:pgSz w:w="11900" w:h="16838" w:orient="portrait"/>
          <w:cols w:equalWidth="0" w:num="2">
            <w:col w:w="8080" w:space="720"/>
            <w:col w:w="2620"/>
          </w:cols>
          <w:pgMar w:left="240" w:top="283" w:right="239" w:bottom="1440" w:gutter="0" w:footer="0" w:header="0"/>
          <w:type w:val="continuous"/>
        </w:sectPr>
      </w:pP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5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762.6</w:t>
            </w: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646.0</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Belgium</w:t>
            </w:r>
          </w:p>
        </w:tc>
        <w:tc>
          <w:tcPr>
            <w:tcW w:w="4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357.6</w:t>
            </w:r>
          </w:p>
        </w:tc>
        <w:tc>
          <w:tcPr>
            <w:tcW w:w="68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4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492.1</w:t>
            </w:r>
          </w:p>
        </w:tc>
        <w:tc>
          <w:tcPr>
            <w:tcW w:w="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Switzerland/Austria</w:t>
            </w:r>
          </w:p>
        </w:tc>
        <w:tc>
          <w:tcPr>
            <w:tcW w:w="4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243.5</w:t>
            </w:r>
          </w:p>
        </w:tc>
        <w:tc>
          <w:tcPr>
            <w:tcW w:w="68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4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w:t>
            </w:r>
          </w:p>
        </w:tc>
        <w:tc>
          <w:tcPr>
            <w:tcW w:w="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Central and Corporate</w:t>
            </w:r>
          </w:p>
        </w:tc>
        <w:tc>
          <w:tcPr>
            <w:tcW w:w="4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 xml:space="preserve">(96.0) </w:t>
            </w: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1,898.9</w:t>
            </w:r>
          </w:p>
        </w:tc>
        <w:tc>
          <w:tcPr>
            <w:tcW w:w="6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1,600.6</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8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VodafoneZiggo JV</w:t>
            </w:r>
          </w:p>
        </w:tc>
        <w:tc>
          <w:tcPr>
            <w:tcW w:w="5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516.6</w:t>
            </w:r>
          </w:p>
        </w:tc>
        <w:tc>
          <w:tcPr>
            <w:tcW w:w="6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Arial" w:cs="Arial" w:eastAsia="Arial" w:hAnsi="Arial"/>
                <w:sz w:val="18"/>
                <w:szCs w:val="18"/>
                <w:color w:val="auto"/>
              </w:rPr>
              <w:t>42</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2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 reconciliation of our consolidated segment Adjusted OIBDA from continuing operations to loss from continuing operations before income taxes:</w:t>
      </w:r>
    </w:p>
    <w:p>
      <w:pPr>
        <w:spacing w:after="0" w:line="117"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Total segment Adjusted OIBDA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1,898.9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1,600.6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(1,128.3)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 restructuring and other operating items,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493.1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427.1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Realized and unrealized losses on derivative instruments,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transaction gains (losses),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Realized and unrealized gains (losses) due to changes in fair values of certain investments and debt,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on debt modification and extinguishment,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Share of losses of affiliates,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57"/>
        </w:trPr>
        <w:tc>
          <w:tcPr>
            <w:tcW w:w="8800" w:type="dxa"/>
            <w:vAlign w:val="bottom"/>
          </w:tcPr>
          <w:p>
            <w:pPr>
              <w:ind w:left="180"/>
              <w:spacing w:after="0"/>
              <w:rPr>
                <w:sz w:val="20"/>
                <w:szCs w:val="20"/>
                <w:color w:val="auto"/>
              </w:rPr>
            </w:pPr>
            <w:r>
              <w:rPr>
                <w:rFonts w:ascii="Arial" w:cs="Arial" w:eastAsia="Arial" w:hAnsi="Arial"/>
                <w:sz w:val="18"/>
                <w:szCs w:val="18"/>
                <w:color w:val="auto"/>
              </w:rPr>
              <w:t>Loss from continuing operations before income taxes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5620"/>
              <w:spacing w:after="0"/>
              <w:rPr>
                <w:sz w:val="20"/>
                <w:szCs w:val="20"/>
                <w:color w:val="auto"/>
              </w:rPr>
            </w:pPr>
            <w:r>
              <w:rPr>
                <w:rFonts w:ascii="Arial" w:cs="Arial" w:eastAsia="Arial" w:hAnsi="Arial"/>
                <w:sz w:val="18"/>
                <w:szCs w:val="18"/>
                <w:color w:val="auto"/>
              </w:rPr>
              <w:t>43</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Additions of our Reportable Segments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property and equipment additions of our reportable segments (including capital additions financed under vendor financing or capital lease arrangements) are presented below and reconciled to the capital expenditure amounts included in our condensed consolidated statements of cash flows. For additional information concerning capital additions financed under vendor financing and capital lease arrangements, see note 8.</w:t>
      </w:r>
    </w:p>
    <w:p>
      <w:pPr>
        <w:spacing w:after="0" w:line="112"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U.K./Ireland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559.2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Germany</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Switzerland/Austria</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 (a)</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Total property and equipment additions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1,251.4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884.4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Assets acquired under capital leases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current liabilities related to capital expenditures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Total capital expenditures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646.0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500.4</w:t>
            </w:r>
          </w:p>
        </w:tc>
        <w:tc>
          <w:tcPr>
            <w:tcW w:w="0" w:type="dxa"/>
            <w:vAlign w:val="bottom"/>
          </w:tcPr>
          <w:p>
            <w:pPr>
              <w:spacing w:after="0"/>
              <w:rPr>
                <w:sz w:val="1"/>
                <w:szCs w:val="1"/>
                <w:color w:val="auto"/>
              </w:rPr>
            </w:pPr>
          </w:p>
        </w:tc>
      </w:tr>
      <w:tr>
        <w:trPr>
          <w:trHeight w:val="67"/>
        </w:trPr>
        <w:tc>
          <w:tcPr>
            <w:tcW w:w="88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and equipment additions - VodafoneZiggo JV</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239.8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7"/>
        </w:trPr>
        <w:tc>
          <w:tcPr>
            <w:tcW w:w="88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amounts that represent the net impact of changes in inventory levels associated with certain centrally-procured network equipment. This equipment is ultimately transferred to our operating subsidiaries.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3"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by Major Category</w:t>
      </w:r>
    </w:p>
    <w:p>
      <w:pPr>
        <w:spacing w:after="0" w:line="225"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Our revenue by major category for our consolidated reportable segments is set forth below. Effective April 1, 2017, we changed the categories that we present in this table in order to align with our internal reporting. These changes have been retroactively reflected for the three months ended March 31, 2017.</w:t>
      </w:r>
    </w:p>
    <w:p>
      <w:pPr>
        <w:spacing w:after="0" w:line="70"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2" w:lineRule="exact"/>
        <w:rPr>
          <w:sz w:val="20"/>
          <w:szCs w:val="20"/>
          <w:color w:val="auto"/>
        </w:rPr>
      </w:pPr>
    </w:p>
    <w:p>
      <w:pPr>
        <w:ind w:left="9260"/>
        <w:spacing w:after="0"/>
        <w:tabs>
          <w:tab w:leader="none" w:pos="1062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37465</wp:posOffset>
            </wp:positionV>
            <wp:extent cx="1663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66" w:lineRule="exact"/>
        <w:rPr>
          <w:sz w:val="20"/>
          <w:szCs w:val="20"/>
          <w:color w:val="auto"/>
        </w:rPr>
      </w:pPr>
    </w:p>
    <w:p>
      <w:pPr>
        <w:ind w:left="9760"/>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Residential revenue: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Residential cable revenue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Subscription revenue (b):</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ind w:left="380"/>
              <w:spacing w:after="0"/>
              <w:rPr>
                <w:sz w:val="20"/>
                <w:szCs w:val="20"/>
                <w:color w:val="auto"/>
              </w:rPr>
            </w:pPr>
            <w:r>
              <w:rPr>
                <w:rFonts w:ascii="Arial" w:cs="Arial" w:eastAsia="Arial" w:hAnsi="Arial"/>
                <w:sz w:val="18"/>
                <w:szCs w:val="18"/>
                <w:color w:val="auto"/>
              </w:rPr>
              <w:t>Video</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1,198.5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1,054.4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Broadband internet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944.6</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Fixed-line telephony</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subscription revenue</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2,524.7</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Non-subscription revenue</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residential cable revenue</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2,649.9</w:t>
            </w:r>
          </w:p>
        </w:tc>
        <w:tc>
          <w:tcPr>
            <w:tcW w:w="0" w:type="dxa"/>
            <w:vAlign w:val="bottom"/>
          </w:tcPr>
          <w:p>
            <w:pPr>
              <w:spacing w:after="0"/>
              <w:rPr>
                <w:sz w:val="1"/>
                <w:szCs w:val="1"/>
                <w:color w:val="auto"/>
              </w:rPr>
            </w:pPr>
          </w:p>
        </w:tc>
      </w:tr>
      <w:tr>
        <w:trPr>
          <w:trHeight w:val="223"/>
        </w:trPr>
        <w:tc>
          <w:tcPr>
            <w:tcW w:w="8800" w:type="dxa"/>
            <w:vAlign w:val="bottom"/>
          </w:tcPr>
          <w:p>
            <w:pPr>
              <w:ind w:left="180"/>
              <w:spacing w:after="0"/>
              <w:rPr>
                <w:sz w:val="20"/>
                <w:szCs w:val="20"/>
                <w:color w:val="auto"/>
              </w:rPr>
            </w:pPr>
            <w:r>
              <w:rPr>
                <w:rFonts w:ascii="Arial" w:cs="Arial" w:eastAsia="Arial" w:hAnsi="Arial"/>
                <w:sz w:val="18"/>
                <w:szCs w:val="18"/>
                <w:color w:val="auto"/>
              </w:rPr>
              <w:t>Residential mobile revenue (c):</w:t>
            </w: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 revenue (b)</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Non-subscription revenue</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residential mobile revenue</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380.6</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8"/>
                <w:szCs w:val="18"/>
                <w:color w:val="auto"/>
              </w:rPr>
              <w:t>Total residential revenue</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3,521.8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3,030.5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B2B revenue (d):</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Subscription revenue</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Non-subscription revenue</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334.1</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Total B2B revenue</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 (e)</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4,156.1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3,519.0</w:t>
            </w:r>
          </w:p>
        </w:tc>
        <w:tc>
          <w:tcPr>
            <w:tcW w:w="0" w:type="dxa"/>
            <w:vAlign w:val="bottom"/>
          </w:tcPr>
          <w:p>
            <w:pPr>
              <w:spacing w:after="0"/>
              <w:rPr>
                <w:sz w:val="1"/>
                <w:szCs w:val="1"/>
                <w:color w:val="auto"/>
              </w:rPr>
            </w:pPr>
          </w:p>
        </w:tc>
      </w:tr>
      <w:tr>
        <w:trPr>
          <w:trHeight w:val="27"/>
        </w:trPr>
        <w:tc>
          <w:tcPr>
            <w:tcW w:w="88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76" w:lineRule="auto"/>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Residential cable subscription revenue includes amounts received from subscribers for ongoing services. Residential cable non-subscription revenue includes, among other items, channel carriage fees, late fees and revenue from the sale of equipment. As described in note 2, we adopted ASU 2014-09 on January 1, 2018 using the cumulative effect transition method. For periods subsequent to our adoption of ASU 2014-09, installation revenue is generally deferred and recognized over the contractual period as residential cable subscription revenue. For periods prior to the adoption of ASU 2014-09, installation revenue is included in residential cable non-subscription revenue.</w:t>
      </w:r>
    </w:p>
    <w:p>
      <w:pPr>
        <w:spacing w:after="0" w:line="172" w:lineRule="exact"/>
        <w:rPr>
          <w:rFonts w:ascii="Arial" w:cs="Arial" w:eastAsia="Arial" w:hAnsi="Arial"/>
          <w:sz w:val="17"/>
          <w:szCs w:val="17"/>
          <w:color w:val="auto"/>
        </w:rPr>
      </w:pPr>
    </w:p>
    <w:p>
      <w:pPr>
        <w:jc w:val="both"/>
        <w:ind w:left="500" w:right="20" w:hanging="492"/>
        <w:spacing w:after="0" w:line="286" w:lineRule="auto"/>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65"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3"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00" w:hanging="492"/>
        <w:spacing w:after="0" w:line="303"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B2B subscription revenue represents revenue from services to certain small or home office (</w:t>
      </w:r>
      <w:r>
        <w:rPr>
          <w:rFonts w:ascii="Arial" w:cs="Arial" w:eastAsia="Arial" w:hAnsi="Arial"/>
          <w:sz w:val="16"/>
          <w:szCs w:val="16"/>
          <w:b w:val="1"/>
          <w:bCs w:val="1"/>
          <w:color w:val="auto"/>
        </w:rPr>
        <w:t>SOHO</w:t>
      </w:r>
      <w:r>
        <w:rPr>
          <w:rFonts w:ascii="Arial" w:cs="Arial" w:eastAsia="Arial" w:hAnsi="Arial"/>
          <w:sz w:val="16"/>
          <w:szCs w:val="16"/>
          <w:color w:val="auto"/>
        </w:rPr>
        <w:t>) subscribers. SOHO subscribers pay a premium price to receive expanded service levels along with video, broadband internet, fixed-line telephony or mobile services that are the same or similar to the mass marketed products offered to our residential subscribers. B2B non-subscription revenue includes business broadband internet, video, fixed-line telephony, mobile and data services offered to medium to large enterprises and, on a wholesale basis, to other operators.</w:t>
      </w:r>
    </w:p>
    <w:p>
      <w:pPr>
        <w:spacing w:after="0" w:line="155"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revenue includes, among other items, revenue earned from services provided to the VodafoneZiggo JV and, during the 2018 period, Liberty Latin America.</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Geographic Segments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revenue of our geographic segments is set forth below:</w:t>
      </w:r>
    </w:p>
    <w:p>
      <w:pPr>
        <w:spacing w:after="0" w:line="172"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U.K.</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1,644.4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1,400.4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Belgium</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759.6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661.4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Ireland</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104.0</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Poland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Austria</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92.5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Hungary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The Czech Republic</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44.9</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Romania</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Slovakia</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including intersegment 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4,156.1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3,519.0</w:t>
            </w:r>
          </w:p>
        </w:tc>
      </w:tr>
      <w:tr>
        <w:trPr>
          <w:trHeight w:val="67"/>
        </w:trPr>
        <w:tc>
          <w:tcPr>
            <w:tcW w:w="88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305"/>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VodafoneZiggo JV (the Netherlands)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1,195.0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1,083.8</w:t>
            </w:r>
          </w:p>
        </w:tc>
      </w:tr>
      <w:tr>
        <w:trPr>
          <w:trHeight w:val="27"/>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discussion and analysis, which should be read in conjunction with our condensed consolidated financial statements and the discussion and analysis included in our 10-K, is intended to assist in providing an understanding of our financial condition, changes in financial condition and results of operations and is organized as follows:</w:t>
      </w:r>
    </w:p>
    <w:p>
      <w:pPr>
        <w:spacing w:after="0" w:line="181" w:lineRule="exact"/>
        <w:rPr>
          <w:sz w:val="20"/>
          <w:szCs w:val="20"/>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This section provides a description of certain factors that could cause actual results or events to differ materially from</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results or events.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provides a general description of our business and recent events.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Results of Operations. </w:t>
      </w:r>
      <w:r>
        <w:rPr>
          <w:rFonts w:ascii="Arial" w:cs="Arial" w:eastAsia="Arial" w:hAnsi="Arial"/>
          <w:sz w:val="18"/>
          <w:szCs w:val="18"/>
          <w:color w:val="auto"/>
        </w:rPr>
        <w:t>This section provides an analysis of our results of operations for the three months ended March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and 2017.</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Financial Condition. </w:t>
      </w:r>
      <w:r>
        <w:rPr>
          <w:rFonts w:ascii="Arial" w:cs="Arial" w:eastAsia="Arial" w:hAnsi="Arial"/>
          <w:sz w:val="18"/>
          <w:szCs w:val="18"/>
          <w:color w:val="auto"/>
        </w:rPr>
        <w:t>This section provides an analysis of our corporate and subsidiary liquidity,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cash flows and contractual commitments.</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283" w:right="239" w:bottom="1440" w:gutter="0" w:footer="0" w:header="0"/>
          <w:type w:val="continuous"/>
        </w:sectPr>
      </w:pPr>
    </w:p>
    <w:bookmarkStart w:id="49" w:name="page50"/>
    <w:bookmarkEnd w:id="49"/>
    <w:p>
      <w:pPr>
        <w:jc w:val="both"/>
        <w:ind w:firstLine="324"/>
        <w:spacing w:after="0" w:line="308"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indicated, convenience translations into U.S. dollars are calculated as of March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and </w:t>
      </w:r>
      <w:r>
        <w:rPr>
          <w:rFonts w:ascii="Arial" w:cs="Arial" w:eastAsia="Arial" w:hAnsi="Arial"/>
          <w:sz w:val="16"/>
          <w:szCs w:val="16"/>
          <w:i w:val="1"/>
          <w:iCs w:val="1"/>
          <w:color w:val="auto"/>
        </w:rPr>
        <w:t>Quantitative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Qualitative Disclosures About Market Risk </w:t>
      </w:r>
      <w:r>
        <w:rPr>
          <w:rFonts w:ascii="Arial" w:cs="Arial" w:eastAsia="Arial" w:hAnsi="Arial"/>
          <w:sz w:val="16"/>
          <w:szCs w:val="16"/>
          <w:color w:val="auto"/>
        </w:rPr>
        <w:t>may contain forward-looking statements, including statements regarding our business, product, foreign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and finance strategies, our property and equipment additions (including with respect to the Network Extensions), subscriber growth and retention rates, competitive, regulatory and economic factors, the timing and impacts of proposed transactions, the maturity of our markets, the anticipated impacts of new legislation (or changes to existing rules and regulations), anticipated changes in our revenue, costs or growth rates, our liquidity, credit risks, foreign currency risks, target leverage levels, our future projected contractual commitments and cash flows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our 10-K, as well as the following list of some but not all of the factors that could cause actual results or events to differ materially from anticipated results or events:</w:t>
      </w:r>
    </w:p>
    <w:p>
      <w:pPr>
        <w:spacing w:after="0" w:line="17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or our affiliates operate;</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competitive environment in the industries in the countries in which we or our affiliates operate, including competitor responses to our products and services;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instability in global financial markets, including sovereign debt issues and related fiscal reforms;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consumer disposable income and spending levels, including the availability and amount of individual consumer debt;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consumer television viewing preferences and habits;</w:t>
      </w:r>
    </w:p>
    <w:p>
      <w:pPr>
        <w:spacing w:after="0" w:line="11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consumer acceptance of our existing service offerings, including our cable television, broadband internet, fixed-line telephony, mobile and business service offerings, and of new technology, programming alternatives and other products and services that we may offer in the future;</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manage rapid technological changes;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or increase the number of subscriptions to our cable television, broadband internet, fixed-line telephony and mobile service offerings and our average revenue per household;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provide satisfactory customer service, including support for new and evolving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or increase rates to our subscribers or to pass through increased costs to our subscribers;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impact of our future financial performance, or market conditions generally, on the availability, terms and deployment of capital;</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or failure or inability to comply with, government regulations in the countries in which we or our affiliates operate and adverse outcomes from regulatory proceedings;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government intervention that requires opening our broadband distribution networks to competitors, such as the obligations imposed in Belgium;</w:t>
      </w:r>
    </w:p>
    <w:p>
      <w:pPr>
        <w:spacing w:after="0" w:line="12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obtain regulatory approval and satisfy other conditions necessary to close acquisitions and dispositions and the impact of conditions imposed by competition and other regulatory authorities in connection with acquisitions;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successfully acquire new businesses and, if acquired, to integrate, realize anticipated efficiencies from, and implement our business plan with respect to, the businesses we have acquired or that we expect to acquire;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8" w:right="239" w:bottom="1440" w:gutter="0" w:footer="0" w:header="0"/>
        </w:sectPr>
      </w:pPr>
    </w:p>
    <w:bookmarkStart w:id="50" w:name="page51"/>
    <w:bookmarkEnd w:id="50"/>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U.K., the U.S. or in other countries in which we or our affiliates operate;</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laws and government regulations that may impact the availability and cost of capital and the derivative instruments that hedge certain of our financial risks;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of suppliers and vendors (including our third-party wireless network providers under our MVNO arrangements) to timely deliver quality products, equipment, software, services and access;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availability of attractive programming for our video services and the costs associated with such programming, including retransmission and copyright fees payable to public and private broadcasters;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uncertainties inherent in the development and integration of new business lines and business strategies;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ability to adequately forecast and plan future network requirements, including the costs and benefits associated with the Network Extensions;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availability of capital for the acquisition and/or development of telecommunications networks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problems we may discover post-closing with the operations, including the internal controls and financial reporting process, of businesses we acquire;</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leakage of sensitive customer data;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outcome of any pending or threatened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loss of key employees and the availability of qualified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nature of key strategic relationships with partners and joint venturers;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equity capital structure;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events that are outside of our control, such as political unrest in international markets, terrorist attacks, malicious human acts, natural disasters, pandemics and other similar events.</w:t>
      </w:r>
    </w:p>
    <w:p>
      <w:pPr>
        <w:spacing w:after="0" w:line="13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broadband distribution and mobile service industries are changing rapidly and, therefore, the forward-looking statements of expectations, plans and intent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an international provider of video, broadband internet, fixed-line telephony, mobile and other communications services to residential customers and businesses, with consolidated operations at March 31, 2018 in 11 European countries. We provide residential and B2B communication services in (i) the U.K. and Ireland through Virgin Media, (ii) Germany through Unitymedia, (iii) Belgium through Telenet and (iv) seven other European countries through UPC Holding. In addition, we own a 50% noncontrolling interest in the VodafoneZiggo JV, which provides video, broadband internet, fixed-line telephony, mobile and B2B communications services in the Netherlands.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further described in note 4 to our condensed consolidated financial statements, we completed the Split-off Transaction on December 29, 2017. Accordingly, the entities comprising the LiLAC Group are reflected as discontinued operations in our condensed consolidated statements of operations and cash flows the three months ended March 31, 2017. In the following discussion and analysis, the operating statistics, results of operations, cash flows and financial condition that we present and discuss are those of our continuing operations unless otherwise indicated.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8" w:right="239" w:bottom="1440" w:gutter="0" w:footer="0" w:header="0"/>
        </w:sectPr>
      </w:pPr>
    </w:p>
    <w:bookmarkStart w:id="51" w:name="page52"/>
    <w:bookmarkEnd w:id="51"/>
    <w:p>
      <w:pPr>
        <w:ind w:left="180"/>
        <w:spacing w:after="0"/>
        <w:rPr>
          <w:sz w:val="20"/>
          <w:szCs w:val="20"/>
          <w:color w:val="auto"/>
        </w:rPr>
      </w:pPr>
      <w:r>
        <w:rPr>
          <w:rFonts w:ascii="Arial" w:cs="Arial" w:eastAsia="Arial" w:hAnsi="Arial"/>
          <w:sz w:val="18"/>
          <w:szCs w:val="18"/>
          <w:b w:val="1"/>
          <w:bCs w:val="1"/>
          <w:i w:val="1"/>
          <w:iCs w:val="1"/>
          <w:color w:val="auto"/>
        </w:rPr>
        <w:t>Operations</w:t>
      </w:r>
    </w:p>
    <w:p>
      <w:pPr>
        <w:spacing w:after="0" w:line="22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At March 31, 2018, we owned and operated networks that passed 45,450,700 homes and served 45,852,900 revenue generating units (</w:t>
      </w:r>
      <w:r>
        <w:rPr>
          <w:rFonts w:ascii="Arial" w:cs="Arial" w:eastAsia="Arial" w:hAnsi="Arial"/>
          <w:sz w:val="18"/>
          <w:szCs w:val="18"/>
          <w:b w:val="1"/>
          <w:bCs w:val="1"/>
          <w:color w:val="auto"/>
        </w:rPr>
        <w:t>RGUs</w:t>
      </w:r>
      <w:r>
        <w:rPr>
          <w:rFonts w:ascii="Arial" w:cs="Arial" w:eastAsia="Arial" w:hAnsi="Arial"/>
          <w:sz w:val="18"/>
          <w:szCs w:val="18"/>
          <w:color w:val="auto"/>
        </w:rPr>
        <w:t>), consisting of 18,392,200 video subscribers, 14,997,800 broadband internet subscribers and 12,462,900 fixed-line telephony subscribers. In addition, at March 31, 2018, we served 6,500,100 mobile subscribers.</w:t>
      </w:r>
    </w:p>
    <w:p>
      <w:pPr>
        <w:spacing w:after="0" w:line="13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currently are engaged in certain network extension programs across our footprint, which we collectively refer to as the “</w:t>
      </w:r>
      <w:r>
        <w:rPr>
          <w:rFonts w:ascii="Arial" w:cs="Arial" w:eastAsia="Arial" w:hAnsi="Arial"/>
          <w:sz w:val="18"/>
          <w:szCs w:val="18"/>
          <w:b w:val="1"/>
          <w:bCs w:val="1"/>
          <w:color w:val="auto"/>
        </w:rPr>
        <w:t>Network Extensions</w:t>
      </w:r>
      <w:r>
        <w:rPr>
          <w:rFonts w:ascii="Arial" w:cs="Arial" w:eastAsia="Arial" w:hAnsi="Arial"/>
          <w:sz w:val="18"/>
          <w:szCs w:val="18"/>
          <w:color w:val="auto"/>
        </w:rPr>
        <w:t>.” During the first three months of 2018, pursuant to the Network Extensions, we connected approximately 204,000 additional residential and commercial premises (excluding upgrades) to our two-way networks, including approximately 111,000 residential and commercial premises connected by Virgin Media in the U.K. and Ireland. Depending on a variety of factors, including the financial and operational results of the programs, the Network Extensions may be continued, modified or cancelled at our discretion.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Competition and Other External Factors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experiencing significant competition from incumbent telecommunications operators, DTH operators and/or other providers in all of our markets, particularly in Switzerland and the U.K. The significant competition we are experiencing, together with macroeconomic factors, has adversely impacted our revenue, RGUs and/or average monthly subscription revenue per average cable RGU or mobile subscriber, as applicable (</w:t>
      </w:r>
      <w:r>
        <w:rPr>
          <w:rFonts w:ascii="Arial" w:cs="Arial" w:eastAsia="Arial" w:hAnsi="Arial"/>
          <w:sz w:val="18"/>
          <w:szCs w:val="18"/>
          <w:b w:val="1"/>
          <w:bCs w:val="1"/>
          <w:color w:val="auto"/>
        </w:rPr>
        <w:t>ARPU</w:t>
      </w:r>
      <w:r>
        <w:rPr>
          <w:rFonts w:ascii="Arial" w:cs="Arial" w:eastAsia="Arial" w:hAnsi="Arial"/>
          <w:sz w:val="18"/>
          <w:szCs w:val="18"/>
          <w:color w:val="auto"/>
        </w:rPr>
        <w:t xml:space="preserve">), particularly in Switzerland. In addition, the VodafoneZiggo JV is facing significant competition in the Netherlands, particularly with respect to its mobile operations. For additional information regarding the revenue impact of changes in the RGUs and ARPU of our consolidated reportable segments, see </w:t>
      </w:r>
      <w:r>
        <w:rPr>
          <w:rFonts w:ascii="Arial" w:cs="Arial" w:eastAsia="Arial" w:hAnsi="Arial"/>
          <w:sz w:val="18"/>
          <w:szCs w:val="18"/>
          <w:i w:val="1"/>
          <w:iCs w:val="1"/>
          <w:color w:val="auto"/>
        </w:rPr>
        <w:t>Discussion and Analysis of 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Reportable Segments </w:t>
      </w:r>
      <w:r>
        <w:rPr>
          <w:rFonts w:ascii="Arial" w:cs="Arial" w:eastAsia="Arial" w:hAnsi="Arial"/>
          <w:sz w:val="18"/>
          <w:szCs w:val="18"/>
          <w:color w:val="auto"/>
        </w:rPr>
        <w:t>below</w:t>
      </w:r>
      <w:r>
        <w:rPr>
          <w:rFonts w:ascii="Arial" w:cs="Arial" w:eastAsia="Arial" w:hAnsi="Arial"/>
          <w:sz w:val="18"/>
          <w:szCs w:val="18"/>
          <w:i w:val="1"/>
          <w:iCs w:val="1"/>
          <w:color w:val="auto"/>
        </w:rPr>
        <w:t>.</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to competition, our operations are subject to macroeconomic, political and other risks that are outside of our control. For example, on June 23, 2016, the U.K. held a referendum in which U.K. citizens voted in favor of, on an advisory basis, an exit from the E.U. commonly referred to as “</w:t>
      </w:r>
      <w:r>
        <w:rPr>
          <w:rFonts w:ascii="Arial" w:cs="Arial" w:eastAsia="Arial" w:hAnsi="Arial"/>
          <w:sz w:val="18"/>
          <w:szCs w:val="18"/>
          <w:b w:val="1"/>
          <w:bCs w:val="1"/>
          <w:color w:val="auto"/>
        </w:rPr>
        <w:t>Brexit</w:t>
      </w:r>
      <w:r>
        <w:rPr>
          <w:rFonts w:ascii="Arial" w:cs="Arial" w:eastAsia="Arial" w:hAnsi="Arial"/>
          <w:sz w:val="18"/>
          <w:szCs w:val="18"/>
          <w:color w:val="auto"/>
        </w:rPr>
        <w:t>.” Brexit is currently scheduled to occur on March 29, 2019. The potential impacts, if any, of the uncertainty relating to Brexit or the resulting terms of Brexit on the free movement of goods, services, people and capital between the U.K. and the E.U., customer behavior, economic conditions, interest rates, currency exchange rates, availability of capital or other matters are unclear. The effects of Brexit could adversely affect our business, results of operations, financial condition and liquidity.</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high levels of sovereign debt in the U.S. and several countries in which we or our affiliates operate, combined with weak growth and high unemployment, could potentially lead to fiscal reforms (including austerity measures), tax increases, sovereign debt restructurings, currency instability, increased counterparty credit risk, high levels of volatility and disruptions in the credit and equity markets, as well as other outcomes that might adversely impact our company. The occurrence of any of these events, especially within the eurozone countries given our significant exposure to the euro and pound sterling, could have an adverse impact on, among other matters, our liquidity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completed a number of transactions that impact the comparability of our results of operations, the most notable of which is the SFR BeLux Acquisition on June 19, 2017. For further information regarding our pending and completed acquisitions and dispositions, see note 4 to our condensed consolidated financial statements.</w:t>
      </w:r>
    </w:p>
    <w:p>
      <w:pPr>
        <w:spacing w:after="0" w:line="177"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color w:val="auto"/>
        </w:rPr>
        <w:t xml:space="preserve">In the following discussion, we quantify the estimated impact of acquisitions (the </w:t>
      </w:r>
      <w:r>
        <w:rPr>
          <w:rFonts w:ascii="Arial" w:cs="Arial" w:eastAsia="Arial" w:hAnsi="Arial"/>
          <w:sz w:val="16"/>
          <w:szCs w:val="16"/>
          <w:b w:val="1"/>
          <w:bCs w:val="1"/>
          <w:color w:val="auto"/>
        </w:rPr>
        <w:t>Acquisition Impact</w:t>
      </w:r>
      <w:r>
        <w:rPr>
          <w:rFonts w:ascii="Arial" w:cs="Arial" w:eastAsia="Arial" w:hAnsi="Arial"/>
          <w:sz w:val="16"/>
          <w:szCs w:val="16"/>
          <w:color w:val="auto"/>
        </w:rPr>
        <w:t>)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Changes in foreign currency exchange rates have a significant impact on our reported operating results as all of our operating segments have functional currencies other than the U.S. dollar. Our primary exposure to foreign exchange (</w:t>
      </w:r>
      <w:r>
        <w:rPr>
          <w:rFonts w:ascii="Arial" w:cs="Arial" w:eastAsia="Arial" w:hAnsi="Arial"/>
          <w:sz w:val="18"/>
          <w:szCs w:val="18"/>
          <w:b w:val="1"/>
          <w:bCs w:val="1"/>
          <w:color w:val="auto"/>
        </w:rPr>
        <w:t>FX</w:t>
      </w:r>
      <w:r>
        <w:rPr>
          <w:rFonts w:ascii="Arial" w:cs="Arial" w:eastAsia="Arial" w:hAnsi="Arial"/>
          <w:sz w:val="18"/>
          <w:szCs w:val="18"/>
          <w:color w:val="auto"/>
        </w:rPr>
        <w:t>) risk during the three months ended March 31, 2018 was to the euro and British pound sterling as 45.1% and 39.6% of our reported revenue during the period was derived from subsidiaries whose functional currencies are the euro and British pound sterling,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8" w:right="239" w:bottom="1440" w:gutter="0" w:footer="0" w:header="0"/>
        </w:sectPr>
      </w:pPr>
    </w:p>
    <w:bookmarkStart w:id="52" w:name="page53"/>
    <w:bookmarkEnd w:id="52"/>
    <w:p>
      <w:pPr>
        <w:jc w:val="both"/>
        <w:spacing w:after="0" w:line="257" w:lineRule="auto"/>
        <w:rPr>
          <w:sz w:val="20"/>
          <w:szCs w:val="20"/>
          <w:color w:val="auto"/>
        </w:rPr>
      </w:pPr>
      <w:r>
        <w:rPr>
          <w:rFonts w:ascii="Arial" w:cs="Arial" w:eastAsia="Arial" w:hAnsi="Arial"/>
          <w:sz w:val="18"/>
          <w:szCs w:val="18"/>
          <w:color w:val="auto"/>
        </w:rPr>
        <w:t xml:space="preserve">In addition, our reported operating results are impacted by changes in the exchange rates for other local currencies in Europe. The portions of the changes in the various components of our results of operations that are attributable to changes in FX are highlighted under </w:t>
      </w:r>
      <w:r>
        <w:rPr>
          <w:rFonts w:ascii="Arial" w:cs="Arial" w:eastAsia="Arial" w:hAnsi="Arial"/>
          <w:sz w:val="18"/>
          <w:szCs w:val="18"/>
          <w:i w:val="1"/>
          <w:iCs w:val="1"/>
          <w:color w:val="auto"/>
        </w:rPr>
        <w:t>Discussion and Analysis of our Reportable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Segments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Discussion and Analysis of our Consolidated Operating Results </w:t>
      </w:r>
      <w:r>
        <w:rPr>
          <w:rFonts w:ascii="Arial" w:cs="Arial" w:eastAsia="Arial" w:hAnsi="Arial"/>
          <w:sz w:val="18"/>
          <w:szCs w:val="18"/>
          <w:color w:val="auto"/>
        </w:rPr>
        <w:t>below. For information regarding the applicable foreign currency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rates in effect for the periods covered by this Quarterly Report, see </w:t>
      </w:r>
      <w:r>
        <w:rPr>
          <w:rFonts w:ascii="Arial" w:cs="Arial" w:eastAsia="Arial" w:hAnsi="Arial"/>
          <w:sz w:val="18"/>
          <w:szCs w:val="18"/>
          <w:i w:val="1"/>
          <w:iCs w:val="1"/>
          <w:color w:val="auto"/>
        </w:rPr>
        <w:t>Quantitative and Qualitative Disclosures about Market Risk — Foreign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Exchange Rates </w:t>
      </w:r>
      <w:r>
        <w:rPr>
          <w:rFonts w:ascii="Arial" w:cs="Arial" w:eastAsia="Arial" w:hAnsi="Arial"/>
          <w:sz w:val="18"/>
          <w:szCs w:val="18"/>
          <w:color w:val="auto"/>
        </w:rPr>
        <w:t>below.</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amounts presented and discussed below represent 100% of each of our consolidated reportable segment’s revenue and Adjusted OIBDA. As we have the ability to control Telenet, we consolidate 100% of its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further described in note 2 to our condensed consolidated financial statements, we adopted ASU 2014-09 on January 1, 2018 using the cumulative effect transition method. As such, the comparative information for the three months ended March 31, 2017 contained within our condensed consolidated financial statements and notes thereto has not been restated and continues to be reported under the accounting standards in effect for such period. In order to provide a more meaningful comparison, in the following discussion and analysis of our results of operations, we present our revenue, other operating expenses, SG&amp;A expenses and Adjusted OIBDA for the three months ended March 31, 2017 on a pro forma basis that gives effect to the adoption of ASU 2014-09 as if such adoption had occurred on January 1, 2017.</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table presents (i) the impact of the adoption of ASU 2014-09 on the revenue and Adjusted OIBDA of our reportable segments for the three months ended March 31, 2018 and (ii) the pro forma impact of the adoption of ASU 2014-09 on the revenue and Adjusted OIBDA of our consolidated reportable segments for the three months ended March 31, 2017 as if the adoption of ASU 2014-09 had occurred on January 1,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620" w:type="dxa"/>
            <w:vAlign w:val="bottom"/>
            <w:gridSpan w:val="5"/>
          </w:tcPr>
          <w:p>
            <w:pPr>
              <w:jc w:val="right"/>
              <w:ind w:right="13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271"/>
              <w:spacing w:after="0"/>
              <w:rPr>
                <w:sz w:val="20"/>
                <w:szCs w:val="20"/>
                <w:color w:val="auto"/>
              </w:rPr>
            </w:pPr>
            <w:r>
              <w:rPr>
                <w:rFonts w:ascii="Arial" w:cs="Arial" w:eastAsia="Arial" w:hAnsi="Arial"/>
                <w:sz w:val="16"/>
                <w:szCs w:val="16"/>
                <w:b w:val="1"/>
                <w:bCs w:val="1"/>
                <w:color w:val="auto"/>
                <w:w w:val="90"/>
              </w:rPr>
              <w:t>2017 (a)</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to revenue:</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U.K./Ireland</w:t>
            </w:r>
          </w:p>
        </w:tc>
        <w:tc>
          <w:tcPr>
            <w:tcW w:w="820" w:type="dxa"/>
            <w:vAlign w:val="bottom"/>
          </w:tcPr>
          <w:p>
            <w:pPr>
              <w:jc w:val="right"/>
              <w:ind w:right="61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Belgium</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Germany</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Switzerland/Austria</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Central and Eastern Europe</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increase (decrease) to revenue</w:t>
            </w:r>
          </w:p>
        </w:tc>
        <w:tc>
          <w:tcPr>
            <w:tcW w:w="82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to Adjusted OIBDA:</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U.K./Ireland</w:t>
            </w:r>
          </w:p>
        </w:tc>
        <w:tc>
          <w:tcPr>
            <w:tcW w:w="820" w:type="dxa"/>
            <w:vAlign w:val="bottom"/>
          </w:tcPr>
          <w:p>
            <w:pPr>
              <w:jc w:val="right"/>
              <w:ind w:right="613"/>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Belgium</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Germany</w:t>
            </w:r>
          </w:p>
        </w:tc>
        <w:tc>
          <w:tcPr>
            <w:tcW w:w="82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Switzerland/Austria</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Central and Eastern Europe</w:t>
            </w:r>
          </w:p>
        </w:tc>
        <w:tc>
          <w:tcPr>
            <w:tcW w:w="8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decrease to Adjusted OIBDA</w:t>
            </w:r>
          </w:p>
        </w:tc>
        <w:tc>
          <w:tcPr>
            <w:tcW w:w="82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Amounts are presented on a pro forma basis that gives effect to the adoption of ASU 2014-09 as if such adoption had occurred on January 1, 2017.</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50</w:t>
      </w:r>
    </w:p>
    <w:p>
      <w:pPr>
        <w:sectPr>
          <w:pgSz w:w="11900" w:h="16838" w:orient="portrait"/>
          <w:cols w:equalWidth="0" w:num="1">
            <w:col w:w="11420"/>
          </w:cols>
          <w:pgMar w:left="240" w:top="368"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Discussion and Analysis of our Consolidated Reportable Segments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All of the reportable segments set forth below derive their revenue primarily from residential and B2B communications services, including video, broadband internet, fixed-line telephony and mobile services. For detailed information regarding the composition of our reportable segments and how we define and categorize our revenue components, see note 16 to our condensed consolidated financial statements. For more information regarding the results of operations of the VodafoneZiggo JV, refer to </w:t>
      </w:r>
      <w:r>
        <w:rPr>
          <w:rFonts w:ascii="Arial" w:cs="Arial" w:eastAsia="Arial" w:hAnsi="Arial"/>
          <w:sz w:val="16"/>
          <w:szCs w:val="16"/>
          <w:i w:val="1"/>
          <w:iCs w:val="1"/>
          <w:color w:val="auto"/>
        </w:rPr>
        <w:t>Discussion and Analysis of our Consolidated Operating Results — Share of losses of affiliates</w:t>
      </w:r>
      <w:r>
        <w:rPr>
          <w:rFonts w:ascii="Arial" w:cs="Arial" w:eastAsia="Arial" w:hAnsi="Arial"/>
          <w:sz w:val="16"/>
          <w:szCs w:val="16"/>
          <w:color w:val="auto"/>
        </w:rPr>
        <w:t xml:space="preserve"> below.</w:t>
      </w:r>
    </w:p>
    <w:p>
      <w:pPr>
        <w:spacing w:after="0" w:line="15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tables presented below in this section provide the details of the revenue and Adjusted OIBDA of our consolidated reportable segments for the three months ended March 31, 2018 and 2017. As discussed above, the amounts for the three months ended March 31, 2017 are presented on a pro forma basis that gives effect to the adoption of ASU 2014-09 as if such adoption had occurred on January 1, 2017. These tables present (i) the amounts reported for the current and comparative periods, (ii) the reported U.S. dollar change and percentage change from period to period and (iii) the organic U.S. dollar change and percentage change from period to period. The comparisons that exclude FX assume that exchange rates remained constant at the prior-year rate during the comparative period that is included in each table. We also provide a table showing the Adjusted OIBDA margins of our consolidated reportable segments for the three months ended March 31, 2018 and 2017 at the end of this section.</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of our Consolidated Reportable Segments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While not specifically discussed in the below explanations of the changes in the revenue of our consolidated reportable segments, we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experiencing significant competition in all of our markets. This competition has an adverse impact on our ability to increase or maintain our RGUs and/or ARPU.</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Variances in the subscription revenue that we receive from our customers are a function of (i) changes in the number of RGUs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cable and mobile products within a segment during the period. In the following discussion, we discuss ARPU changes in terms of the net impact of the above factors on the ARPU that is derived from our video, broadband internet, fixed-line telephony and mobile products.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7"/>
              </w:rPr>
              <w:t>March 31,</w:t>
            </w:r>
          </w:p>
        </w:tc>
        <w:tc>
          <w:tcPr>
            <w:tcW w:w="200" w:type="dxa"/>
            <w:vAlign w:val="bottom"/>
          </w:tcPr>
          <w:p>
            <w:pPr>
              <w:spacing w:after="0"/>
              <w:rPr>
                <w:sz w:val="18"/>
                <w:szCs w:val="18"/>
                <w:color w:val="auto"/>
              </w:rPr>
            </w:pPr>
          </w:p>
        </w:tc>
        <w:tc>
          <w:tcPr>
            <w:tcW w:w="1420" w:type="dxa"/>
            <w:vAlign w:val="bottom"/>
            <w:gridSpan w:val="3"/>
          </w:tcPr>
          <w:p>
            <w:pPr>
              <w:ind w:left="720"/>
              <w:spacing w:after="0"/>
              <w:rPr>
                <w:sz w:val="20"/>
                <w:szCs w:val="20"/>
                <w:color w:val="auto"/>
              </w:rPr>
            </w:pPr>
            <w:r>
              <w:rPr>
                <w:rFonts w:ascii="Arial" w:cs="Arial" w:eastAsia="Arial" w:hAnsi="Arial"/>
                <w:sz w:val="16"/>
                <w:szCs w:val="16"/>
                <w:b w:val="1"/>
                <w:bCs w:val="1"/>
                <w:color w:val="auto"/>
              </w:rPr>
              <w:t>Increase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3"/>
          </w:tcPr>
          <w:p>
            <w:pPr>
              <w:jc w:val="right"/>
              <w:ind w:right="291"/>
              <w:spacing w:after="0"/>
              <w:rPr>
                <w:sz w:val="20"/>
                <w:szCs w:val="20"/>
                <w:color w:val="auto"/>
              </w:rPr>
            </w:pPr>
            <w:r>
              <w:rPr>
                <w:rFonts w:ascii="Arial" w:cs="Arial" w:eastAsia="Arial" w:hAnsi="Arial"/>
                <w:sz w:val="16"/>
                <w:szCs w:val="16"/>
                <w:b w:val="1"/>
                <w:bCs w:val="1"/>
                <w:color w:val="auto"/>
                <w:w w:val="95"/>
              </w:rPr>
              <w:t>Organic increase (decrease)</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45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49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360" w:type="dxa"/>
            <w:vAlign w:val="bottom"/>
          </w:tcPr>
          <w:p>
            <w:pPr>
              <w:jc w:val="right"/>
              <w:ind w:right="51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pro forma</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80" w:type="dxa"/>
            <w:vAlign w:val="bottom"/>
            <w:gridSpan w:val="5"/>
          </w:tcPr>
          <w:p>
            <w:pPr>
              <w:ind w:left="80"/>
              <w:spacing w:after="0"/>
              <w:rPr>
                <w:sz w:val="20"/>
                <w:szCs w:val="20"/>
                <w:color w:val="auto"/>
              </w:rPr>
            </w:pPr>
            <w:r>
              <w:rPr>
                <w:rFonts w:ascii="Arial" w:cs="Arial" w:eastAsia="Arial" w:hAnsi="Arial"/>
                <w:sz w:val="16"/>
                <w:szCs w:val="16"/>
                <w:b w:val="1"/>
                <w:bCs w:val="1"/>
                <w:color w:val="auto"/>
                <w:w w:val="91"/>
              </w:rPr>
              <w:t>in millions, except percentages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7"/>
        </w:trPr>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759.6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Switzerland/Austria</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454.6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422.8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Central and Corporate (a)</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8"/>
                <w:szCs w:val="18"/>
                <w:color w:val="auto"/>
              </w:rPr>
              <w:t>Total Liberty Global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4,156.1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3,509.2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646.9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6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primarily include the revenue earned from services provided to the VodafoneZiggo JV and, during the 2018 period, Liberty Latin America. For additional information, see note 5 to our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4" w:right="239" w:bottom="1440" w:gutter="0" w:footer="0" w:header="0"/>
        </w:sectPr>
      </w:pPr>
    </w:p>
    <w:bookmarkStart w:id="54" w:name="page55"/>
    <w:bookmarkEnd w:id="54"/>
    <w:p>
      <w:pPr>
        <w:ind w:firstLine="324"/>
        <w:spacing w:after="0" w:line="277" w:lineRule="auto"/>
        <w:rPr>
          <w:sz w:val="20"/>
          <w:szCs w:val="20"/>
          <w:color w:val="auto"/>
        </w:rPr>
      </w:pPr>
      <w:r>
        <w:rPr>
          <w:rFonts w:ascii="Arial" w:cs="Arial" w:eastAsia="Arial" w:hAnsi="Arial"/>
          <w:sz w:val="18"/>
          <w:szCs w:val="18"/>
          <w:i w:val="1"/>
          <w:iCs w:val="1"/>
          <w:color w:val="auto"/>
        </w:rPr>
        <w:t xml:space="preserve">U.K./Ireland. </w:t>
      </w:r>
      <w:r>
        <w:rPr>
          <w:rFonts w:ascii="Arial" w:cs="Arial" w:eastAsia="Arial" w:hAnsi="Arial"/>
          <w:sz w:val="18"/>
          <w:szCs w:val="18"/>
          <w:color w:val="auto"/>
        </w:rPr>
        <w:t>The details of the pro forma increase in U.K./Ireland</w:t>
      </w:r>
      <w:r>
        <w:rPr>
          <w:rFonts w:ascii="Arial" w:cs="Arial" w:eastAsia="Arial" w:hAnsi="Arial"/>
          <w:sz w:val="18"/>
          <w:szCs w:val="18"/>
          <w:color w:val="2C2C2C"/>
        </w:rPr>
        <w:t>’s revenue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2018</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period in 2017</w:t>
      </w:r>
      <w:r>
        <w:rPr>
          <w:rFonts w:ascii="Arial" w:cs="Arial" w:eastAsia="Arial" w:hAnsi="Arial"/>
          <w:sz w:val="18"/>
          <w:szCs w:val="18"/>
          <w:color w:val="2C2C2C"/>
        </w:rPr>
        <w:t>, are set f</w:t>
      </w:r>
      <w:r>
        <w:rPr>
          <w:rFonts w:ascii="Arial" w:cs="Arial" w:eastAsia="Arial" w:hAnsi="Arial"/>
          <w:sz w:val="18"/>
          <w:szCs w:val="18"/>
          <w:color w:val="auto"/>
        </w:rPr>
        <w:t>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Subscription</w:t>
            </w:r>
          </w:p>
        </w:tc>
        <w:tc>
          <w:tcPr>
            <w:tcW w:w="136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Non-subscription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revenue</w:t>
            </w:r>
          </w:p>
        </w:tc>
        <w:tc>
          <w:tcPr>
            <w:tcW w:w="16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revenue</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320" w:type="dxa"/>
            <w:vAlign w:val="bottom"/>
          </w:tcPr>
          <w:p>
            <w:pPr>
              <w:ind w:left="40"/>
              <w:spacing w:after="0"/>
              <w:rPr>
                <w:sz w:val="20"/>
                <w:szCs w:val="20"/>
                <w:color w:val="auto"/>
              </w:rPr>
            </w:pPr>
            <w:r>
              <w:rPr>
                <w:rFonts w:ascii="Arial" w:cs="Arial" w:eastAsia="Arial" w:hAnsi="Arial"/>
                <w:sz w:val="18"/>
                <w:szCs w:val="18"/>
                <w:color w:val="auto"/>
              </w:rPr>
              <w:t>Increase in residential cable subscription revenue due to change in:</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RGUs (a)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7320" w:type="dxa"/>
            <w:vAlign w:val="bottom"/>
          </w:tcPr>
          <w:p>
            <w:pPr>
              <w:ind w:left="200"/>
              <w:spacing w:after="0"/>
              <w:rPr>
                <w:sz w:val="20"/>
                <w:szCs w:val="20"/>
                <w:color w:val="auto"/>
              </w:rPr>
            </w:pPr>
            <w:r>
              <w:rPr>
                <w:rFonts w:ascii="Arial" w:cs="Arial" w:eastAsia="Arial" w:hAnsi="Arial"/>
                <w:sz w:val="18"/>
                <w:szCs w:val="18"/>
                <w:color w:val="auto"/>
              </w:rPr>
              <w:t>ARPU (b)</w:t>
            </w: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residential cable non-subscription revenue</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7320" w:type="dxa"/>
            <w:vAlign w:val="bottom"/>
          </w:tcPr>
          <w:p>
            <w:pPr>
              <w:ind w:left="340"/>
              <w:spacing w:after="0"/>
              <w:rPr>
                <w:sz w:val="20"/>
                <w:szCs w:val="20"/>
                <w:color w:val="auto"/>
              </w:rPr>
            </w:pPr>
            <w:r>
              <w:rPr>
                <w:rFonts w:ascii="Arial" w:cs="Arial" w:eastAsia="Arial" w:hAnsi="Arial"/>
                <w:sz w:val="18"/>
                <w:szCs w:val="18"/>
                <w:color w:val="auto"/>
              </w:rPr>
              <w:t>Total increase in residential cable revenue</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residential mobile revenue (c)</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Increase in B2B revenue (d)</w:t>
            </w: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other revenue (e)</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7320" w:type="dxa"/>
            <w:vAlign w:val="bottom"/>
          </w:tcPr>
          <w:p>
            <w:pPr>
              <w:ind w:left="340"/>
              <w:spacing w:after="0"/>
              <w:rPr>
                <w:sz w:val="20"/>
                <w:szCs w:val="20"/>
                <w:color w:val="auto"/>
              </w:rPr>
            </w:pPr>
            <w:r>
              <w:rPr>
                <w:rFonts w:ascii="Arial" w:cs="Arial" w:eastAsia="Arial" w:hAnsi="Arial"/>
                <w:sz w:val="18"/>
                <w:szCs w:val="18"/>
                <w:color w:val="auto"/>
              </w:rPr>
              <w:t>Total organic increase</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FX</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57"/>
        </w:trPr>
        <w:tc>
          <w:tcPr>
            <w:tcW w:w="7320" w:type="dxa"/>
            <w:vAlign w:val="bottom"/>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increase in residential cable subscription revenue related to a change in the average number of RGUs is attributable to an increase in the average number of broadband internet, video and fixed-line telephony RGUs.</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increase in cable subscription revenue related to a change in ARPU is primarily attributable to (i) a net increase due to (a) higher ARPU from broadband internet services and (b) lower ARPU from fixed-line telephony services and (ii) an improvement in RGU mix.</w:t>
      </w:r>
    </w:p>
    <w:p>
      <w:pPr>
        <w:spacing w:after="0" w:line="170" w:lineRule="exact"/>
        <w:rPr>
          <w:rFonts w:ascii="Arial" w:cs="Arial" w:eastAsia="Arial" w:hAnsi="Arial"/>
          <w:sz w:val="18"/>
          <w:szCs w:val="18"/>
          <w:color w:val="auto"/>
        </w:rPr>
      </w:pPr>
    </w:p>
    <w:p>
      <w:pPr>
        <w:jc w:val="both"/>
        <w:ind w:left="500" w:right="20" w:hanging="492"/>
        <w:spacing w:after="0" w:line="312" w:lineRule="auto"/>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decrease in residential mobile subscription revenue relates to the net effect of (i) a decrease in the U.K., due primarily to lower ARPU, and (ii) an increase in Ireland, mainly due to an increase in the average number of mobile subscribers. The increase in residential mobile non-subscription revenue is primarily due to an increase in revenue from mobile handset sales in the U.K., which typically generate relatively low margins.</w:t>
      </w:r>
    </w:p>
    <w:p>
      <w:pPr>
        <w:spacing w:after="0" w:line="146" w:lineRule="exact"/>
        <w:rPr>
          <w:rFonts w:ascii="Arial" w:cs="Arial" w:eastAsia="Arial" w:hAnsi="Arial"/>
          <w:sz w:val="16"/>
          <w:szCs w:val="16"/>
          <w:color w:val="auto"/>
        </w:rPr>
      </w:pPr>
    </w:p>
    <w:p>
      <w:pPr>
        <w:jc w:val="both"/>
        <w:ind w:left="500" w:hanging="492"/>
        <w:spacing w:after="0" w:line="264"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increase in B2B subscription revenue is primarily due to an increase in the average number of broadband internet SOHO subscribers in the U.K. The increase in B2B non-subscription revenue is primarily due to the net effect of (i) higher revenue from the sale and installation of equipment related to business network services in the U.K. and (ii) lower revenue from data services.</w:t>
      </w:r>
    </w:p>
    <w:p>
      <w:pPr>
        <w:spacing w:after="0" w:line="181"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increase in other revenue is largely due to an increase in broadcasting revenue in Ireland.</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information regarding certain regulatory developments that could have an adverse impact on our revenue in the U.K., see “</w:t>
      </w:r>
      <w:r>
        <w:rPr>
          <w:rFonts w:ascii="Arial" w:cs="Arial" w:eastAsia="Arial" w:hAnsi="Arial"/>
          <w:sz w:val="18"/>
          <w:szCs w:val="18"/>
          <w:i w:val="1"/>
          <w:iCs w:val="1"/>
          <w:color w:val="auto"/>
        </w:rPr>
        <w:t>Virgin Media VAT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Matters” </w:t>
      </w:r>
      <w:r>
        <w:rPr>
          <w:rFonts w:ascii="Arial" w:cs="Arial" w:eastAsia="Arial" w:hAnsi="Arial"/>
          <w:sz w:val="18"/>
          <w:szCs w:val="18"/>
          <w:color w:val="auto"/>
        </w:rPr>
        <w:t>in note 15 to our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8" w:right="239" w:bottom="1440" w:gutter="0" w:footer="0" w:header="0"/>
        </w:sectPr>
      </w:pPr>
    </w:p>
    <w:bookmarkStart w:id="55" w:name="page56"/>
    <w:bookmarkEnd w:id="55"/>
    <w:p>
      <w:pPr>
        <w:ind w:firstLine="324"/>
        <w:spacing w:after="0" w:line="277" w:lineRule="auto"/>
        <w:rPr>
          <w:sz w:val="20"/>
          <w:szCs w:val="20"/>
          <w:color w:val="auto"/>
        </w:rPr>
      </w:pPr>
      <w:r>
        <w:rPr>
          <w:rFonts w:ascii="Arial" w:cs="Arial" w:eastAsia="Arial" w:hAnsi="Arial"/>
          <w:sz w:val="18"/>
          <w:szCs w:val="18"/>
          <w:i w:val="1"/>
          <w:iCs w:val="1"/>
          <w:color w:val="auto"/>
        </w:rPr>
        <w:t xml:space="preserve">Belgium. </w:t>
      </w:r>
      <w:r>
        <w:rPr>
          <w:rFonts w:ascii="Arial" w:cs="Arial" w:eastAsia="Arial" w:hAnsi="Arial"/>
          <w:sz w:val="18"/>
          <w:szCs w:val="18"/>
          <w:color w:val="auto"/>
        </w:rPr>
        <w:t>The details of the pro forma increase in Belgium’s revenue during the three months ended March 31, 2018, as compared to the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2017</w:t>
      </w:r>
      <w:r>
        <w:rPr>
          <w:rFonts w:ascii="Arial" w:cs="Arial" w:eastAsia="Arial" w:hAnsi="Arial"/>
          <w:sz w:val="18"/>
          <w:szCs w:val="18"/>
          <w:color w:val="2C2C2C"/>
        </w:rPr>
        <w:t>, are set f</w:t>
      </w:r>
      <w:r>
        <w:rPr>
          <w:rFonts w:ascii="Arial" w:cs="Arial" w:eastAsia="Arial" w:hAnsi="Arial"/>
          <w:sz w:val="18"/>
          <w:szCs w:val="18"/>
          <w:color w:val="auto"/>
        </w:rPr>
        <w:t>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Non-subscription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revenue</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revenue</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200" w:type="dxa"/>
            <w:vAlign w:val="bottom"/>
          </w:tcPr>
          <w:p>
            <w:pPr>
              <w:ind w:left="40"/>
              <w:spacing w:after="0"/>
              <w:rPr>
                <w:sz w:val="20"/>
                <w:szCs w:val="20"/>
                <w:color w:val="auto"/>
              </w:rPr>
            </w:pPr>
            <w:r>
              <w:rPr>
                <w:rFonts w:ascii="Arial" w:cs="Arial" w:eastAsia="Arial" w:hAnsi="Arial"/>
                <w:sz w:val="18"/>
                <w:szCs w:val="18"/>
                <w:color w:val="auto"/>
              </w:rPr>
              <w:t>Decrease in residential cable subscription revenue due to change in:</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RGUs (a)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7200" w:type="dxa"/>
            <w:vAlign w:val="bottom"/>
          </w:tcPr>
          <w:p>
            <w:pPr>
              <w:ind w:left="200"/>
              <w:spacing w:after="0"/>
              <w:rPr>
                <w:sz w:val="20"/>
                <w:szCs w:val="20"/>
                <w:color w:val="auto"/>
              </w:rPr>
            </w:pPr>
            <w:r>
              <w:rPr>
                <w:rFonts w:ascii="Arial" w:cs="Arial" w:eastAsia="Arial" w:hAnsi="Arial"/>
                <w:sz w:val="18"/>
                <w:szCs w:val="18"/>
                <w:color w:val="auto"/>
              </w:rPr>
              <w:t>ARPU (b)</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residential cable non-subscription revenue (c)</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7200" w:type="dxa"/>
            <w:vAlign w:val="bottom"/>
          </w:tcPr>
          <w:p>
            <w:pPr>
              <w:ind w:left="340"/>
              <w:spacing w:after="0"/>
              <w:rPr>
                <w:sz w:val="20"/>
                <w:szCs w:val="20"/>
                <w:color w:val="auto"/>
              </w:rPr>
            </w:pPr>
            <w:r>
              <w:rPr>
                <w:rFonts w:ascii="Arial" w:cs="Arial" w:eastAsia="Arial" w:hAnsi="Arial"/>
                <w:sz w:val="18"/>
                <w:szCs w:val="18"/>
                <w:color w:val="auto"/>
              </w:rPr>
              <w:t>Total decrease in residential cable revenue</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residential mobile revenue (d)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Increase in B2B revenue (e)</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 xml:space="preserve">Total organic increase </w:t>
            </w:r>
            <w:r>
              <w:rPr>
                <w:rFonts w:ascii="Arial" w:cs="Arial" w:eastAsia="Arial" w:hAnsi="Arial"/>
                <w:sz w:val="18"/>
                <w:szCs w:val="18"/>
                <w:b w:val="1"/>
                <w:bCs w:val="1"/>
                <w:color w:val="auto"/>
              </w:rPr>
              <w:t>(</w:t>
            </w:r>
            <w:r>
              <w:rPr>
                <w:rFonts w:ascii="Arial" w:cs="Arial" w:eastAsia="Arial" w:hAnsi="Arial"/>
                <w:sz w:val="18"/>
                <w:szCs w:val="18"/>
                <w:color w:val="auto"/>
              </w:rPr>
              <w:t>decrease)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Impact of acquisitions</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disposals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Impact of FX</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decrease in residential cable subscription revenue related to a change in the average number of RGUs is primarily attributable to decreases in the average number of video and broadband internet RGUs.</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decrease in residential cable subscription revenue related to a change in ARPU is attributable to the net effect of (i) lower ARPU from fixed-line telephony, broadband internet and video services and (ii) a slight improvement in RGU mix.</w:t>
      </w:r>
    </w:p>
    <w:p>
      <w:pPr>
        <w:spacing w:after="0" w:line="170" w:lineRule="exact"/>
        <w:rPr>
          <w:rFonts w:ascii="Arial" w:cs="Arial" w:eastAsia="Arial" w:hAnsi="Arial"/>
          <w:sz w:val="18"/>
          <w:szCs w:val="18"/>
          <w:color w:val="auto"/>
        </w:rPr>
      </w:pPr>
    </w:p>
    <w:p>
      <w:pPr>
        <w:ind w:left="500" w:hanging="492"/>
        <w:spacing w:after="0" w:line="342" w:lineRule="auto"/>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decrease in residential cable non-subscription revenue is primarily attributable to the net effect of (i) a $5.3 million decrease related to adjustments recorded during the 2017 period to reflect the expected recovery of certain prior-period VAT payments and (ii) an increase in equipment sales.</w:t>
      </w:r>
    </w:p>
    <w:p>
      <w:pPr>
        <w:spacing w:after="0" w:line="123" w:lineRule="exact"/>
        <w:rPr>
          <w:rFonts w:ascii="Arial" w:cs="Arial" w:eastAsia="Arial" w:hAnsi="Arial"/>
          <w:sz w:val="16"/>
          <w:szCs w:val="16"/>
          <w:color w:val="auto"/>
        </w:rPr>
      </w:pPr>
    </w:p>
    <w:p>
      <w:pPr>
        <w:jc w:val="both"/>
        <w:ind w:left="500" w:hanging="492"/>
        <w:spacing w:after="0" w:line="264"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decrease in residential mobile subscription revenue is primarily due to the net effect of (i) a decline in the average number of mobile subscribers and (ii) higher ARPU. The decrease in residential mobile non-subscription revenue is primarily driven by a decrease in revenue from sales of mobile handsets and other devices.</w:t>
      </w:r>
    </w:p>
    <w:p>
      <w:pPr>
        <w:spacing w:after="0" w:line="181"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increase in B2B subscription revenue is primarily attributable to an increase in the average number of broadband internet and video SOHO subscribers. The increase in B2B non-subscription revenue is primarily due to the net effect of (i) higher revenue from wholesale services, (ii) a decrease in interconnect revenue primarily due to lower volumes and (iii) a decrease in revenue from hosting services.</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information concerning certain regulatory developments that could have an adverse impact on our revenue in Belgium, see “</w:t>
      </w:r>
      <w:r>
        <w:rPr>
          <w:rFonts w:ascii="Arial" w:cs="Arial" w:eastAsia="Arial" w:hAnsi="Arial"/>
          <w:sz w:val="18"/>
          <w:szCs w:val="18"/>
          <w:i w:val="1"/>
          <w:iCs w:val="1"/>
          <w:color w:val="auto"/>
        </w:rPr>
        <w:t>Belgium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Developments” </w:t>
      </w:r>
      <w:r>
        <w:rPr>
          <w:rFonts w:ascii="Arial" w:cs="Arial" w:eastAsia="Arial" w:hAnsi="Arial"/>
          <w:sz w:val="18"/>
          <w:szCs w:val="18"/>
          <w:color w:val="auto"/>
        </w:rPr>
        <w:t>in note 15 to our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8" w:right="239" w:bottom="1440" w:gutter="0" w:footer="0" w:header="0"/>
        </w:sectPr>
      </w:pPr>
    </w:p>
    <w:bookmarkStart w:id="56" w:name="page57"/>
    <w:bookmarkEnd w:id="56"/>
    <w:p>
      <w:pPr>
        <w:ind w:firstLine="324"/>
        <w:spacing w:after="0" w:line="277" w:lineRule="auto"/>
        <w:rPr>
          <w:sz w:val="20"/>
          <w:szCs w:val="20"/>
          <w:color w:val="auto"/>
        </w:rPr>
      </w:pPr>
      <w:r>
        <w:rPr>
          <w:rFonts w:ascii="Arial" w:cs="Arial" w:eastAsia="Arial" w:hAnsi="Arial"/>
          <w:sz w:val="18"/>
          <w:szCs w:val="18"/>
          <w:i w:val="1"/>
          <w:iCs w:val="1"/>
          <w:color w:val="auto"/>
        </w:rPr>
        <w:t xml:space="preserve">Germany. </w:t>
      </w:r>
      <w:r>
        <w:rPr>
          <w:rFonts w:ascii="Arial" w:cs="Arial" w:eastAsia="Arial" w:hAnsi="Arial"/>
          <w:sz w:val="18"/>
          <w:szCs w:val="18"/>
          <w:color w:val="auto"/>
        </w:rPr>
        <w:t>The details of the pro forma increase in Germany’s revenue during the three months ended March 31, 2018, as compared to the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2017, are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Non-subscription</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revenue (a)</w:t>
            </w:r>
          </w:p>
        </w:tc>
        <w:tc>
          <w:tcPr>
            <w:tcW w:w="26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revenue</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200" w:type="dxa"/>
            <w:vAlign w:val="bottom"/>
          </w:tcPr>
          <w:p>
            <w:pPr>
              <w:ind w:left="40"/>
              <w:spacing w:after="0"/>
              <w:rPr>
                <w:sz w:val="20"/>
                <w:szCs w:val="20"/>
                <w:color w:val="auto"/>
              </w:rPr>
            </w:pPr>
            <w:r>
              <w:rPr>
                <w:rFonts w:ascii="Arial" w:cs="Arial" w:eastAsia="Arial" w:hAnsi="Arial"/>
                <w:sz w:val="18"/>
                <w:szCs w:val="18"/>
                <w:color w:val="auto"/>
              </w:rPr>
              <w:t>Increase in residential cable subscription revenue due to change in:</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RGUs (b)</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7200" w:type="dxa"/>
            <w:vAlign w:val="bottom"/>
          </w:tcPr>
          <w:p>
            <w:pPr>
              <w:ind w:left="200"/>
              <w:spacing w:after="0"/>
              <w:rPr>
                <w:sz w:val="20"/>
                <w:szCs w:val="20"/>
                <w:color w:val="auto"/>
              </w:rPr>
            </w:pPr>
            <w:r>
              <w:rPr>
                <w:rFonts w:ascii="Arial" w:cs="Arial" w:eastAsia="Arial" w:hAnsi="Arial"/>
                <w:sz w:val="18"/>
                <w:szCs w:val="18"/>
                <w:color w:val="auto"/>
              </w:rPr>
              <w:t>ARPU (c)</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residential cable non-subscription revenue (d)</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7"/>
        </w:trPr>
        <w:tc>
          <w:tcPr>
            <w:tcW w:w="7200" w:type="dxa"/>
            <w:vAlign w:val="bottom"/>
          </w:tcPr>
          <w:p>
            <w:pPr>
              <w:ind w:left="340"/>
              <w:spacing w:after="0"/>
              <w:rPr>
                <w:sz w:val="20"/>
                <w:szCs w:val="20"/>
                <w:color w:val="auto"/>
              </w:rPr>
            </w:pPr>
            <w:r>
              <w:rPr>
                <w:rFonts w:ascii="Arial" w:cs="Arial" w:eastAsia="Arial" w:hAnsi="Arial"/>
                <w:sz w:val="18"/>
                <w:szCs w:val="18"/>
                <w:color w:val="auto"/>
              </w:rPr>
              <w:t>Total increase in residential cable revenue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residential mobile revenue (e)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Increase in B2B revenue (f)</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other revenue</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7200" w:type="dxa"/>
            <w:vAlign w:val="bottom"/>
          </w:tcPr>
          <w:p>
            <w:pPr>
              <w:ind w:left="340"/>
              <w:spacing w:after="0"/>
              <w:rPr>
                <w:sz w:val="20"/>
                <w:szCs w:val="20"/>
                <w:color w:val="auto"/>
              </w:rPr>
            </w:pPr>
            <w:r>
              <w:rPr>
                <w:rFonts w:ascii="Arial" w:cs="Arial" w:eastAsia="Arial" w:hAnsi="Arial"/>
                <w:sz w:val="18"/>
                <w:szCs w:val="18"/>
                <w:color w:val="auto"/>
              </w:rPr>
              <w:t>Total organic increase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FX</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57"/>
        </w:trPr>
        <w:tc>
          <w:tcPr>
            <w:tcW w:w="7200" w:type="dxa"/>
            <w:vAlign w:val="bottom"/>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71"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Residential cable subscription revenue includes revenue from multi-year bulk agreements with landlords or housing associations or with third parties that operate and administer the in-building networks on behalf of housing associations. These bulk agreements, which generally allow for the procurement of the basic video signals at volume-based discounts, provide access to approximately two-thirds of Germany’s video subscribers. Germany’s bulk agreements are, to a significant extent, medium- and long-term contracts. As of March 31, 2018, bulk agreements covering approximately 35% of the video subscribers that Germany serves expire by the end of 2019 or are terminable on 30-days notice. During the three months ended March 31, 2018, Germany’s 20 largest bulk agreement accounts generated approximately 8% of its total revenue (including estimated amounts billed directly to the building occupants for digital video, broadband internet and fixed-line telephony services). No assurance can be given that Germany’s bulk agreements will be renewed or extended on financially equivalent terms, or at all.</w:t>
      </w:r>
    </w:p>
    <w:p>
      <w:pPr>
        <w:spacing w:after="0" w:line="178" w:lineRule="exact"/>
        <w:rPr>
          <w:rFonts w:ascii="Arial" w:cs="Arial" w:eastAsia="Arial" w:hAnsi="Arial"/>
          <w:sz w:val="17"/>
          <w:szCs w:val="17"/>
          <w:color w:val="auto"/>
        </w:rPr>
      </w:pPr>
    </w:p>
    <w:p>
      <w:pPr>
        <w:ind w:left="500" w:hanging="492"/>
        <w:spacing w:after="0" w:line="308"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increase in residential cable subscription revenue related to a change in the average number of RGUs is attributable to the net effect of (i) increases in the average number of broadband internet and fixed-line telephony RGUs and (ii) a decrease in the average number of video RGUs.</w:t>
      </w:r>
    </w:p>
    <w:p>
      <w:pPr>
        <w:spacing w:after="0" w:line="146" w:lineRule="exact"/>
        <w:rPr>
          <w:rFonts w:ascii="Arial" w:cs="Arial" w:eastAsia="Arial" w:hAnsi="Arial"/>
          <w:sz w:val="17"/>
          <w:szCs w:val="17"/>
          <w:color w:val="auto"/>
        </w:rPr>
      </w:pPr>
    </w:p>
    <w:p>
      <w:pPr>
        <w:ind w:left="500" w:hanging="492"/>
        <w:spacing w:after="0" w:line="308"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increase in residential cable subscription revenue related to a change in ARPU is attributable to (i) an improvement in RGU mix and (ii) a net increase due to (a) higher ARPU from broadband internet and video services and (b) lower ARPU from fixed-line telephony services.</w:t>
      </w:r>
    </w:p>
    <w:p>
      <w:pPr>
        <w:spacing w:after="0" w:line="146" w:lineRule="exact"/>
        <w:rPr>
          <w:rFonts w:ascii="Arial" w:cs="Arial" w:eastAsia="Arial" w:hAnsi="Arial"/>
          <w:sz w:val="17"/>
          <w:szCs w:val="17"/>
          <w:color w:val="auto"/>
        </w:rPr>
      </w:pPr>
    </w:p>
    <w:p>
      <w:pPr>
        <w:jc w:val="both"/>
        <w:ind w:left="500" w:hanging="492"/>
        <w:spacing w:after="0" w:line="254"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increase in residential cable non-subscription revenue is primarily due to an increase in carriage fee revenue, including (i) a $33.2 million benefit related to the settlement of prior-year fees in connection with the execution of a new carriage fee contract during the first quarter of 2018 and (ii) a $7.3 million decrease attributable to the June 2017 discontinuation of analog video services in Germany. Channel carriage revenue relates to fees received for the carriage of certain channels included in Germany’s basic and enhanced video offerings. This channel carriage fee revenue is subject to contracts that expire or are otherwise terminable by either party on various dates ranging from 2018 through 2028. Excluding the impact of the settlement mentioned above, the aggregate amount of revenue related to these channel carriage contracts represented approximately 4% of Germany’s total revenue during the three months ended March 31, 2018. No assurance can be given that these contracts will be renewed or extended on financially equivalent terms, or at all.</w:t>
      </w:r>
    </w:p>
    <w:p>
      <w:pPr>
        <w:spacing w:after="0" w:line="19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decrease in residential mobile non-subscription revenue is primarily due to a decrease in mobile handset sales as Germany’s wholesale handset program was transferred to another Liberty Global subsidiary within Central and Corporate effective January 1,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8" w:right="239" w:bottom="1440" w:gutter="0" w:footer="0" w:header="0"/>
        </w:sectPr>
      </w:pPr>
    </w:p>
    <w:bookmarkStart w:id="57" w:name="page58"/>
    <w:bookmarkEnd w:id="57"/>
    <w:p>
      <w:pPr>
        <w:jc w:val="both"/>
        <w:ind w:left="500" w:hanging="492"/>
        <w:spacing w:after="0" w:line="264"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increase in B2B subscription revenue is primarily attributable to an increase in the average number of broadband internet and fixed-line telephony SOHO subscribers. The increase in B2B non-subscription revenue is largely due to an increase in interconnect revenue related to wholesale telephony services, which typically generate relatively low margins.</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Switzerland/Austria. </w:t>
      </w:r>
      <w:r>
        <w:rPr>
          <w:rFonts w:ascii="Arial" w:cs="Arial" w:eastAsia="Arial" w:hAnsi="Arial"/>
          <w:sz w:val="18"/>
          <w:szCs w:val="18"/>
          <w:color w:val="auto"/>
        </w:rPr>
        <w:t>The details of the pro forma increase in Switzerland/Austria’s revenue during the three months ended March 31, 2018,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corresponding period in 2017, are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Subscription</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Non-subscription</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revenue</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revenue</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in millions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080" w:type="dxa"/>
            <w:vAlign w:val="bottom"/>
          </w:tcPr>
          <w:p>
            <w:pPr>
              <w:ind w:left="40"/>
              <w:spacing w:after="0"/>
              <w:rPr>
                <w:sz w:val="20"/>
                <w:szCs w:val="20"/>
                <w:color w:val="auto"/>
              </w:rPr>
            </w:pPr>
            <w:r>
              <w:rPr>
                <w:rFonts w:ascii="Arial" w:cs="Arial" w:eastAsia="Arial" w:hAnsi="Arial"/>
                <w:sz w:val="18"/>
                <w:szCs w:val="18"/>
                <w:color w:val="auto"/>
              </w:rPr>
              <w:t>Decrease in residential cable subscription revenue due to change in:</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RGUs (a)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ARPU (b)</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residential cable non-subscription revenue (c)</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7"/>
        </w:trPr>
        <w:tc>
          <w:tcPr>
            <w:tcW w:w="7080" w:type="dxa"/>
            <w:vAlign w:val="bottom"/>
          </w:tcPr>
          <w:p>
            <w:pPr>
              <w:ind w:left="340"/>
              <w:spacing w:after="0"/>
              <w:rPr>
                <w:sz w:val="20"/>
                <w:szCs w:val="20"/>
                <w:color w:val="auto"/>
              </w:rPr>
            </w:pPr>
            <w:r>
              <w:rPr>
                <w:rFonts w:ascii="Arial" w:cs="Arial" w:eastAsia="Arial" w:hAnsi="Arial"/>
                <w:sz w:val="18"/>
                <w:szCs w:val="18"/>
                <w:color w:val="auto"/>
              </w:rPr>
              <w:t>Total increase (decrease) in residential cable revenue</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residential mobile revenue (d)</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Increase in B2B revenue (e)</w:t>
            </w:r>
          </w:p>
        </w:tc>
        <w:tc>
          <w:tcPr>
            <w:tcW w:w="2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other revenue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7080" w:type="dxa"/>
            <w:vAlign w:val="bottom"/>
          </w:tcPr>
          <w:p>
            <w:pPr>
              <w:ind w:left="340"/>
              <w:spacing w:after="0"/>
              <w:rPr>
                <w:sz w:val="20"/>
                <w:szCs w:val="20"/>
                <w:color w:val="auto"/>
              </w:rPr>
            </w:pPr>
            <w:r>
              <w:rPr>
                <w:rFonts w:ascii="Arial" w:cs="Arial" w:eastAsia="Arial" w:hAnsi="Arial"/>
                <w:sz w:val="18"/>
                <w:szCs w:val="18"/>
                <w:color w:val="auto"/>
              </w:rPr>
              <w:t>Total organic increase (decrease)</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FX</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57"/>
        </w:trPr>
        <w:tc>
          <w:tcPr>
            <w:tcW w:w="7080" w:type="dxa"/>
            <w:vAlign w:val="bottom"/>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308"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decrease in residential cable subscription revenue related to a change in the average number of RGUs is attributable to the net effect of (i) a decline in the average number of video RGUs and (ii) increases in the average number of fixed-line telephony and broadband internet RGUs.</w:t>
      </w:r>
    </w:p>
    <w:p>
      <w:pPr>
        <w:spacing w:after="0" w:line="146" w:lineRule="exact"/>
        <w:rPr>
          <w:rFonts w:ascii="Arial" w:cs="Arial" w:eastAsia="Arial" w:hAnsi="Arial"/>
          <w:sz w:val="17"/>
          <w:szCs w:val="17"/>
          <w:color w:val="auto"/>
        </w:rPr>
      </w:pPr>
    </w:p>
    <w:p>
      <w:pPr>
        <w:jc w:val="both"/>
        <w:ind w:left="500" w:hanging="492"/>
        <w:spacing w:after="0" w:line="264"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decrease in residential cable subscription revenue related to a change in ARPU is attributable to (i) a decrease due to lower ARPU from fixed-line telephony, broadband internet and video services, including the reversal during the first quarter of 2018 of $3.9 million of revenue in Switzerland that was recognized during prior-year periods, and (ii) an adverse change in RGU mix.</w:t>
      </w:r>
    </w:p>
    <w:p>
      <w:pPr>
        <w:spacing w:after="0" w:line="181"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increase in residential cable non-subscription revenue is primarily attributable to the net effect of (i) an $11.8 million increase in distribution revenue associated with the September 2017 launch of our Swiss sports channels and (ii) a $3.7 million decrease due to the unfavorable impact of the release of unclaimed customer credits in Switzerland during the 2017 period.</w:t>
      </w:r>
    </w:p>
    <w:p>
      <w:pPr>
        <w:spacing w:after="0" w:line="181"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increase in residential mobile subscription revenue is primarily due to an increase in the average number of mobile subscribers.</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increase in B2B non-subscription revenue is primarily due to (i) higher revenue from fixed-line telephony and data services in Switzerland and (ii) an increase in interconnect revenue in Switzerland.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8" w:right="239" w:bottom="1440" w:gutter="0" w:footer="0" w:header="0"/>
        </w:sectPr>
      </w:pPr>
    </w:p>
    <w:bookmarkStart w:id="58" w:name="page59"/>
    <w:bookmarkEnd w:id="58"/>
    <w:p>
      <w:pPr>
        <w:ind w:firstLine="324"/>
        <w:spacing w:after="0" w:line="277" w:lineRule="auto"/>
        <w:rPr>
          <w:sz w:val="20"/>
          <w:szCs w:val="20"/>
          <w:color w:val="auto"/>
        </w:rPr>
      </w:pPr>
      <w:r>
        <w:rPr>
          <w:rFonts w:ascii="Arial" w:cs="Arial" w:eastAsia="Arial" w:hAnsi="Arial"/>
          <w:sz w:val="18"/>
          <w:szCs w:val="18"/>
          <w:i w:val="1"/>
          <w:iCs w:val="1"/>
          <w:color w:val="auto"/>
        </w:rPr>
        <w:t xml:space="preserve">Central and Eastern Europe. </w:t>
      </w:r>
      <w:r>
        <w:rPr>
          <w:rFonts w:ascii="Arial" w:cs="Arial" w:eastAsia="Arial" w:hAnsi="Arial"/>
          <w:sz w:val="18"/>
          <w:szCs w:val="18"/>
          <w:color w:val="auto"/>
        </w:rPr>
        <w:t>The details of the pro forma increase in Central and Eastern Europe’s revenue during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as compared to the corresponding period in 2017, are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Subscription</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Non-subscription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revenue</w:t>
            </w:r>
          </w:p>
        </w:tc>
        <w:tc>
          <w:tcPr>
            <w:tcW w:w="16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660" w:type="dxa"/>
            <w:vAlign w:val="bottom"/>
          </w:tcPr>
          <w:p>
            <w:pPr>
              <w:ind w:left="40"/>
              <w:spacing w:after="0"/>
              <w:rPr>
                <w:sz w:val="20"/>
                <w:szCs w:val="20"/>
                <w:color w:val="auto"/>
              </w:rPr>
            </w:pPr>
            <w:r>
              <w:rPr>
                <w:rFonts w:ascii="Arial" w:cs="Arial" w:eastAsia="Arial" w:hAnsi="Arial"/>
                <w:sz w:val="18"/>
                <w:szCs w:val="18"/>
                <w:color w:val="auto"/>
              </w:rPr>
              <w:t>Increase (decrease) in residential cable subscription revenue due to change in:</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Arial" w:cs="Arial" w:eastAsia="Arial" w:hAnsi="Arial"/>
                <w:sz w:val="18"/>
                <w:szCs w:val="18"/>
                <w:color w:val="auto"/>
              </w:rPr>
              <w:t>ARPU (b)</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residential cable non-subscription revenue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7660" w:type="dxa"/>
            <w:vAlign w:val="bottom"/>
          </w:tcPr>
          <w:p>
            <w:pPr>
              <w:ind w:left="340"/>
              <w:spacing w:after="0"/>
              <w:rPr>
                <w:sz w:val="20"/>
                <w:szCs w:val="20"/>
                <w:color w:val="auto"/>
              </w:rPr>
            </w:pPr>
            <w:r>
              <w:rPr>
                <w:rFonts w:ascii="Arial" w:cs="Arial" w:eastAsia="Arial" w:hAnsi="Arial"/>
                <w:sz w:val="18"/>
                <w:szCs w:val="18"/>
                <w:color w:val="auto"/>
              </w:rPr>
              <w:t>Total increase (decrease) in residential cable revenue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residential mobile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Increase in B2B revenue (c)</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organic increase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Impact of FX</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79" w:lineRule="auto"/>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increase in residential cable subscription revenue related to a change in the average number of RGUs is attributable to (i) an increase in the average number of broadband internet RGUs, due primarily to increases in Hungary, the Czech Republic and Romania, (ii) an increase in the average number of fixed-line telephony RGUs, primarily in Hungary, and (iii) an increase in the average number of video RGUs, as increases in the Czech Republic, Romania and Hungary were only partially offset by decreases in UPC DTH and Poland.</w:t>
      </w:r>
    </w:p>
    <w:p>
      <w:pPr>
        <w:spacing w:after="0" w:line="171" w:lineRule="exact"/>
        <w:rPr>
          <w:rFonts w:ascii="Arial" w:cs="Arial" w:eastAsia="Arial" w:hAnsi="Arial"/>
          <w:sz w:val="17"/>
          <w:szCs w:val="17"/>
          <w:color w:val="auto"/>
        </w:rPr>
      </w:pPr>
    </w:p>
    <w:p>
      <w:pPr>
        <w:jc w:val="both"/>
        <w:ind w:left="500" w:hanging="492"/>
        <w:spacing w:after="0" w:line="302" w:lineRule="auto"/>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decrease in residential cable subscription revenue related to a change in ARPU is primarily attributable to (i) a net decrease due to (a) lower ARPU from fixed-line telephony, due primarily to decreases in Poland and Hungary, (b) lower ARPU from broadband internet services, primarily driven by decreases in Poland and Hungary that were only partially offset by an increase in Romania, and (c) higher ARPU from video services, as increases in Poland and UPC DTH were only partially offset by a decrease in the Czech Republic, and (ii) a slight adverse change in RGU mix.</w:t>
      </w:r>
    </w:p>
    <w:p>
      <w:pPr>
        <w:spacing w:after="0" w:line="154" w:lineRule="exact"/>
        <w:rPr>
          <w:rFonts w:ascii="Arial" w:cs="Arial" w:eastAsia="Arial" w:hAnsi="Arial"/>
          <w:sz w:val="16"/>
          <w:szCs w:val="16"/>
          <w:color w:val="auto"/>
        </w:rPr>
      </w:pPr>
    </w:p>
    <w:p>
      <w:pPr>
        <w:jc w:val="both"/>
        <w:ind w:left="500" w:hanging="492"/>
        <w:spacing w:after="0" w:line="264"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increase in B2B subscription revenue is largely attributable to an increase in the average number of broadband internet SOHO subscribers. The increase in B2B non-subscription revenue is primarily due to (i) higher revenue from fixed-line telephony services, primarily in the Czech Republic, and (ii) higher interconnect revenue, primarily due to higher volumes.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8" w:right="239" w:bottom="1440" w:gutter="0" w:footer="0" w:header="0"/>
        </w:sectPr>
      </w:pPr>
    </w:p>
    <w:bookmarkStart w:id="59" w:name="page60"/>
    <w:bookmarkEnd w:id="59"/>
    <w:p>
      <w:pPr>
        <w:ind w:left="180"/>
        <w:spacing w:after="0"/>
        <w:rPr>
          <w:sz w:val="20"/>
          <w:szCs w:val="20"/>
          <w:color w:val="auto"/>
        </w:rPr>
      </w:pPr>
      <w:r>
        <w:rPr>
          <w:rFonts w:ascii="Arial" w:cs="Arial" w:eastAsia="Arial" w:hAnsi="Arial"/>
          <w:sz w:val="16"/>
          <w:szCs w:val="16"/>
          <w:b w:val="1"/>
          <w:bCs w:val="1"/>
          <w:i w:val="1"/>
          <w:iCs w:val="1"/>
          <w:color w:val="auto"/>
        </w:rPr>
        <w:t>Programming and Other Direct Costs of Services, Other Operating Expenses and SG&amp;A Expenses of our Consolidated Reportable Segments</w:t>
      </w:r>
    </w:p>
    <w:p>
      <w:pPr>
        <w:spacing w:after="0" w:line="2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information regarding the changes in our (i) programming and other direct costs of services, (ii) other operating expenses and (iii) SG&amp;A expenses</w:t>
      </w:r>
      <w:r>
        <w:rPr>
          <w:rFonts w:ascii="Arial" w:cs="Arial" w:eastAsia="Arial" w:hAnsi="Arial"/>
          <w:sz w:val="18"/>
          <w:szCs w:val="18"/>
          <w:i w:val="1"/>
          <w:iCs w:val="1"/>
          <w:color w:val="auto"/>
        </w:rPr>
        <w:t>,</w:t>
      </w:r>
      <w:r>
        <w:rPr>
          <w:rFonts w:ascii="Arial" w:cs="Arial" w:eastAsia="Arial" w:hAnsi="Arial"/>
          <w:sz w:val="18"/>
          <w:szCs w:val="18"/>
          <w:color w:val="auto"/>
        </w:rPr>
        <w:t xml:space="preserve"> see </w:t>
      </w:r>
      <w:r>
        <w:rPr>
          <w:rFonts w:ascii="Arial" w:cs="Arial" w:eastAsia="Arial" w:hAnsi="Arial"/>
          <w:sz w:val="18"/>
          <w:szCs w:val="18"/>
          <w:i w:val="1"/>
          <w:iCs w:val="1"/>
          <w:color w:val="auto"/>
        </w:rPr>
        <w:t>Discussion and Analysis of our Consolidated Operating Results</w:t>
      </w:r>
      <w:r>
        <w:rPr>
          <w:rFonts w:ascii="Arial" w:cs="Arial" w:eastAsia="Arial" w:hAnsi="Arial"/>
          <w:sz w:val="18"/>
          <w:szCs w:val="18"/>
          <w:color w:val="auto"/>
        </w:rPr>
        <w:t xml:space="preserve"> below.</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Adjusted OIBDA of our Consolidated Reportable Segments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Adjusted OIBDA is the primary measure used by our chief operating decision maker to evaluate segment operating performance.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this performance measure and for a reconciliation of total Adjusted OIBDA of our consolidated reportable segments to our loss from continuing operations before income taxes, see note 16 to our condensed consolidated financial statements.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7"/>
              </w:rPr>
              <w:t>March 31,</w:t>
            </w:r>
          </w:p>
        </w:tc>
        <w:tc>
          <w:tcPr>
            <w:tcW w:w="120" w:type="dxa"/>
            <w:vAlign w:val="bottom"/>
          </w:tcPr>
          <w:p>
            <w:pPr>
              <w:spacing w:after="0"/>
              <w:rPr>
                <w:sz w:val="18"/>
                <w:szCs w:val="18"/>
                <w:color w:val="auto"/>
              </w:rPr>
            </w:pPr>
          </w:p>
        </w:tc>
        <w:tc>
          <w:tcPr>
            <w:tcW w:w="2360" w:type="dxa"/>
            <w:vAlign w:val="bottom"/>
            <w:gridSpan w:val="4"/>
          </w:tcPr>
          <w:p>
            <w:pPr>
              <w:ind w:left="420"/>
              <w:spacing w:after="0"/>
              <w:rPr>
                <w:sz w:val="20"/>
                <w:szCs w:val="20"/>
                <w:color w:val="auto"/>
              </w:rPr>
            </w:pPr>
            <w:r>
              <w:rPr>
                <w:rFonts w:ascii="Arial" w:cs="Arial" w:eastAsia="Arial" w:hAnsi="Arial"/>
                <w:sz w:val="16"/>
                <w:szCs w:val="16"/>
                <w:b w:val="1"/>
                <w:bCs w:val="1"/>
                <w:color w:val="auto"/>
              </w:rPr>
              <w:t>Increase (decrease)</w:t>
            </w:r>
          </w:p>
        </w:tc>
        <w:tc>
          <w:tcPr>
            <w:tcW w:w="180" w:type="dxa"/>
            <w:vAlign w:val="bottom"/>
          </w:tcPr>
          <w:p>
            <w:pPr>
              <w:spacing w:after="0"/>
              <w:rPr>
                <w:sz w:val="18"/>
                <w:szCs w:val="18"/>
                <w:color w:val="auto"/>
              </w:rPr>
            </w:pPr>
          </w:p>
        </w:tc>
        <w:tc>
          <w:tcPr>
            <w:tcW w:w="2200" w:type="dxa"/>
            <w:vAlign w:val="bottom"/>
            <w:gridSpan w:val="3"/>
          </w:tcPr>
          <w:p>
            <w:pPr>
              <w:jc w:val="right"/>
              <w:ind w:right="131"/>
              <w:spacing w:after="0"/>
              <w:rPr>
                <w:sz w:val="20"/>
                <w:szCs w:val="20"/>
                <w:color w:val="auto"/>
              </w:rPr>
            </w:pPr>
            <w:r>
              <w:rPr>
                <w:rFonts w:ascii="Arial" w:cs="Arial" w:eastAsia="Arial" w:hAnsi="Arial"/>
                <w:sz w:val="16"/>
                <w:szCs w:val="16"/>
                <w:b w:val="1"/>
                <w:bCs w:val="1"/>
                <w:color w:val="auto"/>
                <w:w w:val="91"/>
              </w:rPr>
              <w:t>Organic increase (decrease)</w:t>
            </w:r>
          </w:p>
        </w:tc>
      </w:tr>
      <w:tr>
        <w:trPr>
          <w:trHeight w:val="33"/>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45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41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r>
      <w:tr>
        <w:trPr>
          <w:trHeight w:val="33"/>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pro forma</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4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60" w:type="dxa"/>
            <w:vAlign w:val="bottom"/>
            <w:gridSpan w:val="4"/>
          </w:tcPr>
          <w:p>
            <w:pPr>
              <w:spacing w:after="0"/>
              <w:rPr>
                <w:sz w:val="20"/>
                <w:szCs w:val="20"/>
                <w:color w:val="auto"/>
              </w:rPr>
            </w:pPr>
            <w:r>
              <w:rPr>
                <w:rFonts w:ascii="Arial" w:cs="Arial" w:eastAsia="Arial" w:hAnsi="Arial"/>
                <w:sz w:val="16"/>
                <w:szCs w:val="16"/>
                <w:b w:val="1"/>
                <w:bCs w:val="1"/>
                <w:color w:val="auto"/>
                <w:w w:val="98"/>
              </w:rPr>
              <w:t>in millions, except percentages</w:t>
            </w: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357"/>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357.6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296.5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w:t>
            </w: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Switzerland/Austria</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243.5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Central and Corporate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1,898.9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305.9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Adjusted OIBDA Margin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Adjusted OIBDA margins (Adjusted OIBDA divided by revenue) of each of our consolidated reportable segments:</w:t>
      </w:r>
    </w:p>
    <w:p>
      <w:pPr>
        <w:spacing w:after="0" w:line="183" w:lineRule="exact"/>
        <w:rPr>
          <w:sz w:val="20"/>
          <w:szCs w:val="20"/>
          <w:color w:val="auto"/>
        </w:rPr>
      </w:pPr>
    </w:p>
    <w:p>
      <w:pPr>
        <w:jc w:val="center"/>
        <w:ind w:left="87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7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33020</wp:posOffset>
            </wp:positionV>
            <wp:extent cx="17494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60" w:type="dxa"/>
            <w:vAlign w:val="bottom"/>
          </w:tcPr>
          <w:p>
            <w:pPr>
              <w:spacing w:after="0"/>
              <w:rPr>
                <w:sz w:val="18"/>
                <w:szCs w:val="18"/>
                <w:color w:val="auto"/>
              </w:rPr>
            </w:pPr>
          </w:p>
        </w:tc>
        <w:tc>
          <w:tcPr>
            <w:tcW w:w="1320" w:type="dxa"/>
            <w:vAlign w:val="bottom"/>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320" w:type="dxa"/>
            <w:vAlign w:val="bottom"/>
          </w:tcPr>
          <w:p>
            <w:pPr>
              <w:jc w:val="right"/>
              <w:ind w:right="413"/>
              <w:spacing w:after="0"/>
              <w:rPr>
                <w:sz w:val="20"/>
                <w:szCs w:val="20"/>
                <w:color w:val="auto"/>
              </w:rPr>
            </w:pPr>
            <w:r>
              <w:rPr>
                <w:rFonts w:ascii="Arial" w:cs="Arial" w:eastAsia="Arial" w:hAnsi="Arial"/>
                <w:sz w:val="16"/>
                <w:szCs w:val="16"/>
                <w:b w:val="1"/>
                <w:bCs w:val="1"/>
                <w:color w:val="auto"/>
              </w:rPr>
              <w:t>2017</w:t>
            </w:r>
          </w:p>
        </w:tc>
      </w:tr>
      <w:tr>
        <w:trPr>
          <w:trHeight w:val="33"/>
        </w:trPr>
        <w:tc>
          <w:tcPr>
            <w:tcW w:w="86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8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213"/>
              <w:spacing w:after="0"/>
              <w:rPr>
                <w:sz w:val="20"/>
                <w:szCs w:val="20"/>
                <w:color w:val="auto"/>
              </w:rPr>
            </w:pPr>
            <w:r>
              <w:rPr>
                <w:rFonts w:ascii="Arial" w:cs="Arial" w:eastAsia="Arial" w:hAnsi="Arial"/>
                <w:sz w:val="16"/>
                <w:szCs w:val="16"/>
                <w:b w:val="1"/>
                <w:bCs w:val="1"/>
                <w:color w:val="auto"/>
              </w:rPr>
              <w:t>pro forma</w:t>
            </w:r>
          </w:p>
        </w:tc>
      </w:tr>
      <w:tr>
        <w:trPr>
          <w:trHeight w:val="33"/>
        </w:trPr>
        <w:tc>
          <w:tcPr>
            <w:tcW w:w="8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324"/>
        </w:trPr>
        <w:tc>
          <w:tcPr>
            <w:tcW w:w="86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U.K./Ireland</w:t>
            </w:r>
          </w:p>
        </w:tc>
        <w:tc>
          <w:tcPr>
            <w:tcW w:w="132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7"/>
        </w:trPr>
        <w:tc>
          <w:tcPr>
            <w:tcW w:w="8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Germany</w:t>
            </w:r>
          </w:p>
        </w:tc>
        <w:tc>
          <w:tcPr>
            <w:tcW w:w="1320" w:type="dxa"/>
            <w:vAlign w:val="bottom"/>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27"/>
        </w:trPr>
        <w:tc>
          <w:tcPr>
            <w:tcW w:w="8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Switzerland/Austria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41.0%</w:t>
            </w: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addition to organic changes in the revenue, operating and SG&amp;A expenses of our consolidated reportable segments, the Adjusted OIBDA margins presented above include the impact of acquisitions. For discussion of the factors contributing to the changes in the Adjusted OIBDA margins of our reportable segments, see the analysis of our revenue included in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 and the analysis of our expenses included in </w:t>
      </w:r>
      <w:r>
        <w:rPr>
          <w:rFonts w:ascii="Arial" w:cs="Arial" w:eastAsia="Arial" w:hAnsi="Arial"/>
          <w:sz w:val="18"/>
          <w:szCs w:val="18"/>
          <w:i w:val="1"/>
          <w:iCs w:val="1"/>
          <w:color w:val="auto"/>
        </w:rPr>
        <w:t xml:space="preserve">Discussion and Analysis of our Consolidated Operating Results </w:t>
      </w:r>
      <w:r>
        <w:rPr>
          <w:rFonts w:ascii="Arial" w:cs="Arial" w:eastAsia="Arial" w:hAnsi="Arial"/>
          <w:sz w:val="18"/>
          <w:szCs w:val="18"/>
          <w:color w:val="auto"/>
        </w:rPr>
        <w:t>below.</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8"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Discussion and Analysis of our Consolidated Operating Results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by major category is set forth below:</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4"/>
              </w:rPr>
              <w:t>March 31,</w:t>
            </w:r>
          </w:p>
        </w:tc>
        <w:tc>
          <w:tcPr>
            <w:tcW w:w="320" w:type="dxa"/>
            <w:vAlign w:val="bottom"/>
          </w:tcPr>
          <w:p>
            <w:pPr>
              <w:spacing w:after="0"/>
              <w:rPr>
                <w:sz w:val="18"/>
                <w:szCs w:val="18"/>
                <w:color w:val="auto"/>
              </w:rPr>
            </w:pPr>
          </w:p>
        </w:tc>
        <w:tc>
          <w:tcPr>
            <w:tcW w:w="1280" w:type="dxa"/>
            <w:vAlign w:val="bottom"/>
            <w:gridSpan w:val="3"/>
          </w:tcPr>
          <w:p>
            <w:pPr>
              <w:ind w:left="580"/>
              <w:spacing w:after="0"/>
              <w:rPr>
                <w:sz w:val="20"/>
                <w:szCs w:val="20"/>
                <w:color w:val="auto"/>
              </w:rPr>
            </w:pPr>
            <w:r>
              <w:rPr>
                <w:rFonts w:ascii="Arial" w:cs="Arial" w:eastAsia="Arial" w:hAnsi="Arial"/>
                <w:sz w:val="16"/>
                <w:szCs w:val="16"/>
                <w:b w:val="1"/>
                <w:bCs w:val="1"/>
                <w:color w:val="auto"/>
              </w:rPr>
              <w:t>Increase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3"/>
          </w:tcPr>
          <w:p>
            <w:pPr>
              <w:jc w:val="right"/>
              <w:ind w:right="131"/>
              <w:spacing w:after="0"/>
              <w:rPr>
                <w:sz w:val="20"/>
                <w:szCs w:val="20"/>
                <w:color w:val="auto"/>
              </w:rPr>
            </w:pPr>
            <w:r>
              <w:rPr>
                <w:rFonts w:ascii="Arial" w:cs="Arial" w:eastAsia="Arial" w:hAnsi="Arial"/>
                <w:sz w:val="16"/>
                <w:szCs w:val="16"/>
                <w:b w:val="1"/>
                <w:bCs w:val="1"/>
                <w:color w:val="auto"/>
                <w:w w:val="90"/>
              </w:rPr>
              <w:t>Organic increase (decrease)</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12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pro forma</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60" w:type="dxa"/>
            <w:vAlign w:val="bottom"/>
            <w:gridSpan w:val="6"/>
          </w:tcPr>
          <w:p>
            <w:pPr>
              <w:ind w:left="100"/>
              <w:spacing w:after="0"/>
              <w:rPr>
                <w:sz w:val="20"/>
                <w:szCs w:val="20"/>
                <w:color w:val="auto"/>
              </w:rPr>
            </w:pPr>
            <w:r>
              <w:rPr>
                <w:rFonts w:ascii="Arial" w:cs="Arial" w:eastAsia="Arial" w:hAnsi="Arial"/>
                <w:sz w:val="16"/>
                <w:szCs w:val="16"/>
                <w:b w:val="1"/>
                <w:bCs w:val="1"/>
                <w:color w:val="auto"/>
                <w:w w:val="98"/>
              </w:rPr>
              <w:t>in millions, except percentages</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60" w:type="dxa"/>
            <w:vAlign w:val="bottom"/>
          </w:tcPr>
          <w:p>
            <w:pPr>
              <w:ind w:left="40"/>
              <w:spacing w:after="0"/>
              <w:rPr>
                <w:sz w:val="20"/>
                <w:szCs w:val="20"/>
                <w:color w:val="auto"/>
              </w:rPr>
            </w:pPr>
            <w:r>
              <w:rPr>
                <w:rFonts w:ascii="Arial" w:cs="Arial" w:eastAsia="Arial" w:hAnsi="Arial"/>
                <w:sz w:val="18"/>
                <w:szCs w:val="18"/>
                <w:color w:val="auto"/>
              </w:rPr>
              <w:t>Residential revenue:</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cable revenue (a):</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80"/>
              <w:spacing w:after="0"/>
              <w:rPr>
                <w:sz w:val="20"/>
                <w:szCs w:val="20"/>
                <w:color w:val="auto"/>
              </w:rPr>
            </w:pPr>
            <w:r>
              <w:rPr>
                <w:rFonts w:ascii="Arial" w:cs="Arial" w:eastAsia="Arial" w:hAnsi="Arial"/>
                <w:sz w:val="18"/>
                <w:szCs w:val="18"/>
                <w:color w:val="auto"/>
              </w:rPr>
              <w:t>Subscription revenue (b):</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Video</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960" w:type="dxa"/>
            <w:vAlign w:val="bottom"/>
          </w:tcPr>
          <w:p>
            <w:pPr>
              <w:ind w:left="380"/>
              <w:spacing w:after="0"/>
              <w:rPr>
                <w:sz w:val="20"/>
                <w:szCs w:val="20"/>
                <w:color w:val="auto"/>
              </w:rPr>
            </w:pPr>
            <w:r>
              <w:rPr>
                <w:rFonts w:ascii="Arial" w:cs="Arial" w:eastAsia="Arial" w:hAnsi="Arial"/>
                <w:sz w:val="18"/>
                <w:szCs w:val="18"/>
                <w:color w:val="auto"/>
              </w:rPr>
              <w:t>Broadband internet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1,138.8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952.7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186.1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Fixed-line telephony</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3960" w:type="dxa"/>
            <w:vAlign w:val="bottom"/>
          </w:tcPr>
          <w:p>
            <w:pPr>
              <w:ind w:left="500"/>
              <w:spacing w:after="0"/>
              <w:rPr>
                <w:sz w:val="20"/>
                <w:szCs w:val="20"/>
                <w:color w:val="auto"/>
              </w:rPr>
            </w:pPr>
            <w:r>
              <w:rPr>
                <w:rFonts w:ascii="Arial" w:cs="Arial" w:eastAsia="Arial" w:hAnsi="Arial"/>
                <w:sz w:val="18"/>
                <w:szCs w:val="18"/>
                <w:color w:val="auto"/>
              </w:rPr>
              <w:t>Total subscription revenue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2,917.1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2,544.4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372.7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7"/>
        </w:trPr>
        <w:tc>
          <w:tcPr>
            <w:tcW w:w="3960" w:type="dxa"/>
            <w:vAlign w:val="bottom"/>
          </w:tcPr>
          <w:p>
            <w:pPr>
              <w:ind w:left="600"/>
              <w:spacing w:after="0"/>
              <w:rPr>
                <w:sz w:val="20"/>
                <w:szCs w:val="20"/>
                <w:color w:val="auto"/>
              </w:rPr>
            </w:pPr>
            <w:r>
              <w:rPr>
                <w:rFonts w:ascii="Arial" w:cs="Arial" w:eastAsia="Arial" w:hAnsi="Arial"/>
                <w:sz w:val="18"/>
                <w:szCs w:val="18"/>
                <w:color w:val="auto"/>
              </w:rPr>
              <w:t>Total residential cable revenue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3,086.3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2,643.6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442.7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mobile revenue (c):</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80"/>
              <w:spacing w:after="0"/>
              <w:rPr>
                <w:sz w:val="20"/>
                <w:szCs w:val="20"/>
                <w:color w:val="auto"/>
              </w:rPr>
            </w:pPr>
            <w:r>
              <w:rPr>
                <w:rFonts w:ascii="Arial" w:cs="Arial" w:eastAsia="Arial" w:hAnsi="Arial"/>
                <w:sz w:val="18"/>
                <w:szCs w:val="18"/>
                <w:color w:val="auto"/>
              </w:rPr>
              <w:t>Subscription revenue (b)</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254.0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7"/>
        </w:trPr>
        <w:tc>
          <w:tcPr>
            <w:tcW w:w="3960" w:type="dxa"/>
            <w:vAlign w:val="bottom"/>
          </w:tcPr>
          <w:p>
            <w:pPr>
              <w:ind w:left="380"/>
              <w:spacing w:after="0"/>
              <w:rPr>
                <w:sz w:val="20"/>
                <w:szCs w:val="20"/>
                <w:color w:val="auto"/>
              </w:rPr>
            </w:pPr>
            <w:r>
              <w:rPr>
                <w:rFonts w:ascii="Arial" w:cs="Arial" w:eastAsia="Arial" w:hAnsi="Arial"/>
                <w:sz w:val="18"/>
                <w:szCs w:val="18"/>
                <w:color w:val="auto"/>
              </w:rPr>
              <w:t>Total residential mobile revenue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377.2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residential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3960" w:type="dxa"/>
            <w:vAlign w:val="bottom"/>
          </w:tcPr>
          <w:p>
            <w:pPr>
              <w:ind w:left="40"/>
              <w:spacing w:after="0"/>
              <w:rPr>
                <w:sz w:val="20"/>
                <w:szCs w:val="20"/>
                <w:color w:val="auto"/>
              </w:rPr>
            </w:pPr>
            <w:r>
              <w:rPr>
                <w:rFonts w:ascii="Arial" w:cs="Arial" w:eastAsia="Arial" w:hAnsi="Arial"/>
                <w:sz w:val="18"/>
                <w:szCs w:val="18"/>
                <w:color w:val="auto"/>
              </w:rPr>
              <w:t>B2B revenue (d):</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Subscription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Non-subscription revenue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422.9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B2B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Other revenue (e)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4"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Residential cable subscription revenue includes amounts received from subscribers for ongoing services and the recognition of deferred installation revenue over the associated contract period. Residential cable non-subscription revenue includes, among other items, channel carriage fees, late fees and revenue from the sale of equipment.</w:t>
      </w:r>
    </w:p>
    <w:p>
      <w:pPr>
        <w:spacing w:after="0" w:line="181" w:lineRule="exact"/>
        <w:rPr>
          <w:rFonts w:ascii="Arial" w:cs="Arial" w:eastAsia="Arial" w:hAnsi="Arial"/>
          <w:sz w:val="18"/>
          <w:szCs w:val="18"/>
          <w:color w:val="auto"/>
        </w:rPr>
      </w:pPr>
    </w:p>
    <w:p>
      <w:pPr>
        <w:jc w:val="both"/>
        <w:ind w:left="500" w:right="20" w:hanging="492"/>
        <w:spacing w:after="0" w:line="286" w:lineRule="auto"/>
        <w:tabs>
          <w:tab w:leader="none" w:pos="5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65" w:lineRule="exact"/>
        <w:rPr>
          <w:rFonts w:ascii="Arial" w:cs="Arial" w:eastAsia="Arial" w:hAnsi="Arial"/>
          <w:sz w:val="17"/>
          <w:szCs w:val="17"/>
          <w:color w:val="auto"/>
        </w:rPr>
      </w:pPr>
    </w:p>
    <w:p>
      <w:pPr>
        <w:jc w:val="both"/>
        <w:ind w:left="500" w:hanging="492"/>
        <w:spacing w:after="0" w:line="286" w:lineRule="auto"/>
        <w:tabs>
          <w:tab w:leader="none" w:pos="5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$70.7 million and $64.0 million during the three months ended March 31, 2018 and 2017,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4" w:right="239" w:bottom="1440" w:gutter="0" w:footer="0" w:header="0"/>
        </w:sectPr>
      </w:pPr>
    </w:p>
    <w:bookmarkStart w:id="61" w:name="page62"/>
    <w:bookmarkEnd w:id="61"/>
    <w:p>
      <w:pPr>
        <w:jc w:val="both"/>
        <w:ind w:left="500" w:hanging="492"/>
        <w:spacing w:after="0" w:line="276" w:lineRule="auto"/>
        <w:tabs>
          <w:tab w:leader="none" w:pos="5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B2B subscription revenue represents revenue from SOHO subscribers. SOHO subscribers pay a premium price to receive expanded service levels along with video, broadband internet, fixed-line telephony or mobile services that are the same or similar to the mass marketed products offered to our residential subscribers. A portion of the increases in our B2B subscription revenue is attributable to the conversion of certain residential subscribers to SOHO subscribers. B2B non-subscription revenue includes revenue from business broadband internet, video, fixed-line telephony, mobile and data services offered to medium to large enterprises and, on a wholesale basis, to other operators.</w:t>
      </w:r>
    </w:p>
    <w:p>
      <w:pPr>
        <w:spacing w:after="0" w:line="172"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revenue includes, among other items, revenue earned from services provided to the VodafoneZiggo JV and, during the 2018 period, Liberty Latin America.</w:t>
      </w:r>
    </w:p>
    <w:p>
      <w:pPr>
        <w:spacing w:after="0" w:line="170"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i w:val="1"/>
          <w:iCs w:val="1"/>
          <w:color w:val="auto"/>
        </w:rPr>
        <w:t xml:space="preserve">Total revenue. </w:t>
      </w:r>
      <w:r>
        <w:rPr>
          <w:rFonts w:ascii="Arial" w:cs="Arial" w:eastAsia="Arial" w:hAnsi="Arial"/>
          <w:sz w:val="17"/>
          <w:szCs w:val="17"/>
          <w:color w:val="auto"/>
        </w:rPr>
        <w:t>Our consolidated revenue increased $646.9 million during the three months ended March 31, 2018, as compared to the corresponding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2017. This increase includes (i) an increase of $18.1 million attributable to the impact of acquisitions and (ii) a decrease of $7.8 million attributable to the impact of dispositions. On an organic basis, our consolidated revenue increased $140.8 million or 4.0%.</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Residential revenue. </w:t>
      </w:r>
      <w:r>
        <w:rPr>
          <w:rFonts w:ascii="Arial" w:cs="Arial" w:eastAsia="Arial" w:hAnsi="Arial"/>
          <w:sz w:val="18"/>
          <w:szCs w:val="18"/>
          <w:color w:val="auto"/>
        </w:rPr>
        <w:t>The details of the pro forma increase in our consolidated residential revenue for the three months ended March 31, 2018,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corresponding period in 2017, are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3773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00" w:type="dxa"/>
            <w:vAlign w:val="bottom"/>
          </w:tcPr>
          <w:p>
            <w:pPr>
              <w:ind w:left="40"/>
              <w:spacing w:after="0"/>
              <w:rPr>
                <w:sz w:val="20"/>
                <w:szCs w:val="20"/>
                <w:color w:val="auto"/>
              </w:rPr>
            </w:pPr>
            <w:r>
              <w:rPr>
                <w:rFonts w:ascii="Arial" w:cs="Arial" w:eastAsia="Arial" w:hAnsi="Arial"/>
                <w:sz w:val="18"/>
                <w:szCs w:val="18"/>
                <w:color w:val="auto"/>
              </w:rPr>
              <w:t>Increase (decrease) in residential cable subscription revenue due to change in:</w:t>
            </w: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9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Average number of RGUs</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43"/>
        </w:trPr>
        <w:tc>
          <w:tcPr>
            <w:tcW w:w="9700" w:type="dxa"/>
            <w:vAlign w:val="bottom"/>
          </w:tcPr>
          <w:p>
            <w:pPr>
              <w:ind w:left="180"/>
              <w:spacing w:after="0"/>
              <w:rPr>
                <w:sz w:val="20"/>
                <w:szCs w:val="20"/>
                <w:color w:val="auto"/>
              </w:rPr>
            </w:pPr>
            <w:r>
              <w:rPr>
                <w:rFonts w:ascii="Arial" w:cs="Arial" w:eastAsia="Arial" w:hAnsi="Arial"/>
                <w:sz w:val="18"/>
                <w:szCs w:val="18"/>
                <w:color w:val="auto"/>
              </w:rPr>
              <w:t>ARPU</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9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residential cable non-subscription revenue</w:t>
            </w: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r>
      <w:tr>
        <w:trPr>
          <w:trHeight w:val="237"/>
        </w:trPr>
        <w:tc>
          <w:tcPr>
            <w:tcW w:w="9700" w:type="dxa"/>
            <w:vAlign w:val="bottom"/>
          </w:tcPr>
          <w:p>
            <w:pPr>
              <w:ind w:left="280"/>
              <w:spacing w:after="0"/>
              <w:rPr>
                <w:sz w:val="20"/>
                <w:szCs w:val="20"/>
                <w:color w:val="auto"/>
              </w:rPr>
            </w:pPr>
            <w:r>
              <w:rPr>
                <w:rFonts w:ascii="Arial" w:cs="Arial" w:eastAsia="Arial" w:hAnsi="Arial"/>
                <w:sz w:val="18"/>
                <w:szCs w:val="18"/>
                <w:color w:val="auto"/>
              </w:rPr>
              <w:t>Total increase in residential cable revenue</w:t>
            </w:r>
          </w:p>
        </w:tc>
        <w:tc>
          <w:tcPr>
            <w:tcW w:w="6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52.7</w:t>
            </w:r>
          </w:p>
        </w:tc>
      </w:tr>
      <w:tr>
        <w:trPr>
          <w:trHeight w:val="27"/>
        </w:trPr>
        <w:tc>
          <w:tcPr>
            <w:tcW w:w="9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residential mobile subscription revenue</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Increase in residential mobile non-subscription revenue</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24.0</w:t>
            </w:r>
          </w:p>
        </w:tc>
      </w:tr>
      <w:tr>
        <w:trPr>
          <w:trHeight w:val="27"/>
        </w:trPr>
        <w:tc>
          <w:tcPr>
            <w:tcW w:w="97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organic increase in residential revenue</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Net impact of acquisitions and disposals</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9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FX</w:t>
            </w: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427.5</w:t>
            </w:r>
          </w:p>
        </w:tc>
      </w:tr>
      <w:tr>
        <w:trPr>
          <w:trHeight w:val="257"/>
        </w:trPr>
        <w:tc>
          <w:tcPr>
            <w:tcW w:w="9700" w:type="dxa"/>
            <w:vAlign w:val="bottom"/>
          </w:tcPr>
          <w:p>
            <w:pPr>
              <w:ind w:left="280"/>
              <w:spacing w:after="0"/>
              <w:rPr>
                <w:sz w:val="20"/>
                <w:szCs w:val="20"/>
                <w:color w:val="auto"/>
              </w:rPr>
            </w:pPr>
            <w:r>
              <w:rPr>
                <w:rFonts w:ascii="Arial" w:cs="Arial" w:eastAsia="Arial" w:hAnsi="Arial"/>
                <w:sz w:val="18"/>
                <w:szCs w:val="18"/>
                <w:color w:val="auto"/>
              </w:rPr>
              <w:t>Total increase in residential revenue</w:t>
            </w: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501.0</w:t>
            </w:r>
          </w:p>
        </w:tc>
      </w:tr>
      <w:tr>
        <w:trPr>
          <w:trHeight w:val="20"/>
        </w:trPr>
        <w:tc>
          <w:tcPr>
            <w:tcW w:w="9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an organic basis, our consolidated residential cable subscription revenue increased $12.2 million or 0.5% during the three months ended March 31, 2018, as compared to the corresponding period in 2017. This increase is attributable to the net effect of (i) an increase from broadband internet services of $47.8 million or 5.0%, attributable to an increase in the average number of RGUs and higher ARPU, (ii) a decrease from fixed-line telephony services of $18.7 million or 3.5%, attributable to the net effect of lower ARPU and an increase in the average number of RGUs, and (iii) a decrease from video services of $16.9 million or 1.6%, attributable to a decrease in the average number of RGUs and lower ARPU.</w:t>
      </w:r>
    </w:p>
    <w:p>
      <w:pPr>
        <w:spacing w:after="0" w:line="17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an organic basis, our consolidated residential cable non-subscription revenue increased $40.5 million or 41.5% during the three months ended March 31, 2018, as compared to the corresponding period in 2017. This increase is primarily attributable to increases in Germany and Switzerland.</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an organic basis, our consolidated residential mobile subscription revenue decreased $6.8 million or 2.9% during the three months ended March 31, 2018, as compared to the corresponding period in 2017. This decrease is primarily due to the net effect of declines in Belgium and the U.K. that were only partially offset by an increase in Switzerland.</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an organic basis, our consolidated residential mobile non-subscription revenue increased $24.0 million or 17.6% during the three months ended March 31, 2018, as compared to the corresponding period in 2017. This increase is primarily due to the net effect of increases in the U.K. and Central and Corporate that were only partially offset by a decrease in Germany.</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B2B revenue. </w:t>
      </w:r>
      <w:r>
        <w:rPr>
          <w:rFonts w:ascii="Arial" w:cs="Arial" w:eastAsia="Arial" w:hAnsi="Arial"/>
          <w:sz w:val="16"/>
          <w:szCs w:val="16"/>
          <w:color w:val="auto"/>
        </w:rPr>
        <w:t>On an organic basis, our consolidated B2B subscription revenue increased $24.0 million or 22.7% during the three months ended March</w:t>
      </w:r>
      <w:r>
        <w:rPr>
          <w:rFonts w:ascii="Arial" w:cs="Arial" w:eastAsia="Arial" w:hAnsi="Arial"/>
          <w:sz w:val="16"/>
          <w:szCs w:val="16"/>
          <w:i w:val="1"/>
          <w:iCs w:val="1"/>
          <w:color w:val="auto"/>
        </w:rPr>
        <w:t xml:space="preserve"> </w:t>
      </w:r>
      <w:r>
        <w:rPr>
          <w:rFonts w:ascii="Arial" w:cs="Arial" w:eastAsia="Arial" w:hAnsi="Arial"/>
          <w:sz w:val="16"/>
          <w:szCs w:val="16"/>
          <w:color w:val="auto"/>
        </w:rPr>
        <w:t>31, 2018, as compared to the corresponding period in 2017. This increase is primarily due to increases in SOHO revenue in Belgium, the U.K. and Germany.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8" w:right="239" w:bottom="1440" w:gutter="0" w:footer="0" w:header="0"/>
        </w:sectPr>
      </w:pPr>
    </w:p>
    <w:bookmarkStart w:id="62" w:name="page63"/>
    <w:bookmarkEnd w:id="62"/>
    <w:p>
      <w:pPr>
        <w:jc w:val="both"/>
        <w:ind w:firstLine="324"/>
        <w:spacing w:after="0" w:line="342" w:lineRule="auto"/>
        <w:rPr>
          <w:sz w:val="20"/>
          <w:szCs w:val="20"/>
          <w:color w:val="auto"/>
        </w:rPr>
      </w:pPr>
      <w:r>
        <w:rPr>
          <w:rFonts w:ascii="Arial" w:cs="Arial" w:eastAsia="Arial" w:hAnsi="Arial"/>
          <w:sz w:val="16"/>
          <w:szCs w:val="16"/>
          <w:color w:val="auto"/>
        </w:rPr>
        <w:t>On an organic basis, our consolidated B2B non-subscription revenue increased $42.0 million or 12.3% during the three months ended March 31, 2018, as compared to the corresponding period in 2017. This increase is primarily due to increases in Germany, Belgium, the Czech Republic and Switzerland.</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additional information concerning the changes in our residential, B2B and other revenue, see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Programming and other direct costs of services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Programming and other direct costs of services include programming and copyright costs, interconnect and access costs, costs of mobile handsets and other devices and other direct costs related to our operations. Programming and copyright costs, which represent a significant portion of our operating costs, are expected to rise in future periods as a result of (i) higher costs associated with the expansion of our digital video content, including rights associated with ancillary product offerings and rights that provide for the broadcast of live sporting events, (ii) rate increases and (iii) growth in the number of our enhanced video subscribers.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ind w:left="480"/>
              <w:spacing w:after="0"/>
              <w:rPr>
                <w:sz w:val="20"/>
                <w:szCs w:val="20"/>
                <w:color w:val="auto"/>
              </w:rPr>
            </w:pPr>
            <w:r>
              <w:rPr>
                <w:rFonts w:ascii="Arial" w:cs="Arial" w:eastAsia="Arial" w:hAnsi="Arial"/>
                <w:sz w:val="16"/>
                <w:szCs w:val="16"/>
                <w:b w:val="1"/>
                <w:bCs w:val="1"/>
                <w:color w:val="auto"/>
              </w:rPr>
              <w:t>Increase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3"/>
          </w:tcPr>
          <w:p>
            <w:pPr>
              <w:jc w:val="right"/>
              <w:ind w:right="131"/>
              <w:spacing w:after="0"/>
              <w:rPr>
                <w:sz w:val="20"/>
                <w:szCs w:val="20"/>
                <w:color w:val="auto"/>
              </w:rPr>
            </w:pPr>
            <w:r>
              <w:rPr>
                <w:rFonts w:ascii="Arial" w:cs="Arial" w:eastAsia="Arial" w:hAnsi="Arial"/>
                <w:sz w:val="16"/>
                <w:szCs w:val="16"/>
                <w:b w:val="1"/>
                <w:bCs w:val="1"/>
                <w:color w:val="auto"/>
                <w:w w:val="90"/>
              </w:rPr>
              <w:t>Organic increase (decrease)</w:t>
            </w: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71"/>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35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240" w:type="dxa"/>
            <w:vAlign w:val="bottom"/>
          </w:tcPr>
          <w:p>
            <w:pPr>
              <w:jc w:val="right"/>
              <w:ind w:right="45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6"/>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6"/>
          </w:tcPr>
          <w:p>
            <w:pPr>
              <w:ind w:left="100"/>
              <w:spacing w:after="0"/>
              <w:rPr>
                <w:sz w:val="20"/>
                <w:szCs w:val="20"/>
                <w:color w:val="auto"/>
              </w:rPr>
            </w:pPr>
            <w:r>
              <w:rPr>
                <w:rFonts w:ascii="Arial" w:cs="Arial" w:eastAsia="Arial" w:hAnsi="Arial"/>
                <w:sz w:val="16"/>
                <w:szCs w:val="16"/>
                <w:b w:val="1"/>
                <w:bCs w:val="1"/>
                <w:color w:val="auto"/>
                <w:w w:val="89"/>
              </w:rPr>
              <w:t>in millions, except percentages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Switzerland/Austria</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Central and Corporate</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827.3</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442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1,002.6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812.0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442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2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programming and other direct costs of services increased $190.6 million or 23.5% during the three months ended March 31, 2018, respectively, as compared to the corresponding period in 2017. This increase includes (i) an increase of $2.7 million attributable to the impact of acquisitions and (ii) a decrease of $3.9 million attributable to the impact of dispositions. On an organic basis, our programming and other direct costs of services increased $73.6 million or 9.1%. This increase includes the following factors:</w:t>
      </w:r>
    </w:p>
    <w:p>
      <w:pPr>
        <w:spacing w:after="0" w:line="187" w:lineRule="exact"/>
        <w:rPr>
          <w:sz w:val="20"/>
          <w:szCs w:val="20"/>
          <w:color w:val="auto"/>
        </w:rPr>
      </w:pPr>
    </w:p>
    <w:p>
      <w:pPr>
        <w:jc w:val="both"/>
        <w:ind w:left="660" w:hanging="328"/>
        <w:spacing w:after="0" w:line="291"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 increase in programming and copyright costs of $40.0 million or 8.9%, primarily due to increases in Switzerland/Austria, U.K./Ireland and Germany. These increases are primarily due to (i) higher costs for certain premium and/or basic content, including (a) higher costs for sports rights in Switzerland and (b) higher costs associated with our broadcasting rights in Ireland, and (ii) an $8.8 million increase associated with the settlement of prior-year amounts in connection with the execution of a new programming agreement in Germany. The cost for sports rights increased by $19.2 million in Switzerland due to the acquisition of the rights to carry live sporting events in connection with the September 2017 launch of our Swiss sports channels. Approximately half of the annual programming costs and the operating and capital costs associated with the production of the related Swiss sports channels are recovered from the revenue earned from the distribution of these sports channels to other cable operators;</w:t>
      </w:r>
    </w:p>
    <w:p>
      <w:pPr>
        <w:spacing w:after="0" w:line="167"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An increase in mobile handset and other device costs of $32.3 million or 46.6%, primarily due to (i) a higher average cost per handset sold in U.K./Ireland and (ii) higher mobile handset and other device sales volumes, as increases in Central and Corporate and U.K./Ireland were only partially offset by a decrease in Germany;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8" w:right="239" w:bottom="1440" w:gutter="0" w:footer="0" w:header="0"/>
        </w:sectPr>
      </w:pPr>
    </w:p>
    <w:bookmarkStart w:id="63" w:name="page64"/>
    <w:bookmarkEnd w:id="63"/>
    <w:p>
      <w:pPr>
        <w:ind w:left="660" w:right="2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decrease of $3.6 million in the U.K. associated with the fourth quarter 2017 modification of a software agreement that resulted in the acquisition of a perpetual license and related conversion of the operating costs to capitalized costs; and</w:t>
      </w:r>
    </w:p>
    <w:p>
      <w:pPr>
        <w:spacing w:after="0" w:line="170"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An increase in interconnect and access costs of $0.3 million or 0.1%, primarily due to the net effect of (i) higher interconnect and roaming costs, as increases in Germany, the Czech Republic, U.K./Ireland and Switzerland/Austria were only partially offset by a decrease in Belgium, and (ii) lower MVNO costs, as a $13.6 million decrease in Belgium was only partially offset by increases in U.K./Ireland and Switzerland/Austria. The decrease in Belgium’s MVNO costs is primarily attributable to the impact of the continued migration of mobile subscribers from Telenet’s MVNO arrangement to Telenet’s mobile network, which was completed during the three months ended March 31, 2018. For additional information, see note 13 to our condensed consolidated financial statements.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operating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reportable segments as share-based compensation expense is not included in the performance measures of our reportable segments. Share-based compensation expense is discussed below.</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0"/>
              </w:rPr>
              <w:t>Three months ended</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4"/>
              </w:rPr>
              <w:t>March 31,</w:t>
            </w:r>
          </w:p>
        </w:tc>
        <w:tc>
          <w:tcPr>
            <w:tcW w:w="300" w:type="dxa"/>
            <w:vAlign w:val="bottom"/>
          </w:tcPr>
          <w:p>
            <w:pPr>
              <w:spacing w:after="0"/>
              <w:rPr>
                <w:sz w:val="18"/>
                <w:szCs w:val="18"/>
                <w:color w:val="auto"/>
              </w:rPr>
            </w:pPr>
          </w:p>
        </w:tc>
        <w:tc>
          <w:tcPr>
            <w:tcW w:w="1180" w:type="dxa"/>
            <w:vAlign w:val="bottom"/>
            <w:gridSpan w:val="3"/>
          </w:tcPr>
          <w:p>
            <w:pPr>
              <w:ind w:left="500"/>
              <w:spacing w:after="0"/>
              <w:rPr>
                <w:sz w:val="20"/>
                <w:szCs w:val="20"/>
                <w:color w:val="auto"/>
              </w:rPr>
            </w:pPr>
            <w:r>
              <w:rPr>
                <w:rFonts w:ascii="Arial" w:cs="Arial" w:eastAsia="Arial" w:hAnsi="Arial"/>
                <w:sz w:val="16"/>
                <w:szCs w:val="16"/>
                <w:b w:val="1"/>
                <w:bCs w:val="1"/>
                <w:color w:val="auto"/>
              </w:rPr>
              <w:t>Increase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jc w:val="right"/>
              <w:ind w:right="11"/>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7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35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7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000" w:type="dxa"/>
            <w:vAlign w:val="bottom"/>
          </w:tcPr>
          <w:p>
            <w:pPr>
              <w:jc w:val="right"/>
              <w:ind w:right="33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pro forma</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gridSpan w:val="5"/>
          </w:tcPr>
          <w:p>
            <w:pPr>
              <w:ind w:left="20"/>
              <w:spacing w:after="0"/>
              <w:rPr>
                <w:sz w:val="20"/>
                <w:szCs w:val="20"/>
                <w:color w:val="auto"/>
              </w:rPr>
            </w:pPr>
            <w:r>
              <w:rPr>
                <w:rFonts w:ascii="Arial" w:cs="Arial" w:eastAsia="Arial" w:hAnsi="Arial"/>
                <w:sz w:val="16"/>
                <w:szCs w:val="16"/>
                <w:b w:val="1"/>
                <w:bCs w:val="1"/>
                <w:color w:val="auto"/>
                <w:w w:val="89"/>
              </w:rPr>
              <w:t>in millions, except percentages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7"/>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Switzerland/Austria</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Central and Corporate</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Liberty Global</w:t>
            </w:r>
          </w:p>
        </w:tc>
        <w:tc>
          <w:tcPr>
            <w:tcW w:w="240" w:type="dxa"/>
            <w:vAlign w:val="bottom"/>
            <w:tcBorders>
              <w:top w:val="single" w:sz="8" w:color="auto"/>
              <w:bottom w:val="single" w:sz="8" w:color="CCEEFF"/>
            </w:tcBorders>
          </w:tcPr>
          <w:p>
            <w:pPr>
              <w:spacing w:after="0"/>
              <w:rPr>
                <w:sz w:val="24"/>
                <w:szCs w:val="24"/>
                <w:color w:val="auto"/>
              </w:rPr>
            </w:pPr>
          </w:p>
        </w:tc>
        <w:tc>
          <w:tcPr>
            <w:tcW w:w="820" w:type="dxa"/>
            <w:vAlign w:val="bottom"/>
            <w:tcBorders>
              <w:top w:val="single" w:sz="8" w:color="auto"/>
              <w:bottom w:val="single" w:sz="8" w:color="CCEEFF"/>
            </w:tcBorders>
          </w:tcPr>
          <w:p>
            <w:pPr>
              <w:jc w:val="right"/>
              <w:ind w:right="32"/>
              <w:spacing w:after="0"/>
              <w:rPr>
                <w:sz w:val="20"/>
                <w:szCs w:val="20"/>
                <w:color w:val="auto"/>
              </w:rPr>
            </w:pPr>
            <w:r>
              <w:rPr>
                <w:rFonts w:ascii="Arial" w:cs="Arial" w:eastAsia="Arial" w:hAnsi="Arial"/>
                <w:sz w:val="18"/>
                <w:szCs w:val="18"/>
                <w:color w:val="auto"/>
              </w:rPr>
              <w:t>607.5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900" w:type="dxa"/>
            <w:vAlign w:val="bottom"/>
            <w:tcBorders>
              <w:top w:val="single" w:sz="8" w:color="auto"/>
              <w:bottom w:val="single" w:sz="8" w:color="CCEEFF"/>
            </w:tcBorders>
          </w:tcPr>
          <w:p>
            <w:pPr>
              <w:jc w:val="right"/>
              <w:ind w:right="31"/>
              <w:spacing w:after="0"/>
              <w:rPr>
                <w:sz w:val="20"/>
                <w:szCs w:val="20"/>
                <w:color w:val="auto"/>
              </w:rPr>
            </w:pPr>
            <w:r>
              <w:rPr>
                <w:rFonts w:ascii="Arial" w:cs="Arial" w:eastAsia="Arial" w:hAnsi="Arial"/>
                <w:sz w:val="18"/>
                <w:szCs w:val="18"/>
                <w:color w:val="auto"/>
              </w:rPr>
              <w:t>520.4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740" w:type="dxa"/>
            <w:vAlign w:val="bottom"/>
            <w:tcBorders>
              <w:top w:val="single" w:sz="8" w:color="auto"/>
              <w:bottom w:val="single" w:sz="8" w:color="CCEEFF"/>
            </w:tcBorders>
          </w:tcPr>
          <w:p>
            <w:pPr>
              <w:jc w:val="right"/>
              <w:ind w:right="31"/>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CCEEFF"/>
            </w:tcBorders>
          </w:tcPr>
          <w:p>
            <w:pPr>
              <w:spacing w:after="0"/>
              <w:rPr>
                <w:sz w:val="24"/>
                <w:szCs w:val="24"/>
                <w:color w:val="auto"/>
              </w:rPr>
            </w:pPr>
          </w:p>
        </w:tc>
        <w:tc>
          <w:tcPr>
            <w:tcW w:w="6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Share-based compensation expense</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608.5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521.3</w:t>
            </w:r>
          </w:p>
        </w:tc>
        <w:tc>
          <w:tcPr>
            <w:tcW w:w="100" w:type="dxa"/>
            <w:vAlign w:val="bottom"/>
          </w:tcPr>
          <w:p>
            <w:pPr>
              <w:spacing w:after="0"/>
              <w:rPr>
                <w:sz w:val="20"/>
                <w:szCs w:val="20"/>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other operating expenses (exclusive of share-based compensation expense) increased $87.1 million or 16.7% during the three months ended March 31, 2018 as compared to the corresponding period in 2017. This increase includes an increase of $2.8 million attributable to the impact of acquisitions. On an organic basis, our other operating expenses increased $10.5 million or 2.0%. This increase includes the following factors:</w:t>
      </w:r>
    </w:p>
    <w:p>
      <w:pPr>
        <w:spacing w:after="0" w:line="166" w:lineRule="exact"/>
        <w:rPr>
          <w:sz w:val="20"/>
          <w:szCs w:val="20"/>
          <w:color w:val="auto"/>
        </w:rPr>
      </w:pPr>
    </w:p>
    <w:p>
      <w:pPr>
        <w:jc w:val="both"/>
        <w:ind w:left="660" w:hanging="328"/>
        <w:spacing w:after="0" w:line="264" w:lineRule="auto"/>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An increase in network infrastructure charges in U.K./Ireland of $8.4 million following an increase in the rateable value of existing assets. For additional information, including our estimate of the full year 2018 impact of this rate increase, see “</w:t>
      </w:r>
      <w:r>
        <w:rPr>
          <w:rFonts w:ascii="Arial" w:cs="Arial" w:eastAsia="Arial" w:hAnsi="Arial"/>
          <w:sz w:val="18"/>
          <w:szCs w:val="18"/>
          <w:i w:val="1"/>
          <w:iCs w:val="1"/>
          <w:color w:val="auto"/>
        </w:rPr>
        <w:t>Other Regulatory Issues”</w:t>
      </w:r>
      <w:r>
        <w:rPr>
          <w:rFonts w:ascii="Arial" w:cs="Arial" w:eastAsia="Arial" w:hAnsi="Arial"/>
          <w:sz w:val="18"/>
          <w:szCs w:val="18"/>
          <w:color w:val="auto"/>
        </w:rPr>
        <w:t xml:space="preserve"> in note 15 to our condensed consolidated financial statements;</w:t>
      </w:r>
    </w:p>
    <w:p>
      <w:pPr>
        <w:spacing w:after="0" w:line="181" w:lineRule="exact"/>
        <w:rPr>
          <w:rFonts w:ascii="Arial" w:cs="Arial" w:eastAsia="Arial" w:hAnsi="Arial"/>
          <w:sz w:val="18"/>
          <w:szCs w:val="18"/>
          <w:b w:val="1"/>
          <w:bCs w:val="1"/>
          <w:color w:val="auto"/>
        </w:rPr>
      </w:pPr>
    </w:p>
    <w:p>
      <w:pPr>
        <w:jc w:val="both"/>
        <w:ind w:left="660" w:hanging="328"/>
        <w:spacing w:after="0" w:line="279"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 increase in personnel costs of $3.6 million or 2.3%, primarily due to the net effect of (i) a higher average cost per employee, primarily due to increases in Belgium, U.K./Ireland and Switzerland/Austria, (ii) decreased staffing levels, as decreases in U.K./Ireland and Belgium were only partially offset by an increase in Switzerland/Austria, (iii) a decrease in temporary personnel costs, as decreases in Germany and Central and Corporate were only partially offset by an increase in U.K./Ireland, and (iv) higher incentive compensation costs, primarily in U.K./Ireland;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68" w:right="239" w:bottom="1440" w:gutter="0" w:footer="0" w:header="0"/>
        </w:sectPr>
      </w:pPr>
    </w:p>
    <w:bookmarkStart w:id="64" w:name="page65"/>
    <w:bookmarkEnd w:id="64"/>
    <w:p>
      <w:pPr>
        <w:jc w:val="both"/>
        <w:ind w:left="660" w:hanging="328"/>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increase in customer service costs of $3.0 million or 3.3%, primarily due to the net effect of (i) an increase in customer premises equipment refurbishment costs, primarily in Germany and U.K./Ireland, and (ii) lower call center costs, primarily due to a decrease in U.K./Ireland that was only partially offset by an increase in Belgium;</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increase in mobile service delivery platform costs of $2.7 million or 18.4%, largely due to higher mobile network maintenance costs in Belgium;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decrease in outsourced labor costs of $2.7 million or 6.9%, primarily associated with customer-facing activities in U.K./Ireland and Germany.</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SG&amp;A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SG&amp;A expenses include human resources, information technology, general services, management, finance, legal, sales and marketing, share-based compensation and other general expenses. We do not include share-based compensation in the following discussion and analysis of the SG&amp;A expenses of our reportable segments as share-based compensation expense is not included in the performance measures of our reportable segments. Share-based compensation expense is discussed below.</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0"/>
              </w:rPr>
              <w:t>Three months ended</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4"/>
              </w:rPr>
              <w:t>March 31,</w:t>
            </w:r>
          </w:p>
        </w:tc>
        <w:tc>
          <w:tcPr>
            <w:tcW w:w="300" w:type="dxa"/>
            <w:vAlign w:val="bottom"/>
          </w:tcPr>
          <w:p>
            <w:pPr>
              <w:spacing w:after="0"/>
              <w:rPr>
                <w:sz w:val="18"/>
                <w:szCs w:val="18"/>
                <w:color w:val="auto"/>
              </w:rPr>
            </w:pPr>
          </w:p>
        </w:tc>
        <w:tc>
          <w:tcPr>
            <w:tcW w:w="1180" w:type="dxa"/>
            <w:vAlign w:val="bottom"/>
            <w:gridSpan w:val="3"/>
          </w:tcPr>
          <w:p>
            <w:pPr>
              <w:ind w:left="500"/>
              <w:spacing w:after="0"/>
              <w:rPr>
                <w:sz w:val="20"/>
                <w:szCs w:val="20"/>
                <w:color w:val="auto"/>
              </w:rPr>
            </w:pPr>
            <w:r>
              <w:rPr>
                <w:rFonts w:ascii="Arial" w:cs="Arial" w:eastAsia="Arial" w:hAnsi="Arial"/>
                <w:sz w:val="16"/>
                <w:szCs w:val="16"/>
                <w:b w:val="1"/>
                <w:bCs w:val="1"/>
                <w:color w:val="auto"/>
              </w:rPr>
              <w:t>Increase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jc w:val="right"/>
              <w:ind w:right="11"/>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7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35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7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000" w:type="dxa"/>
            <w:vAlign w:val="bottom"/>
          </w:tcPr>
          <w:p>
            <w:pPr>
              <w:jc w:val="right"/>
              <w:ind w:right="33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pro forma</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gridSpan w:val="5"/>
          </w:tcPr>
          <w:p>
            <w:pPr>
              <w:ind w:left="20"/>
              <w:spacing w:after="0"/>
              <w:rPr>
                <w:sz w:val="20"/>
                <w:szCs w:val="20"/>
                <w:color w:val="auto"/>
              </w:rPr>
            </w:pPr>
            <w:r>
              <w:rPr>
                <w:rFonts w:ascii="Arial" w:cs="Arial" w:eastAsia="Arial" w:hAnsi="Arial"/>
                <w:sz w:val="16"/>
                <w:szCs w:val="16"/>
                <w:b w:val="1"/>
                <w:bCs w:val="1"/>
                <w:color w:val="auto"/>
                <w:w w:val="89"/>
              </w:rPr>
              <w:t>in millions, except percentages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7"/>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Switzerland/Austria</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Central and Corporate</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4700" w:type="dxa"/>
            <w:vAlign w:val="bottom"/>
          </w:tcPr>
          <w:p>
            <w:pPr>
              <w:ind w:left="180"/>
              <w:spacing w:after="0"/>
              <w:rPr>
                <w:sz w:val="20"/>
                <w:szCs w:val="20"/>
                <w:color w:val="auto"/>
              </w:rPr>
            </w:pPr>
            <w:r>
              <w:rPr>
                <w:rFonts w:ascii="Arial" w:cs="Arial" w:eastAsia="Arial" w:hAnsi="Arial"/>
                <w:sz w:val="18"/>
                <w:szCs w:val="18"/>
                <w:color w:val="auto"/>
                <w:w w:val="93"/>
              </w:rPr>
              <w:t>Total SG&amp;A expenses excluding share-based compensation</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expense</w:t>
            </w: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647.1</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jc w:val="right"/>
              <w:ind w:right="31"/>
              <w:spacing w:after="0"/>
              <w:rPr>
                <w:sz w:val="20"/>
                <w:szCs w:val="20"/>
                <w:color w:val="auto"/>
              </w:rPr>
            </w:pPr>
            <w:r>
              <w:rPr>
                <w:rFonts w:ascii="Arial" w:cs="Arial" w:eastAsia="Arial" w:hAnsi="Arial"/>
                <w:sz w:val="18"/>
                <w:szCs w:val="18"/>
                <w:color w:val="auto"/>
              </w:rPr>
              <w:t>583.8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jc w:val="right"/>
              <w:ind w:right="31"/>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vMerge w:val="continue"/>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Share-based compensation expense</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691.9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616.3</w:t>
            </w:r>
          </w:p>
        </w:tc>
        <w:tc>
          <w:tcPr>
            <w:tcW w:w="100" w:type="dxa"/>
            <w:vAlign w:val="bottom"/>
          </w:tcPr>
          <w:p>
            <w:pPr>
              <w:spacing w:after="0"/>
              <w:rPr>
                <w:sz w:val="20"/>
                <w:szCs w:val="20"/>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Supplemental SG&amp;A expense information:</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6"/>
          </w:tcPr>
          <w:p>
            <w:pPr>
              <w:jc w:val="center"/>
              <w:ind w:right="320"/>
              <w:spacing w:after="0"/>
              <w:rPr>
                <w:sz w:val="20"/>
                <w:szCs w:val="20"/>
                <w:color w:val="auto"/>
              </w:rPr>
            </w:pPr>
            <w:r>
              <w:rPr>
                <w:rFonts w:ascii="Arial" w:cs="Arial" w:eastAsia="Arial" w:hAnsi="Arial"/>
                <w:sz w:val="16"/>
                <w:szCs w:val="16"/>
                <w:b w:val="1"/>
                <w:bCs w:val="1"/>
                <w:color w:val="auto"/>
                <w:w w:val="90"/>
              </w:rPr>
              <w:t>Three months ended</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6"/>
          </w:tcPr>
          <w:p>
            <w:pPr>
              <w:jc w:val="center"/>
              <w:ind w:right="320"/>
              <w:spacing w:after="0"/>
              <w:rPr>
                <w:sz w:val="20"/>
                <w:szCs w:val="20"/>
                <w:color w:val="auto"/>
              </w:rPr>
            </w:pPr>
            <w:r>
              <w:rPr>
                <w:rFonts w:ascii="Arial" w:cs="Arial" w:eastAsia="Arial" w:hAnsi="Arial"/>
                <w:sz w:val="16"/>
                <w:szCs w:val="16"/>
                <w:b w:val="1"/>
                <w:bCs w:val="1"/>
                <w:color w:val="auto"/>
                <w:w w:val="94"/>
              </w:rPr>
              <w:t>March 31,</w:t>
            </w:r>
          </w:p>
        </w:tc>
        <w:tc>
          <w:tcPr>
            <w:tcW w:w="300" w:type="dxa"/>
            <w:vAlign w:val="bottom"/>
          </w:tcPr>
          <w:p>
            <w:pPr>
              <w:spacing w:after="0"/>
              <w:rPr>
                <w:sz w:val="18"/>
                <w:szCs w:val="18"/>
                <w:color w:val="auto"/>
              </w:rPr>
            </w:pPr>
          </w:p>
        </w:tc>
        <w:tc>
          <w:tcPr>
            <w:tcW w:w="1180" w:type="dxa"/>
            <w:vAlign w:val="bottom"/>
            <w:gridSpan w:val="3"/>
          </w:tcPr>
          <w:p>
            <w:pPr>
              <w:ind w:left="500"/>
              <w:spacing w:after="0"/>
              <w:rPr>
                <w:sz w:val="20"/>
                <w:szCs w:val="20"/>
                <w:color w:val="auto"/>
              </w:rPr>
            </w:pPr>
            <w:r>
              <w:rPr>
                <w:rFonts w:ascii="Arial" w:cs="Arial" w:eastAsia="Arial" w:hAnsi="Arial"/>
                <w:sz w:val="16"/>
                <w:szCs w:val="16"/>
                <w:b w:val="1"/>
                <w:bCs w:val="1"/>
                <w:color w:val="auto"/>
              </w:rPr>
              <w:t>Increase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3"/>
          </w:tcPr>
          <w:p>
            <w:pPr>
              <w:jc w:val="right"/>
              <w:ind w:right="432"/>
              <w:spacing w:after="0"/>
              <w:rPr>
                <w:sz w:val="20"/>
                <w:szCs w:val="20"/>
                <w:color w:val="auto"/>
              </w:rPr>
            </w:pPr>
            <w:r>
              <w:rPr>
                <w:rFonts w:ascii="Arial" w:cs="Arial" w:eastAsia="Arial" w:hAnsi="Arial"/>
                <w:sz w:val="16"/>
                <w:szCs w:val="16"/>
                <w:b w:val="1"/>
                <w:bCs w:val="1"/>
                <w:color w:val="auto"/>
              </w:rPr>
              <w:t>Organic decrease</w:t>
            </w:r>
          </w:p>
        </w:tc>
      </w:tr>
      <w:tr>
        <w:trPr>
          <w:trHeight w:val="33"/>
        </w:trPr>
        <w:tc>
          <w:tcPr>
            <w:tcW w:w="4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14"/>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7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7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33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9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r>
      <w:tr>
        <w:trPr>
          <w:trHeight w:val="33"/>
        </w:trPr>
        <w:tc>
          <w:tcPr>
            <w:tcW w:w="4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pro forma</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7"/>
        </w:trPr>
        <w:tc>
          <w:tcPr>
            <w:tcW w:w="4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80" w:type="dxa"/>
            <w:vAlign w:val="bottom"/>
            <w:gridSpan w:val="6"/>
          </w:tcPr>
          <w:p>
            <w:pPr>
              <w:ind w:left="80"/>
              <w:spacing w:after="0"/>
              <w:rPr>
                <w:sz w:val="20"/>
                <w:szCs w:val="20"/>
                <w:color w:val="auto"/>
              </w:rPr>
            </w:pPr>
            <w:r>
              <w:rPr>
                <w:rFonts w:ascii="Arial" w:cs="Arial" w:eastAsia="Arial" w:hAnsi="Arial"/>
                <w:sz w:val="16"/>
                <w:szCs w:val="16"/>
                <w:b w:val="1"/>
                <w:bCs w:val="1"/>
                <w:color w:val="auto"/>
                <w:w w:val="91"/>
              </w:rPr>
              <w:t>in millions, except percentages</w:t>
            </w: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357"/>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External sales and marketing</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191.9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583.8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62</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500" w:right="20" w:hanging="492"/>
        <w:spacing w:after="0" w:line="277"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General and administrative expenses include all personnel-related costs within our SG&amp;A expenses, including personnel-related costs associated with our sales and marketing function.</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SG&amp;A expenses (exclusive of share-based compensation expense) increased $63.3 million or 10.8% during the three months ended March 31, 2018 as compared to the corresponding period in 2017. This increase includes an increase of $2.0 million attributable to the impact of acquisitions. On an organic basis, our SG&amp;A expenses decreased $15.2 million or 2.6%. This decrease includes the following factors:</w:t>
      </w:r>
    </w:p>
    <w:p>
      <w:pPr>
        <w:spacing w:after="0" w:line="181" w:lineRule="exact"/>
        <w:rPr>
          <w:sz w:val="20"/>
          <w:szCs w:val="20"/>
          <w:color w:val="auto"/>
        </w:rPr>
      </w:pPr>
    </w:p>
    <w:p>
      <w:pPr>
        <w:ind w:left="66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decrease in external sales and marketing costs of $12.8 million or 7.1%, primarily due to lower costs associated with advertising campaigns, as a decrease in U.K./Ireland was only partially offset by increases in Switzerland/Austria and Belgium;</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An increase in core network and information technology-related costs of $7.8 million or 19.7%, primarily due to an increase in information technology-related expenses in U.K./Ireland and Central and Corporate;</w:t>
      </w:r>
    </w:p>
    <w:p>
      <w:pPr>
        <w:spacing w:after="0" w:line="170" w:lineRule="exact"/>
        <w:rPr>
          <w:rFonts w:ascii="Arial" w:cs="Arial" w:eastAsia="Arial" w:hAnsi="Arial"/>
          <w:sz w:val="18"/>
          <w:szCs w:val="18"/>
          <w:b w:val="1"/>
          <w:bCs w:val="1"/>
          <w:color w:val="auto"/>
        </w:rPr>
      </w:pPr>
    </w:p>
    <w:p>
      <w:pPr>
        <w:jc w:val="both"/>
        <w:ind w:left="660" w:hanging="328"/>
        <w:spacing w:after="0" w:line="255"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decrease in personnel costs of $7.3 million or 3.0%, primarily due to the net effect of (i) lower incentive compensation costs, primarily due to decreases in Central and Corporate and Switzerland/Austria, (ii) a higher average cost per employee in U.K./Ireland and (iii) a decrease in temporary personnel costs, primarily due to decreases in Central and Corporate and Germany. The lower incentive compensation costs include a decrease of $6.7 million, primarily in Central and Corporate, attributable to the expected settlement of a portion of our 2018 annual incentive compensation with Liberty Global ordinary shares through a shareholding incentive program that was implemented in 2018. For additional information, see note 12 to our condensed consolidated financial statements; and</w:t>
      </w:r>
    </w:p>
    <w:p>
      <w:pPr>
        <w:spacing w:after="0" w:line="19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A decrease in business service costs of $4.5 million or 7.7%, primarily due to (i) decreases in travel and entertainment expenses in Central and Corporate, U.K./Ireland and Switzerland/Austria and (ii) lower consulting costs, as decreases in Belgium, U.K./Ireland and Germany were only partially offset by an increase in Central and Corporate.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Share-based compensation expense (included in other operating and SG&amp;A expenses)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117"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Performance-based incentive awards (a)</w:t>
            </w:r>
          </w:p>
        </w:tc>
        <w:tc>
          <w:tcPr>
            <w:tcW w:w="820" w:type="dxa"/>
            <w:vAlign w:val="bottom"/>
          </w:tcPr>
          <w:p>
            <w:pPr>
              <w:jc w:val="right"/>
              <w:ind w:right="612"/>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Non-performance based share-based incentive awards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5"/>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(b)</w:t>
            </w:r>
          </w:p>
        </w:tc>
        <w:tc>
          <w:tcPr>
            <w:tcW w:w="82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Liberty Global</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5"/>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Telenet share-based incentive awards</w:t>
            </w:r>
          </w:p>
        </w:tc>
        <w:tc>
          <w:tcPr>
            <w:tcW w:w="82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8800" w:type="dxa"/>
            <w:vAlign w:val="bottom"/>
          </w:tcPr>
          <w:p>
            <w:pPr>
              <w:ind w:left="42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tcBorders>
          </w:tcPr>
          <w:p>
            <w:pPr>
              <w:jc w:val="right"/>
              <w:ind w:right="612"/>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5"/>
              </w:rPr>
              <w:t>45.8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67"/>
        </w:trPr>
        <w:tc>
          <w:tcPr>
            <w:tcW w:w="880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Included in:</w:t>
            </w:r>
          </w:p>
        </w:tc>
        <w:tc>
          <w:tcPr>
            <w:tcW w:w="8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820" w:type="dxa"/>
            <w:vAlign w:val="bottom"/>
          </w:tcPr>
          <w:p>
            <w:pPr>
              <w:jc w:val="right"/>
              <w:ind w:right="612"/>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SG&amp;A expense</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5"/>
              </w:rPr>
              <w:t>44.8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7"/>
        </w:trPr>
        <w:tc>
          <w:tcPr>
            <w:tcW w:w="8800" w:type="dxa"/>
            <w:vAlign w:val="bottom"/>
          </w:tcPr>
          <w:p>
            <w:pPr>
              <w:ind w:left="42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tcBorders>
          </w:tcPr>
          <w:p>
            <w:pPr>
              <w:jc w:val="right"/>
              <w:ind w:right="612"/>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5"/>
              </w:rPr>
              <w:t>45.8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88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vMerge w:val="continue"/>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left="5620" w:right="820" w:hanging="5612"/>
        <w:spacing w:after="0" w:line="810" w:lineRule="auto"/>
        <w:tabs>
          <w:tab w:leader="none" w:pos="49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PSUs and (ii) through March 31, 2017, PGUs held by our Chief Executive Officer. 63</w:t>
      </w:r>
    </w:p>
    <w:p>
      <w:pPr>
        <w:sectPr>
          <w:pgSz w:w="11900" w:h="16838" w:orient="portrait"/>
          <w:cols w:equalWidth="0" w:num="1">
            <w:col w:w="11420"/>
          </w:cols>
          <w:pgMar w:left="240" w:top="368" w:right="239" w:bottom="1440" w:gutter="0" w:footer="0" w:header="0"/>
        </w:sectPr>
      </w:pPr>
    </w:p>
    <w:bookmarkStart w:id="66" w:name="page67"/>
    <w:bookmarkEnd w:id="66"/>
    <w:p>
      <w:pPr>
        <w:jc w:val="both"/>
        <w:ind w:left="500" w:hanging="492"/>
        <w:spacing w:after="0" w:line="279" w:lineRule="auto"/>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Represents annual incentive compensation and defined contribution plan liabilities that have been or are expected to be settled with Liberty Global ordinary shares. In the case of the annual incentive compensation, shares will be issued to senior management and key employees pursuant to a shareholding incentive program that was implemented in 2018. The shareholding incentive program allows these employees to elect to receive up to 100% of their annual incentive compensation in ordinary shares of Liberty Global in lieu of cash.</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regarding our share-based compensation expense, see note 12 to our condensed consolidated financial statements.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depreciation and amortization expense was $1,296.4 million and $1,128.3 million for the three months ended March 31, 2018 and 2017, respectively. Excluding the effects of FX, depreciation and amortization expense increased $13.8 million or 1.2% during the three months ended March 31, 2018, as compared to the corresponding period in 2017. This increase is primarily due to the net effect of (i) an increase associated with property and equipment additions related to the installation of customer premises equipment, the expansion and upgrade of our networks and other capital initiatives and (ii) a decrease associated with certain assets becoming fully depreciated, primarily in U.K./Ireland, Central and Corporate, Germany and Switzerland/Austria.</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Impairment, restructuring and other operating items, net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recognized impairment, restructuring and other operating items, net, of $63.6 million and $11.8 million during the three months ended March 31, 2018 and 2017, respectively.</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total for the 2018 period primarily includes restructuring charges of $58.3 million, including $39.2 million of costs in Belgium related to the migration of Telenet’s mobile subscribers from an MVNO arrangement to Telenet’s mobile network, as further described in note 13 to our condensed consolidated financial statements.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for the 2017 period includes restructuring charges of $15.1 million, including $13.8 million of employee severance and termination costs related to certain reorganization activities, primarily in Germany and Central and Corporate.</w:t>
      </w:r>
    </w:p>
    <w:p>
      <w:pPr>
        <w:spacing w:after="0" w:line="170"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If, among other factors, (i) our equity values were to decline significantly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regarding our restructuring charges, see note 13 to our condensed consolidated financial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recognized interest expense of $487.8 million and $453.2 million during the three months ended March 31, 2018 and 2017, respectively. Excluding the effects of FX, interest expense decreased $24.1 million or 5.3% during the three months ended March 31, 2018, as compared to the corresponding period in 2017. This decrease is primarily attributable to the net effect of (i) a lower weighted average interest rate related to the completion of certain refinancing transactions that resulted in extended maturities and decreases to certain of our interest rates and (ii) a higher average outstanding debt balance. For additional information regarding our outstanding indebtedness, see note 9 to our condensed consolidated financial statements.</w:t>
      </w:r>
    </w:p>
    <w:p>
      <w:pPr>
        <w:spacing w:after="0" w:line="158"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6 to our condensed consolidated financial statements and under </w:t>
      </w:r>
      <w:r>
        <w:rPr>
          <w:rFonts w:ascii="Arial" w:cs="Arial" w:eastAsia="Arial" w:hAnsi="Arial"/>
          <w:sz w:val="17"/>
          <w:szCs w:val="17"/>
          <w:i w:val="1"/>
          <w:iCs w:val="1"/>
          <w:color w:val="auto"/>
        </w:rPr>
        <w:t xml:space="preserve">Qualitative and Quantitative Disclosures about Market Risk </w:t>
      </w:r>
      <w:r>
        <w:rPr>
          <w:rFonts w:ascii="Arial" w:cs="Arial" w:eastAsia="Arial" w:hAnsi="Arial"/>
          <w:sz w:val="17"/>
          <w:szCs w:val="17"/>
          <w:color w:val="auto"/>
        </w:rPr>
        <w:t>below, we use derivative instruments to manage our interest rate risks.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68" w:right="239" w:bottom="1440" w:gutter="0" w:footer="0" w:header="0"/>
        </w:sectPr>
      </w:pPr>
    </w:p>
    <w:bookmarkStart w:id="67" w:name="page68"/>
    <w:bookmarkEnd w:id="67"/>
    <w:p>
      <w:pPr>
        <w:ind w:left="180"/>
        <w:spacing w:after="0"/>
        <w:rPr>
          <w:sz w:val="20"/>
          <w:szCs w:val="20"/>
          <w:color w:val="auto"/>
        </w:rPr>
      </w:pPr>
      <w:r>
        <w:rPr>
          <w:rFonts w:ascii="Arial" w:cs="Arial" w:eastAsia="Arial" w:hAnsi="Arial"/>
          <w:sz w:val="18"/>
          <w:szCs w:val="18"/>
          <w:i w:val="1"/>
          <w:iCs w:val="1"/>
          <w:color w:val="auto"/>
        </w:rPr>
        <w:t>Realized and unrealized losses on derivative instruments, net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realized and unrealized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losses on derivative instruments, net, are as follows:</w:t>
      </w:r>
    </w:p>
    <w:p>
      <w:pPr>
        <w:spacing w:after="0" w:line="128"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Cross-currency and interest rate derivative contracts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Equity-related 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ITV Collar</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Sumitomo Collar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Lionsgate Forward</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8"/>
                <w:szCs w:val="18"/>
                <w:color w:val="auto"/>
              </w:rPr>
              <w:t>Total equity-related derivative instruments (b)</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and option contracts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86" w:lineRule="auto"/>
        <w:tabs>
          <w:tab w:leader="none" w:pos="5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losses during the 2018 and 2017 periods are primarily attributable to (i) net losses associated with changes in the relative value of certain currencies and (ii) net losses associated with changes in certain market interest rates. In addition, the losses during the 2018 and 2017 periods include net gains of $47.2 million and $65.9 million, respectively, resulting from changes in our credit risk valuation adjustments.</w:t>
      </w:r>
    </w:p>
    <w:p>
      <w:pPr>
        <w:spacing w:after="0" w:line="165" w:lineRule="exact"/>
        <w:rPr>
          <w:rFonts w:ascii="Arial" w:cs="Arial" w:eastAsia="Arial" w:hAnsi="Arial"/>
          <w:sz w:val="17"/>
          <w:szCs w:val="17"/>
          <w:color w:val="auto"/>
        </w:rPr>
      </w:pPr>
    </w:p>
    <w:p>
      <w:pPr>
        <w:ind w:left="500" w:hanging="492"/>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recurring fair value measurements of our equity-related derivative instruments are based on binomial pricing models.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For additional information concerning our derivative instruments, see notes 6 and 7 to our condensed consolidated financial statements and </w:t>
      </w:r>
      <w:r>
        <w:rPr>
          <w:rFonts w:ascii="Arial" w:cs="Arial" w:eastAsia="Arial" w:hAnsi="Arial"/>
          <w:sz w:val="18"/>
          <w:szCs w:val="18"/>
          <w:i w:val="1"/>
          <w:iCs w:val="1"/>
          <w:color w:val="auto"/>
        </w:rPr>
        <w:t>Quantitative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Qualitative Disclosures about Market Risk </w:t>
      </w:r>
      <w:r>
        <w:rPr>
          <w:rFonts w:ascii="Arial" w:cs="Arial" w:eastAsia="Arial" w:hAnsi="Arial"/>
          <w:sz w:val="18"/>
          <w:szCs w:val="18"/>
          <w:color w:val="auto"/>
        </w:rPr>
        <w:t>below.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8" w:right="239" w:bottom="1440" w:gutter="0" w:footer="0" w:header="0"/>
        </w:sectPr>
      </w:pPr>
    </w:p>
    <w:bookmarkStart w:id="68" w:name="page69"/>
    <w:bookmarkEnd w:id="68"/>
    <w:p>
      <w:pPr>
        <w:ind w:left="180"/>
        <w:spacing w:after="0"/>
        <w:rPr>
          <w:sz w:val="20"/>
          <w:szCs w:val="20"/>
          <w:color w:val="auto"/>
        </w:rPr>
      </w:pPr>
      <w:r>
        <w:rPr>
          <w:rFonts w:ascii="Arial" w:cs="Arial" w:eastAsia="Arial" w:hAnsi="Arial"/>
          <w:sz w:val="18"/>
          <w:szCs w:val="18"/>
          <w:i w:val="1"/>
          <w:iCs w:val="1"/>
          <w:color w:val="auto"/>
        </w:rPr>
        <w:t>Foreign currency transaction gains (losses), net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 net, are as follows:</w:t>
      </w:r>
    </w:p>
    <w:p>
      <w:pPr>
        <w:spacing w:after="0" w:line="133"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7"/>
              </w:rPr>
              <w:t>Intercompany payables and receivables denominated in a currency other than the entity’s functional currency (a)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dollar-denominated debt issued by euro functional currency entities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U.S. dollar-denominated debt issued by British pound sterling functional currency entities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 sterling-denominated debt issued by a U.S. dollar functional currency entity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and restricted cash denominated in a currency other than the entity’s functional currency</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57"/>
        </w:trPr>
        <w:tc>
          <w:tcPr>
            <w:tcW w:w="880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20" w:hanging="492"/>
        <w:spacing w:after="0" w:line="308" w:lineRule="auto"/>
        <w:tabs>
          <w:tab w:leader="none" w:pos="5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Amounts primarily relate to (i) loans between certain of our non-operating subsidiaries in the U.S. and Europe and (ii) loans between certain of our non-operating and operating subsidiaries in Europe, which generally are denominated in the currency of the applicable operating subsidiary.</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Realized and unrealized gains (losses) due to changes in fair values of certain investments and debt, net</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realized and unrealized gains or losses due to changes in fair values of certain investments and debt include unrealized gains or losses associated with changes in fair values that are non-cash in nature until such time as these gains or losses are realized through cash transactions. For additional information regarding our investments, fair value measurements and debt, see notes 5, 7 and 9, respectively, to our condensed consolidated financial statements. The details of our realized and unrealized gains (losses) due to changes in fair values of certain investments and debt, net, are as follows:</w:t>
      </w:r>
    </w:p>
    <w:p>
      <w:pPr>
        <w:spacing w:after="0" w:line="101"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ITV</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Casa</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Lionsgate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Sumitomo</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75.8</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r>
      <w:tr>
        <w:trPr>
          <w:trHeight w:val="237"/>
        </w:trPr>
        <w:tc>
          <w:tcPr>
            <w:tcW w:w="9020" w:type="dxa"/>
            <w:vAlign w:val="bottom"/>
          </w:tcPr>
          <w:p>
            <w:pPr>
              <w:ind w:left="280"/>
              <w:spacing w:after="0"/>
              <w:rPr>
                <w:sz w:val="20"/>
                <w:szCs w:val="20"/>
                <w:color w:val="auto"/>
              </w:rPr>
            </w:pPr>
            <w:r>
              <w:rPr>
                <w:rFonts w:ascii="Arial" w:cs="Arial" w:eastAsia="Arial" w:hAnsi="Arial"/>
                <w:sz w:val="18"/>
                <w:szCs w:val="18"/>
                <w:color w:val="auto"/>
              </w:rPr>
              <w:t>Total investments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163.0</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r>
      <w:tr>
        <w:trPr>
          <w:trHeight w:val="237"/>
        </w:trPr>
        <w:tc>
          <w:tcPr>
            <w:tcW w:w="9020" w:type="dxa"/>
            <w:vAlign w:val="bottom"/>
          </w:tcPr>
          <w:p>
            <w:pPr>
              <w:ind w:left="4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94.4</w:t>
            </w:r>
          </w:p>
        </w:tc>
      </w:tr>
      <w:tr>
        <w:trPr>
          <w:trHeight w:val="27"/>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Losses on debt modification and extinguishment, net</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recognized net losses on debt modification and extinguishment of $2.6 million and $45.3 million during the three months ended March 31, 2018 and 2017,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68" w:right="239" w:bottom="1440" w:gutter="0" w:footer="0" w:header="0"/>
        </w:sectPr>
      </w:pPr>
    </w:p>
    <w:bookmarkStart w:id="69" w:name="page70"/>
    <w:bookmarkEnd w:id="69"/>
    <w:p>
      <w:pPr>
        <w:ind w:firstLine="324"/>
        <w:spacing w:after="0" w:line="277" w:lineRule="auto"/>
        <w:rPr>
          <w:sz w:val="20"/>
          <w:szCs w:val="20"/>
          <w:color w:val="auto"/>
        </w:rPr>
      </w:pPr>
      <w:r>
        <w:rPr>
          <w:rFonts w:ascii="Arial" w:cs="Arial" w:eastAsia="Arial" w:hAnsi="Arial"/>
          <w:sz w:val="18"/>
          <w:szCs w:val="18"/>
          <w:color w:val="auto"/>
        </w:rPr>
        <w:t>The loss during the three months ended March 31, 2018 is attributable to (i) the payment of $2.0 million of redemption premiums and (ii) the write-off of $0.6 million of net unamortized deferred financing costs and discounts.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loss during the three months ended March 31, 2017 is primarily attributable to (i) the payment of $32.6 million of redemption premiums and (ii) the write-off of $11.4 million of net unamortized deferred financing costs, discounts and premiums.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additional information concerning our losses on debt modification and extinguishment, net, see note 9 to our condensed consolidated financial statements.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 of losses of affiliates,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share of losses of affiliates, net:</w:t>
      </w:r>
    </w:p>
    <w:p>
      <w:pPr>
        <w:spacing w:after="0" w:line="172"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VodafoneZiggo JV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9020" w:type="dxa"/>
            <w:vAlign w:val="bottom"/>
            <w:vMerge w:val="restart"/>
          </w:tcPr>
          <w:p>
            <w:pPr>
              <w:jc w:val="right"/>
              <w:ind w:right="7570"/>
              <w:spacing w:after="0"/>
              <w:rPr>
                <w:sz w:val="20"/>
                <w:szCs w:val="20"/>
                <w:color w:val="auto"/>
              </w:rPr>
            </w:pPr>
            <w:r>
              <w:rPr>
                <w:rFonts w:ascii="Arial" w:cs="Arial" w:eastAsia="Arial" w:hAnsi="Arial"/>
                <w:sz w:val="18"/>
                <w:szCs w:val="18"/>
                <w:color w:val="auto"/>
                <w:w w:val="89"/>
              </w:rPr>
              <w:t>_______________</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85" w:lineRule="auto"/>
        <w:tabs>
          <w:tab w:leader="none" w:pos="5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Amounts in 2018 and 2017 include the net effect of (i) $15.2 million and $14.8 million, respectively, representing 100% of the interest income earned on the VodafoneZiggo JV Receivable, (ii) 100% of the share-based compensation expense associated with Liberty Global awards held by VodafoneZiggo JV employees who were formerly employees of Liberty Global, as these awards remain our responsibility, and (iii) our 50% share of the remaining results of operations of the VodafoneZiggo JV. During the three months ended March 31, 2018 and 2017, the VodafoneZiggo JV generated (a) revenue of $1,195.0 million and $1,078.6 million, respectively, (b) Adjusted OIBDA of $516.6 million and $460.3 million, respectively,</w:t>
      </w:r>
    </w:p>
    <w:p>
      <w:pPr>
        <w:spacing w:after="0" w:line="2" w:lineRule="exact"/>
        <w:rPr>
          <w:rFonts w:ascii="Arial" w:cs="Arial" w:eastAsia="Arial" w:hAnsi="Arial"/>
          <w:sz w:val="16"/>
          <w:szCs w:val="16"/>
          <w:color w:val="auto"/>
        </w:rPr>
      </w:pPr>
    </w:p>
    <w:p>
      <w:pPr>
        <w:jc w:val="both"/>
        <w:ind w:left="500" w:hanging="6"/>
        <w:spacing w:after="0" w:line="254" w:lineRule="auto"/>
        <w:tabs>
          <w:tab w:leader="none" w:pos="789" w:val="left"/>
        </w:tabs>
        <w:numPr>
          <w:ilvl w:val="1"/>
          <w:numId w:val="63"/>
        </w:numPr>
        <w:rPr>
          <w:rFonts w:ascii="Arial" w:cs="Arial" w:eastAsia="Arial" w:hAnsi="Arial"/>
          <w:sz w:val="18"/>
          <w:szCs w:val="18"/>
          <w:color w:val="auto"/>
        </w:rPr>
      </w:pPr>
      <w:r>
        <w:rPr>
          <w:rFonts w:ascii="Arial" w:cs="Arial" w:eastAsia="Arial" w:hAnsi="Arial"/>
          <w:sz w:val="18"/>
          <w:szCs w:val="18"/>
          <w:color w:val="auto"/>
        </w:rPr>
        <w:t>operating income of $38.4 million and $57.5 million, respectively, (d) net non-operating expenses of $142.4 million and $100.2 million, respectively, (including $169.4 million and $153.4 million of interest expense) and (e) net losses of $76.7 million and $29.7 million, respectively. The preceding amounts for the 2017 period have been presented on a pro forma basis that gives effect to the adoption of ASU 2014-09 as if such adoption had occurred on January 1, 2017.</w:t>
      </w:r>
    </w:p>
    <w:p>
      <w:pPr>
        <w:spacing w:after="0" w:line="19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VodafoneZiggo JV is experiencing significant competition. In particular, the mobile operations of the VodafoneZiggo JV continue to experience competitive pressure on pricing, characterized by aggressive promotion campaigns, heavy marketing efforts and increasing or unlimited data bundles. If the adverse impacts of economic, competitive, regulatory or other factors were to cause significant deterioration of the results of operations or cash flows of the VodafoneZiggo JV, we could conclude in future periods that our investment in the VodafoneZiggo JV is impaired or management of the VodafoneZiggo JV could conclude that an impairment of the VodafoneZiggo JV goodwill and, to a lesser extent, long-lived assets, is required. Any such impairment of the VodafoneZiggo JV’s goodwill or our investment in the VodafoneZiggo JV would be reflected as a component of share of results of affiliates, net, in our condensed consolidated statement of operations. Our share of any such impairment charges could be significant.</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recognized other income, net, of $9.3 million and $16.0 million for the three months ended March 31, 2018 and 2017, respectively. These amounts include interest and dividend income of $4.4 million and $13.6 million, respectively.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recognized income tax expense of $766.1 million and $102.2 million during the three months ended March 31, 2018 and 2017, respectively.</w:t>
      </w:r>
    </w:p>
    <w:p>
      <w:pPr>
        <w:spacing w:after="0" w:line="2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income tax expense during the three months ended March 31, 2018 differs from the expected income tax benefit of $78.4 million (based on the U.K. statutory income tax rate of 19.0%) primarily due to the net negative impact of (i) the Mandatory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68" w:right="239" w:bottom="1440" w:gutter="0" w:footer="0" w:header="0"/>
        </w:sectPr>
      </w:pPr>
    </w:p>
    <w:bookmarkStart w:id="70" w:name="page71"/>
    <w:bookmarkEnd w:id="70"/>
    <w:p>
      <w:pPr>
        <w:jc w:val="both"/>
        <w:spacing w:after="0" w:line="277" w:lineRule="auto"/>
        <w:rPr>
          <w:sz w:val="20"/>
          <w:szCs w:val="20"/>
          <w:color w:val="auto"/>
        </w:rPr>
      </w:pPr>
      <w:r>
        <w:rPr>
          <w:rFonts w:ascii="Arial" w:cs="Arial" w:eastAsia="Arial" w:hAnsi="Arial"/>
          <w:sz w:val="18"/>
          <w:szCs w:val="18"/>
          <w:color w:val="auto"/>
        </w:rPr>
        <w:t>Repatriation Tax and (ii) non-deductible or non-taxable foreign currency exchange results. The net negative impact of these items was partially offset by the net positive impact of a decrease in valuation allowances.</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income tax expense during the three months ended March 31, 2017 differs from the expected income tax benefit of $29.7 million (based on the U.K. blended income tax rate of 19.25%) primarily due to the net negative impact of (i) an increase in valuation allowances, (ii) certain permanent differences between the financial and tax accounting treatment of interest and other items and (iii) non-deductible or non-taxable foreign currency exchange results.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concerning our income taxes, see note 10 to our condensed consolidated financial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Loss from continuing operations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 months ended March 31, 2018 and 2017, we reported losses from continuing operations of $1,178.6 million and $256.3 million, respectively, consisting of (i) operating income of $493.1 million and $427.1 million, respectively, (ii) net non-operating expense of $905.6 million and $581.2 million, respectively, and (iii) income tax expense of $766.1 million and $102.2 million, respectively.</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Adjusted OIBDA to a level that more than offsets the aggregate amount of our (a) share-based compensation expense, (b) depreciation and amortization, (c) impairment, restructuring and other operating items, (d) interest expense, (e) other non-operating expenses and (f) income tax expenses.</w:t>
      </w:r>
    </w:p>
    <w:p>
      <w:pPr>
        <w:spacing w:after="0" w:line="19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Due largely to the fact that we seek to maintain our debt at levels that provide for attractive equity returns, as discussed under </w:t>
      </w:r>
      <w:r>
        <w:rPr>
          <w:rFonts w:ascii="Arial" w:cs="Arial" w:eastAsia="Arial" w:hAnsi="Arial"/>
          <w:sz w:val="17"/>
          <w:szCs w:val="17"/>
          <w:i w:val="1"/>
          <w:iCs w:val="1"/>
          <w:color w:val="auto"/>
        </w:rPr>
        <w:t>Material Changes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Condition </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Capitalization </w:t>
      </w:r>
      <w:r>
        <w:rPr>
          <w:rFonts w:ascii="Arial" w:cs="Arial" w:eastAsia="Arial" w:hAnsi="Arial"/>
          <w:sz w:val="17"/>
          <w:szCs w:val="17"/>
          <w:color w:val="auto"/>
        </w:rPr>
        <w:t>below, we expect that we will continue to report significant levels of interest expense for the foreseeable future.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concerning our expectations with respect to trends that may affect certain aspects of our operating results in future periods, see the discussion under </w:t>
      </w:r>
      <w:r>
        <w:rPr>
          <w:rFonts w:ascii="Arial" w:cs="Arial" w:eastAsia="Arial" w:hAnsi="Arial"/>
          <w:sz w:val="17"/>
          <w:szCs w:val="17"/>
          <w:i w:val="1"/>
          <w:iCs w:val="1"/>
          <w:color w:val="auto"/>
        </w:rPr>
        <w:t>Overview</w:t>
      </w:r>
      <w:r>
        <w:rPr>
          <w:rFonts w:ascii="Arial" w:cs="Arial" w:eastAsia="Arial" w:hAnsi="Arial"/>
          <w:sz w:val="17"/>
          <w:szCs w:val="17"/>
          <w:color w:val="auto"/>
        </w:rPr>
        <w:t xml:space="preserve"> above. For information concerning the reasons for changes in specific line items in our condensed consolidated statements of operations, see </w:t>
      </w:r>
      <w:r>
        <w:rPr>
          <w:rFonts w:ascii="Arial" w:cs="Arial" w:eastAsia="Arial" w:hAnsi="Arial"/>
          <w:sz w:val="17"/>
          <w:szCs w:val="17"/>
          <w:i w:val="1"/>
          <w:iCs w:val="1"/>
          <w:color w:val="auto"/>
        </w:rPr>
        <w:t xml:space="preserve">Discussion and Analysis of our Reportable Segments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Discussion and Analysis of our Consolidated Operating Results </w:t>
      </w:r>
      <w:r>
        <w:rPr>
          <w:rFonts w:ascii="Arial" w:cs="Arial" w:eastAsia="Arial" w:hAnsi="Arial"/>
          <w:sz w:val="17"/>
          <w:szCs w:val="17"/>
          <w:color w:val="auto"/>
        </w:rPr>
        <w:t>above.</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Loss from discontinued operations, net of taxes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reported a loss from discontinued operations, net of taxes, of $10.9 million during the three months ended March 31, 2017 related to the operations of the LiLAC Group. For additional information, see note 4 to our condensed consolidated financial statements.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earnings attributable to noncontrolling interests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Net earnings attributable to noncontrolling interests includes the noncontrolling interests’ share of the results of our continuing and discontinued operations. Our net earnings attributable to noncontrolling interests were $7.9 million and $53.0 million during the three months ended March 31, 2018 and 2017, respectively. The decrease is primarily attributable to declines in the results of operations of Telenet and the impact of the Split-off Transaction.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68"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Material Changes in Financial Condition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holding company that is dependent on the capital resources of our subsidiaries to satisfy our liquidity requirements at the corporate level. Each of our significant operating subsidiaries is separately financed within one of our four subsidiary “borrowing groups.” These borrowing groups include the respective restricted parent and subsidiary entities within Virgin Media, Unitymedia, UPC Holding and Telenet.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details of the U.S. dollar equivalent balances of our consolidated cash and cash equivalents at March 31, 2018 are set forth in the following table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held by: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180"/>
              <w:spacing w:after="0"/>
              <w:rPr>
                <w:sz w:val="20"/>
                <w:szCs w:val="20"/>
                <w:color w:val="auto"/>
              </w:rPr>
            </w:pPr>
            <w:r>
              <w:rPr>
                <w:rFonts w:ascii="Arial" w:cs="Arial" w:eastAsia="Arial" w:hAnsi="Arial"/>
                <w:sz w:val="18"/>
                <w:szCs w:val="18"/>
                <w:color w:val="auto"/>
              </w:rPr>
              <w:t>Liberty Global and unrestricted subsidiaries: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Liberty Global (a)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r>
      <w:tr>
        <w:trPr>
          <w:trHeight w:val="243"/>
        </w:trPr>
        <w:tc>
          <w:tcPr>
            <w:tcW w:w="10160" w:type="dxa"/>
            <w:vAlign w:val="bottom"/>
          </w:tcPr>
          <w:p>
            <w:pPr>
              <w:ind w:left="280"/>
              <w:spacing w:after="0"/>
              <w:rPr>
                <w:sz w:val="20"/>
                <w:szCs w:val="20"/>
                <w:color w:val="auto"/>
              </w:rPr>
            </w:pPr>
            <w:r>
              <w:rPr>
                <w:rFonts w:ascii="Arial" w:cs="Arial" w:eastAsia="Arial" w:hAnsi="Arial"/>
                <w:sz w:val="18"/>
                <w:szCs w:val="18"/>
                <w:color w:val="auto"/>
              </w:rPr>
              <w:t>Unrestricted subsidiaries (b)</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410.6</w:t>
            </w:r>
          </w:p>
        </w:tc>
      </w:tr>
      <w:tr>
        <w:trPr>
          <w:trHeight w:val="27"/>
        </w:trPr>
        <w:tc>
          <w:tcPr>
            <w:tcW w:w="10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10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Liberty Global and unrestricted subsidiaries</w:t>
            </w: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437.5</w:t>
            </w:r>
          </w:p>
        </w:tc>
      </w:tr>
      <w:tr>
        <w:trPr>
          <w:trHeight w:val="223"/>
        </w:trPr>
        <w:tc>
          <w:tcPr>
            <w:tcW w:w="10160" w:type="dxa"/>
            <w:vAlign w:val="bottom"/>
          </w:tcPr>
          <w:p>
            <w:pPr>
              <w:ind w:left="180"/>
              <w:spacing w:after="0"/>
              <w:rPr>
                <w:sz w:val="20"/>
                <w:szCs w:val="20"/>
                <w:color w:val="auto"/>
              </w:rPr>
            </w:pPr>
            <w:r>
              <w:rPr>
                <w:rFonts w:ascii="Arial" w:cs="Arial" w:eastAsia="Arial" w:hAnsi="Arial"/>
                <w:sz w:val="18"/>
                <w:szCs w:val="18"/>
                <w:color w:val="auto"/>
              </w:rPr>
              <w:t>Borrowing groups (c):</w:t>
            </w: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41"/>
        </w:trPr>
        <w:tc>
          <w:tcPr>
            <w:tcW w:w="10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50"/>
        </w:trPr>
        <w:tc>
          <w:tcPr>
            <w:tcW w:w="10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Telenet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r>
      <w:tr>
        <w:trPr>
          <w:trHeight w:val="243"/>
        </w:trPr>
        <w:tc>
          <w:tcPr>
            <w:tcW w:w="10160" w:type="dxa"/>
            <w:vAlign w:val="bottom"/>
          </w:tcPr>
          <w:p>
            <w:pPr>
              <w:ind w:left="280"/>
              <w:spacing w:after="0"/>
              <w:rPr>
                <w:sz w:val="20"/>
                <w:szCs w:val="20"/>
                <w:color w:val="auto"/>
              </w:rPr>
            </w:pPr>
            <w:r>
              <w:rPr>
                <w:rFonts w:ascii="Arial" w:cs="Arial" w:eastAsia="Arial" w:hAnsi="Arial"/>
                <w:sz w:val="18"/>
                <w:szCs w:val="18"/>
                <w:color w:val="auto"/>
              </w:rPr>
              <w:t>Virgin Media (d)</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38.2</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UPC Holding</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r>
      <w:tr>
        <w:trPr>
          <w:trHeight w:val="243"/>
        </w:trPr>
        <w:tc>
          <w:tcPr>
            <w:tcW w:w="10160" w:type="dxa"/>
            <w:vAlign w:val="bottom"/>
          </w:tcPr>
          <w:p>
            <w:pPr>
              <w:ind w:left="280"/>
              <w:spacing w:after="0"/>
              <w:rPr>
                <w:sz w:val="20"/>
                <w:szCs w:val="20"/>
                <w:color w:val="auto"/>
              </w:rPr>
            </w:pPr>
            <w:r>
              <w:rPr>
                <w:rFonts w:ascii="Arial" w:cs="Arial" w:eastAsia="Arial" w:hAnsi="Arial"/>
                <w:sz w:val="18"/>
                <w:szCs w:val="18"/>
                <w:color w:val="auto"/>
              </w:rPr>
              <w:t>Unitymedia</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10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10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borrowing groups</w:t>
            </w: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117.4</w:t>
            </w:r>
          </w:p>
        </w:tc>
      </w:tr>
      <w:tr>
        <w:trPr>
          <w:trHeight w:val="237"/>
        </w:trPr>
        <w:tc>
          <w:tcPr>
            <w:tcW w:w="10160" w:type="dxa"/>
            <w:vAlign w:val="bottom"/>
          </w:tcPr>
          <w:p>
            <w:pPr>
              <w:ind w:left="540"/>
              <w:spacing w:after="0"/>
              <w:rPr>
                <w:sz w:val="20"/>
                <w:szCs w:val="20"/>
                <w:color w:val="auto"/>
              </w:rPr>
            </w:pPr>
            <w:r>
              <w:rPr>
                <w:rFonts w:ascii="Arial" w:cs="Arial" w:eastAsia="Arial" w:hAnsi="Arial"/>
                <w:sz w:val="18"/>
                <w:szCs w:val="18"/>
                <w:color w:val="auto"/>
              </w:rPr>
              <w:t>Total cash and cash equivalents</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6454140</wp:posOffset>
            </wp:positionH>
            <wp:positionV relativeFrom="paragraph">
              <wp:posOffset>17145</wp:posOffset>
            </wp:positionV>
            <wp:extent cx="7975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6454140</wp:posOffset>
            </wp:positionH>
            <wp:positionV relativeFrom="paragraph">
              <wp:posOffset>-130175</wp:posOffset>
            </wp:positionV>
            <wp:extent cx="7975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5"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the amount held by Liberty Global on a standalone basis.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the aggregate amount held by subsidiaries that are outside of our borrowing groups.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Except as otherwise noted, represents the aggregate amounts held by the parent entity and restricted subsidiaries of our borrowing groups.</w:t>
      </w:r>
    </w:p>
    <w:p>
      <w:pPr>
        <w:spacing w:after="0" w:line="236" w:lineRule="exact"/>
        <w:rPr>
          <w:rFonts w:ascii="Arial" w:cs="Arial" w:eastAsia="Arial" w:hAnsi="Arial"/>
          <w:sz w:val="17"/>
          <w:szCs w:val="17"/>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Virgin Media borrowing group includes certain subsidiaries of Virgin Media, but excludes the parent entity, Virgin Media Inc.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Liquidity of Liberty Global and its unrestricted subsidiaries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$26.9 million of cash and cash equivalents held by Liberty Global and, subject to certain tax and legal considerations, the $410.6 million of aggregate cash and cash equivalents held by unrestricted subsidiaries, represented available liquidity at the corporate level at March 31, 2018. Our remaining cash and cash equivalents of $117.4 million at March 31, 2018 were held by our borrowing groups as set forth in the table above. As noted above, various factors may limit our ability to access the cash of our borrowing groups. For information regarding certain limitations imposed by our subsidiaries’ debt instruments at March 31, 2018, see note 9 to our condensed consolidated financial statements.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current sources of corporate liquidity include (i) cash and cash equivalents held by Liberty Global and, subject to certain tax and legal considerations, Liberty Global’s unrestricted subsidiaries and (ii) interest and dividend income received on our and, subject to certain tax and legal considerations, our unrestricted subsidiaries’ cash and cash equivalents and investments, including dividends received from the VodafoneZiggo JV, (iii) principal and interest payments received with respect to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64" w:right="239" w:bottom="1440" w:gutter="0" w:footer="0" w:header="0"/>
        </w:sectPr>
      </w:pPr>
    </w:p>
    <w:bookmarkStart w:id="72" w:name="page73"/>
    <w:bookmarkEnd w:id="72"/>
    <w:p>
      <w:pPr>
        <w:spacing w:after="0"/>
        <w:rPr>
          <w:sz w:val="20"/>
          <w:szCs w:val="20"/>
          <w:color w:val="auto"/>
        </w:rPr>
      </w:pPr>
      <w:r>
        <w:rPr>
          <w:rFonts w:ascii="Arial" w:cs="Arial" w:eastAsia="Arial" w:hAnsi="Arial"/>
          <w:sz w:val="17"/>
          <w:szCs w:val="17"/>
          <w:color w:val="auto"/>
        </w:rPr>
        <w:t>VodafoneZiggo JV Receivable and (iv) cash received with respect to transition services provided to the VodafoneZiggo JV and Liberty Latin America.</w:t>
      </w:r>
    </w:p>
    <w:p>
      <w:pPr>
        <w:spacing w:after="0" w:line="23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From time to time, Liberty Global and its unrestricted subsidiaries may also receive (i) proceeds in the form of distributions or loan repayments from Liberty Global’s borrowing groups or affiliates (including amounts from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 For information regarding the liquidity impacts of the pending disposition of UPC Austria, see note 4 to our condensed consolidated financial statements.</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March 31, 2018, our consolidated cash and cash equivalents balance included $504.8 million held by entities that are domiciled outside of the U.K. Based on our assessment of our ability to access the liquidity of our subsidiaries on a tax efficient basis, our expectations with respect to our corporate liquidity requirements and our preliminary assessment of the 2017 U.S. Tax Act,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amount of cash we receive from our subsidiaries to satisfy U.S. dollar-denominated liquidity requirements is impacted by fluctuations in exchange rates, particularly with regard to the translation of British pounds sterling and euros into U.S. dollars. In this regard, the strengthening (weakening) of the U.S. dollar against these currencies will result in decreases (increases) in the U.S. dollars received from the applicable subsidiaries to fund the repurchase of our equity securities and other U.S. dollar-denominated liquidity requirements.</w:t>
      </w:r>
    </w:p>
    <w:p>
      <w:pPr>
        <w:spacing w:after="0" w:line="18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Our corporate liquidity requirements include (i) corporate general and administrative expenses, (ii) interest payments on the ITV Collar Loan, the Sumitomo Collar Loan and the Sumitomo Share Loan and (iii) principal payments on the ITV Collar Loan, the Sumitomo Collar Loan, the Sumitomo Share Loan and our secured borrowing arrangement with respect to 2.5 million of our Lionsgate shares (the </w:t>
      </w:r>
      <w:r>
        <w:rPr>
          <w:rFonts w:ascii="Arial" w:cs="Arial" w:eastAsia="Arial" w:hAnsi="Arial"/>
          <w:sz w:val="18"/>
          <w:szCs w:val="18"/>
          <w:b w:val="1"/>
          <w:bCs w:val="1"/>
          <w:color w:val="auto"/>
        </w:rPr>
        <w:t>Lionsgate Loan</w:t>
      </w:r>
      <w:r>
        <w:rPr>
          <w:rFonts w:ascii="Arial" w:cs="Arial" w:eastAsia="Arial" w:hAnsi="Arial"/>
          <w:sz w:val="18"/>
          <w:szCs w:val="18"/>
          <w:color w:val="auto"/>
        </w:rPr>
        <w:t>) to the extent not settled through the delivery of the underlying shares. In addition, Liberty Global and its unrestricted subsidiaries may require cash in connection with (a) the repayment of third-party and intercompany debt, (b) the satisfaction of contingent liabilities, (c) acquisitions, (d) the repurchase of equity and debt securities, (e) other investment opportunities, (f) any funding requirements of our subsidiaries and affiliates or (g) income tax payments. In addition, our parent entity uses available liquidity to make interest and principal payments on notes payable to certain of our unrestricted subsidiaries (aggregate outstanding principal of $11.3 billion at March 31, 2018 with varying maturity dates). For information regarding our commitments and contingencies, see note 15 to our condensed consolidated financial statements.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months ended March 31, 2018, the aggregate purchase price of our share repurchases was $496.3 million, including direct acquisition costs. At March 31, 2018, the remaining amount authorized for share repurchases was $1,571.5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Liquidity of borrowing groups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such entities at March 31, 2018, see note 9 to our condensed consolidated financial statements. The aforementioned sources of liquidity may be supplemented in certain cases by contributions and/or loans from Liberty Global and its unrestricted subsidiaries. The liquidity of our borrowing groups generally is used to fund property and equipment additions, debt service requirements and income tax payments. From time to time, our borrowing groups may also require liquidity in connection with (i) acquisitions and other investment opportunities, (ii) loans to Liberty Global, (iii) capital distributions to Liberty Global and other equity owners or (iv) the satisfaction of contingent liabilities. No assurance can be given that any external funding would be available to our borrowing groups on favorable terms, or at all. For information regarding our borrowing groups’ commitments and contingencies, see note 15 to our condensed consolidated financial statements.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additional information regarding our consolidated cash flows, see the discussion under </w:t>
      </w:r>
      <w:r>
        <w:rPr>
          <w:rFonts w:ascii="Arial" w:cs="Arial" w:eastAsia="Arial" w:hAnsi="Arial"/>
          <w:sz w:val="16"/>
          <w:szCs w:val="16"/>
          <w:i w:val="1"/>
          <w:iCs w:val="1"/>
          <w:color w:val="auto"/>
        </w:rPr>
        <w:t>Condensed Consolidated Statements of Cash Flows</w:t>
      </w:r>
      <w:r>
        <w:rPr>
          <w:rFonts w:ascii="Arial" w:cs="Arial" w:eastAsia="Arial" w:hAnsi="Arial"/>
          <w:sz w:val="16"/>
          <w:szCs w:val="16"/>
          <w:color w:val="auto"/>
        </w:rPr>
        <w:t xml:space="preserve"> below.</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68" w:right="239" w:bottom="1440" w:gutter="0" w:footer="0" w:header="0"/>
        </w:sectPr>
      </w:pPr>
    </w:p>
    <w:bookmarkStart w:id="73" w:name="page74"/>
    <w:bookmarkEnd w:id="73"/>
    <w:p>
      <w:pPr>
        <w:ind w:left="180"/>
        <w:spacing w:after="0"/>
        <w:rPr>
          <w:sz w:val="20"/>
          <w:szCs w:val="20"/>
          <w:color w:val="auto"/>
        </w:rPr>
      </w:pPr>
      <w:r>
        <w:rPr>
          <w:rFonts w:ascii="Arial" w:cs="Arial" w:eastAsia="Arial" w:hAnsi="Arial"/>
          <w:sz w:val="18"/>
          <w:szCs w:val="18"/>
          <w:b w:val="1"/>
          <w:bCs w:val="1"/>
          <w:i w:val="1"/>
          <w:iCs w:val="1"/>
          <w:color w:val="auto"/>
        </w:rPr>
        <w:t>Capitalization</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seek to maintain our debt at levels that provide for attractive equity returns without assuming undue risk. In this regard, we generally seek to cause our operating subsidiaries to maintain their debt at levels that result in a consolidated debt balance (excluding the ITV Collar Loan, Sumitomo Collar Loan, Sumitomo Share Loan, Lionsgate Loan and measured using subsidiary debt figures at swapped foreign currency exchange rates, consistent with the covenant calculation requirements of our subsidiary debt agreements) that is between four and five times our consolidated Adjusted OIBDA, although the timing of our acquisitions and financing transactions and the interplay of average and spot foreign currency rates may impact this ratio. The ratio of our March 31, 2018 consolidated debt to our annualized consolidated Adjusted OIBDA for the quarter ended March 31, 2018 was 5.3x. In addition, the ratio of our March 31, 2018 consolidated net debt (debt, as defined above, less cash and cash equivalents) to our annualized consolidated Adjusted OIBDA for the quarter ended March 31, 2018 was 5.2x.</w:t>
      </w:r>
    </w:p>
    <w:p>
      <w:pPr>
        <w:spacing w:after="0" w:line="19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When it is cost effective, we generally seek to match the denomination of the borrowings of our subsidiaries with the functional currency of the operations that support the respective borrowings. As further discussed in note 6 to our condensed consolidated financial statements, we also use derivative instruments to mitigate foreign currency and interest rate risk associated with our debt instruments.</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ability to service or refinance our debt and to maintain compliance with the leverage covenants in the credit agreements and indentures of our borrowing groups is dependent primarily on our ability to maintain or increase the Adjusted OIBDA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OIBDA of Virgin Media were to decline, our ability to obtain additional debt could be limited. No assurance can be given that we would have sufficient sources of liquidity, or that any external funding would be available on favorable terms, or at all, to fund any such required repayment. At March 31, 2018,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March 31, 2018, the outstanding principal amount of our consolidated debt, together with our capital lease obligations, aggregated $42.8 billion, including $4,290.7 million that is classified as current in our condensed consolidated balance sheet and $31.8 billion that is not due until 2024 or thereafter. All of our consolidated debt and capital lease obligations have been borrowed or incurred by our subsidiaries at March 31, 2018. For additional information concerning our debt maturities, see note 9 to our condensed consolidated financial statements.</w:t>
      </w:r>
    </w:p>
    <w:p>
      <w:pPr>
        <w:spacing w:after="0" w:line="18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Notwithstanding our negative working capital position at March 31, 2018, we believe that we have sufficient resources to repay or refinance the current portion of our debt and capital lease obligations and to fund our foreseeable liquidity requirements during the next 12 months. However, as our maturing debt grows in later years, we anticipate that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concerning our debt and capital lease obligations, see note 9 to our condensed consolidated financial statements.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68" w:right="239" w:bottom="1440" w:gutter="0" w:footer="0" w:header="0"/>
        </w:sectPr>
      </w:pPr>
    </w:p>
    <w:bookmarkStart w:id="74" w:name="page75"/>
    <w:bookmarkEnd w:id="74"/>
    <w:p>
      <w:pPr>
        <w:ind w:left="180"/>
        <w:spacing w:after="0"/>
        <w:rPr>
          <w:sz w:val="20"/>
          <w:szCs w:val="20"/>
          <w:color w:val="auto"/>
        </w:rPr>
      </w:pPr>
      <w:r>
        <w:rPr>
          <w:rFonts w:ascii="Arial" w:cs="Arial" w:eastAsia="Arial" w:hAnsi="Arial"/>
          <w:sz w:val="18"/>
          <w:szCs w:val="18"/>
          <w:b w:val="1"/>
          <w:bCs w:val="1"/>
          <w:i w:val="1"/>
          <w:iCs w:val="1"/>
          <w:color w:val="auto"/>
        </w:rPr>
        <w:t>Condensed Consolidated Statements of 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cash flows are subject to significant variations due to FX.</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Summary. </w:t>
      </w:r>
      <w:r>
        <w:rPr>
          <w:rFonts w:ascii="Arial" w:cs="Arial" w:eastAsia="Arial" w:hAnsi="Arial"/>
          <w:sz w:val="18"/>
          <w:szCs w:val="18"/>
          <w:color w:val="auto"/>
        </w:rPr>
        <w:t>The condensed consolidated statements of cash flows of our continuing operations for the three months ended March 31, 2018 and 2017 are</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0"/>
        </w:trPr>
        <w:tc>
          <w:tcPr>
            <w:tcW w:w="7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31"/>
              <w:spacing w:after="0"/>
              <w:rPr>
                <w:sz w:val="20"/>
                <w:szCs w:val="20"/>
                <w:color w:val="auto"/>
              </w:rPr>
            </w:pPr>
            <w:r>
              <w:rPr>
                <w:rFonts w:ascii="Arial" w:cs="Arial" w:eastAsia="Arial" w:hAnsi="Arial"/>
                <w:sz w:val="16"/>
                <w:szCs w:val="16"/>
                <w:b w:val="1"/>
                <w:bCs w:val="1"/>
                <w:color w:val="auto"/>
              </w:rPr>
              <w:t>Change</w:t>
            </w: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546"/>
        </w:trPr>
        <w:tc>
          <w:tcPr>
            <w:tcW w:w="70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1,279.3</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904.4</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374.9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(used) by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(2,560.3)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cash used by financing activities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50.7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57"/>
        </w:trPr>
        <w:tc>
          <w:tcPr>
            <w:tcW w:w="7080" w:type="dxa"/>
            <w:vAlign w:val="bottom"/>
          </w:tcPr>
          <w:p>
            <w:pPr>
              <w:ind w:left="34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1,033.2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(2,143.3)</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The increase in total net cash provided by our operating activities is primarily attributable to the net effect of (i) an increase in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our Adjusted OIBDA and related working capital items, (ii) an increase in cash provided due to lower payments of interest, (iii) an increase in the reported net cash provided by operating activities due to FX, (iv) an increase in cash provided due to lower payments for taxes and (v) a decrease in cash provided due to lower cash receipts related to derivative instruments.</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The change in total net cash provided (used) by our investing activities is primarily attributable to a decrease in cash of (i) $1,569.4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related to distributions received from affiliates in 2017, (ii) $840.8 million associated with the equalization payment received in 2017 in connection with the completion of the VodafoneZiggo JV Transaction and (iii) $145.6 million due to higher capital expenditures. Capital expenditures increased from $500.4 million during the first three months of 2017 to $646.0 million during the first three months of 2018 due to the net effect of (a) a net increase in the local currency capital expenditures of our subsidiaries, including a decrease associated with higher capital-related vendor financing and a decrease associated with related working capital movements, and (b) an increase resulting from FX.</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capital expenditures that we report in our condensed consolidated statements of cash flows do not include amounts that are financed under capital-related vendor financing or capital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condensed consolidated statements of cash flows, which exclude amounts financed under capital-related vendor financing or capital lease arrangements, and (ii) our total property and equipment additions, which include our capital expenditures on an accrual basis and amounts financed under capital-related vendor financing or capital lease arrangements. For further details regarding our property and equipment additions, see note 16 to our condensed consolidated financial statements. A reconciliation of our consolidated property and equipment additions to our consolidated capital expenditures, as reported in our condensed consolidated statements of cash flows, is set forth below:</w:t>
      </w:r>
    </w:p>
    <w:p>
      <w:pPr>
        <w:spacing w:after="0" w:line="125"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00" w:type="dxa"/>
            <w:vAlign w:val="bottom"/>
            <w:shd w:val="clear" w:color="auto" w:fill="CCEEFF"/>
          </w:tcPr>
          <w:p>
            <w:pPr>
              <w:spacing w:after="0"/>
              <w:rPr>
                <w:sz w:val="21"/>
                <w:szCs w:val="21"/>
                <w:color w:val="auto"/>
              </w:rPr>
            </w:pPr>
          </w:p>
        </w:tc>
        <w:tc>
          <w:tcPr>
            <w:tcW w:w="35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Property and equipment additions</w:t>
            </w:r>
          </w:p>
        </w:tc>
        <w:tc>
          <w:tcPr>
            <w:tcW w:w="38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1,251.4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884.4</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Assets acquired under capital-related vendor financing arrangements</w:t>
            </w:r>
          </w:p>
        </w:tc>
        <w:tc>
          <w:tcPr>
            <w:tcW w:w="3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Assets acquired under capital leases</w:t>
            </w:r>
          </w:p>
        </w:tc>
        <w:tc>
          <w:tcPr>
            <w:tcW w:w="3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current liabilities related to capital expenditures</w:t>
            </w:r>
          </w:p>
        </w:tc>
        <w:tc>
          <w:tcPr>
            <w:tcW w:w="35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57"/>
        </w:trPr>
        <w:tc>
          <w:tcPr>
            <w:tcW w:w="53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5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646.0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500.4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500" w:type="dxa"/>
            <w:vAlign w:val="bottom"/>
            <w:vMerge w:val="restart"/>
          </w:tcPr>
          <w:p>
            <w:pPr>
              <w:jc w:val="right"/>
              <w:ind w:right="2910"/>
              <w:spacing w:after="0"/>
              <w:rPr>
                <w:sz w:val="20"/>
                <w:szCs w:val="20"/>
                <w:color w:val="auto"/>
              </w:rPr>
            </w:pPr>
            <w:r>
              <w:rPr>
                <w:rFonts w:ascii="Arial" w:cs="Arial" w:eastAsia="Arial" w:hAnsi="Arial"/>
                <w:sz w:val="18"/>
                <w:szCs w:val="18"/>
                <w:color w:val="auto"/>
              </w:rPr>
              <w:t>72</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0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75" w:name="page76"/>
    <w:bookmarkEnd w:id="75"/>
    <w:p>
      <w:pPr>
        <w:jc w:val="both"/>
        <w:ind w:firstLine="324"/>
        <w:spacing w:after="0" w:line="302" w:lineRule="auto"/>
        <w:rPr>
          <w:sz w:val="20"/>
          <w:szCs w:val="20"/>
          <w:color w:val="auto"/>
        </w:rPr>
      </w:pPr>
      <w:r>
        <w:rPr>
          <w:rFonts w:ascii="Arial" w:cs="Arial" w:eastAsia="Arial" w:hAnsi="Arial"/>
          <w:sz w:val="16"/>
          <w:szCs w:val="16"/>
          <w:color w:val="auto"/>
        </w:rPr>
        <w:t>The increase in our property and equipment additions during the three months ended March 31, 2018 is primarily due to (i) an increase in local currency expenditures of our subsidiaries, primarily due to (a) expenditures to support new customer products and operational efficiency initiatives, (b) expenditures for new build and upgrade projects, (c) baseline expenditures, including network improvements and expenditures for property and facilities and information technology systems and (d) expenditures for the purchase and installation of customer premises equipment, and (ii) an increase due to FX.</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decrease in net cash used by our financing activities is primarily attributable to the net effect of (i) an increase in cash used of</w:t>
      </w:r>
      <w:r>
        <w:rPr>
          <w:rFonts w:ascii="Arial" w:cs="Arial" w:eastAsia="Arial" w:hAnsi="Arial"/>
          <w:sz w:val="18"/>
          <w:szCs w:val="18"/>
          <w:i w:val="1"/>
          <w:iCs w:val="1"/>
          <w:color w:val="auto"/>
        </w:rPr>
        <w:t xml:space="preserve"> </w:t>
      </w:r>
      <w:r>
        <w:rPr>
          <w:rFonts w:ascii="Arial" w:cs="Arial" w:eastAsia="Arial" w:hAnsi="Arial"/>
          <w:sz w:val="18"/>
          <w:szCs w:val="18"/>
          <w:color w:val="auto"/>
        </w:rPr>
        <w:t>$789.7 million related to lower net borrowings of debt, (ii) a decrease in cash used of $479.5 million due to lower repurchases of Liberty Global ordinary shares, (iii) a decrease in cash used of $162.6 million related to VAT paid on behalf of the VodafoneZiggo JV during the 2017 period and (iv) a decrease in cash used of $160.3 million due to higher cash receipts related to derivative instruments.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define adjusted free cash flow as net cash provided by our operating activities, plus (i) cash payments for third-party costs directly associated with successful and unsuccessful acquisitions and dispositions and (ii) expenses financed by an intermediary, less (a) capital expenditures, as reported in our condensed consolidated statements of cash flows, (b) principal payments on amounts financed by vendors and intermediaries and (c) principal payments on capital leases (exclusive of the portions of the network lease in Belgium and the duct leases in Germany that we assumed in connection with certain acquisitions), with each item excluding any cash provided or used by our discontinued operations. We believe that our presentation of adjusted free cash flow provides useful information to our investors because this measure can be used to gauge our ability to service debt and fund new investment opportunities. Adjusted free cash flow should not be understood to represent our ability to fund discretionary amounts, as we have various mandatory and contractual obligations, including debt repayments, which are not deducted to arrive at this amount. Investors should view adjusted free cash flow as a supplement to, and not a substitute for, U.S. GAAP measures of liquidity included in our condensed consolidated statements of cash flows.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details of our adjusted free cash flow: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gridSpan w:val="4"/>
          </w:tcPr>
          <w:p>
            <w:pPr>
              <w:jc w:val="center"/>
              <w:ind w:right="171"/>
              <w:spacing w:after="0"/>
              <w:rPr>
                <w:sz w:val="20"/>
                <w:szCs w:val="20"/>
                <w:color w:val="auto"/>
              </w:rPr>
            </w:pPr>
            <w:r>
              <w:rPr>
                <w:rFonts w:ascii="Arial" w:cs="Arial" w:eastAsia="Arial" w:hAnsi="Arial"/>
                <w:sz w:val="16"/>
                <w:szCs w:val="16"/>
                <w:b w:val="1"/>
                <w:bCs w:val="1"/>
                <w:color w:val="auto"/>
                <w:w w:val="90"/>
              </w:rPr>
              <w:t>Three months ended</w:t>
            </w:r>
          </w:p>
        </w:tc>
      </w:t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jc w:val="center"/>
              <w:ind w:left="553"/>
              <w:spacing w:after="0"/>
              <w:rPr>
                <w:sz w:val="20"/>
                <w:szCs w:val="20"/>
                <w:color w:val="auto"/>
              </w:rPr>
            </w:pPr>
            <w:r>
              <w:rPr>
                <w:rFonts w:ascii="Arial" w:cs="Arial" w:eastAsia="Arial" w:hAnsi="Arial"/>
                <w:sz w:val="16"/>
                <w:szCs w:val="16"/>
                <w:b w:val="1"/>
                <w:bCs w:val="1"/>
                <w:color w:val="auto"/>
                <w:w w:val="97"/>
              </w:rPr>
              <w:t>March 31,</w:t>
            </w:r>
          </w:p>
        </w:tc>
        <w:tc>
          <w:tcPr>
            <w:tcW w:w="92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271"/>
              <w:spacing w:after="0"/>
              <w:rPr>
                <w:sz w:val="20"/>
                <w:szCs w:val="20"/>
                <w:color w:val="auto"/>
              </w:rPr>
            </w:pPr>
            <w:r>
              <w:rPr>
                <w:rFonts w:ascii="Arial" w:cs="Arial" w:eastAsia="Arial" w:hAnsi="Arial"/>
                <w:sz w:val="16"/>
                <w:szCs w:val="16"/>
                <w:b w:val="1"/>
                <w:bCs w:val="1"/>
                <w:color w:val="auto"/>
                <w:w w:val="90"/>
              </w:rPr>
              <w:t>2017 (a)</w:t>
            </w: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jc w:val="center"/>
              <w:ind w:left="553"/>
              <w:spacing w:after="0"/>
              <w:rPr>
                <w:sz w:val="20"/>
                <w:szCs w:val="20"/>
                <w:color w:val="auto"/>
              </w:rPr>
            </w:pPr>
            <w:r>
              <w:rPr>
                <w:rFonts w:ascii="Arial" w:cs="Arial" w:eastAsia="Arial" w:hAnsi="Arial"/>
                <w:sz w:val="16"/>
                <w:szCs w:val="16"/>
                <w:b w:val="1"/>
                <w:bCs w:val="1"/>
                <w:color w:val="auto"/>
                <w:w w:val="90"/>
              </w:rPr>
              <w:t>in millions</w:t>
            </w:r>
          </w:p>
        </w:tc>
        <w:tc>
          <w:tcPr>
            <w:tcW w:w="920" w:type="dxa"/>
            <w:vAlign w:val="bottom"/>
          </w:tcPr>
          <w:p>
            <w:pPr>
              <w:spacing w:after="0"/>
              <w:rPr>
                <w:sz w:val="18"/>
                <w:szCs w:val="18"/>
                <w:color w:val="auto"/>
              </w:rPr>
            </w:pPr>
          </w:p>
        </w:tc>
      </w:tr>
      <w:tr>
        <w:trPr>
          <w:trHeight w:val="546"/>
        </w:trPr>
        <w:tc>
          <w:tcPr>
            <w:tcW w:w="88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 of our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1,279.3</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904.4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for direct acquisition and disposition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Expenses financed by an intermediary (b)</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557.8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297.8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Principal payments on amounts financed by vendors and intermediaries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(1,014.2)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payments on certain capital leases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Adjusted free cash flow</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17145</wp:posOffset>
            </wp:positionV>
            <wp:extent cx="1663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-130175</wp:posOffset>
            </wp:positionV>
            <wp:extent cx="1663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5"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Adjusted free cash flow for the three months ended March 31, 2017 has been restated to reflect our January 1, 2018 adoption of ASU 2016-18.</w:t>
      </w:r>
    </w:p>
    <w:p>
      <w:pPr>
        <w:spacing w:after="0" w:line="236" w:lineRule="exact"/>
        <w:rPr>
          <w:rFonts w:ascii="Arial" w:cs="Arial" w:eastAsia="Arial" w:hAnsi="Arial"/>
          <w:sz w:val="17"/>
          <w:szCs w:val="17"/>
          <w:color w:val="auto"/>
        </w:rPr>
      </w:pPr>
    </w:p>
    <w:p>
      <w:pPr>
        <w:jc w:val="both"/>
        <w:ind w:left="500" w:hanging="492"/>
        <w:spacing w:after="0" w:line="302" w:lineRule="auto"/>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purposes of our condensed consolidated statements of cash flows, expenses financed by an intermediary are treated as hypothetical operating cash outflows and hypothetical financing cash inflows when the expenses are incurred. When we pay the financing intermediary, we record financing cash outflows in our condensed consolidated statements of cash flows. For purposes of our adjusted free cash flow definition, we add back the hypothetical operating cash outflow when these financed expenses are incurred and deduct the financing cash outflows when we pay the financing intermediary.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68" w:right="239" w:bottom="1440" w:gutter="0" w:footer="0" w:header="0"/>
        </w:sectPr>
      </w:pPr>
    </w:p>
    <w:bookmarkStart w:id="76" w:name="page77"/>
    <w:bookmarkEnd w:id="76"/>
    <w:p>
      <w:pPr>
        <w:ind w:left="180"/>
        <w:spacing w:after="0"/>
        <w:rPr>
          <w:sz w:val="20"/>
          <w:szCs w:val="20"/>
          <w:color w:val="auto"/>
        </w:rPr>
      </w:pPr>
      <w:r>
        <w:rPr>
          <w:rFonts w:ascii="Arial" w:cs="Arial" w:eastAsia="Arial" w:hAnsi="Arial"/>
          <w:sz w:val="18"/>
          <w:szCs w:val="18"/>
          <w:b w:val="1"/>
          <w:bCs w:val="1"/>
          <w:i w:val="1"/>
          <w:iCs w:val="1"/>
          <w:color w:val="auto"/>
        </w:rPr>
        <w:t>Contractual Commitments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U.S. dollar equivalents of our commitments as of March 31,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6"/>
          </w:tcPr>
          <w:p>
            <w:pPr>
              <w:jc w:val="right"/>
              <w:spacing w:after="0"/>
              <w:rPr>
                <w:sz w:val="20"/>
                <w:szCs w:val="20"/>
                <w:color w:val="auto"/>
              </w:rPr>
            </w:pPr>
            <w:r>
              <w:rPr>
                <w:rFonts w:ascii="Arial" w:cs="Arial" w:eastAsia="Arial" w:hAnsi="Arial"/>
                <w:sz w:val="16"/>
                <w:szCs w:val="16"/>
                <w:b w:val="1"/>
                <w:bCs w:val="1"/>
                <w:color w:val="auto"/>
              </w:rPr>
              <w:t>Payments due during:</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Remainder</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of 2018</w:t>
            </w:r>
          </w:p>
        </w:tc>
        <w:tc>
          <w:tcPr>
            <w:tcW w:w="200" w:type="dxa"/>
            <w:vAlign w:val="bottom"/>
          </w:tcPr>
          <w:p>
            <w:pPr>
              <w:spacing w:after="0"/>
              <w:rPr>
                <w:sz w:val="18"/>
                <w:szCs w:val="18"/>
                <w:color w:val="auto"/>
              </w:rPr>
            </w:pPr>
          </w:p>
        </w:tc>
        <w:tc>
          <w:tcPr>
            <w:tcW w:w="720" w:type="dxa"/>
            <w:vAlign w:val="bottom"/>
          </w:tcPr>
          <w:p>
            <w:pPr>
              <w:jc w:val="right"/>
              <w:ind w:right="21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1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00" w:type="dxa"/>
            <w:vAlign w:val="bottom"/>
          </w:tcPr>
          <w:p>
            <w:pPr>
              <w:spacing w:after="0"/>
              <w:rPr>
                <w:sz w:val="18"/>
                <w:szCs w:val="18"/>
                <w:color w:val="auto"/>
              </w:rPr>
            </w:pPr>
          </w:p>
        </w:tc>
        <w:tc>
          <w:tcPr>
            <w:tcW w:w="82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5"/>
          </w:tcPr>
          <w:p>
            <w:pPr>
              <w:ind w:left="50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Debt (excluding interest)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4,159.4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360.2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346.4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w w:val="96"/>
              </w:rPr>
              <w:t>3,095.6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777.6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1,517.4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31,076.5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w w:val="99"/>
              </w:rPr>
              <w:t>41,333.1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Capital leases (excluding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1,450.3</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Programming commitments</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903.7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908.0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543.7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2,720.8</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Network and connectivity</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commitments</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914.9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2,705.3</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Purchase commitments</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927.2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178.1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1,501.2</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718.5</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Other commitments</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6,889.0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2,189.8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1,609.6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6"/>
              </w:rPr>
              <w:t>3,874.1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6"/>
              </w:rPr>
              <w:t>1,119.7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1,797.0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32,988.2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50,467.4</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88"/>
              </w:rPr>
              <w:t>Projected cash interest payments 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w w:val="90"/>
              </w:rPr>
              <w:t>debt and capital lease obligations</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rPr>
              <w:t>1,200.3</w:t>
            </w:r>
          </w:p>
        </w:tc>
        <w:tc>
          <w:tcPr>
            <w:tcW w:w="1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ind w:right="11"/>
              <w:spacing w:after="0"/>
              <w:rPr>
                <w:sz w:val="20"/>
                <w:szCs w:val="20"/>
                <w:color w:val="auto"/>
              </w:rPr>
            </w:pPr>
            <w:r>
              <w:rPr>
                <w:rFonts w:ascii="Arial" w:cs="Arial" w:eastAsia="Arial" w:hAnsi="Arial"/>
                <w:sz w:val="18"/>
                <w:szCs w:val="18"/>
                <w:color w:val="auto"/>
                <w:w w:val="99"/>
              </w:rPr>
              <w:t>1,678.5</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ind w:right="12"/>
              <w:spacing w:after="0"/>
              <w:rPr>
                <w:sz w:val="20"/>
                <w:szCs w:val="20"/>
                <w:color w:val="auto"/>
              </w:rPr>
            </w:pPr>
            <w:r>
              <w:rPr>
                <w:rFonts w:ascii="Arial" w:cs="Arial" w:eastAsia="Arial" w:hAnsi="Arial"/>
                <w:sz w:val="18"/>
                <w:szCs w:val="18"/>
                <w:color w:val="auto"/>
                <w:w w:val="99"/>
              </w:rPr>
              <w:t>1,802.1</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ind w:right="32"/>
              <w:spacing w:after="0"/>
              <w:rPr>
                <w:sz w:val="20"/>
                <w:szCs w:val="20"/>
                <w:color w:val="auto"/>
              </w:rPr>
            </w:pPr>
            <w:r>
              <w:rPr>
                <w:rFonts w:ascii="Arial" w:cs="Arial" w:eastAsia="Arial" w:hAnsi="Arial"/>
                <w:sz w:val="18"/>
                <w:szCs w:val="18"/>
                <w:color w:val="auto"/>
                <w:w w:val="96"/>
              </w:rPr>
              <w:t>1,758.0</w:t>
            </w:r>
          </w:p>
        </w:tc>
        <w:tc>
          <w:tcPr>
            <w:tcW w:w="10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ind w:right="11"/>
              <w:spacing w:after="0"/>
              <w:rPr>
                <w:sz w:val="20"/>
                <w:szCs w:val="20"/>
                <w:color w:val="auto"/>
              </w:rPr>
            </w:pPr>
            <w:r>
              <w:rPr>
                <w:rFonts w:ascii="Arial" w:cs="Arial" w:eastAsia="Arial" w:hAnsi="Arial"/>
                <w:sz w:val="18"/>
                <w:szCs w:val="18"/>
                <w:color w:val="auto"/>
                <w:w w:val="86"/>
              </w:rPr>
              <w:t>1,659.5</w:t>
            </w:r>
          </w:p>
        </w:tc>
        <w:tc>
          <w:tcPr>
            <w:tcW w:w="12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11"/>
              <w:spacing w:after="0"/>
              <w:rPr>
                <w:sz w:val="20"/>
                <w:szCs w:val="20"/>
                <w:color w:val="auto"/>
              </w:rPr>
            </w:pPr>
            <w:r>
              <w:rPr>
                <w:rFonts w:ascii="Arial" w:cs="Arial" w:eastAsia="Arial" w:hAnsi="Arial"/>
                <w:sz w:val="18"/>
                <w:szCs w:val="18"/>
                <w:color w:val="auto"/>
              </w:rPr>
              <w:t>1,601.4</w:t>
            </w: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4,540.0</w:t>
            </w:r>
          </w:p>
        </w:tc>
        <w:tc>
          <w:tcPr>
            <w:tcW w:w="1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ind w:right="11"/>
              <w:spacing w:after="0"/>
              <w:rPr>
                <w:sz w:val="20"/>
                <w:szCs w:val="20"/>
                <w:color w:val="auto"/>
              </w:rPr>
            </w:pPr>
            <w:r>
              <w:rPr>
                <w:rFonts w:ascii="Arial" w:cs="Arial" w:eastAsia="Arial" w:hAnsi="Arial"/>
                <w:sz w:val="18"/>
                <w:szCs w:val="18"/>
                <w:color w:val="auto"/>
                <w:w w:val="99"/>
              </w:rPr>
              <w:t>14,239.8</w:t>
            </w:r>
          </w:p>
        </w:tc>
        <w:tc>
          <w:tcPr>
            <w:tcW w:w="0" w:type="dxa"/>
            <w:vAlign w:val="bottom"/>
          </w:tcPr>
          <w:p>
            <w:pPr>
              <w:spacing w:after="0"/>
              <w:rPr>
                <w:sz w:val="1"/>
                <w:szCs w:val="1"/>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(b)</w:t>
            </w:r>
          </w:p>
        </w:tc>
        <w:tc>
          <w:tcPr>
            <w:tcW w:w="16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8890</wp:posOffset>
            </wp:positionV>
            <wp:extent cx="55740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-130175</wp:posOffset>
            </wp:positionV>
            <wp:extent cx="55740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5" w:lineRule="exact"/>
        <w:rPr>
          <w:sz w:val="20"/>
          <w:szCs w:val="20"/>
          <w:color w:val="auto"/>
        </w:rPr>
      </w:pPr>
    </w:p>
    <w:p>
      <w:pPr>
        <w:jc w:val="both"/>
        <w:ind w:left="500" w:hanging="492"/>
        <w:spacing w:after="0" w:line="312" w:lineRule="auto"/>
        <w:tabs>
          <w:tab w:leader="none" w:pos="5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commitments included in this table do not reflect any liabilities that are included in our March 31, 2018 condensed consolidated balance sheet other than debt and capital lease obligations. Our liability for uncertain tax positions in the various jurisdictions in which we operate ($460.0 million at March 31, 2018) has been excluded from the table as the amount and timing of any related payments are not subject to reasonable estimation.</w:t>
      </w:r>
    </w:p>
    <w:p>
      <w:pPr>
        <w:spacing w:after="0" w:line="146" w:lineRule="exact"/>
        <w:rPr>
          <w:rFonts w:ascii="Arial" w:cs="Arial" w:eastAsia="Arial" w:hAnsi="Arial"/>
          <w:sz w:val="16"/>
          <w:szCs w:val="16"/>
          <w:color w:val="auto"/>
        </w:rPr>
      </w:pPr>
    </w:p>
    <w:p>
      <w:pPr>
        <w:jc w:val="both"/>
        <w:ind w:left="500" w:hanging="492"/>
        <w:spacing w:after="0" w:line="312" w:lineRule="auto"/>
        <w:tabs>
          <w:tab w:leader="none" w:pos="5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Amounts are based on interest rates, interest payment dates, commitment fees and contractual maturities in effect as of March 31, 2018. These amounts are presented for illustrative purposes only and will likely differ from the actual cash payments required in future periods. In addition, the amounts presented do not include the impact of our interest rate derivative contracts, deferred financing costs, original issue premiums or discounts.</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concerning our debt and capital lease obligations, see note 9 to our condensed consolidated financial statements. For information concerning our commitments, see note 15 to our condensed consolidated financial statements.</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addition to the commitments set forth in the table above, we have significant commitments under (i) derivative instruments and (ii) defined benefit plans and similar agreements, pursuant to which we expect to make payments in future periods. For information regarding projected cash flows associated with these derivative instruments, see </w:t>
      </w:r>
      <w:r>
        <w:rPr>
          <w:rFonts w:ascii="Arial" w:cs="Arial" w:eastAsia="Arial" w:hAnsi="Arial"/>
          <w:sz w:val="17"/>
          <w:szCs w:val="17"/>
          <w:i w:val="1"/>
          <w:iCs w:val="1"/>
          <w:color w:val="auto"/>
        </w:rPr>
        <w:t>Quantitative and Qualitative Disclosures about Market Risk — Projected Cash Flows Associated with Derivative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below</w:t>
      </w:r>
      <w:r>
        <w:rPr>
          <w:rFonts w:ascii="Arial" w:cs="Arial" w:eastAsia="Arial" w:hAnsi="Arial"/>
          <w:sz w:val="17"/>
          <w:szCs w:val="17"/>
          <w:i w:val="1"/>
          <w:iCs w:val="1"/>
          <w:color w:val="auto"/>
        </w:rPr>
        <w:t xml:space="preserve">. </w:t>
      </w:r>
      <w:r>
        <w:rPr>
          <w:rFonts w:ascii="Arial" w:cs="Arial" w:eastAsia="Arial" w:hAnsi="Arial"/>
          <w:sz w:val="17"/>
          <w:szCs w:val="17"/>
          <w:color w:val="auto"/>
        </w:rPr>
        <w:t>For information regarding our derivative instruments, including the net cash paid or received in connection with these instruments during</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March 31, 2018 and 2017, see note 6 to our condensed consolidated financial statements.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68"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information in this section should be read in conjunction with the more complete discussion that appears under </w:t>
      </w:r>
      <w:r>
        <w:rPr>
          <w:rFonts w:ascii="Arial" w:cs="Arial" w:eastAsia="Arial" w:hAnsi="Arial"/>
          <w:sz w:val="18"/>
          <w:szCs w:val="18"/>
          <w:i w:val="1"/>
          <w:iCs w:val="1"/>
          <w:color w:val="auto"/>
        </w:rPr>
        <w:t>Quantitative and Qualitative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About Market Risk </w:t>
      </w:r>
      <w:r>
        <w:rPr>
          <w:rFonts w:ascii="Arial" w:cs="Arial" w:eastAsia="Arial" w:hAnsi="Arial"/>
          <w:sz w:val="18"/>
          <w:szCs w:val="18"/>
          <w:color w:val="auto"/>
        </w:rPr>
        <w:t>in our 10-K. The following discussion updates selected numerical information to March 31, 2018.</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indicated, convenience translations into U.S. dollars are calculated as of March 31, 2018.</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March 31, 2018, $309.4 million or 55.8%, $123.1 million or 22.2% and $85.1 million or 15.3% of our consolidated cash balances were denominated in euros, U.S. dollars and British pounds sterling, respectively.</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Exchange Rates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relationships between the primary currencies of the countries in which we operate and the U.S. dollar, which is our reporting currency, are shown below, per one U.S. dollar: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60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 2018</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w w:val="95"/>
              </w:rPr>
              <w:t>December 31, 2017</w:t>
            </w:r>
          </w:p>
        </w:tc>
      </w:tr>
      <w:tr>
        <w:trPr>
          <w:trHeight w:val="33"/>
        </w:trPr>
        <w:tc>
          <w:tcPr>
            <w:tcW w:w="368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4"/>
        </w:trPr>
        <w:tc>
          <w:tcPr>
            <w:tcW w:w="36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Spot rates:</w:t>
            </w:r>
          </w:p>
        </w:tc>
        <w:tc>
          <w:tcPr>
            <w:tcW w:w="46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60"/>
        </w:trPr>
        <w:tc>
          <w:tcPr>
            <w:tcW w:w="3680" w:type="dxa"/>
            <w:vAlign w:val="bottom"/>
            <w:shd w:val="clear" w:color="auto" w:fill="CCEEFF"/>
          </w:tcPr>
          <w:p>
            <w:pPr>
              <w:spacing w:after="0"/>
              <w:rPr>
                <w:sz w:val="5"/>
                <w:szCs w:val="5"/>
                <w:color w:val="auto"/>
              </w:rPr>
            </w:pPr>
          </w:p>
        </w:tc>
        <w:tc>
          <w:tcPr>
            <w:tcW w:w="466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Euro</w:t>
            </w:r>
          </w:p>
        </w:tc>
        <w:tc>
          <w:tcPr>
            <w:tcW w:w="6160" w:type="dxa"/>
            <w:vAlign w:val="bottom"/>
            <w:gridSpan w:val="2"/>
          </w:tcPr>
          <w:p>
            <w:pPr>
              <w:jc w:val="right"/>
              <w:ind w:right="39"/>
              <w:spacing w:after="0"/>
              <w:rPr>
                <w:sz w:val="20"/>
                <w:szCs w:val="20"/>
                <w:color w:val="auto"/>
              </w:rPr>
            </w:pPr>
            <w:r>
              <w:rPr>
                <w:rFonts w:ascii="Arial" w:cs="Arial" w:eastAsia="Arial" w:hAnsi="Arial"/>
                <w:sz w:val="18"/>
                <w:szCs w:val="18"/>
                <w:color w:val="auto"/>
              </w:rPr>
              <w:t>0.8136</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0.8318</w:t>
            </w: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British pound sterling</w:t>
            </w:r>
          </w:p>
        </w:tc>
        <w:tc>
          <w:tcPr>
            <w:tcW w:w="61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0.7134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0.7394</w:t>
            </w: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Swiss franc</w:t>
            </w:r>
          </w:p>
        </w:tc>
        <w:tc>
          <w:tcPr>
            <w:tcW w:w="6160" w:type="dxa"/>
            <w:vAlign w:val="bottom"/>
            <w:gridSpan w:val="2"/>
          </w:tcPr>
          <w:p>
            <w:pPr>
              <w:jc w:val="right"/>
              <w:ind w:right="39"/>
              <w:spacing w:after="0"/>
              <w:rPr>
                <w:sz w:val="20"/>
                <w:szCs w:val="20"/>
                <w:color w:val="auto"/>
              </w:rPr>
            </w:pPr>
            <w:r>
              <w:rPr>
                <w:rFonts w:ascii="Arial" w:cs="Arial" w:eastAsia="Arial" w:hAnsi="Arial"/>
                <w:sz w:val="18"/>
                <w:szCs w:val="18"/>
                <w:color w:val="auto"/>
              </w:rPr>
              <w:t>0.9571</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0.9736</w:t>
            </w: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Hungarian forint</w:t>
            </w:r>
          </w:p>
        </w:tc>
        <w:tc>
          <w:tcPr>
            <w:tcW w:w="61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254.31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258.41</w:t>
            </w: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Polish zloty</w:t>
            </w:r>
          </w:p>
        </w:tc>
        <w:tc>
          <w:tcPr>
            <w:tcW w:w="6160" w:type="dxa"/>
            <w:vAlign w:val="bottom"/>
            <w:gridSpan w:val="2"/>
          </w:tcPr>
          <w:p>
            <w:pPr>
              <w:jc w:val="right"/>
              <w:ind w:right="39"/>
              <w:spacing w:after="0"/>
              <w:rPr>
                <w:sz w:val="20"/>
                <w:szCs w:val="20"/>
                <w:color w:val="auto"/>
              </w:rPr>
            </w:pPr>
            <w:r>
              <w:rPr>
                <w:rFonts w:ascii="Arial" w:cs="Arial" w:eastAsia="Arial" w:hAnsi="Arial"/>
                <w:sz w:val="18"/>
                <w:szCs w:val="18"/>
                <w:color w:val="auto"/>
              </w:rPr>
              <w:t>3.4256</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3.4730</w:t>
            </w: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Czech koruna</w:t>
            </w:r>
          </w:p>
        </w:tc>
        <w:tc>
          <w:tcPr>
            <w:tcW w:w="61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20.669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21.243</w:t>
            </w: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Romanian lei</w:t>
            </w:r>
          </w:p>
        </w:tc>
        <w:tc>
          <w:tcPr>
            <w:tcW w:w="6160" w:type="dxa"/>
            <w:vAlign w:val="bottom"/>
            <w:gridSpan w:val="2"/>
          </w:tcPr>
          <w:p>
            <w:pPr>
              <w:jc w:val="right"/>
              <w:ind w:right="39"/>
              <w:spacing w:after="0"/>
              <w:rPr>
                <w:sz w:val="20"/>
                <w:szCs w:val="20"/>
                <w:color w:val="auto"/>
              </w:rPr>
            </w:pPr>
            <w:r>
              <w:rPr>
                <w:rFonts w:ascii="Arial" w:cs="Arial" w:eastAsia="Arial" w:hAnsi="Arial"/>
                <w:sz w:val="18"/>
                <w:szCs w:val="18"/>
                <w:color w:val="auto"/>
              </w:rPr>
              <w:t>3.7910</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3.8830</w:t>
            </w:r>
          </w:p>
        </w:tc>
      </w:tr>
      <w:tr>
        <w:trPr>
          <w:trHeight w:val="675"/>
        </w:trPr>
        <w:tc>
          <w:tcPr>
            <w:tcW w:w="3680" w:type="dxa"/>
            <w:vAlign w:val="bottom"/>
          </w:tcPr>
          <w:p>
            <w:pPr>
              <w:spacing w:after="0"/>
              <w:rPr>
                <w:sz w:val="24"/>
                <w:szCs w:val="24"/>
                <w:color w:val="auto"/>
              </w:rPr>
            </w:pPr>
          </w:p>
        </w:tc>
        <w:tc>
          <w:tcPr>
            <w:tcW w:w="4660" w:type="dxa"/>
            <w:vAlign w:val="bottom"/>
          </w:tcPr>
          <w:p>
            <w:pPr>
              <w:jc w:val="right"/>
              <w:ind w:right="2450"/>
              <w:spacing w:after="0"/>
              <w:rPr>
                <w:sz w:val="20"/>
                <w:szCs w:val="20"/>
                <w:color w:val="auto"/>
              </w:rPr>
            </w:pPr>
            <w:r>
              <w:rPr>
                <w:rFonts w:ascii="Arial" w:cs="Arial" w:eastAsia="Arial" w:hAnsi="Arial"/>
                <w:sz w:val="18"/>
                <w:szCs w:val="18"/>
                <w:color w:val="auto"/>
              </w:rPr>
              <w:t>75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57"/>
        </w:trPr>
        <w:tc>
          <w:tcPr>
            <w:tcW w:w="8340" w:type="dxa"/>
            <w:vAlign w:val="bottom"/>
          </w:tcPr>
          <w:p>
            <w:pPr>
              <w:spacing w:after="0"/>
              <w:rPr>
                <w:sz w:val="22"/>
                <w:szCs w:val="22"/>
                <w:color w:val="auto"/>
              </w:rPr>
            </w:pPr>
          </w:p>
        </w:tc>
        <w:tc>
          <w:tcPr>
            <w:tcW w:w="2040" w:type="dxa"/>
            <w:vAlign w:val="bottom"/>
            <w:gridSpan w:val="3"/>
          </w:tcPr>
          <w:p>
            <w:pPr>
              <w:jc w:val="center"/>
              <w:ind w:left="973"/>
              <w:spacing w:after="0"/>
              <w:rPr>
                <w:sz w:val="20"/>
                <w:szCs w:val="20"/>
                <w:color w:val="auto"/>
              </w:rPr>
            </w:pPr>
            <w:r>
              <w:rPr>
                <w:rFonts w:ascii="Arial" w:cs="Arial" w:eastAsia="Arial" w:hAnsi="Arial"/>
                <w:sz w:val="16"/>
                <w:szCs w:val="16"/>
                <w:b w:val="1"/>
                <w:bCs w:val="1"/>
                <w:color w:val="auto"/>
                <w:w w:val="94"/>
              </w:rPr>
              <w:t>March 31,</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40" w:type="dxa"/>
            <w:vAlign w:val="bottom"/>
          </w:tcPr>
          <w:p>
            <w:pPr>
              <w:spacing w:after="0"/>
              <w:rPr>
                <w:sz w:val="20"/>
                <w:szCs w:val="20"/>
                <w:color w:val="auto"/>
              </w:rPr>
            </w:pPr>
          </w:p>
        </w:tc>
        <w:tc>
          <w:tcPr>
            <w:tcW w:w="15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Average rates:</w:t>
            </w: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0.8135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0.9389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British sterling</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0.7187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0.8070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Swiss franc</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0.9480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Hungarian forint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253.05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290.18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Polish zloty</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3.3998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4.0559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Czech koruna</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20.664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25.373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Romanian lei</w:t>
            </w: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3.7881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4.2452</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Sensitivity Information</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6 and 7 to our condensed consolidated financial statements.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Virgin Media Cross-currency and Interest Rate Derivative Contracts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Holding all other factors constant, at March 31, 2018:</w:t>
      </w:r>
    </w:p>
    <w:p>
      <w:pPr>
        <w:spacing w:after="0" w:line="225" w:lineRule="exact"/>
        <w:rPr>
          <w:sz w:val="20"/>
          <w:szCs w:val="20"/>
          <w:color w:val="auto"/>
        </w:rPr>
      </w:pPr>
    </w:p>
    <w:p>
      <w:pPr>
        <w:jc w:val="both"/>
        <w:ind w:left="820" w:hanging="488"/>
        <w:spacing w:after="0" w:line="264" w:lineRule="auto"/>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instantaneous increase (decrease) of 10% in the value of the British pound sterling relative to the U.S. dollar would have decreased (increased) the aggregate fair value of the Virgin Media cross-currency and interest rate derivative contracts by approximately £593 million ($831 million); and</w:t>
      </w:r>
    </w:p>
    <w:p>
      <w:pPr>
        <w:spacing w:after="0" w:line="181" w:lineRule="exact"/>
        <w:rPr>
          <w:rFonts w:ascii="Arial" w:cs="Arial" w:eastAsia="Arial" w:hAnsi="Arial"/>
          <w:sz w:val="18"/>
          <w:szCs w:val="18"/>
          <w:color w:val="auto"/>
        </w:rPr>
      </w:pPr>
    </w:p>
    <w:p>
      <w:pPr>
        <w:ind w:left="820" w:hanging="488"/>
        <w:spacing w:after="0" w:line="308" w:lineRule="auto"/>
        <w:tabs>
          <w:tab w:leader="none" w:pos="8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 instantaneous increase (decrease) in the relevant base rate of 50 basis points (0.50%) would have increased (decreased) the aggregate fair value of the Virgin Media cross-currency and interest rate derivative contracts by approximately £56 million ($78 million).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UPC Holding Cross-currency and Interest Rate Derivative Contracts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Holding all other factors constant, at March 31, 2018:</w:t>
      </w:r>
    </w:p>
    <w:p>
      <w:pPr>
        <w:spacing w:after="0" w:line="225" w:lineRule="exact"/>
        <w:rPr>
          <w:sz w:val="20"/>
          <w:szCs w:val="20"/>
          <w:color w:val="auto"/>
        </w:rPr>
      </w:pPr>
    </w:p>
    <w:p>
      <w:pPr>
        <w:jc w:val="both"/>
        <w:ind w:left="820" w:hanging="488"/>
        <w:spacing w:after="0" w:line="264" w:lineRule="auto"/>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instantaneous increase (decrease) of 10% in the value of the Swiss franc, Polish zloty, Hungarian forint, Czech koruna and Romanian lei relative to the euro would have decreased (increased) the aggregate fair value of the UPC Holding cross-currency and interest rate derivative contracts by approximately €506 million ($622 million);</w:t>
      </w:r>
    </w:p>
    <w:p>
      <w:pPr>
        <w:spacing w:after="0" w:line="181" w:lineRule="exact"/>
        <w:rPr>
          <w:rFonts w:ascii="Arial" w:cs="Arial" w:eastAsia="Arial" w:hAnsi="Arial"/>
          <w:sz w:val="18"/>
          <w:szCs w:val="18"/>
          <w:color w:val="auto"/>
        </w:rPr>
      </w:pPr>
    </w:p>
    <w:p>
      <w:pPr>
        <w:ind w:left="820" w:hanging="488"/>
        <w:spacing w:after="0" w:line="342" w:lineRule="auto"/>
        <w:tabs>
          <w:tab w:leader="none" w:pos="8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 instantaneous increase (decrease) of 10% in the value of the euro relative to the U.S. dollar would have decreased (increased) the aggregate fair value of the UPC Holding cross-currency and interest rate derivative contracts by approximately €280 million ($344 million); and</w:t>
      </w:r>
    </w:p>
    <w:p>
      <w:pPr>
        <w:spacing w:after="0" w:line="123" w:lineRule="exact"/>
        <w:rPr>
          <w:rFonts w:ascii="Arial" w:cs="Arial" w:eastAsia="Arial" w:hAnsi="Arial"/>
          <w:sz w:val="16"/>
          <w:szCs w:val="16"/>
          <w:color w:val="auto"/>
        </w:rPr>
      </w:pPr>
    </w:p>
    <w:p>
      <w:pPr>
        <w:ind w:left="820" w:hanging="488"/>
        <w:spacing w:after="0" w:line="308" w:lineRule="auto"/>
        <w:tabs>
          <w:tab w:leader="none" w:pos="8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 instantaneous increase (decrease) of 10% in the value of the Swiss franc relative to the U.S. dollar would have decreased (increased) the aggregate fair value of the UPC Holding cross-currency and interest rate derivative contracts by approximately €89 million ($109 million).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Unitymedia Cross-currency and Interest Rate Derivative Contracts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Holding all other factors constant, at March 31, 2018, an instantaneous increase (decrease) of 10% in the value of the euro relative to the U.S. dollar would have decreased (increased) the aggregate fair value of the Unitymedia cross-currency and interest rate derivative contracts by approximately €320 million ($393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44" w:right="239" w:bottom="1440" w:gutter="0" w:footer="0" w:header="0"/>
        </w:sectPr>
      </w:pPr>
    </w:p>
    <w:bookmarkStart w:id="79" w:name="page80"/>
    <w:bookmarkEnd w:id="79"/>
    <w:p>
      <w:pPr>
        <w:ind w:left="340"/>
        <w:spacing w:after="0"/>
        <w:rPr>
          <w:sz w:val="20"/>
          <w:szCs w:val="20"/>
          <w:color w:val="auto"/>
        </w:rPr>
      </w:pPr>
      <w:r>
        <w:rPr>
          <w:rFonts w:ascii="Arial" w:cs="Arial" w:eastAsia="Arial" w:hAnsi="Arial"/>
          <w:sz w:val="18"/>
          <w:szCs w:val="18"/>
          <w:i w:val="1"/>
          <w:iCs w:val="1"/>
          <w:color w:val="auto"/>
        </w:rPr>
        <w:t>Telenet Cross-currency and Interest Rate Derivative Contracts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Holding all other factors constant, at March 31, 2018:</w:t>
      </w:r>
    </w:p>
    <w:p>
      <w:pPr>
        <w:spacing w:after="0" w:line="225" w:lineRule="exact"/>
        <w:rPr>
          <w:sz w:val="20"/>
          <w:szCs w:val="20"/>
          <w:color w:val="auto"/>
        </w:rPr>
      </w:pPr>
    </w:p>
    <w:p>
      <w:pPr>
        <w:ind w:left="820" w:hanging="488"/>
        <w:spacing w:after="0" w:line="277" w:lineRule="auto"/>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instantaneous increase (decrease) of 10% in the value of the euro relative to the U.S. dollar would have decreased (increased) the aggregate fair value of the Telenet cross-currency derivative contracts by approximately €257 million ($316 million); and</w:t>
      </w:r>
    </w:p>
    <w:p>
      <w:pPr>
        <w:spacing w:after="0" w:line="170"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instantaneous increase (decrease) in the relevant base rate of 50 basis points (0.50%) would have increased (decreased) the aggregate fair value of the Telenet cross-currency, interest rate cap and swap contracts by approximately €89 million ($109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ITV Collar</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Holding all other factors constant, at March 31, 2018, an instantaneous increase (decrease) of 10% in the per share market price of ITV’s ordinary shares would have decreased (increased) the fair value of the ITV Collar by approximately £56 million ($78 million).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Projected Cash Flows Associated with Derivative Instruments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provides information regarding the projected cash flows associated with our derivative instruments. The U.S. dollar equivalents presented below are based on interest rates and exchange rates that were in effect as of March 31, 2018. These amounts are presented for illustrative purposes only and will likely differ from the actual cash payments required in future periods. For additional information regarding our derivative instruments, see note 6 to our condensed consolidated financial statements.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8"/>
          </w:tcPr>
          <w:p>
            <w:pPr>
              <w:ind w:left="300"/>
              <w:spacing w:after="0"/>
              <w:rPr>
                <w:sz w:val="20"/>
                <w:szCs w:val="20"/>
                <w:color w:val="auto"/>
              </w:rPr>
            </w:pPr>
            <w:r>
              <w:rPr>
                <w:rFonts w:ascii="Arial" w:cs="Arial" w:eastAsia="Arial" w:hAnsi="Arial"/>
                <w:sz w:val="16"/>
                <w:szCs w:val="16"/>
                <w:b w:val="1"/>
                <w:bCs w:val="1"/>
                <w:color w:val="auto"/>
              </w:rPr>
              <w:t>Payments (receipts) due during:</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080" w:type="dxa"/>
            <w:vAlign w:val="bottom"/>
          </w:tcPr>
          <w:p>
            <w:pPr>
              <w:spacing w:after="0"/>
              <w:rPr>
                <w:sz w:val="24"/>
                <w:szCs w:val="24"/>
                <w:color w:val="auto"/>
              </w:rPr>
            </w:pPr>
          </w:p>
        </w:tc>
        <w:tc>
          <w:tcPr>
            <w:tcW w:w="1300" w:type="dxa"/>
            <w:vAlign w:val="bottom"/>
            <w:gridSpan w:val="3"/>
          </w:tcPr>
          <w:p>
            <w:pPr>
              <w:ind w:left="100"/>
              <w:spacing w:after="0"/>
              <w:rPr>
                <w:sz w:val="20"/>
                <w:szCs w:val="20"/>
                <w:color w:val="auto"/>
              </w:rPr>
            </w:pPr>
            <w:r>
              <w:rPr>
                <w:rFonts w:ascii="Arial" w:cs="Arial" w:eastAsia="Arial" w:hAnsi="Arial"/>
                <w:sz w:val="16"/>
                <w:szCs w:val="16"/>
                <w:b w:val="1"/>
                <w:bCs w:val="1"/>
                <w:color w:val="auto"/>
              </w:rPr>
              <w:t>Remainder of</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3"/>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272"/>
              <w:spacing w:after="0"/>
              <w:rPr>
                <w:sz w:val="20"/>
                <w:szCs w:val="20"/>
                <w:color w:val="auto"/>
              </w:rPr>
            </w:pPr>
            <w:r>
              <w:rPr>
                <w:rFonts w:ascii="Arial" w:cs="Arial" w:eastAsia="Arial" w:hAnsi="Arial"/>
                <w:sz w:val="16"/>
                <w:szCs w:val="16"/>
                <w:b w:val="1"/>
                <w:bCs w:val="1"/>
                <w:color w:val="auto"/>
                <w:w w:val="84"/>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6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8"/>
                <w:szCs w:val="18"/>
                <w:color w:val="auto"/>
              </w:rPr>
              <w:t>Projected derivative cash</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0"/>
              <w:spacing w:after="0"/>
              <w:rPr>
                <w:sz w:val="20"/>
                <w:szCs w:val="20"/>
                <w:color w:val="auto"/>
              </w:rPr>
            </w:pPr>
            <w:r>
              <w:rPr>
                <w:rFonts w:ascii="Arial" w:cs="Arial" w:eastAsia="Arial" w:hAnsi="Arial"/>
                <w:sz w:val="18"/>
                <w:szCs w:val="18"/>
                <w:color w:val="auto"/>
                <w:w w:val="93"/>
              </w:rPr>
              <w:t>payments (receipts), net: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Interest-related (a)</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(600.6)</w:t>
            </w:r>
          </w:p>
        </w:tc>
        <w:tc>
          <w:tcPr>
            <w:tcW w:w="0" w:type="dxa"/>
            <w:vAlign w:val="bottom"/>
          </w:tcPr>
          <w:p>
            <w:pPr>
              <w:spacing w:after="0"/>
              <w:rPr>
                <w:sz w:val="1"/>
                <w:szCs w:val="1"/>
                <w:color w:val="auto"/>
              </w:rPr>
            </w:pPr>
          </w:p>
        </w:tc>
      </w:tr>
      <w:tr>
        <w:trPr>
          <w:trHeight w:val="243"/>
        </w:trPr>
        <w:tc>
          <w:tcPr>
            <w:tcW w:w="2080" w:type="dxa"/>
            <w:vAlign w:val="bottom"/>
          </w:tcPr>
          <w:p>
            <w:pPr>
              <w:ind w:left="280"/>
              <w:spacing w:after="0"/>
              <w:rPr>
                <w:sz w:val="20"/>
                <w:szCs w:val="20"/>
                <w:color w:val="auto"/>
              </w:rPr>
            </w:pPr>
            <w:r>
              <w:rPr>
                <w:rFonts w:ascii="Arial" w:cs="Arial" w:eastAsia="Arial" w:hAnsi="Arial"/>
                <w:sz w:val="18"/>
                <w:szCs w:val="18"/>
                <w:color w:val="auto"/>
              </w:rPr>
              <w:t>Principal-related (b)</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0" w:type="dxa"/>
            <w:vAlign w:val="bottom"/>
          </w:tcPr>
          <w:p>
            <w:pPr>
              <w:spacing w:after="0"/>
              <w:rPr>
                <w:sz w:val="1"/>
                <w:szCs w:val="1"/>
                <w:color w:val="auto"/>
              </w:rPr>
            </w:pPr>
          </w:p>
        </w:tc>
      </w:tr>
      <w:tr>
        <w:trPr>
          <w:trHeight w:val="237"/>
        </w:trPr>
        <w:tc>
          <w:tcPr>
            <w:tcW w:w="208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(256.1)</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(1,627.4)</w:t>
            </w:r>
          </w:p>
        </w:tc>
        <w:tc>
          <w:tcPr>
            <w:tcW w:w="0" w:type="dxa"/>
            <w:vAlign w:val="bottom"/>
          </w:tcPr>
          <w:p>
            <w:pPr>
              <w:spacing w:after="0"/>
              <w:rPr>
                <w:sz w:val="1"/>
                <w:szCs w:val="1"/>
                <w:color w:val="auto"/>
              </w:rPr>
            </w:pPr>
          </w:p>
        </w:tc>
      </w:tr>
      <w:tr>
        <w:trPr>
          <w:trHeight w:val="27"/>
        </w:trPr>
        <w:tc>
          <w:tcPr>
            <w:tcW w:w="208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8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(i) the cash flows of our interest rate cap, swaption, collar and swap contracts and (ii) the interest-related cash flows of our cross-currency and interest rate swap contracts.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the principal-related cash flows of our cross-currency swap contracts.</w:t>
      </w:r>
    </w:p>
    <w:p>
      <w:pPr>
        <w:spacing w:after="0" w:line="225" w:lineRule="exact"/>
        <w:rPr>
          <w:rFonts w:ascii="Arial" w:cs="Arial" w:eastAsia="Arial" w:hAnsi="Arial"/>
          <w:sz w:val="18"/>
          <w:szCs w:val="18"/>
          <w:color w:val="auto"/>
        </w:rPr>
      </w:pPr>
    </w:p>
    <w:p>
      <w:pPr>
        <w:ind w:left="500" w:hanging="492"/>
        <w:spacing w:after="0" w:line="342" w:lineRule="auto"/>
        <w:tabs>
          <w:tab w:leader="none" w:pos="5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Includes amounts related to our equity-related derivative instruments and foreign currency forward contracts. We may elect to use cash or the collective value of the related shares and equity-related derivative instrument to settle the ITV Collar Loan, the Sumitomo Collar Loan and the Lionsgate Loan.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68"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accordance with Exchange Act Rule 13a-15, we carried out an evaluation, under the supervision and with the participation of management, including our chief executive officer and chief financial officer (the Executives), of the effectiveness of our disclosure controls and procedures as of March 31, 2018.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are effective as of March 31, 2018, to provide reasonable assurance that information required to be disclosed in our reports filed or submitted under the Securities Exchange Act of 1934 is recorded, processed, summarized and reported within the time periods specified in the Securities and Exchange Commission’s rules and forms.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64"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Unless otherwise defined herein, the capitalized terms used in Part II of this Quarterly Report on Form 10-Q are defined in the notes to our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information concerning our company’s purchase of its own equity securities during the three months ended March 31,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Total number of</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2"/>
              </w:rPr>
              <w:t>dollar value of</w:t>
            </w:r>
          </w:p>
        </w:tc>
      </w:tr>
      <w:tr>
        <w:trPr>
          <w:trHeight w:val="203"/>
        </w:trPr>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 purchased as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0"/>
              </w:rPr>
              <w:t>shares that may</w:t>
            </w:r>
          </w:p>
        </w:tc>
      </w:tr>
      <w:tr>
        <w:trPr>
          <w:trHeight w:val="203"/>
        </w:trPr>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Average price</w:t>
            </w:r>
          </w:p>
        </w:tc>
        <w:tc>
          <w:tcPr>
            <w:tcW w:w="1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part of publicly</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yet be purchased</w:t>
            </w:r>
          </w:p>
        </w:tc>
      </w:tr>
      <w:tr>
        <w:trPr>
          <w:trHeight w:val="203"/>
        </w:trPr>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Total number of</w:t>
            </w:r>
          </w:p>
        </w:tc>
        <w:tc>
          <w:tcPr>
            <w:tcW w:w="20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paid per</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announced plans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under the plans or</w:t>
            </w:r>
          </w:p>
        </w:tc>
      </w:tr>
      <w:tr>
        <w:trPr>
          <w:trHeight w:val="210"/>
        </w:trPr>
        <w:tc>
          <w:tcPr>
            <w:tcW w:w="516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shares purchased</w:t>
            </w: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share (a)</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or programs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2"/>
              </w:rPr>
              <w:t>programs</w:t>
            </w:r>
          </w:p>
        </w:tc>
      </w:tr>
      <w:tr>
        <w:trPr>
          <w:trHeight w:val="33"/>
        </w:trPr>
        <w:tc>
          <w:tcPr>
            <w:tcW w:w="700" w:type="dxa"/>
            <w:vAlign w:val="bottom"/>
            <w:tcBorders>
              <w:bottom w:val="single" w:sz="8" w:color="auto"/>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700" w:type="dxa"/>
            <w:vAlign w:val="bottom"/>
            <w:shd w:val="clear" w:color="auto" w:fill="CCEEFF"/>
          </w:tcPr>
          <w:p>
            <w:pPr>
              <w:spacing w:after="0"/>
              <w:rPr>
                <w:sz w:val="22"/>
                <w:szCs w:val="22"/>
                <w:color w:val="auto"/>
              </w:rPr>
            </w:pPr>
          </w:p>
        </w:tc>
        <w:tc>
          <w:tcPr>
            <w:tcW w:w="44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January 1, 2018 through January 31, 2018:</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Class C</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4,876,900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4,876,900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(b)</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February 1, 2018 through February 28, 2018:</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Class A</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1,254,400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1,254,400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(b)</w:t>
            </w: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Class C</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3,322,500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34.29</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3,322,500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(b)</w:t>
            </w:r>
          </w:p>
        </w:tc>
      </w:tr>
      <w:tr>
        <w:trPr>
          <w:trHeight w:val="27"/>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2018 through March 31, 2018:</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Class A</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1,004,400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32.45</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1,004,400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(b)</w:t>
            </w:r>
          </w:p>
        </w:tc>
      </w:tr>
      <w:tr>
        <w:trPr>
          <w:trHeight w:val="27"/>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Class C</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4,352,100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4,352,100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(b)</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 January 1, 2018 through March 31, 2018:</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Class A</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2,258,800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2,258,800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(b)</w:t>
            </w: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Class C</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12,551,500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12,551,500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(b)</w:t>
            </w: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_______________</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bl>
    <w:p>
      <w:pPr>
        <w:spacing w:after="0" w:line="202"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Average price paid per share includes direct acquisition costs and the effects of derivative instruments, where applicable.</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March 31, 2018, the remaining amount authorized for share repurchases was $1,571.5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64"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the exhibits filed as part of this Quarterly Report (according to the number assigned to them in Item 601 of Regulation S-K):</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4 — Instruments Defining the Rights of Securities Holders, including Indentures: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4.1</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2"/>
              </w:rPr>
            </w:pPr>
            <w:hyperlink r:id="rId52">
              <w:r>
                <w:rPr>
                  <w:rFonts w:ascii="Arial" w:cs="Arial" w:eastAsia="Arial" w:hAnsi="Arial"/>
                  <w:sz w:val="18"/>
                  <w:szCs w:val="18"/>
                  <w:color w:val="0000FF"/>
                  <w:w w:val="92"/>
                </w:rPr>
                <w:t>Amendment and Restatement Agreement dated February 22, 2018, between Virgin Media Investment Holdings Limited (for itself and as</w:t>
              </w:r>
            </w:hyperlink>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agent on behalf of the other obligors) and The Bank of Nova Scotia (as facility agent), and attached as a schedule thereto, a copy of the</w:t>
              </w:r>
            </w:hyperlink>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5"/>
              </w:rPr>
            </w:pPr>
            <w:hyperlink r:id="rId52">
              <w:r>
                <w:rPr>
                  <w:rFonts w:ascii="Arial" w:cs="Arial" w:eastAsia="Arial" w:hAnsi="Arial"/>
                  <w:sz w:val="18"/>
                  <w:szCs w:val="18"/>
                  <w:color w:val="0000FF"/>
                  <w:w w:val="95"/>
                </w:rPr>
                <w:t>Senior Facilities Agreement, originally dated June 7, 2013, between, among others, Virgin Media Investment Holdings Limited as a</w:t>
              </w:r>
            </w:hyperlink>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5"/>
              </w:rPr>
            </w:pPr>
            <w:hyperlink r:id="rId52">
              <w:r>
                <w:rPr>
                  <w:rFonts w:ascii="Arial" w:cs="Arial" w:eastAsia="Arial" w:hAnsi="Arial"/>
                  <w:sz w:val="18"/>
                  <w:szCs w:val="18"/>
                  <w:color w:val="0000FF"/>
                  <w:w w:val="95"/>
                </w:rPr>
                <w:t>borrower and a guarantor, The Bank of Nova Scotia as facility agent and Deutsche Bank AG, London Branch as security trustee as</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5"/>
              </w:rPr>
            </w:pPr>
            <w:hyperlink r:id="rId52">
              <w:r>
                <w:rPr>
                  <w:rFonts w:ascii="Arial" w:cs="Arial" w:eastAsia="Arial" w:hAnsi="Arial"/>
                  <w:sz w:val="18"/>
                  <w:szCs w:val="18"/>
                  <w:color w:val="0000FF"/>
                  <w:w w:val="95"/>
                </w:rPr>
                <w:t>amended and restated by the Amendment and Restatement Agreement (incorporated by reference to Exhibit 4.1 to the Registrant’s</w:t>
              </w:r>
            </w:hyperlink>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50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Current Report on Form 8-K filed February 27, 2018 (File No. 001-35961)).</w:t>
              </w:r>
            </w:hyperlink>
          </w:p>
        </w:tc>
        <w:tc>
          <w:tcPr>
            <w:tcW w:w="4460" w:type="dxa"/>
            <w:vAlign w:val="bottom"/>
            <w:tcBorders>
              <w:top w:val="single" w:sz="8" w:color="0000FF"/>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4.2</w:t>
            </w:r>
          </w:p>
        </w:tc>
        <w:tc>
          <w:tcPr>
            <w:tcW w:w="9980" w:type="dxa"/>
            <w:vAlign w:val="bottom"/>
            <w:gridSpan w:val="16"/>
          </w:tcPr>
          <w:p>
            <w:pPr>
              <w:spacing w:after="0"/>
              <w:rPr>
                <w:rFonts w:ascii="Arial" w:cs="Arial" w:eastAsia="Arial" w:hAnsi="Arial"/>
                <w:sz w:val="18"/>
                <w:szCs w:val="18"/>
                <w:color w:val="0000FF"/>
                <w:w w:val="94"/>
              </w:rPr>
            </w:pPr>
            <w:hyperlink r:id="rId53">
              <w:r>
                <w:rPr>
                  <w:rFonts w:ascii="Arial" w:cs="Arial" w:eastAsia="Arial" w:hAnsi="Arial"/>
                  <w:sz w:val="18"/>
                  <w:szCs w:val="18"/>
                  <w:color w:val="0000FF"/>
                  <w:w w:val="94"/>
                </w:rPr>
                <w:t>Additional Facility AL2 Accession Agreement dated March 2, 2018, and entered into between, among others, Telenet Financing USD</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4"/>
              </w:rPr>
            </w:pPr>
            <w:hyperlink r:id="rId53">
              <w:r>
                <w:rPr>
                  <w:rFonts w:ascii="Arial" w:cs="Arial" w:eastAsia="Arial" w:hAnsi="Arial"/>
                  <w:sz w:val="18"/>
                  <w:szCs w:val="18"/>
                  <w:color w:val="0000FF"/>
                  <w:w w:val="94"/>
                </w:rPr>
                <w:t>LLC as the Borrower, Telenet BVBA as a Guarantor and The Bank of Nova Scotia as the Facility Agent (incorporated by reference to</w:t>
              </w:r>
            </w:hyperlink>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Exhibit 4.1 to the Registrant’s Current Report on Form 8-K filed March 8, 2018 (File No. 001-35961)).</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4.3</w:t>
            </w:r>
          </w:p>
        </w:tc>
        <w:tc>
          <w:tcPr>
            <w:tcW w:w="9980" w:type="dxa"/>
            <w:vAlign w:val="bottom"/>
            <w:gridSpan w:val="16"/>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Amendment and Restatement Agreement dated March 7, 2018, between, among others, Unitymedia Hessen GmbH &amp; Co. KG as original</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borrower, The Bank of Nova Scotia as facility agent and Credit Suisse AG, London Branch as security trustee and, attached as a schedule</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4"/>
              </w:rPr>
            </w:pPr>
            <w:hyperlink r:id="rId54">
              <w:r>
                <w:rPr>
                  <w:rFonts w:ascii="Arial" w:cs="Arial" w:eastAsia="Arial" w:hAnsi="Arial"/>
                  <w:sz w:val="18"/>
                  <w:szCs w:val="18"/>
                  <w:color w:val="0000FF"/>
                  <w:w w:val="94"/>
                </w:rPr>
                <w:t>thereto, a copy of the Super Senior Facilities Agreement, originally dated July 25, 2014, between, among others, Unitymedia Hessen</w:t>
              </w:r>
            </w:hyperlink>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6"/>
              </w:rPr>
            </w:pPr>
            <w:hyperlink r:id="rId54">
              <w:r>
                <w:rPr>
                  <w:rFonts w:ascii="Arial" w:cs="Arial" w:eastAsia="Arial" w:hAnsi="Arial"/>
                  <w:sz w:val="18"/>
                  <w:szCs w:val="18"/>
                  <w:color w:val="0000FF"/>
                  <w:w w:val="96"/>
                </w:rPr>
                <w:t>GmbH &amp; Co. KG as original borrower, The Bank of Nova Scotia as facility agent and Credit Suisse AG, London Branch as security</w:t>
              </w:r>
            </w:hyperlink>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trustee as amended and restated by the SSRCF Amendment and Restatement Agreement (incorporated by reference to Exhibit 4.1 to the</w:t>
              </w:r>
            </w:hyperlink>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9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Registrant’s Current Report on Form 8-K filed March 14, 2018 (File No. 001-35961)(the March 2018 8-K)).</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4.4</w:t>
            </w:r>
          </w:p>
        </w:tc>
        <w:tc>
          <w:tcPr>
            <w:tcW w:w="9980" w:type="dxa"/>
            <w:vAlign w:val="bottom"/>
            <w:gridSpan w:val="16"/>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Amendment and Restatement Agreement dated March 7, 2018, between, among others, Unitymedia Hessen GmbH &amp; Co. KG as original</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borrower, The Bank of Nova Scotia as facility agent and Credit Suisse AG, London Branch as security trustee and, attached as a schedule</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thereto, a copy of the Senior Facilities Agreement, originally dated July 25, 2014, between, among others, Unitymedia Hessen GmbH &amp;</w:t>
              </w:r>
            </w:hyperlink>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5"/>
              </w:rPr>
            </w:pPr>
            <w:hyperlink r:id="rId55">
              <w:r>
                <w:rPr>
                  <w:rFonts w:ascii="Arial" w:cs="Arial" w:eastAsia="Arial" w:hAnsi="Arial"/>
                  <w:sz w:val="18"/>
                  <w:szCs w:val="18"/>
                  <w:color w:val="0000FF"/>
                  <w:w w:val="95"/>
                </w:rPr>
                <w:t>Co. KG as original borrower, The Bank of Nova Scotia as facility agent and Credit Suisse AG, London Branch as security trustee as</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89"/>
              </w:rPr>
            </w:pPr>
            <w:hyperlink r:id="rId55">
              <w:r>
                <w:rPr>
                  <w:rFonts w:ascii="Arial" w:cs="Arial" w:eastAsia="Arial" w:hAnsi="Arial"/>
                  <w:sz w:val="18"/>
                  <w:szCs w:val="18"/>
                  <w:color w:val="0000FF"/>
                  <w:w w:val="89"/>
                </w:rPr>
                <w:t>amended and restated by the SFA Amendment and Restatement Agreement (as defined in the March 2018 8-K) (incorporated by reference</w:t>
              </w:r>
            </w:hyperlink>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78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to Exhibit 4.2 to the March 2018 8-K).</w:t>
              </w:r>
            </w:hyperlink>
          </w:p>
        </w:tc>
        <w:tc>
          <w:tcPr>
            <w:tcW w:w="7200" w:type="dxa"/>
            <w:vAlign w:val="bottom"/>
            <w:gridSpan w:val="12"/>
          </w:tcPr>
          <w:p>
            <w:pPr>
              <w:spacing w:after="0"/>
              <w:rPr>
                <w:sz w:val="17"/>
                <w:szCs w:val="17"/>
                <w:color w:val="auto"/>
              </w:rPr>
            </w:pPr>
          </w:p>
        </w:tc>
      </w:tr>
      <w:tr>
        <w:trPr>
          <w:trHeight w:val="412"/>
        </w:trPr>
        <w:tc>
          <w:tcPr>
            <w:tcW w:w="40" w:type="dxa"/>
            <w:vAlign w:val="bottom"/>
          </w:tcPr>
          <w:p>
            <w:pPr>
              <w:spacing w:after="0"/>
              <w:rPr>
                <w:sz w:val="24"/>
                <w:szCs w:val="24"/>
                <w:color w:val="auto"/>
              </w:rPr>
            </w:pPr>
          </w:p>
        </w:tc>
        <w:tc>
          <w:tcPr>
            <w:tcW w:w="11360" w:type="dxa"/>
            <w:vAlign w:val="bottom"/>
            <w:gridSpan w:val="17"/>
          </w:tcPr>
          <w:p>
            <w:pPr>
              <w:spacing w:after="0"/>
              <w:rPr>
                <w:sz w:val="20"/>
                <w:szCs w:val="20"/>
                <w:color w:val="auto"/>
              </w:rPr>
            </w:pPr>
            <w:r>
              <w:rPr>
                <w:rFonts w:ascii="Arial" w:cs="Arial" w:eastAsia="Arial" w:hAnsi="Arial"/>
                <w:sz w:val="18"/>
                <w:szCs w:val="18"/>
                <w:color w:val="auto"/>
              </w:rPr>
              <w:t>10 — Material Contracts:</w:t>
            </w:r>
          </w:p>
        </w:tc>
      </w:tr>
      <w:tr>
        <w:trPr>
          <w:trHeight w:val="35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9820" w:type="dxa"/>
            <w:vAlign w:val="bottom"/>
            <w:tcBorders>
              <w:bottom w:val="single" w:sz="8" w:color="0000FF"/>
            </w:tcBorders>
            <w:gridSpan w:val="13"/>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Liberty Global 2018 Annual Performance Award Program for executive officers under the 2014 Incentive Plan Effective March 1, 2014,</w:t>
              </w:r>
            </w:hyperlink>
          </w:p>
        </w:tc>
        <w:tc>
          <w:tcPr>
            <w:tcW w:w="160" w:type="dxa"/>
            <w:vAlign w:val="bottom"/>
            <w:gridSpan w:val="3"/>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5"/>
              </w:rPr>
            </w:pPr>
            <w:hyperlink r:id="rId56">
              <w:r>
                <w:rPr>
                  <w:rFonts w:ascii="Arial" w:cs="Arial" w:eastAsia="Arial" w:hAnsi="Arial"/>
                  <w:sz w:val="18"/>
                  <w:szCs w:val="18"/>
                  <w:color w:val="0000FF"/>
                  <w:w w:val="95"/>
                </w:rPr>
                <w:t>as amended and restated February 24, 2015 (the Incentive Plan) (a description of said program is incorporated by reference to the</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7"/>
              </w:rPr>
            </w:pPr>
            <w:hyperlink r:id="rId56">
              <w:r>
                <w:rPr>
                  <w:rFonts w:ascii="Arial" w:cs="Arial" w:eastAsia="Arial" w:hAnsi="Arial"/>
                  <w:sz w:val="18"/>
                  <w:szCs w:val="18"/>
                  <w:color w:val="0000FF"/>
                  <w:w w:val="97"/>
                </w:rPr>
                <w:t>description thereof included in Item 5.02(e) of the Registrant’s Current Report on Form 8-K filed February 27, 2018 (File No. 001-</w:t>
              </w:r>
            </w:hyperlink>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56">
              <w:r>
                <w:rPr>
                  <w:rFonts w:ascii="Arial" w:cs="Arial" w:eastAsia="Arial" w:hAnsi="Arial"/>
                  <w:sz w:val="18"/>
                  <w:szCs w:val="18"/>
                  <w:color w:val="0000FF"/>
                  <w:w w:val="86"/>
                </w:rPr>
                <w:t>35961)</w:t>
              </w:r>
              <w:r>
                <w:rPr>
                  <w:rFonts w:ascii="Arial" w:cs="Arial" w:eastAsia="Arial" w:hAnsi="Arial"/>
                  <w:sz w:val="18"/>
                  <w:szCs w:val="18"/>
                  <w:u w:val="single" w:color="auto"/>
                  <w:color w:val="0000FF"/>
                  <w:w w:val="86"/>
                </w:rPr>
                <w:t>)</w:t>
              </w:r>
              <w:r>
                <w:rPr>
                  <w:rFonts w:ascii="Arial" w:cs="Arial" w:eastAsia="Arial" w:hAnsi="Arial"/>
                  <w:sz w:val="18"/>
                  <w:szCs w:val="18"/>
                  <w:color w:val="0000FF"/>
                  <w:w w:val="86"/>
                </w:rPr>
                <w:t>.</w:t>
              </w:r>
            </w:hyperlink>
          </w:p>
        </w:tc>
        <w:tc>
          <w:tcPr>
            <w:tcW w:w="5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54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10.2</w:t>
            </w:r>
          </w:p>
        </w:tc>
        <w:tc>
          <w:tcPr>
            <w:tcW w:w="9980" w:type="dxa"/>
            <w:vAlign w:val="bottom"/>
            <w:gridSpan w:val="16"/>
          </w:tcPr>
          <w:p>
            <w:pPr>
              <w:spacing w:after="0"/>
              <w:rPr>
                <w:rFonts w:ascii="Arial" w:cs="Arial" w:eastAsia="Arial" w:hAnsi="Arial"/>
                <w:sz w:val="18"/>
                <w:szCs w:val="18"/>
                <w:color w:val="0000FF"/>
                <w:w w:val="92"/>
              </w:rPr>
            </w:pPr>
            <w:hyperlink r:id="rId57">
              <w:r>
                <w:rPr>
                  <w:rFonts w:ascii="Arial" w:cs="Arial" w:eastAsia="Arial" w:hAnsi="Arial"/>
                  <w:sz w:val="18"/>
                  <w:szCs w:val="18"/>
                  <w:color w:val="0000FF"/>
                  <w:w w:val="92"/>
                </w:rPr>
                <w:t>Liberty Global 2018 Performance Incentive Plan for executive officers under Incentive Plan (a description of said plan is incorporated by</w:t>
              </w:r>
            </w:hyperlink>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80" w:type="dxa"/>
            <w:vAlign w:val="bottom"/>
            <w:tcBorders>
              <w:top w:val="single" w:sz="8" w:color="0000FF"/>
            </w:tcBorders>
            <w:gridSpan w:val="14"/>
          </w:tcPr>
          <w:p>
            <w:pPr>
              <w:spacing w:after="0" w:line="196"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reference to the description thereof included in Item 5.02(e) of the Registrant’s Current Report on Form 8-K filed March 21, 2018 (File</w:t>
              </w:r>
            </w:hyperlink>
          </w:p>
        </w:tc>
        <w:tc>
          <w:tcPr>
            <w:tcW w:w="100" w:type="dxa"/>
            <w:vAlign w:val="bottom"/>
            <w:gridSpan w:val="2"/>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72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No. 001-35961)).</w:t>
              </w:r>
            </w:hyperlink>
          </w:p>
        </w:tc>
        <w:tc>
          <w:tcPr>
            <w:tcW w:w="260" w:type="dxa"/>
            <w:vAlign w:val="bottom"/>
            <w:gridSpan w:val="4"/>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20" w:type="dxa"/>
            <w:vAlign w:val="bottom"/>
            <w:gridSpan w:val="10"/>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1360" w:type="dxa"/>
            <w:vAlign w:val="bottom"/>
            <w:gridSpan w:val="17"/>
          </w:tcPr>
          <w:p>
            <w:pPr>
              <w:spacing w:after="0"/>
              <w:rPr>
                <w:sz w:val="20"/>
                <w:szCs w:val="20"/>
                <w:color w:val="auto"/>
              </w:rPr>
            </w:pPr>
            <w:r>
              <w:rPr>
                <w:rFonts w:ascii="Arial" w:cs="Arial" w:eastAsia="Arial" w:hAnsi="Arial"/>
                <w:sz w:val="18"/>
                <w:szCs w:val="18"/>
                <w:color w:val="auto"/>
              </w:rPr>
              <w:t>31 — Rule 13a-14(a)/15d-14(a) Certification:</w:t>
            </w:r>
          </w:p>
        </w:tc>
      </w:tr>
      <w:tr>
        <w:trPr>
          <w:trHeight w:val="351"/>
        </w:trPr>
        <w:tc>
          <w:tcPr>
            <w:tcW w:w="1420" w:type="dxa"/>
            <w:vAlign w:val="bottom"/>
            <w:gridSpan w:val="2"/>
          </w:tcPr>
          <w:p>
            <w:pPr>
              <w:ind w:left="380"/>
              <w:spacing w:after="0"/>
              <w:rPr>
                <w:sz w:val="20"/>
                <w:szCs w:val="20"/>
                <w:color w:val="auto"/>
              </w:rPr>
            </w:pPr>
            <w:r>
              <w:rPr>
                <w:rFonts w:ascii="Arial" w:cs="Arial" w:eastAsia="Arial" w:hAnsi="Arial"/>
                <w:sz w:val="18"/>
                <w:szCs w:val="18"/>
                <w:color w:val="auto"/>
              </w:rPr>
              <w:t>31.1</w:t>
            </w:r>
          </w:p>
        </w:tc>
        <w:tc>
          <w:tcPr>
            <w:tcW w:w="398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85">
              <w:r>
                <w:rPr>
                  <w:rFonts w:ascii="Arial" w:cs="Arial" w:eastAsia="Arial" w:hAnsi="Arial"/>
                  <w:sz w:val="18"/>
                  <w:szCs w:val="18"/>
                  <w:color w:val="0000FF"/>
                  <w:w w:val="92"/>
                </w:rPr>
                <w:t>Certification of President and Chief Executive Officer*</w:t>
              </w:r>
            </w:hyperlink>
          </w:p>
        </w:tc>
        <w:tc>
          <w:tcPr>
            <w:tcW w:w="6000" w:type="dxa"/>
            <w:vAlign w:val="bottom"/>
            <w:gridSpan w:val="11"/>
          </w:tcPr>
          <w:p>
            <w:pPr>
              <w:spacing w:after="0"/>
              <w:rPr>
                <w:sz w:val="24"/>
                <w:szCs w:val="24"/>
                <w:color w:val="auto"/>
              </w:rPr>
            </w:pPr>
          </w:p>
        </w:tc>
      </w:tr>
      <w:tr>
        <w:trPr>
          <w:trHeight w:val="372"/>
        </w:trPr>
        <w:tc>
          <w:tcPr>
            <w:tcW w:w="1420" w:type="dxa"/>
            <w:vAlign w:val="bottom"/>
            <w:gridSpan w:val="2"/>
          </w:tcPr>
          <w:p>
            <w:pPr>
              <w:ind w:left="380"/>
              <w:spacing w:after="0"/>
              <w:rPr>
                <w:sz w:val="20"/>
                <w:szCs w:val="20"/>
                <w:color w:val="auto"/>
              </w:rPr>
            </w:pPr>
            <w:r>
              <w:rPr>
                <w:rFonts w:ascii="Arial" w:cs="Arial" w:eastAsia="Arial" w:hAnsi="Arial"/>
                <w:sz w:val="18"/>
                <w:szCs w:val="18"/>
                <w:color w:val="auto"/>
              </w:rPr>
              <w:t>31.2</w:t>
            </w:r>
          </w:p>
        </w:tc>
        <w:tc>
          <w:tcPr>
            <w:tcW w:w="9980" w:type="dxa"/>
            <w:vAlign w:val="bottom"/>
            <w:gridSpan w:val="16"/>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Certification of Executive Vice President and Chief Financial Officer*</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920" w:type="dxa"/>
            <w:vAlign w:val="bottom"/>
            <w:gridSpan w:val="4"/>
            <w:shd w:val="clear" w:color="auto" w:fill="0000FF"/>
          </w:tcPr>
          <w:p>
            <w:pPr>
              <w:spacing w:after="0" w:line="20" w:lineRule="exact"/>
              <w:rPr>
                <w:sz w:val="1"/>
                <w:szCs w:val="1"/>
                <w:color w:val="auto"/>
              </w:rPr>
            </w:pPr>
          </w:p>
        </w:tc>
        <w:tc>
          <w:tcPr>
            <w:tcW w:w="4920" w:type="dxa"/>
            <w:vAlign w:val="bottom"/>
            <w:gridSpan w:val="10"/>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1360" w:type="dxa"/>
            <w:vAlign w:val="bottom"/>
            <w:gridSpan w:val="17"/>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32 — Section 1350 Certification**</w:t>
              </w:r>
            </w:hyperlink>
          </w:p>
        </w:tc>
      </w:tr>
      <w:tr>
        <w:trPr>
          <w:trHeight w:val="20"/>
        </w:trPr>
        <w:tc>
          <w:tcPr>
            <w:tcW w:w="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8840" w:type="dxa"/>
            <w:vAlign w:val="bottom"/>
            <w:gridSpan w:val="14"/>
          </w:tcPr>
          <w:p>
            <w:pPr>
              <w:spacing w:after="0" w:line="20" w:lineRule="exact"/>
              <w:rPr>
                <w:sz w:val="1"/>
                <w:szCs w:val="1"/>
                <w:color w:val="auto"/>
              </w:rPr>
            </w:pPr>
          </w:p>
        </w:tc>
      </w:tr>
      <w:tr>
        <w:trPr>
          <w:trHeight w:val="534"/>
        </w:trPr>
        <w:tc>
          <w:tcPr>
            <w:tcW w:w="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92"/>
        </w:trPr>
        <w:tc>
          <w:tcPr>
            <w:tcW w:w="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420" w:type="dxa"/>
            <w:vAlign w:val="bottom"/>
            <w:gridSpan w:val="2"/>
          </w:tcPr>
          <w:p>
            <w:pPr>
              <w:spacing w:after="0"/>
              <w:rPr>
                <w:sz w:val="20"/>
                <w:szCs w:val="20"/>
                <w:color w:val="auto"/>
              </w:rPr>
            </w:pPr>
            <w:r>
              <w:rPr>
                <w:rFonts w:ascii="Arial" w:cs="Arial" w:eastAsia="Arial" w:hAnsi="Arial"/>
                <w:sz w:val="18"/>
                <w:szCs w:val="18"/>
                <w:color w:val="auto"/>
                <w:w w:val="93"/>
              </w:rPr>
              <w:t>_______________</w:t>
            </w: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148" w:lineRule="exact"/>
        <w:rPr>
          <w:sz w:val="20"/>
          <w:szCs w:val="20"/>
          <w:color w:val="auto"/>
        </w:rPr>
      </w:pPr>
    </w:p>
    <w:p>
      <w:pPr>
        <w:ind w:left="720" w:hanging="685"/>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left="720" w:hanging="685"/>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Furnished herewith</w:t>
      </w:r>
    </w:p>
    <w:p>
      <w:pPr>
        <w:sectPr>
          <w:pgSz w:w="11900" w:h="16838" w:orient="portrait"/>
          <w:cols w:equalWidth="0" w:num="1">
            <w:col w:w="11400"/>
          </w:cols>
          <w:pgMar w:left="240" w:top="364" w:right="25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00"/>
          </w:cols>
          <w:pgMar w:left="240" w:top="364" w:right="259" w:bottom="1440" w:gutter="0" w:footer="0" w:header="0"/>
          <w:type w:val="continuous"/>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LIBERTY GLOBAL PLC</w:t>
      </w:r>
    </w:p>
    <w:p>
      <w:pPr>
        <w:spacing w:after="0" w:line="387" w:lineRule="exact"/>
        <w:rPr>
          <w:sz w:val="20"/>
          <w:szCs w:val="20"/>
          <w:color w:val="auto"/>
        </w:rPr>
      </w:pPr>
    </w:p>
    <w:p>
      <w:pPr>
        <w:ind w:left="200"/>
        <w:spacing w:after="0"/>
        <w:tabs>
          <w:tab w:leader="none" w:pos="7100" w:val="left"/>
          <w:tab w:leader="none" w:pos="7460" w:val="left"/>
        </w:tabs>
        <w:rPr>
          <w:sz w:val="20"/>
          <w:szCs w:val="20"/>
          <w:color w:val="auto"/>
        </w:rPr>
      </w:pPr>
      <w:r>
        <w:rPr>
          <w:rFonts w:ascii="Arial" w:cs="Arial" w:eastAsia="Arial" w:hAnsi="Arial"/>
          <w:sz w:val="18"/>
          <w:szCs w:val="18"/>
          <w:color w:val="auto"/>
        </w:rPr>
        <w:t>Dated: May 8, 2018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3"/>
          <w:szCs w:val="13"/>
          <w:color w:val="auto"/>
        </w:rPr>
        <w:t>ICHAEL</w:t>
      </w:r>
      <w:r>
        <w:rPr>
          <w:rFonts w:ascii="Arial" w:cs="Arial" w:eastAsia="Arial" w:hAnsi="Arial"/>
          <w:sz w:val="17"/>
          <w:szCs w:val="17"/>
          <w:color w:val="auto"/>
        </w:rPr>
        <w:t xml:space="preserve"> T. F</w:t>
      </w:r>
      <w:r>
        <w:rPr>
          <w:rFonts w:ascii="Arial" w:cs="Arial" w:eastAsia="Arial" w:hAnsi="Arial"/>
          <w:sz w:val="13"/>
          <w:szCs w:val="13"/>
          <w:color w:val="auto"/>
        </w:rPr>
        <w: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40640</wp:posOffset>
            </wp:positionV>
            <wp:extent cx="42024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70" w:lineRule="exact"/>
        <w:rPr>
          <w:sz w:val="20"/>
          <w:szCs w:val="20"/>
          <w:color w:val="auto"/>
        </w:rPr>
      </w:pPr>
    </w:p>
    <w:p>
      <w:pPr>
        <w:jc w:val="center"/>
        <w:ind w:left="4820"/>
        <w:spacing w:after="0"/>
        <w:rPr>
          <w:sz w:val="20"/>
          <w:szCs w:val="20"/>
          <w:color w:val="auto"/>
        </w:rPr>
      </w:pPr>
      <w:r>
        <w:rPr>
          <w:rFonts w:ascii="Arial" w:cs="Arial" w:eastAsia="Arial" w:hAnsi="Arial"/>
          <w:sz w:val="18"/>
          <w:szCs w:val="18"/>
          <w:color w:val="auto"/>
        </w:rPr>
        <w:t>Michael T. Fries</w:t>
      </w:r>
    </w:p>
    <w:p>
      <w:pPr>
        <w:spacing w:after="0" w:line="23" w:lineRule="exact"/>
        <w:rPr>
          <w:sz w:val="20"/>
          <w:szCs w:val="20"/>
          <w:color w:val="auto"/>
        </w:rPr>
      </w:pPr>
    </w:p>
    <w:p>
      <w:pPr>
        <w:jc w:val="center"/>
        <w:ind w:left="48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86" w:lineRule="exact"/>
        <w:rPr>
          <w:sz w:val="20"/>
          <w:szCs w:val="20"/>
          <w:color w:val="auto"/>
        </w:rPr>
      </w:pPr>
    </w:p>
    <w:p>
      <w:pPr>
        <w:ind w:left="200"/>
        <w:spacing w:after="0"/>
        <w:tabs>
          <w:tab w:leader="none" w:pos="6860" w:val="left"/>
          <w:tab w:leader="none" w:pos="7220" w:val="left"/>
        </w:tabs>
        <w:rPr>
          <w:sz w:val="20"/>
          <w:szCs w:val="20"/>
          <w:color w:val="auto"/>
        </w:rPr>
      </w:pPr>
      <w:r>
        <w:rPr>
          <w:rFonts w:ascii="Arial" w:cs="Arial" w:eastAsia="Arial" w:hAnsi="Arial"/>
          <w:sz w:val="18"/>
          <w:szCs w:val="18"/>
          <w:color w:val="auto"/>
        </w:rPr>
        <w:t>Dated: May 8, 2018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C</w:t>
      </w:r>
      <w:r>
        <w:rPr>
          <w:rFonts w:ascii="Arial" w:cs="Arial" w:eastAsia="Arial" w:hAnsi="Arial"/>
          <w:sz w:val="13"/>
          <w:szCs w:val="13"/>
          <w:color w:val="auto"/>
        </w:rPr>
        <w:t>HARLES</w:t>
      </w:r>
      <w:r>
        <w:rPr>
          <w:rFonts w:ascii="Arial" w:cs="Arial" w:eastAsia="Arial" w:hAnsi="Arial"/>
          <w:sz w:val="17"/>
          <w:szCs w:val="17"/>
          <w:color w:val="auto"/>
        </w:rPr>
        <w:t xml:space="preserve"> H.R. B</w:t>
      </w:r>
      <w:r>
        <w:rPr>
          <w:rFonts w:ascii="Arial" w:cs="Arial" w:eastAsia="Arial" w:hAnsi="Arial"/>
          <w:sz w:val="13"/>
          <w:szCs w:val="13"/>
          <w:color w:val="auto"/>
        </w:rPr>
        <w:t>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40640</wp:posOffset>
            </wp:positionV>
            <wp:extent cx="42024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70" w:lineRule="exact"/>
        <w:rPr>
          <w:sz w:val="20"/>
          <w:szCs w:val="20"/>
          <w:color w:val="auto"/>
        </w:rPr>
      </w:pPr>
    </w:p>
    <w:p>
      <w:pPr>
        <w:jc w:val="center"/>
        <w:ind w:left="4820"/>
        <w:spacing w:after="0"/>
        <w:rPr>
          <w:sz w:val="20"/>
          <w:szCs w:val="20"/>
          <w:color w:val="auto"/>
        </w:rPr>
      </w:pPr>
      <w:r>
        <w:rPr>
          <w:rFonts w:ascii="Arial" w:cs="Arial" w:eastAsia="Arial" w:hAnsi="Arial"/>
          <w:sz w:val="18"/>
          <w:szCs w:val="18"/>
          <w:color w:val="auto"/>
        </w:rPr>
        <w:t>Charles H.R. Bracken</w:t>
      </w:r>
    </w:p>
    <w:p>
      <w:pPr>
        <w:spacing w:after="0" w:line="23" w:lineRule="exact"/>
        <w:rPr>
          <w:sz w:val="20"/>
          <w:szCs w:val="20"/>
          <w:color w:val="auto"/>
        </w:rPr>
      </w:pPr>
    </w:p>
    <w:p>
      <w:pPr>
        <w:jc w:val="center"/>
        <w:ind w:left="4820"/>
        <w:spacing w:after="0"/>
        <w:rPr>
          <w:sz w:val="20"/>
          <w:szCs w:val="20"/>
          <w:color w:val="auto"/>
        </w:rPr>
      </w:pPr>
      <w:r>
        <w:rPr>
          <w:rFonts w:ascii="Arial" w:cs="Arial" w:eastAsia="Arial" w:hAnsi="Arial"/>
          <w:sz w:val="18"/>
          <w:szCs w:val="18"/>
          <w:i w:val="1"/>
          <w:iCs w:val="1"/>
          <w:color w:val="auto"/>
        </w:rPr>
        <w:t>Executive Vice President and Chief</w:t>
      </w:r>
    </w:p>
    <w:p>
      <w:pPr>
        <w:spacing w:after="0" w:line="9" w:lineRule="exact"/>
        <w:rPr>
          <w:sz w:val="20"/>
          <w:szCs w:val="20"/>
          <w:color w:val="auto"/>
        </w:rPr>
      </w:pPr>
    </w:p>
    <w:p>
      <w:pPr>
        <w:jc w:val="center"/>
        <w:ind w:left="4820"/>
        <w:spacing w:after="0"/>
        <w:rPr>
          <w:sz w:val="20"/>
          <w:szCs w:val="20"/>
          <w:color w:val="auto"/>
        </w:rPr>
      </w:pPr>
      <w:r>
        <w:rPr>
          <w:rFonts w:ascii="Arial" w:cs="Arial" w:eastAsia="Arial" w:hAnsi="Arial"/>
          <w:sz w:val="18"/>
          <w:szCs w:val="18"/>
          <w:i w:val="1"/>
          <w:i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64"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Michael T. Fries, certify that:</w:t>
      </w:r>
    </w:p>
    <w:p>
      <w:pPr>
        <w:spacing w:after="0" w:line="171"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69"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52"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31750</wp:posOffset>
            </wp:positionV>
            <wp:extent cx="2744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Michael T. Fries</w:t>
      </w:r>
    </w:p>
    <w:p>
      <w:pPr>
        <w:spacing w:after="0" w:line="63"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Charles H.R. Bracken, certify that:</w:t>
      </w:r>
    </w:p>
    <w:p>
      <w:pPr>
        <w:spacing w:after="0" w:line="171"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69"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7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52"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31750</wp:posOffset>
            </wp:positionV>
            <wp:extent cx="2744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Charles H.R. Bracken</w:t>
      </w:r>
    </w:p>
    <w:p>
      <w:pPr>
        <w:spacing w:after="0" w:line="63"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Liberty Global plc (the "Company"), does hereby certify, to such officer's knowledge, that: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Quarterly Report on Form 10-Q for the period ended March 31, 2018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March 31, 2018 and December 31, 2017, and for the three months ended March 31, 2018 and 2017.</w:t>
      </w:r>
    </w:p>
    <w:p>
      <w:pPr>
        <w:spacing w:after="0" w:line="349" w:lineRule="exact"/>
        <w:rPr>
          <w:sz w:val="20"/>
          <w:szCs w:val="20"/>
          <w:color w:val="auto"/>
        </w:rPr>
      </w:pPr>
    </w:p>
    <w:p>
      <w:pPr>
        <w:ind w:left="1180"/>
        <w:spacing w:after="0"/>
        <w:tabs>
          <w:tab w:leader="none" w:pos="6060" w:val="left"/>
          <w:tab w:leader="none" w:pos="6440" w:val="left"/>
        </w:tabs>
        <w:rPr>
          <w:sz w:val="20"/>
          <w:szCs w:val="20"/>
          <w:color w:val="auto"/>
        </w:rPr>
      </w:pPr>
      <w:r>
        <w:rPr>
          <w:rFonts w:ascii="Arial" w:cs="Arial" w:eastAsia="Arial" w:hAnsi="Arial"/>
          <w:sz w:val="18"/>
          <w:szCs w:val="18"/>
          <w:color w:val="auto"/>
        </w:rPr>
        <w:t>Dated: May 8, 2018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7012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Michael T. Fries</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80"/>
        <w:spacing w:after="0"/>
        <w:tabs>
          <w:tab w:leader="none" w:pos="6060" w:val="left"/>
          <w:tab w:leader="none" w:pos="6440" w:val="left"/>
        </w:tabs>
        <w:rPr>
          <w:sz w:val="20"/>
          <w:szCs w:val="20"/>
          <w:color w:val="auto"/>
        </w:rPr>
      </w:pPr>
      <w:r>
        <w:rPr>
          <w:rFonts w:ascii="Arial" w:cs="Arial" w:eastAsia="Arial" w:hAnsi="Arial"/>
          <w:sz w:val="18"/>
          <w:szCs w:val="18"/>
          <w:color w:val="auto"/>
        </w:rPr>
        <w:t>Dated: May 8, 2018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7012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Charles H.R. Bracken</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1)"/>
      <w:numFmt w:val="decimal"/>
      <w:start w:val="1"/>
    </w:lvl>
  </w:abstractNum>
  <w:abstractNum w:abstractNumId="3">
    <w:nsid w:val="2D517796"/>
    <w:multiLevelType w:val="hybridMultilevel"/>
    <w:lvl w:ilvl="0">
      <w:lvlJc w:val="left"/>
      <w:lvlText w:val="(%1)"/>
      <w:numFmt w:val="decimal"/>
      <w:start w:val="2"/>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1)"/>
      <w:numFmt w:val="lowerLetter"/>
      <w:start w:val="1"/>
    </w:lvl>
  </w:abstractNum>
  <w:abstractNum w:abstractNumId="6">
    <w:nsid w:val="3855585C"/>
    <w:multiLevelType w:val="hybridMultilevel"/>
    <w:lvl w:ilvl="0">
      <w:lvlJc w:val="left"/>
      <w:lvlText w:val="(%1)"/>
      <w:numFmt w:val="decimal"/>
      <w:start w:val="3"/>
    </w:lvl>
  </w:abstractNum>
  <w:abstractNum w:abstractNumId="7">
    <w:nsid w:val="70A64E2A"/>
    <w:multiLevelType w:val="hybridMultilevel"/>
    <w:lvl w:ilvl="0">
      <w:lvlJc w:val="left"/>
      <w:lvlText w:val="(%1)"/>
      <w:numFmt w:val="decimal"/>
      <w:start w:val="4"/>
    </w:lvl>
  </w:abstractNum>
  <w:abstractNum w:abstractNumId="8">
    <w:nsid w:val="6A2342EC"/>
    <w:multiLevelType w:val="hybridMultilevel"/>
    <w:lvl w:ilvl="0">
      <w:lvlJc w:val="left"/>
      <w:lvlText w:val="(%1)"/>
      <w:numFmt w:val="lowerLetter"/>
      <w:start w:val="1"/>
    </w:lvl>
  </w:abstractNum>
  <w:abstractNum w:abstractNumId="9">
    <w:nsid w:val="2A487CB0"/>
    <w:multiLevelType w:val="hybridMultilevel"/>
    <w:lvl w:ilvl="0">
      <w:lvlJc w:val="left"/>
      <w:lvlText w:val="(%1)"/>
      <w:numFmt w:val="lowerLetter"/>
      <w:start w:val="1"/>
    </w:lvl>
  </w:abstractNum>
  <w:abstractNum w:abstractNumId="10">
    <w:nsid w:val="1D4ED43B"/>
    <w:multiLevelType w:val="hybridMultilevel"/>
    <w:lvl w:ilvl="0">
      <w:lvlJc w:val="left"/>
      <w:lvlText w:val="(%1)"/>
      <w:numFmt w:val="decimal"/>
      <w:start w:val="6"/>
    </w:lvl>
  </w:abstractNum>
  <w:abstractNum w:abstractNumId="11">
    <w:nsid w:val="725A06FB"/>
    <w:multiLevelType w:val="hybridMultilevel"/>
    <w:lvl w:ilvl="0">
      <w:lvlJc w:val="left"/>
      <w:lvlText w:val="(%1)"/>
      <w:numFmt w:val="lowerLetter"/>
      <w:start w:val="1"/>
    </w:lvl>
  </w:abstractNum>
  <w:abstractNum w:abstractNumId="12">
    <w:nsid w:val="2CD89A32"/>
    <w:multiLevelType w:val="hybridMultilevel"/>
    <w:lvl w:ilvl="0">
      <w:lvlJc w:val="left"/>
      <w:lvlText w:val="(%1)"/>
      <w:numFmt w:val="lowerLetter"/>
      <w:start w:val="1"/>
    </w:lvl>
  </w:abstractNum>
  <w:abstractNum w:abstractNumId="13">
    <w:nsid w:val="57E4CCAF"/>
    <w:multiLevelType w:val="hybridMultilevel"/>
    <w:lvl w:ilvl="0">
      <w:lvlJc w:val="left"/>
      <w:lvlText w:val="(%1)"/>
      <w:numFmt w:val="lowerLetter"/>
      <w:start w:val="1"/>
    </w:lvl>
  </w:abstractNum>
  <w:abstractNum w:abstractNumId="14">
    <w:nsid w:val="7A6D8D3C"/>
    <w:multiLevelType w:val="hybridMultilevel"/>
    <w:lvl w:ilvl="0">
      <w:lvlJc w:val="left"/>
      <w:lvlText w:val="(%1)"/>
      <w:numFmt w:val="lowerLetter"/>
      <w:start w:val="1"/>
    </w:lvl>
  </w:abstractNum>
  <w:abstractNum w:abstractNumId="15">
    <w:nsid w:val="4B588F54"/>
    <w:multiLevelType w:val="hybridMultilevel"/>
    <w:lvl w:ilvl="0">
      <w:lvlJc w:val="left"/>
      <w:lvlText w:val="(%1)"/>
      <w:numFmt w:val="lowerLetter"/>
      <w:start w:val="1"/>
    </w:lvl>
  </w:abstractNum>
  <w:abstractNum w:abstractNumId="16">
    <w:nsid w:val="542289EC"/>
    <w:multiLevelType w:val="hybridMultilevel"/>
    <w:lvl w:ilvl="0">
      <w:lvlJc w:val="left"/>
      <w:lvlText w:val="(%1)"/>
      <w:numFmt w:val="lowerLetter"/>
      <w:start w:val="1"/>
    </w:lvl>
  </w:abstractNum>
  <w:abstractNum w:abstractNumId="17">
    <w:nsid w:val="6DE91B18"/>
    <w:multiLevelType w:val="hybridMultilevel"/>
    <w:lvl w:ilvl="0">
      <w:lvlJc w:val="left"/>
      <w:lvlText w:val="(%1)"/>
      <w:numFmt w:val="decimal"/>
      <w:start w:val="7"/>
    </w:lvl>
  </w:abstractNum>
  <w:abstractNum w:abstractNumId="18">
    <w:nsid w:val="38437FDB"/>
    <w:multiLevelType w:val="hybridMultilevel"/>
    <w:lvl w:ilvl="0">
      <w:lvlJc w:val="left"/>
      <w:lvlText w:val="(%1)"/>
      <w:numFmt w:val="lowerLetter"/>
      <w:start w:val="1"/>
    </w:lvl>
  </w:abstractNum>
  <w:abstractNum w:abstractNumId="19">
    <w:nsid w:val="7644A45C"/>
    <w:multiLevelType w:val="hybridMultilevel"/>
    <w:lvl w:ilvl="0">
      <w:lvlJc w:val="left"/>
      <w:lvlText w:val="(%1)"/>
      <w:numFmt w:val="decimal"/>
      <w:start w:val="9"/>
    </w:lvl>
  </w:abstractNum>
  <w:abstractNum w:abstractNumId="20">
    <w:nsid w:val="32FFF902"/>
    <w:multiLevelType w:val="hybridMultilevel"/>
    <w:lvl w:ilvl="0">
      <w:lvlJc w:val="left"/>
      <w:lvlText w:val="(%1)"/>
      <w:numFmt w:val="lowerLetter"/>
      <w:start w:val="1"/>
    </w:lvl>
  </w:abstractNum>
  <w:abstractNum w:abstractNumId="21">
    <w:nsid w:val="684A481A"/>
    <w:multiLevelType w:val="hybridMultilevel"/>
    <w:lvl w:ilvl="0">
      <w:lvlJc w:val="left"/>
      <w:lvlText w:val="(%1)"/>
      <w:numFmt w:val="lowerLetter"/>
      <w:start w:val="2"/>
    </w:lvl>
  </w:abstractNum>
  <w:abstractNum w:abstractNumId="22">
    <w:nsid w:val="579478FE"/>
    <w:multiLevelType w:val="hybridMultilevel"/>
    <w:lvl w:ilvl="0">
      <w:lvlJc w:val="left"/>
      <w:lvlText w:val="(%1)"/>
      <w:numFmt w:val="lowerLetter"/>
      <w:start w:val="10"/>
    </w:lvl>
  </w:abstractNum>
  <w:abstractNum w:abstractNumId="23">
    <w:nsid w:val="749ABB43"/>
    <w:multiLevelType w:val="hybridMultilevel"/>
    <w:lvl w:ilvl="0">
      <w:lvlJc w:val="left"/>
      <w:lvlText w:val="(%1)"/>
      <w:numFmt w:val="lowerLetter"/>
      <w:start w:val="1"/>
    </w:lvl>
  </w:abstractNum>
  <w:abstractNum w:abstractNumId="24">
    <w:nsid w:val="3DC240FB"/>
    <w:multiLevelType w:val="hybridMultilevel"/>
    <w:lvl w:ilvl="0">
      <w:lvlJc w:val="left"/>
      <w:lvlText w:val="(%1)"/>
      <w:numFmt w:val="decimal"/>
      <w:start w:val="10"/>
    </w:lvl>
  </w:abstractNum>
  <w:abstractNum w:abstractNumId="25">
    <w:nsid w:val="1BA026FA"/>
    <w:multiLevelType w:val="hybridMultilevel"/>
    <w:lvl w:ilvl="0">
      <w:lvlJc w:val="left"/>
      <w:lvlText w:val="(%1)"/>
      <w:numFmt w:val="lowerLetter"/>
      <w:start w:val="1"/>
    </w:lvl>
  </w:abstractNum>
  <w:abstractNum w:abstractNumId="26">
    <w:nsid w:val="79A1DEAA"/>
    <w:multiLevelType w:val="hybridMultilevel"/>
    <w:lvl w:ilvl="0">
      <w:lvlJc w:val="left"/>
      <w:lvlText w:val="(%1)"/>
      <w:numFmt w:val="decimal"/>
      <w:start w:val="11"/>
    </w:lvl>
  </w:abstractNum>
  <w:abstractNum w:abstractNumId="27">
    <w:nsid w:val="75C6C33A"/>
    <w:multiLevelType w:val="hybridMultilevel"/>
    <w:lvl w:ilvl="0">
      <w:lvlJc w:val="left"/>
      <w:lvlText w:val="(%1)"/>
      <w:numFmt w:val="decimal"/>
      <w:start w:val="12"/>
    </w:lvl>
  </w:abstractNum>
  <w:abstractNum w:abstractNumId="28">
    <w:nsid w:val="12E685FB"/>
    <w:multiLevelType w:val="hybridMultilevel"/>
    <w:lvl w:ilvl="0">
      <w:lvlJc w:val="left"/>
      <w:lvlText w:val="(%1)"/>
      <w:numFmt w:val="lowerLetter"/>
      <w:start w:val="1"/>
    </w:lvl>
  </w:abstractNum>
  <w:abstractNum w:abstractNumId="29">
    <w:nsid w:val="70C6A529"/>
    <w:multiLevelType w:val="hybridMultilevel"/>
    <w:lvl w:ilvl="0">
      <w:lvlJc w:val="left"/>
      <w:lvlText w:val="(%1)"/>
      <w:numFmt w:val="decimal"/>
      <w:start w:val="13"/>
    </w:lvl>
  </w:abstractNum>
  <w:abstractNum w:abstractNumId="30">
    <w:nsid w:val="520EEDD1"/>
    <w:multiLevelType w:val="hybridMultilevel"/>
    <w:lvl w:ilvl="0">
      <w:lvlJc w:val="left"/>
      <w:lvlText w:val="(%1)"/>
      <w:numFmt w:val="decimal"/>
      <w:start w:val="14"/>
    </w:lvl>
  </w:abstractNum>
  <w:abstractNum w:abstractNumId="31">
    <w:nsid w:val="374A3FE6"/>
    <w:multiLevelType w:val="hybridMultilevel"/>
    <w:lvl w:ilvl="0">
      <w:lvlJc w:val="left"/>
      <w:lvlText w:val="(%1)"/>
      <w:numFmt w:val="decimal"/>
      <w:start w:val="15"/>
    </w:lvl>
  </w:abstractNum>
  <w:abstractNum w:abstractNumId="32">
    <w:nsid w:val="4F4EF005"/>
    <w:multiLevelType w:val="hybridMultilevel"/>
    <w:lvl w:ilvl="0">
      <w:lvlJc w:val="left"/>
      <w:lvlText w:val="(%1)"/>
      <w:numFmt w:val="lowerRoman"/>
      <w:start w:val="2"/>
    </w:lvl>
  </w:abstractNum>
  <w:abstractNum w:abstractNumId="33">
    <w:nsid w:val="23F9C13C"/>
    <w:multiLevelType w:val="hybridMultilevel"/>
    <w:lvl w:ilvl="0">
      <w:lvlJc w:val="left"/>
      <w:lvlText w:val="(%1)"/>
      <w:numFmt w:val="decimal"/>
      <w:start w:val="16"/>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1)"/>
      <w:numFmt w:val="lowerLetter"/>
      <w:start w:val="1"/>
    </w:lvl>
  </w:abstractNum>
  <w:abstractNum w:abstractNumId="37">
    <w:nsid w:val="1CF10FD8"/>
    <w:multiLevelType w:val="hybridMultilevel"/>
    <w:lvl w:ilvl="0">
      <w:lvlJc w:val="left"/>
      <w:lvlText w:val="(%1)"/>
      <w:numFmt w:val="lowerLetter"/>
      <w:start w:val="1"/>
    </w:lvl>
  </w:abstractNum>
  <w:abstractNum w:abstractNumId="38">
    <w:nsid w:val="180115BE"/>
    <w:multiLevelType w:val="hybridMultilevel"/>
    <w:lvl w:ilvl="0">
      <w:lvlJc w:val="left"/>
      <w:lvlText w:val="(%1)"/>
      <w:numFmt w:val="lowerLetter"/>
      <w:start w:val="4"/>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1)"/>
      <w:numFmt w:val="lowerLetter"/>
      <w:start w:val="1"/>
    </w:lvl>
  </w:abstractNum>
  <w:abstractNum w:abstractNumId="43">
    <w:nsid w:val="741226BB"/>
    <w:multiLevelType w:val="hybridMultilevel"/>
    <w:lvl w:ilvl="0">
      <w:lvlJc w:val="left"/>
      <w:lvlText w:val="(%1)"/>
      <w:numFmt w:val="lowerLetter"/>
      <w:start w:val="1"/>
    </w:lvl>
  </w:abstractNum>
  <w:abstractNum w:abstractNumId="44">
    <w:nsid w:val="D34B6A8"/>
    <w:multiLevelType w:val="hybridMultilevel"/>
    <w:lvl w:ilvl="0">
      <w:lvlJc w:val="left"/>
      <w:lvlText w:val="(%1)"/>
      <w:numFmt w:val="lowerLetter"/>
      <w:start w:val="1"/>
    </w:lvl>
  </w:abstractNum>
  <w:abstractNum w:abstractNumId="45">
    <w:nsid w:val="10233C99"/>
    <w:multiLevelType w:val="hybridMultilevel"/>
    <w:lvl w:ilvl="0">
      <w:lvlJc w:val="left"/>
      <w:lvlText w:val="(%1)"/>
      <w:numFmt w:val="lowerLetter"/>
      <w:start w:val="1"/>
    </w:lvl>
  </w:abstractNum>
  <w:abstractNum w:abstractNumId="46">
    <w:nsid w:val="3F6AB60F"/>
    <w:multiLevelType w:val="hybridMultilevel"/>
    <w:lvl w:ilvl="0">
      <w:lvlJc w:val="left"/>
      <w:lvlText w:val="(%1)"/>
      <w:numFmt w:val="lowerLetter"/>
      <w:start w:val="1"/>
    </w:lvl>
  </w:abstractNum>
  <w:abstractNum w:abstractNumId="47">
    <w:nsid w:val="61574095"/>
    <w:multiLevelType w:val="hybridMultilevel"/>
    <w:lvl w:ilvl="0">
      <w:lvlJc w:val="left"/>
      <w:lvlText w:val="(%1)"/>
      <w:numFmt w:val="lowerLetter"/>
      <w:start w:val="6"/>
    </w:lvl>
  </w:abstractNum>
  <w:abstractNum w:abstractNumId="48">
    <w:nsid w:val="7E0C57B1"/>
    <w:multiLevelType w:val="hybridMultilevel"/>
    <w:lvl w:ilvl="0">
      <w:lvlJc w:val="left"/>
      <w:lvlText w:val="(%1)"/>
      <w:numFmt w:val="lowerLetter"/>
      <w:start w:val="1"/>
    </w:lvl>
  </w:abstractNum>
  <w:abstractNum w:abstractNumId="49">
    <w:nsid w:val="77AE35EB"/>
    <w:multiLevelType w:val="hybridMultilevel"/>
    <w:lvl w:ilvl="0">
      <w:lvlJc w:val="left"/>
      <w:lvlText w:val="(%1)"/>
      <w:numFmt w:val="lowerLetter"/>
      <w:start w:val="1"/>
    </w:lvl>
  </w:abstractNum>
  <w:abstractNum w:abstractNumId="50">
    <w:nsid w:val="579BE4F1"/>
    <w:multiLevelType w:val="hybridMultilevel"/>
    <w:lvl w:ilvl="0">
      <w:lvlJc w:val="left"/>
      <w:lvlText w:val="(%1)"/>
      <w:numFmt w:val="lowerLetter"/>
      <w:start w:val="1"/>
    </w:lvl>
  </w:abstractNum>
  <w:abstractNum w:abstractNumId="51">
    <w:nsid w:val="310C50B3"/>
    <w:multiLevelType w:val="hybridMultilevel"/>
    <w:lvl w:ilvl="0">
      <w:lvlJc w:val="left"/>
      <w:lvlText w:val="(%1)"/>
      <w:numFmt w:val="lowerLetter"/>
      <w:start w:val="4"/>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1)"/>
      <w:numFmt w:val="lowerLetter"/>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1)"/>
      <w:numFmt w:val="lowerLetter"/>
      <w:start w:val="1"/>
    </w:lvl>
  </w:abstractNum>
  <w:abstractNum w:abstractNumId="59">
    <w:nsid w:val="5DB70AE5"/>
    <w:multiLevelType w:val="hybridMultilevel"/>
    <w:lvl w:ilvl="0">
      <w:lvlJc w:val="left"/>
      <w:lvlText w:val="(%1)"/>
      <w:numFmt w:val="lowerLetter"/>
      <w:start w:val="2"/>
    </w:lvl>
  </w:abstractNum>
  <w:abstractNum w:abstractNumId="60">
    <w:nsid w:val="100F8FCA"/>
    <w:multiLevelType w:val="hybridMultilevel"/>
    <w:lvl w:ilvl="0">
      <w:lvlJc w:val="left"/>
      <w:lvlText w:val="(%1)"/>
      <w:numFmt w:val="lowerLetter"/>
      <w:start w:val="1"/>
    </w:lvl>
  </w:abstractNum>
  <w:abstractNum w:abstractNumId="61">
    <w:nsid w:val="6590700B"/>
    <w:multiLevelType w:val="hybridMultilevel"/>
    <w:lvl w:ilvl="0">
      <w:lvlJc w:val="left"/>
      <w:lvlText w:val="(%1)"/>
      <w:numFmt w:val="lowerLetter"/>
      <w:start w:val="1"/>
    </w:lvl>
  </w:abstractNum>
  <w:abstractNum w:abstractNumId="62">
    <w:nsid w:val="15014ACB"/>
    <w:multiLevelType w:val="hybridMultilevel"/>
    <w:lvl w:ilvl="0">
      <w:lvlJc w:val="left"/>
      <w:lvlText w:val="(%1)"/>
      <w:numFmt w:val="lowerLetter"/>
      <w:start w:val="1"/>
    </w:lvl>
    <w:lvl w:ilvl="1">
      <w:lvlJc w:val="left"/>
      <w:lvlText w:val="(%2)"/>
      <w:numFmt w:val="lowerLetter"/>
      <w:start w:val="3"/>
    </w:lvl>
  </w:abstractNum>
  <w:abstractNum w:abstractNumId="63">
    <w:nsid w:val="5F5E7FD0"/>
    <w:multiLevelType w:val="hybridMultilevel"/>
    <w:lvl w:ilvl="0">
      <w:lvlJc w:val="left"/>
      <w:lvlText w:val="(%1)"/>
      <w:numFmt w:val="lowerLetter"/>
      <w:start w:val="1"/>
    </w:lvl>
  </w:abstractNum>
  <w:abstractNum w:abstractNumId="64">
    <w:nsid w:val="98A3148"/>
    <w:multiLevelType w:val="hybridMultilevel"/>
    <w:lvl w:ilvl="0">
      <w:lvlJc w:val="left"/>
      <w:lvlText w:val="(%1)"/>
      <w:numFmt w:val="lowerLetter"/>
      <w:start w:val="1"/>
    </w:lvl>
  </w:abstractNum>
  <w:abstractNum w:abstractNumId="65">
    <w:nsid w:val="799D0247"/>
    <w:multiLevelType w:val="hybridMultilevel"/>
    <w:lvl w:ilvl="0">
      <w:lvlJc w:val="left"/>
      <w:lvlText w:val="(%1)"/>
      <w:numFmt w:val="lowerLetter"/>
      <w:start w:val="1"/>
    </w:lvl>
  </w:abstractNum>
  <w:abstractNum w:abstractNumId="66">
    <w:nsid w:val="6B94764"/>
    <w:multiLevelType w:val="hybridMultilevel"/>
    <w:lvl w:ilvl="0">
      <w:lvlJc w:val="left"/>
      <w:lvlText w:val="(%1)"/>
      <w:numFmt w:val="lowerRoman"/>
      <w:start w:val="1"/>
    </w:lvl>
  </w:abstractNum>
  <w:abstractNum w:abstractNumId="67">
    <w:nsid w:val="42C296BD"/>
    <w:multiLevelType w:val="hybridMultilevel"/>
    <w:lvl w:ilvl="0">
      <w:lvlJc w:val="left"/>
      <w:lvlText w:val="(%1)"/>
      <w:numFmt w:val="lowerRoman"/>
      <w:start w:val="1"/>
    </w:lvl>
  </w:abstractNum>
  <w:abstractNum w:abstractNumId="68">
    <w:nsid w:val="168E121F"/>
    <w:multiLevelType w:val="hybridMultilevel"/>
    <w:lvl w:ilvl="0">
      <w:lvlJc w:val="left"/>
      <w:lvlText w:val="(%1)"/>
      <w:numFmt w:val="lowerRoman"/>
      <w:start w:val="1"/>
    </w:lvl>
  </w:abstractNum>
  <w:abstractNum w:abstractNumId="69">
    <w:nsid w:val="1EBA5D23"/>
    <w:multiLevelType w:val="hybridMultilevel"/>
    <w:lvl w:ilvl="0">
      <w:lvlJc w:val="left"/>
      <w:lvlText w:val="(%1)"/>
      <w:numFmt w:val="lowerLetter"/>
      <w:start w:val="1"/>
    </w:lvl>
  </w:abstractNum>
  <w:abstractNum w:abstractNumId="70">
    <w:nsid w:val="661E3F1E"/>
    <w:multiLevelType w:val="hybridMultilevel"/>
    <w:lvl w:ilvl="0">
      <w:lvlJc w:val="left"/>
      <w:lvlText w:val="(%1)"/>
      <w:numFmt w:val="lowerLetter"/>
      <w:start w:val="3"/>
    </w:lvl>
  </w:abstractNum>
  <w:abstractNum w:abstractNumId="71">
    <w:nsid w:val="5DC79EA8"/>
    <w:multiLevelType w:val="hybridMultilevel"/>
    <w:lvl w:ilvl="0">
      <w:lvlJc w:val="left"/>
      <w:lvlText w:val="(%1)"/>
      <w:numFmt w:val="lowerLetter"/>
      <w:start w:val="1"/>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
      <w:numFmt w:val="bullet"/>
      <w:start w:val="1"/>
    </w:lvl>
  </w:abstractNum>
  <w:abstractNum w:abstractNumId="74">
    <w:nsid w:val="51D9C564"/>
    <w:multiLevelType w:val="hybridMultilevel"/>
    <w:lvl w:ilvl="0">
      <w:lvlJc w:val="left"/>
      <w:lvlText w:val="%1."/>
      <w:numFmt w:val="decimal"/>
      <w:start w:val="1"/>
    </w:lvl>
    <w:lvl w:ilvl="1">
      <w:lvlJc w:val="left"/>
      <w:lvlText w:val="%2)"/>
      <w:numFmt w:val="lowerLetter"/>
      <w:start w:val="1"/>
    </w:lvl>
  </w:abstractNum>
  <w:abstractNum w:abstractNumId="75">
    <w:nsid w:val="613EFDC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52" Type="http://schemas.openxmlformats.org/officeDocument/2006/relationships/hyperlink" Target="http://www.sec.gov/Archives/edgar/data/1570585/000157058518000112/exhibit41-vmseniorfaciliti.htm" TargetMode="External"/><Relationship Id="rId53" Type="http://schemas.openxmlformats.org/officeDocument/2006/relationships/hyperlink" Target="http://www.sec.gov/Archives/edgar/data/1570585/000157058518000118/ex41march2018telenetrefico.htm" TargetMode="External"/><Relationship Id="rId54" Type="http://schemas.openxmlformats.org/officeDocument/2006/relationships/hyperlink" Target="http://www.sec.gov/Archives/edgar/data/1570585/000157058518000121/exhibit41-unitymediasscfam.htm" TargetMode="External"/><Relationship Id="rId55" Type="http://schemas.openxmlformats.org/officeDocument/2006/relationships/hyperlink" Target="http://www.sec.gov/Archives/edgar/data/1570585/000157058518000121/exhibit42-unitymediasfaame.htm" TargetMode="External"/><Relationship Id="rId56" Type="http://schemas.openxmlformats.org/officeDocument/2006/relationships/hyperlink" Target="http://www.sec.gov/Archives/edgar/data/1570585/000157058518000114/a2-27x188xklg502performanc.htm" TargetMode="External"/><Relationship Id="rId57" Type="http://schemas.openxmlformats.org/officeDocument/2006/relationships/hyperlink" Target="http://www.sec.gov/Archives/edgar/data/1570585/000157058518000138/a3-21x188xklg502performa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2019-12-28T22:31:58Z</dcterms:created>
  <dcterms:modified xsi:type="dcterms:W3CDTF">2019-12-28T22:31:58Z</dcterms:modified>
</cp:coreProperties>
</file>