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272415</wp:posOffset>
            </wp:positionH>
            <wp:positionV relativeFrom="page">
              <wp:posOffset>318135</wp:posOffset>
            </wp:positionV>
            <wp:extent cx="701103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11035" cy="7620"/>
                    </a:xfrm>
                    <a:prstGeom prst="rect">
                      <a:avLst/>
                    </a:prstGeom>
                    <a:noFill/>
                  </pic:spPr>
                </pic:pic>
              </a:graphicData>
            </a:graphic>
          </wp:anchor>
        </w:drawing>
        <w:drawing>
          <wp:anchor simplePos="0" relativeHeight="251657728" behindDoc="1" locked="0" layoutInCell="0" allowOverlap="1">
            <wp:simplePos x="0" y="0"/>
            <wp:positionH relativeFrom="page">
              <wp:posOffset>272415</wp:posOffset>
            </wp:positionH>
            <wp:positionV relativeFrom="page">
              <wp:posOffset>236855</wp:posOffset>
            </wp:positionV>
            <wp:extent cx="7011035" cy="146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1035" cy="14605"/>
                    </a:xfrm>
                    <a:prstGeom prst="rect">
                      <a:avLst/>
                    </a:prstGeom>
                    <a:noFill/>
                  </pic:spPr>
                </pic:pic>
              </a:graphicData>
            </a:graphic>
          </wp:anchor>
        </w:drawing>
        <w:t>UNITED STATES SECURITIES AND EXCHANGE COMMISSION</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Washington, D.C. 20549</w:t>
      </w: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10-Q</w:t>
      </w:r>
    </w:p>
    <w:p>
      <w:pPr>
        <w:ind w:left="920" w:hanging="904"/>
        <w:spacing w:after="0" w:line="225" w:lineRule="auto"/>
        <w:tabs>
          <w:tab w:leader="none" w:pos="920" w:val="left"/>
        </w:tabs>
        <w:numPr>
          <w:ilvl w:val="0"/>
          <w:numId w:val="1"/>
        </w:numPr>
        <w:rPr>
          <w:rFonts w:ascii="MS PGothic" w:cs="MS PGothic" w:eastAsia="MS PGothic" w:hAnsi="MS PGothic"/>
          <w:sz w:val="40"/>
          <w:szCs w:val="40"/>
          <w:color w:val="auto"/>
          <w:vertAlign w:val="subscript"/>
        </w:rPr>
      </w:pPr>
      <w:r>
        <w:rPr>
          <w:rFonts w:ascii="Arial" w:cs="Arial" w:eastAsia="Arial" w:hAnsi="Arial"/>
          <w:sz w:val="16"/>
          <w:szCs w:val="16"/>
          <w:b w:val="1"/>
          <w:bCs w:val="1"/>
          <w:color w:val="auto"/>
        </w:rPr>
        <w:t>QUARTERLY REPORT PURSUANT TO SECTION 13 OR 15(d) OF THE SECURITIES EXCHANGE ACT OF 1934</w:t>
      </w:r>
    </w:p>
    <w:p>
      <w:pPr>
        <w:spacing w:after="0" w:line="159" w:lineRule="exact"/>
        <w:rPr>
          <w:sz w:val="24"/>
          <w:szCs w:val="24"/>
          <w:color w:val="auto"/>
        </w:rPr>
      </w:pPr>
    </w:p>
    <w:p>
      <w:pPr>
        <w:ind w:left="1720"/>
        <w:spacing w:after="0"/>
        <w:rPr>
          <w:sz w:val="20"/>
          <w:szCs w:val="20"/>
          <w:color w:val="auto"/>
        </w:rPr>
      </w:pPr>
      <w:r>
        <w:rPr>
          <w:rFonts w:ascii="Arial" w:cs="Arial" w:eastAsia="Arial" w:hAnsi="Arial"/>
          <w:sz w:val="14"/>
          <w:szCs w:val="14"/>
          <w:b w:val="1"/>
          <w:bCs w:val="1"/>
          <w:color w:val="auto"/>
        </w:rPr>
        <w:t>For the quarterly period ended June 30, 2020</w:t>
      </w:r>
    </w:p>
    <w:p>
      <w:pPr>
        <w:spacing w:after="0" w:line="37"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OR</w:t>
      </w:r>
    </w:p>
    <w:p>
      <w:pPr>
        <w:ind w:left="920" w:hanging="904"/>
        <w:spacing w:after="0" w:line="213" w:lineRule="auto"/>
        <w:tabs>
          <w:tab w:leader="none" w:pos="920" w:val="left"/>
        </w:tabs>
        <w:numPr>
          <w:ilvl w:val="0"/>
          <w:numId w:val="2"/>
        </w:numPr>
        <w:rPr>
          <w:rFonts w:ascii="MS PGothic" w:cs="MS PGothic" w:eastAsia="MS PGothic" w:hAnsi="MS PGothic"/>
          <w:sz w:val="40"/>
          <w:szCs w:val="40"/>
          <w:color w:val="auto"/>
          <w:vertAlign w:val="subscript"/>
        </w:rPr>
      </w:pPr>
      <w:r>
        <w:rPr>
          <w:rFonts w:ascii="Arial" w:cs="Arial" w:eastAsia="Arial" w:hAnsi="Arial"/>
          <w:sz w:val="16"/>
          <w:szCs w:val="16"/>
          <w:b w:val="1"/>
          <w:bCs w:val="1"/>
          <w:color w:val="auto"/>
        </w:rPr>
        <w:t>TRANSITION REPORT PURSUANT TO SECTION 13 OR 15(d) OF THE SECURITIES EXCHANGE ACT OF 1934</w:t>
      </w:r>
    </w:p>
    <w:p>
      <w:pPr>
        <w:spacing w:after="0" w:line="159" w:lineRule="exact"/>
        <w:rPr>
          <w:sz w:val="24"/>
          <w:szCs w:val="24"/>
          <w:color w:val="auto"/>
        </w:rPr>
      </w:pPr>
    </w:p>
    <w:p>
      <w:pPr>
        <w:ind w:left="920"/>
        <w:spacing w:after="0"/>
        <w:tabs>
          <w:tab w:leader="none" w:pos="344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83"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Commission file number 001-35961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3275965</wp:posOffset>
            </wp:positionH>
            <wp:positionV relativeFrom="paragraph">
              <wp:posOffset>38735</wp:posOffset>
            </wp:positionV>
            <wp:extent cx="598170" cy="5981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8170" cy="5981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Liberty Global plc</w:t>
      </w:r>
    </w:p>
    <w:p>
      <w:pPr>
        <w:spacing w:after="0" w:line="42" w:lineRule="exact"/>
        <w:rPr>
          <w:sz w:val="24"/>
          <w:szCs w:val="24"/>
          <w:color w:val="auto"/>
        </w:rPr>
      </w:pPr>
    </w:p>
    <w:p>
      <w:pPr>
        <w:jc w:val="center"/>
        <w:ind w:right="20"/>
        <w:spacing w:after="0"/>
        <w:rPr>
          <w:sz w:val="20"/>
          <w:szCs w:val="20"/>
          <w:color w:val="auto"/>
        </w:rPr>
      </w:pPr>
      <w:r>
        <w:rPr>
          <w:rFonts w:ascii="Arial" w:cs="Arial" w:eastAsia="Arial" w:hAnsi="Arial"/>
          <w:sz w:val="12"/>
          <w:szCs w:val="12"/>
          <w:i w:val="1"/>
          <w:iCs w:val="1"/>
          <w:color w:val="auto"/>
        </w:rPr>
        <w:t>(Exact name of Registrant as specified in its charter)</w:t>
      </w:r>
    </w:p>
    <w:p>
      <w:pPr>
        <w:sectPr>
          <w:pgSz w:w="11900" w:h="16838" w:orient="portrait"/>
          <w:cols w:equalWidth="0" w:num="1">
            <w:col w:w="11260"/>
          </w:cols>
          <w:pgMar w:left="320" w:top="524" w:right="319" w:bottom="1440" w:gutter="0" w:footer="0" w:header="0"/>
        </w:sectPr>
      </w:pPr>
    </w:p>
    <w:p>
      <w:pPr>
        <w:spacing w:after="0" w:line="137" w:lineRule="exact"/>
        <w:rPr>
          <w:sz w:val="24"/>
          <w:szCs w:val="24"/>
          <w:color w:val="auto"/>
        </w:rPr>
      </w:pPr>
    </w:p>
    <w:p>
      <w:pPr>
        <w:ind w:left="3360"/>
        <w:spacing w:after="0"/>
        <w:rPr>
          <w:sz w:val="20"/>
          <w:szCs w:val="20"/>
          <w:color w:val="auto"/>
        </w:rPr>
      </w:pPr>
      <w:r>
        <w:rPr>
          <w:rFonts w:ascii="Arial" w:cs="Arial" w:eastAsia="Arial" w:hAnsi="Arial"/>
          <w:sz w:val="11"/>
          <w:szCs w:val="11"/>
          <w:b w:val="1"/>
          <w:bCs w:val="1"/>
          <w:color w:val="auto"/>
        </w:rPr>
        <w:t>England and Wales</w:t>
      </w:r>
    </w:p>
    <w:p>
      <w:pPr>
        <w:spacing w:after="0" w:line="20" w:lineRule="exact"/>
        <w:rPr>
          <w:sz w:val="24"/>
          <w:szCs w:val="24"/>
          <w:color w:val="auto"/>
        </w:rPr>
      </w:pPr>
      <w:r>
        <w:rPr>
          <w:sz w:val="24"/>
          <w:szCs w:val="24"/>
          <w:color w:val="auto"/>
        </w:rPr>
        <w:br w:type="column"/>
      </w:r>
    </w:p>
    <w:p>
      <w:pPr>
        <w:spacing w:after="0" w:line="117"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98-1112770</w:t>
      </w:r>
    </w:p>
    <w:p>
      <w:pPr>
        <w:spacing w:after="0" w:line="63" w:lineRule="exact"/>
        <w:rPr>
          <w:sz w:val="24"/>
          <w:szCs w:val="24"/>
          <w:color w:val="auto"/>
        </w:rPr>
      </w:pPr>
    </w:p>
    <w:p>
      <w:pPr>
        <w:sectPr>
          <w:pgSz w:w="11900" w:h="16838" w:orient="portrait"/>
          <w:cols w:equalWidth="0" w:num="2">
            <w:col w:w="6400" w:space="720"/>
            <w:col w:w="4140"/>
          </w:cols>
          <w:pgMar w:left="320" w:top="524" w:right="319" w:bottom="1440" w:gutter="0" w:footer="0" w:header="0"/>
          <w:type w:val="continuous"/>
        </w:sectPr>
      </w:pPr>
    </w:p>
    <w:p>
      <w:pPr>
        <w:ind w:left="3140"/>
        <w:spacing w:after="0"/>
        <w:rPr>
          <w:sz w:val="20"/>
          <w:szCs w:val="20"/>
          <w:color w:val="auto"/>
        </w:rPr>
      </w:pPr>
      <w:r>
        <w:rPr>
          <w:rFonts w:ascii="Arial" w:cs="Arial" w:eastAsia="Arial" w:hAnsi="Arial"/>
          <w:sz w:val="11"/>
          <w:szCs w:val="11"/>
          <w:i w:val="1"/>
          <w:iCs w:val="1"/>
          <w:color w:val="auto"/>
        </w:rPr>
        <w:t>(State or other jurisdiction of</w:t>
      </w:r>
    </w:p>
    <w:p>
      <w:pPr>
        <w:spacing w:after="0" w:line="11" w:lineRule="exact"/>
        <w:rPr>
          <w:sz w:val="24"/>
          <w:szCs w:val="24"/>
          <w:color w:val="auto"/>
        </w:rPr>
      </w:pPr>
    </w:p>
    <w:p>
      <w:pPr>
        <w:ind w:left="3100"/>
        <w:spacing w:after="0"/>
        <w:rPr>
          <w:sz w:val="20"/>
          <w:szCs w:val="20"/>
          <w:color w:val="auto"/>
        </w:rPr>
      </w:pPr>
      <w:r>
        <w:rPr>
          <w:rFonts w:ascii="Arial" w:cs="Arial" w:eastAsia="Arial" w:hAnsi="Arial"/>
          <w:sz w:val="11"/>
          <w:szCs w:val="11"/>
          <w:i w:val="1"/>
          <w:i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3400"/>
        <w:spacing w:after="0"/>
        <w:rPr>
          <w:sz w:val="20"/>
          <w:szCs w:val="20"/>
          <w:color w:val="auto"/>
        </w:rPr>
      </w:pPr>
      <w:r>
        <w:rPr>
          <w:rFonts w:ascii="Arial" w:cs="Arial" w:eastAsia="Arial" w:hAnsi="Arial"/>
          <w:sz w:val="12"/>
          <w:szCs w:val="12"/>
          <w:i w:val="1"/>
          <w:iCs w:val="1"/>
          <w:color w:val="auto"/>
        </w:rPr>
        <w:t>(I.R.S. Employer</w:t>
      </w:r>
    </w:p>
    <w:p>
      <w:pPr>
        <w:jc w:val="center"/>
        <w:ind w:right="3400"/>
        <w:spacing w:after="0"/>
        <w:rPr>
          <w:sz w:val="20"/>
          <w:szCs w:val="20"/>
          <w:color w:val="auto"/>
        </w:rPr>
      </w:pPr>
      <w:r>
        <w:rPr>
          <w:rFonts w:ascii="Arial" w:cs="Arial" w:eastAsia="Arial" w:hAnsi="Arial"/>
          <w:sz w:val="11"/>
          <w:szCs w:val="11"/>
          <w:i w:val="1"/>
          <w:iCs w:val="1"/>
          <w:color w:val="auto"/>
        </w:rPr>
        <w:t>Identification No.)</w:t>
      </w:r>
    </w:p>
    <w:p>
      <w:pPr>
        <w:spacing w:after="0" w:line="200" w:lineRule="exact"/>
        <w:rPr>
          <w:sz w:val="24"/>
          <w:szCs w:val="24"/>
          <w:color w:val="auto"/>
        </w:rPr>
      </w:pPr>
    </w:p>
    <w:p>
      <w:pPr>
        <w:sectPr>
          <w:pgSz w:w="11900" w:h="16838" w:orient="portrait"/>
          <w:cols w:equalWidth="0" w:num="2">
            <w:col w:w="6240" w:space="720"/>
            <w:col w:w="4300"/>
          </w:cols>
          <w:pgMar w:left="320" w:top="524" w:right="319" w:bottom="1440" w:gutter="0" w:footer="0" w:header="0"/>
          <w:type w:val="continuous"/>
        </w:sectPr>
      </w:pPr>
    </w:p>
    <w:p>
      <w:pPr>
        <w:spacing w:after="0" w:line="9" w:lineRule="exact"/>
        <w:rPr>
          <w:sz w:val="24"/>
          <w:szCs w:val="24"/>
          <w:color w:val="auto"/>
        </w:rPr>
      </w:pPr>
    </w:p>
    <w:p>
      <w:pPr>
        <w:jc w:val="center"/>
        <w:ind w:right="3520"/>
        <w:spacing w:after="0"/>
        <w:rPr>
          <w:sz w:val="20"/>
          <w:szCs w:val="20"/>
          <w:color w:val="auto"/>
        </w:rPr>
      </w:pPr>
      <w:r>
        <w:rPr>
          <w:rFonts w:ascii="Arial" w:cs="Arial" w:eastAsia="Arial" w:hAnsi="Arial"/>
          <w:sz w:val="12"/>
          <w:szCs w:val="12"/>
          <w:b w:val="1"/>
          <w:bCs w:val="1"/>
          <w:color w:val="auto"/>
        </w:rPr>
        <w:t>Griffin House</w:t>
      </w:r>
    </w:p>
    <w:p>
      <w:pPr>
        <w:spacing w:after="0" w:line="95" w:lineRule="exact"/>
        <w:rPr>
          <w:sz w:val="24"/>
          <w:szCs w:val="24"/>
          <w:color w:val="auto"/>
        </w:rPr>
      </w:pPr>
    </w:p>
    <w:p>
      <w:pPr>
        <w:jc w:val="center"/>
        <w:ind w:right="3520"/>
        <w:spacing w:after="0"/>
        <w:rPr>
          <w:sz w:val="20"/>
          <w:szCs w:val="20"/>
          <w:color w:val="auto"/>
        </w:rPr>
      </w:pPr>
      <w:r>
        <w:rPr>
          <w:rFonts w:ascii="Arial" w:cs="Arial" w:eastAsia="Arial" w:hAnsi="Arial"/>
          <w:sz w:val="11"/>
          <w:szCs w:val="11"/>
          <w:b w:val="1"/>
          <w:bCs w:val="1"/>
          <w:color w:val="auto"/>
        </w:rPr>
        <w:t>161 Hammersmith Rd</w:t>
      </w:r>
    </w:p>
    <w:p>
      <w:pPr>
        <w:spacing w:after="0" w:line="106" w:lineRule="exact"/>
        <w:rPr>
          <w:sz w:val="24"/>
          <w:szCs w:val="24"/>
          <w:color w:val="auto"/>
        </w:rPr>
      </w:pPr>
    </w:p>
    <w:p>
      <w:pPr>
        <w:jc w:val="center"/>
        <w:ind w:right="3520"/>
        <w:spacing w:after="0"/>
        <w:rPr>
          <w:sz w:val="20"/>
          <w:szCs w:val="20"/>
          <w:color w:val="auto"/>
        </w:rPr>
      </w:pPr>
      <w:r>
        <w:rPr>
          <w:rFonts w:ascii="Arial" w:cs="Arial" w:eastAsia="Arial" w:hAnsi="Arial"/>
          <w:sz w:val="12"/>
          <w:szCs w:val="12"/>
          <w:b w:val="1"/>
          <w:bCs w:val="1"/>
          <w:color w:val="auto"/>
        </w:rPr>
        <w:t>London</w:t>
      </w:r>
    </w:p>
    <w:p>
      <w:pPr>
        <w:sectPr>
          <w:pgSz w:w="11900" w:h="16838" w:orient="portrait"/>
          <w:cols w:equalWidth="0" w:num="1">
            <w:col w:w="11260"/>
          </w:cols>
          <w:pgMar w:left="320" w:top="524" w:right="319" w:bottom="1440" w:gutter="0" w:footer="0" w:header="0"/>
          <w:type w:val="continuous"/>
        </w:sectPr>
      </w:pPr>
    </w:p>
    <w:p>
      <w:pPr>
        <w:spacing w:after="0" w:line="95" w:lineRule="exact"/>
        <w:rPr>
          <w:sz w:val="24"/>
          <w:szCs w:val="24"/>
          <w:color w:val="auto"/>
        </w:rPr>
      </w:pPr>
    </w:p>
    <w:p>
      <w:pPr>
        <w:ind w:left="3440"/>
        <w:spacing w:after="0"/>
        <w:rPr>
          <w:sz w:val="20"/>
          <w:szCs w:val="20"/>
          <w:color w:val="auto"/>
        </w:rPr>
      </w:pPr>
      <w:r>
        <w:rPr>
          <w:rFonts w:ascii="Arial" w:cs="Arial" w:eastAsia="Arial" w:hAnsi="Arial"/>
          <w:sz w:val="11"/>
          <w:szCs w:val="11"/>
          <w:b w:val="1"/>
          <w:bCs w:val="1"/>
          <w:color w:val="auto"/>
        </w:rPr>
        <w:t>United Kingdom</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W6 8BS</w:t>
      </w:r>
    </w:p>
    <w:p>
      <w:pPr>
        <w:spacing w:after="0" w:line="52" w:lineRule="exact"/>
        <w:rPr>
          <w:sz w:val="24"/>
          <w:szCs w:val="24"/>
          <w:color w:val="auto"/>
        </w:rPr>
      </w:pPr>
    </w:p>
    <w:p>
      <w:pPr>
        <w:sectPr>
          <w:pgSz w:w="11900" w:h="16838" w:orient="portrait"/>
          <w:cols w:equalWidth="0" w:num="2">
            <w:col w:w="6480" w:space="720"/>
            <w:col w:w="4060"/>
          </w:cols>
          <w:pgMar w:left="320" w:top="524" w:right="319" w:bottom="1440" w:gutter="0" w:footer="0" w:header="0"/>
          <w:type w:val="continuous"/>
        </w:sectPr>
      </w:pPr>
    </w:p>
    <w:p>
      <w:pPr>
        <w:ind w:left="2900"/>
        <w:spacing w:after="0"/>
        <w:rPr>
          <w:sz w:val="20"/>
          <w:szCs w:val="20"/>
          <w:color w:val="auto"/>
        </w:rPr>
      </w:pPr>
      <w:r>
        <w:rPr>
          <w:rFonts w:ascii="Arial" w:cs="Arial" w:eastAsia="Arial" w:hAnsi="Arial"/>
          <w:sz w:val="11"/>
          <w:szCs w:val="11"/>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i w:val="1"/>
          <w:iCs w:val="1"/>
          <w:color w:val="auto"/>
        </w:rPr>
        <w:t>(Zip Code)</w:t>
      </w:r>
    </w:p>
    <w:p>
      <w:pPr>
        <w:spacing w:after="0" w:line="102" w:lineRule="exact"/>
        <w:rPr>
          <w:sz w:val="24"/>
          <w:szCs w:val="24"/>
          <w:color w:val="auto"/>
        </w:rPr>
      </w:pPr>
    </w:p>
    <w:p>
      <w:pPr>
        <w:sectPr>
          <w:pgSz w:w="11900" w:h="16838" w:orient="portrait"/>
          <w:cols w:equalWidth="0" w:num="2">
            <w:col w:w="6420" w:space="720"/>
            <w:col w:w="4120"/>
          </w:cols>
          <w:pgMar w:left="320" w:top="524" w:right="319" w:bottom="1440" w:gutter="0" w:footer="0" w:header="0"/>
          <w:type w:val="continuous"/>
        </w:sectPr>
      </w:pPr>
    </w:p>
    <w:p>
      <w:pPr>
        <w:jc w:val="center"/>
        <w:spacing w:after="0"/>
        <w:rPr>
          <w:sz w:val="20"/>
          <w:szCs w:val="20"/>
          <w:color w:val="auto"/>
        </w:rPr>
      </w:pPr>
      <w:r>
        <w:rPr>
          <w:rFonts w:ascii="Arial" w:cs="Arial" w:eastAsia="Arial" w:hAnsi="Arial"/>
          <w:sz w:val="13"/>
          <w:szCs w:val="13"/>
          <w:color w:val="auto"/>
        </w:rPr>
        <w:t>Registrant’s telephone number, including area code:</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+44.208.483.6449 or 303.220.6600</w:t>
      </w:r>
    </w:p>
    <w:p>
      <w:pPr>
        <w:spacing w:after="0" w:line="95"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Securities registered pursuant to Section 12(b) of the Act:</w:t>
      </w:r>
    </w:p>
    <w:p>
      <w:pPr>
        <w:sectPr>
          <w:pgSz w:w="11900" w:h="16838" w:orient="portrait"/>
          <w:cols w:equalWidth="0" w:num="1">
            <w:col w:w="11260"/>
          </w:cols>
          <w:pgMar w:left="320" w:top="524" w:right="319" w:bottom="1440" w:gutter="0" w:footer="0" w:header="0"/>
          <w:type w:val="continuous"/>
        </w:sectPr>
      </w:pPr>
    </w:p>
    <w:p>
      <w:pPr>
        <w:spacing w:after="0" w:line="172" w:lineRule="exact"/>
        <w:rPr>
          <w:sz w:val="24"/>
          <w:szCs w:val="24"/>
          <w:color w:val="auto"/>
        </w:rPr>
      </w:pPr>
    </w:p>
    <w:p>
      <w:pPr>
        <w:ind w:left="2000"/>
        <w:spacing w:after="0"/>
        <w:rPr>
          <w:sz w:val="20"/>
          <w:szCs w:val="20"/>
          <w:color w:val="auto"/>
        </w:rPr>
      </w:pPr>
      <w:r>
        <w:rPr>
          <w:rFonts w:ascii="Arial" w:cs="Arial" w:eastAsia="Arial" w:hAnsi="Arial"/>
          <w:sz w:val="12"/>
          <w:szCs w:val="12"/>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Trading Symbol(s)</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Name of each exchange on which registered</w:t>
      </w:r>
    </w:p>
    <w:p>
      <w:pPr>
        <w:spacing w:after="0" w:line="192" w:lineRule="exact"/>
        <w:rPr>
          <w:sz w:val="24"/>
          <w:szCs w:val="24"/>
          <w:color w:val="auto"/>
        </w:rPr>
      </w:pPr>
    </w:p>
    <w:p>
      <w:pPr>
        <w:sectPr>
          <w:pgSz w:w="11900" w:h="16838" w:orient="portrait"/>
          <w:cols w:equalWidth="0" w:num="3">
            <w:col w:w="3980" w:space="720"/>
            <w:col w:w="1640" w:space="720"/>
            <w:col w:w="4200"/>
          </w:cols>
          <w:pgMar w:left="320" w:top="524" w:right="319" w:bottom="1440" w:gutter="0" w:footer="0" w:header="0"/>
          <w:type w:val="continuous"/>
        </w:sectPr>
      </w:pPr>
    </w:p>
    <w:p>
      <w:pPr>
        <w:jc w:val="center"/>
        <w:ind w:left="740"/>
        <w:spacing w:after="0"/>
        <w:rPr>
          <w:sz w:val="20"/>
          <w:szCs w:val="20"/>
          <w:color w:val="auto"/>
        </w:rPr>
      </w:pPr>
      <w:r>
        <w:rPr>
          <w:rFonts w:ascii="Arial" w:cs="Arial" w:eastAsia="Arial" w:hAnsi="Arial"/>
          <w:sz w:val="12"/>
          <w:szCs w:val="12"/>
          <w:color w:val="auto"/>
        </w:rPr>
        <w:t>Class A ordinary shares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LBTYA</w:t>
      </w:r>
    </w:p>
    <w:p>
      <w:pPr>
        <w:spacing w:after="0" w:line="20" w:lineRule="exact"/>
        <w:rPr>
          <w:sz w:val="24"/>
          <w:szCs w:val="24"/>
          <w:color w:val="auto"/>
        </w:rPr>
      </w:pPr>
      <w:r>
        <w:rPr>
          <w:sz w:val="24"/>
          <w:szCs w:val="24"/>
          <w:color w:val="auto"/>
        </w:rPr>
        <w:br w:type="column"/>
      </w:r>
    </w:p>
    <w:p>
      <w:pPr>
        <w:jc w:val="center"/>
        <w:ind w:right="2080"/>
        <w:spacing w:after="0"/>
        <w:rPr>
          <w:sz w:val="20"/>
          <w:szCs w:val="20"/>
          <w:color w:val="auto"/>
        </w:rPr>
      </w:pPr>
      <w:r>
        <w:rPr>
          <w:rFonts w:ascii="Arial" w:cs="Arial" w:eastAsia="Arial" w:hAnsi="Arial"/>
          <w:sz w:val="12"/>
          <w:szCs w:val="12"/>
          <w:color w:val="auto"/>
        </w:rPr>
        <w:t>Nasdaq Global Select Market</w:t>
      </w:r>
    </w:p>
    <w:p>
      <w:pPr>
        <w:spacing w:after="0" w:line="83" w:lineRule="exact"/>
        <w:rPr>
          <w:sz w:val="24"/>
          <w:szCs w:val="24"/>
          <w:color w:val="auto"/>
        </w:rPr>
      </w:pPr>
    </w:p>
    <w:p>
      <w:pPr>
        <w:sectPr>
          <w:pgSz w:w="11900" w:h="16838" w:orient="portrait"/>
          <w:cols w:equalWidth="0" w:num="3">
            <w:col w:w="4300" w:space="720"/>
            <w:col w:w="1780" w:space="720"/>
            <w:col w:w="3740"/>
          </w:cols>
          <w:pgMar w:left="320" w:top="524" w:right="319" w:bottom="1440" w:gutter="0" w:footer="0" w:header="0"/>
          <w:type w:val="continuous"/>
        </w:sectPr>
      </w:pPr>
    </w:p>
    <w:p>
      <w:pPr>
        <w:jc w:val="center"/>
        <w:ind w:left="740"/>
        <w:spacing w:after="0"/>
        <w:rPr>
          <w:sz w:val="20"/>
          <w:szCs w:val="20"/>
          <w:color w:val="auto"/>
        </w:rPr>
      </w:pPr>
      <w:r>
        <w:rPr>
          <w:rFonts w:ascii="Arial" w:cs="Arial" w:eastAsia="Arial" w:hAnsi="Arial"/>
          <w:sz w:val="12"/>
          <w:szCs w:val="12"/>
          <w:color w:val="auto"/>
        </w:rPr>
        <w:t>Class B ordinary shares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LBTYB</w:t>
      </w:r>
    </w:p>
    <w:p>
      <w:pPr>
        <w:spacing w:after="0" w:line="20" w:lineRule="exact"/>
        <w:rPr>
          <w:sz w:val="24"/>
          <w:szCs w:val="24"/>
          <w:color w:val="auto"/>
        </w:rPr>
      </w:pPr>
      <w:r>
        <w:rPr>
          <w:sz w:val="24"/>
          <w:szCs w:val="24"/>
          <w:color w:val="auto"/>
        </w:rPr>
        <w:br w:type="column"/>
      </w:r>
    </w:p>
    <w:p>
      <w:pPr>
        <w:jc w:val="center"/>
        <w:ind w:right="2080"/>
        <w:spacing w:after="0"/>
        <w:rPr>
          <w:sz w:val="20"/>
          <w:szCs w:val="20"/>
          <w:color w:val="auto"/>
        </w:rPr>
      </w:pPr>
      <w:r>
        <w:rPr>
          <w:rFonts w:ascii="Arial" w:cs="Arial" w:eastAsia="Arial" w:hAnsi="Arial"/>
          <w:sz w:val="12"/>
          <w:szCs w:val="12"/>
          <w:color w:val="auto"/>
        </w:rPr>
        <w:t>Nasdaq Global Select Market</w:t>
      </w:r>
    </w:p>
    <w:p>
      <w:pPr>
        <w:spacing w:after="0" w:line="83" w:lineRule="exact"/>
        <w:rPr>
          <w:sz w:val="24"/>
          <w:szCs w:val="24"/>
          <w:color w:val="auto"/>
        </w:rPr>
      </w:pPr>
    </w:p>
    <w:p>
      <w:pPr>
        <w:sectPr>
          <w:pgSz w:w="11900" w:h="16838" w:orient="portrait"/>
          <w:cols w:equalWidth="0" w:num="3">
            <w:col w:w="4300" w:space="720"/>
            <w:col w:w="1780" w:space="720"/>
            <w:col w:w="3740"/>
          </w:cols>
          <w:pgMar w:left="320" w:top="524" w:right="319" w:bottom="1440" w:gutter="0" w:footer="0" w:header="0"/>
          <w:type w:val="continuous"/>
        </w:sectPr>
      </w:pPr>
    </w:p>
    <w:p>
      <w:pPr>
        <w:jc w:val="center"/>
        <w:ind w:left="740"/>
        <w:spacing w:after="0"/>
        <w:rPr>
          <w:sz w:val="20"/>
          <w:szCs w:val="20"/>
          <w:color w:val="auto"/>
        </w:rPr>
      </w:pPr>
      <w:r>
        <w:rPr>
          <w:rFonts w:ascii="Arial" w:cs="Arial" w:eastAsia="Arial" w:hAnsi="Arial"/>
          <w:sz w:val="12"/>
          <w:szCs w:val="12"/>
          <w:color w:val="auto"/>
        </w:rPr>
        <w:t>Class C ordinary shares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LBTYK</w:t>
      </w:r>
    </w:p>
    <w:p>
      <w:pPr>
        <w:spacing w:after="0" w:line="20" w:lineRule="exact"/>
        <w:rPr>
          <w:sz w:val="24"/>
          <w:szCs w:val="24"/>
          <w:color w:val="auto"/>
        </w:rPr>
      </w:pPr>
      <w:r>
        <w:rPr>
          <w:sz w:val="24"/>
          <w:szCs w:val="24"/>
          <w:color w:val="auto"/>
        </w:rPr>
        <w:br w:type="column"/>
      </w:r>
    </w:p>
    <w:p>
      <w:pPr>
        <w:jc w:val="center"/>
        <w:ind w:right="2080"/>
        <w:spacing w:after="0"/>
        <w:rPr>
          <w:sz w:val="20"/>
          <w:szCs w:val="20"/>
          <w:color w:val="auto"/>
        </w:rPr>
      </w:pPr>
      <w:r>
        <w:rPr>
          <w:rFonts w:ascii="Arial" w:cs="Arial" w:eastAsia="Arial" w:hAnsi="Arial"/>
          <w:sz w:val="12"/>
          <w:szCs w:val="12"/>
          <w:color w:val="auto"/>
        </w:rPr>
        <w:t>Nasdaq Global Select Market</w:t>
      </w:r>
    </w:p>
    <w:p>
      <w:pPr>
        <w:spacing w:after="0" w:line="223" w:lineRule="exact"/>
        <w:rPr>
          <w:sz w:val="24"/>
          <w:szCs w:val="24"/>
          <w:color w:val="auto"/>
        </w:rPr>
      </w:pPr>
    </w:p>
    <w:p>
      <w:pPr>
        <w:sectPr>
          <w:pgSz w:w="11900" w:h="16838" w:orient="portrait"/>
          <w:cols w:equalWidth="0" w:num="3">
            <w:col w:w="4300" w:space="720"/>
            <w:col w:w="1780" w:space="720"/>
            <w:col w:w="3740"/>
          </w:cols>
          <w:pgMar w:left="320" w:top="524" w:right="319" w:bottom="1440" w:gutter="0" w:footer="0" w:header="0"/>
          <w:type w:val="continuous"/>
        </w:sectPr>
      </w:pPr>
    </w:p>
    <w:p>
      <w:pPr>
        <w:spacing w:after="0" w:line="69" w:lineRule="exact"/>
        <w:rPr>
          <w:sz w:val="24"/>
          <w:szCs w:val="24"/>
          <w:color w:val="auto"/>
        </w:rPr>
      </w:pPr>
    </w:p>
    <w:p>
      <w:pPr>
        <w:ind w:right="240"/>
        <w:spacing w:after="0" w:line="17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1" w:lineRule="exact"/>
        <w:rPr>
          <w:sz w:val="24"/>
          <w:szCs w:val="24"/>
          <w:color w:val="auto"/>
        </w:rPr>
      </w:pPr>
    </w:p>
    <w:p>
      <w:pPr>
        <w:ind w:right="60"/>
        <w:spacing w:after="0" w:line="17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1" w:lineRule="exact"/>
        <w:rPr>
          <w:sz w:val="24"/>
          <w:szCs w:val="24"/>
          <w:color w:val="auto"/>
        </w:rPr>
      </w:pPr>
    </w:p>
    <w:p>
      <w:pPr>
        <w:spacing w:after="0" w:line="26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 w:lineRule="exact"/>
        <w:rPr>
          <w:sz w:val="24"/>
          <w:szCs w:val="24"/>
          <w:color w:val="auto"/>
        </w:rPr>
      </w:pPr>
    </w:p>
    <w:p>
      <w:pPr>
        <w:ind w:left="350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Non-Accelerated Filer </w:t>
      </w:r>
      <w:r>
        <w:rPr>
          <w:rFonts w:ascii="MS PGothic" w:cs="MS PGothic" w:eastAsia="MS PGothic" w:hAnsi="MS PGothic"/>
          <w:sz w:val="14"/>
          <w:szCs w:val="14"/>
          <w:color w:val="auto"/>
        </w:rPr>
        <w:t>☐</w:t>
      </w:r>
    </w:p>
    <w:p>
      <w:pPr>
        <w:spacing w:after="0" w:line="58" w:lineRule="exact"/>
        <w:rPr>
          <w:sz w:val="24"/>
          <w:szCs w:val="24"/>
          <w:color w:val="auto"/>
        </w:rPr>
      </w:pPr>
    </w:p>
    <w:p>
      <w:pPr>
        <w:ind w:left="3800"/>
        <w:spacing w:after="0" w:line="196"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7"/>
          <w:szCs w:val="17"/>
          <w:color w:val="auto"/>
        </w:rPr>
        <w:t>☐</w:t>
      </w:r>
      <w:r>
        <w:rPr>
          <w:rFonts w:ascii="Arial" w:cs="Arial" w:eastAsia="Arial" w:hAnsi="Arial"/>
          <w:sz w:val="14"/>
          <w:szCs w:val="14"/>
          <w:color w:val="auto"/>
        </w:rPr>
        <w:t xml:space="preserve"> Emerging Growth Company </w:t>
      </w:r>
      <w:r>
        <w:rPr>
          <w:rFonts w:ascii="MS PGothic" w:cs="MS PGothic" w:eastAsia="MS PGothic" w:hAnsi="MS PGothic"/>
          <w:sz w:val="17"/>
          <w:szCs w:val="17"/>
          <w:color w:val="auto"/>
        </w:rPr>
        <w:t>☐</w:t>
      </w:r>
    </w:p>
    <w:p>
      <w:pPr>
        <w:spacing w:after="0" w:line="122" w:lineRule="exact"/>
        <w:rPr>
          <w:sz w:val="24"/>
          <w:szCs w:val="24"/>
          <w:color w:val="auto"/>
        </w:rPr>
      </w:pPr>
    </w:p>
    <w:p>
      <w:pPr>
        <w:spacing w:after="0" w:line="17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 w:lineRule="exact"/>
        <w:rPr>
          <w:sz w:val="24"/>
          <w:szCs w:val="24"/>
          <w:color w:val="auto"/>
        </w:rPr>
      </w:pPr>
    </w:p>
    <w:p>
      <w:pPr>
        <w:spacing w:after="0" w:line="196"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15" w:lineRule="exact"/>
        <w:rPr>
          <w:sz w:val="24"/>
          <w:szCs w:val="24"/>
          <w:color w:val="auto"/>
        </w:rPr>
      </w:pPr>
    </w:p>
    <w:p>
      <w:pPr>
        <w:spacing w:after="0" w:line="268" w:lineRule="auto"/>
        <w:rPr>
          <w:sz w:val="20"/>
          <w:szCs w:val="20"/>
          <w:color w:val="auto"/>
        </w:rPr>
      </w:pPr>
      <w:r>
        <w:rPr>
          <w:rFonts w:ascii="Arial" w:cs="Arial" w:eastAsia="Arial" w:hAnsi="Arial"/>
          <w:sz w:val="14"/>
          <w:szCs w:val="14"/>
          <w:color w:val="auto"/>
        </w:rPr>
        <w:t>The number of outstanding ordinary shares of Liberty Global plc as of July 24, 2020 was: 182,271,789 class A ordinary shares, 12,561,772 class B ordinary shares and 398,811,237 class C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69215</wp:posOffset>
            </wp:positionH>
            <wp:positionV relativeFrom="paragraph">
              <wp:posOffset>131445</wp:posOffset>
            </wp:positionV>
            <wp:extent cx="7011035" cy="146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1035" cy="14605"/>
                    </a:xfrm>
                    <a:prstGeom prst="rect">
                      <a:avLst/>
                    </a:prstGeom>
                    <a:noFill/>
                  </pic:spPr>
                </pic:pic>
              </a:graphicData>
            </a:graphic>
          </wp:anchor>
        </w:drawing>
        <w:drawing>
          <wp:anchor simplePos="0" relativeHeight="251657728" behindDoc="1" locked="0" layoutInCell="0" allowOverlap="1">
            <wp:simplePos x="0" y="0"/>
            <wp:positionH relativeFrom="column">
              <wp:posOffset>69215</wp:posOffset>
            </wp:positionH>
            <wp:positionV relativeFrom="paragraph">
              <wp:posOffset>57785</wp:posOffset>
            </wp:positionV>
            <wp:extent cx="701103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1035" cy="7620"/>
                    </a:xfrm>
                    <a:prstGeom prst="rect">
                      <a:avLst/>
                    </a:prstGeom>
                    <a:noFill/>
                  </pic:spPr>
                </pic:pic>
              </a:graphicData>
            </a:graphic>
          </wp:anchor>
        </w:drawing>
      </w:r>
    </w:p>
    <w:p>
      <w:pPr>
        <w:sectPr>
          <w:pgSz w:w="11900" w:h="16838" w:orient="portrait"/>
          <w:cols w:equalWidth="0" w:num="1">
            <w:col w:w="11260"/>
          </w:cols>
          <w:pgMar w:left="320" w:top="524" w:right="319" w:bottom="1440" w:gutter="0" w:footer="0" w:header="0"/>
          <w:type w:val="continuous"/>
        </w:sectPr>
      </w:pPr>
    </w:p>
    <w:bookmarkStart w:id="1" w:name="page2"/>
    <w:bookmarkEnd w:id="1"/>
    <w:p>
      <w:pPr>
        <w:ind w:left="4740"/>
        <w:spacing w:after="0"/>
        <w:rPr>
          <w:sz w:val="20"/>
          <w:szCs w:val="20"/>
          <w:color w:val="auto"/>
        </w:rPr>
      </w:pPr>
      <w:r>
        <w:rPr>
          <w:rFonts w:ascii="Arial" w:cs="Arial" w:eastAsia="Arial" w:hAnsi="Arial"/>
          <w:sz w:val="16"/>
          <w:szCs w:val="16"/>
          <w:b w:val="1"/>
          <w:bCs w:val="1"/>
          <w:color w:val="auto"/>
        </w:rPr>
        <w:t>LIBERTY GLOBAL PLC</w:t>
      </w:r>
    </w:p>
    <w:p>
      <w:pPr>
        <w:spacing w:after="0" w:line="72" w:lineRule="exact"/>
        <w:rPr>
          <w:sz w:val="20"/>
          <w:szCs w:val="20"/>
          <w:color w:val="auto"/>
        </w:rPr>
      </w:pPr>
    </w:p>
    <w:p>
      <w:pPr>
        <w:ind w:left="4780"/>
        <w:spacing w:after="0"/>
        <w:rPr>
          <w:sz w:val="20"/>
          <w:szCs w:val="20"/>
          <w:color w:val="auto"/>
        </w:rPr>
      </w:pPr>
      <w:r>
        <w:rPr>
          <w:rFonts w:ascii="Arial" w:cs="Arial" w:eastAsia="Arial" w:hAnsi="Arial"/>
          <w:sz w:val="16"/>
          <w:szCs w:val="16"/>
          <w:b w:val="1"/>
          <w:bCs w:val="1"/>
          <w:color w:val="auto"/>
        </w:rPr>
        <w:t>TABLE OF CONTENTS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40" w:type="dxa"/>
            <w:vAlign w:val="bottom"/>
          </w:tcPr>
          <w:p>
            <w:pPr>
              <w:spacing w:after="0"/>
              <w:rPr>
                <w:sz w:val="12"/>
                <w:szCs w:val="12"/>
                <w:color w:val="auto"/>
              </w:rPr>
            </w:pPr>
          </w:p>
        </w:tc>
        <w:tc>
          <w:tcPr>
            <w:tcW w:w="962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w w:val="90"/>
              </w:rPr>
              <w:t>Page</w:t>
            </w:r>
          </w:p>
        </w:tc>
      </w:tr>
      <w:tr>
        <w:trPr>
          <w:trHeight w:val="163"/>
        </w:trPr>
        <w:tc>
          <w:tcPr>
            <w:tcW w:w="840" w:type="dxa"/>
            <w:vAlign w:val="bottom"/>
          </w:tcPr>
          <w:p>
            <w:pPr>
              <w:spacing w:after="0"/>
              <w:rPr>
                <w:sz w:val="14"/>
                <w:szCs w:val="14"/>
                <w:color w:val="auto"/>
              </w:rPr>
            </w:pPr>
          </w:p>
        </w:tc>
        <w:tc>
          <w:tcPr>
            <w:tcW w:w="962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Number</w:t>
            </w:r>
          </w:p>
        </w:tc>
      </w:tr>
      <w:tr>
        <w:trPr>
          <w:trHeight w:val="209"/>
        </w:trPr>
        <w:tc>
          <w:tcPr>
            <w:tcW w:w="840" w:type="dxa"/>
            <w:vAlign w:val="bottom"/>
          </w:tcPr>
          <w:p>
            <w:pPr>
              <w:spacing w:after="0"/>
              <w:rPr>
                <w:sz w:val="18"/>
                <w:szCs w:val="18"/>
                <w:color w:val="auto"/>
              </w:rPr>
            </w:pPr>
          </w:p>
        </w:tc>
        <w:tc>
          <w:tcPr>
            <w:tcW w:w="9620" w:type="dxa"/>
            <w:vAlign w:val="bottom"/>
          </w:tcPr>
          <w:p>
            <w:pPr>
              <w:ind w:left="3480"/>
              <w:spacing w:after="0"/>
              <w:rPr>
                <w:sz w:val="20"/>
                <w:szCs w:val="20"/>
                <w:color w:val="auto"/>
              </w:rPr>
            </w:pPr>
            <w:r>
              <w:rPr>
                <w:rFonts w:ascii="Arial" w:cs="Arial" w:eastAsia="Arial" w:hAnsi="Arial"/>
                <w:sz w:val="16"/>
                <w:szCs w:val="16"/>
                <w:b w:val="1"/>
                <w:bCs w:val="1"/>
                <w:color w:val="auto"/>
              </w:rPr>
              <w:t>PART I — FINANCIAL INFORMATION</w:t>
            </w:r>
          </w:p>
        </w:tc>
        <w:tc>
          <w:tcPr>
            <w:tcW w:w="780" w:type="dxa"/>
            <w:vAlign w:val="bottom"/>
          </w:tcPr>
          <w:p>
            <w:pPr>
              <w:spacing w:after="0"/>
              <w:rPr>
                <w:sz w:val="18"/>
                <w:szCs w:val="18"/>
                <w:color w:val="auto"/>
              </w:rPr>
            </w:pPr>
          </w:p>
        </w:tc>
      </w:tr>
      <w:tr>
        <w:trPr>
          <w:trHeight w:val="233"/>
        </w:trPr>
        <w:tc>
          <w:tcPr>
            <w:tcW w:w="840" w:type="dxa"/>
            <w:vAlign w:val="bottom"/>
          </w:tcPr>
          <w:p>
            <w:pPr>
              <w:spacing w:after="0"/>
              <w:rPr>
                <w:sz w:val="20"/>
                <w:szCs w:val="20"/>
                <w:color w:val="auto"/>
              </w:rPr>
            </w:pPr>
            <w:r>
              <w:rPr>
                <w:rFonts w:ascii="Arial" w:cs="Arial" w:eastAsia="Arial" w:hAnsi="Arial"/>
                <w:sz w:val="16"/>
                <w:szCs w:val="16"/>
                <w:color w:val="auto"/>
              </w:rPr>
              <w:t>ITEM 1.</w:t>
            </w:r>
          </w:p>
        </w:tc>
        <w:tc>
          <w:tcPr>
            <w:tcW w:w="9620" w:type="dxa"/>
            <w:vAlign w:val="bottom"/>
          </w:tcPr>
          <w:p>
            <w:pPr>
              <w:ind w:left="180"/>
              <w:spacing w:after="0"/>
              <w:rPr>
                <w:sz w:val="20"/>
                <w:szCs w:val="20"/>
                <w:color w:val="auto"/>
              </w:rPr>
            </w:pPr>
            <w:r>
              <w:rPr>
                <w:rFonts w:ascii="Arial" w:cs="Arial" w:eastAsia="Arial" w:hAnsi="Arial"/>
                <w:sz w:val="16"/>
                <w:szCs w:val="16"/>
                <w:color w:val="auto"/>
              </w:rPr>
              <w:t>FINANCIAL STATEMENTS</w:t>
            </w:r>
          </w:p>
        </w:tc>
        <w:tc>
          <w:tcPr>
            <w:tcW w:w="780" w:type="dxa"/>
            <w:vAlign w:val="bottom"/>
          </w:tcPr>
          <w:p>
            <w:pPr>
              <w:spacing w:after="0"/>
              <w:rPr>
                <w:sz w:val="20"/>
                <w:szCs w:val="20"/>
                <w:color w:val="auto"/>
              </w:rPr>
            </w:pPr>
          </w:p>
        </w:tc>
      </w:tr>
      <w:tr>
        <w:trPr>
          <w:trHeight w:val="233"/>
        </w:trPr>
        <w:tc>
          <w:tcPr>
            <w:tcW w:w="840" w:type="dxa"/>
            <w:vAlign w:val="bottom"/>
          </w:tcPr>
          <w:p>
            <w:pPr>
              <w:spacing w:after="0"/>
              <w:rPr>
                <w:sz w:val="20"/>
                <w:szCs w:val="20"/>
                <w:color w:val="auto"/>
              </w:rPr>
            </w:pPr>
          </w:p>
        </w:tc>
        <w:tc>
          <w:tcPr>
            <w:tcW w:w="9620" w:type="dxa"/>
            <w:vAlign w:val="bottom"/>
          </w:tcPr>
          <w:p>
            <w:pPr>
              <w:ind w:left="18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Condensed Consolidated Balance Sheets as of June 30, 2020 and December 31, 2019 (unaudited)</w:t>
              </w:r>
            </w:hyperlink>
          </w:p>
        </w:tc>
        <w:tc>
          <w:tcPr>
            <w:tcW w:w="780" w:type="dxa"/>
            <w:vAlign w:val="bottom"/>
          </w:tcPr>
          <w:p>
            <w:pPr>
              <w:jc w:val="center"/>
              <w:spacing w:after="0"/>
              <w:rPr>
                <w:rFonts w:ascii="Arial" w:cs="Arial" w:eastAsia="Arial" w:hAnsi="Arial"/>
                <w:sz w:val="16"/>
                <w:szCs w:val="16"/>
                <w:u w:val="single" w:color="auto"/>
                <w:color w:val="0000EE"/>
                <w:w w:val="89"/>
              </w:rPr>
            </w:pPr>
            <w:hyperlink w:anchor="page3">
              <w:r>
                <w:rPr>
                  <w:rFonts w:ascii="Arial" w:cs="Arial" w:eastAsia="Arial" w:hAnsi="Arial"/>
                  <w:sz w:val="16"/>
                  <w:szCs w:val="16"/>
                  <w:u w:val="single" w:color="auto"/>
                  <w:color w:val="0000EE"/>
                  <w:w w:val="89"/>
                </w:rPr>
                <w:t>1</w:t>
              </w:r>
            </w:hyperlink>
          </w:p>
        </w:tc>
      </w:tr>
      <w:tr>
        <w:trPr>
          <w:trHeight w:val="233"/>
        </w:trPr>
        <w:tc>
          <w:tcPr>
            <w:tcW w:w="840" w:type="dxa"/>
            <w:vAlign w:val="bottom"/>
          </w:tcPr>
          <w:p>
            <w:pPr>
              <w:spacing w:after="0"/>
              <w:rPr>
                <w:sz w:val="20"/>
                <w:szCs w:val="20"/>
                <w:color w:val="auto"/>
              </w:rPr>
            </w:pPr>
          </w:p>
        </w:tc>
        <w:tc>
          <w:tcPr>
            <w:tcW w:w="9620" w:type="dxa"/>
            <w:vAlign w:val="bottom"/>
          </w:tcPr>
          <w:p>
            <w:pPr>
              <w:ind w:left="18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Condensed Consolidated Statements of Operations for the Three and Six Months Ended June 30, 2020 and 2019 (unaudited)</w:t>
              </w:r>
            </w:hyperlink>
          </w:p>
        </w:tc>
        <w:tc>
          <w:tcPr>
            <w:tcW w:w="780" w:type="dxa"/>
            <w:vAlign w:val="bottom"/>
          </w:tcPr>
          <w:p>
            <w:pPr>
              <w:jc w:val="center"/>
              <w:spacing w:after="0"/>
              <w:rPr>
                <w:rFonts w:ascii="Arial" w:cs="Arial" w:eastAsia="Arial" w:hAnsi="Arial"/>
                <w:sz w:val="16"/>
                <w:szCs w:val="16"/>
                <w:u w:val="single" w:color="auto"/>
                <w:color w:val="0000EE"/>
                <w:w w:val="89"/>
              </w:rPr>
            </w:pPr>
            <w:hyperlink w:anchor="page5">
              <w:r>
                <w:rPr>
                  <w:rFonts w:ascii="Arial" w:cs="Arial" w:eastAsia="Arial" w:hAnsi="Arial"/>
                  <w:sz w:val="16"/>
                  <w:szCs w:val="16"/>
                  <w:u w:val="single" w:color="auto"/>
                  <w:color w:val="0000EE"/>
                  <w:w w:val="89"/>
                </w:rPr>
                <w:t>3</w:t>
              </w:r>
            </w:hyperlink>
          </w:p>
        </w:tc>
      </w:tr>
      <w:tr>
        <w:trPr>
          <w:trHeight w:val="233"/>
        </w:trPr>
        <w:tc>
          <w:tcPr>
            <w:tcW w:w="840" w:type="dxa"/>
            <w:vAlign w:val="bottom"/>
          </w:tcPr>
          <w:p>
            <w:pPr>
              <w:spacing w:after="0"/>
              <w:rPr>
                <w:sz w:val="20"/>
                <w:szCs w:val="20"/>
                <w:color w:val="auto"/>
              </w:rPr>
            </w:pPr>
          </w:p>
        </w:tc>
        <w:tc>
          <w:tcPr>
            <w:tcW w:w="9620" w:type="dxa"/>
            <w:vAlign w:val="bottom"/>
          </w:tcPr>
          <w:p>
            <w:pPr>
              <w:ind w:left="180"/>
              <w:spacing w:after="0"/>
              <w:rPr>
                <w:rFonts w:ascii="Arial" w:cs="Arial" w:eastAsia="Arial" w:hAnsi="Arial"/>
                <w:sz w:val="16"/>
                <w:szCs w:val="16"/>
                <w:u w:val="single" w:color="auto"/>
                <w:color w:val="0000EE"/>
                <w:w w:val="90"/>
              </w:rPr>
            </w:pPr>
            <w:hyperlink w:anchor="page6">
              <w:r>
                <w:rPr>
                  <w:rFonts w:ascii="Arial" w:cs="Arial" w:eastAsia="Arial" w:hAnsi="Arial"/>
                  <w:sz w:val="16"/>
                  <w:szCs w:val="16"/>
                  <w:u w:val="single" w:color="auto"/>
                  <w:color w:val="0000EE"/>
                  <w:w w:val="90"/>
                </w:rPr>
                <w:t>Condensed Consolidated Statements of Comprehensive Earnings (Loss) for the Three and Six Months Ended June 30, 2020 and 2019 (unaudited)</w:t>
              </w:r>
            </w:hyperlink>
          </w:p>
        </w:tc>
        <w:tc>
          <w:tcPr>
            <w:tcW w:w="780" w:type="dxa"/>
            <w:vAlign w:val="bottom"/>
          </w:tcPr>
          <w:p>
            <w:pPr>
              <w:jc w:val="center"/>
              <w:spacing w:after="0"/>
              <w:rPr>
                <w:rFonts w:ascii="Arial" w:cs="Arial" w:eastAsia="Arial" w:hAnsi="Arial"/>
                <w:sz w:val="16"/>
                <w:szCs w:val="16"/>
                <w:u w:val="single" w:color="auto"/>
                <w:color w:val="0000EE"/>
                <w:w w:val="89"/>
              </w:rPr>
            </w:pPr>
            <w:hyperlink w:anchor="page6">
              <w:r>
                <w:rPr>
                  <w:rFonts w:ascii="Arial" w:cs="Arial" w:eastAsia="Arial" w:hAnsi="Arial"/>
                  <w:sz w:val="16"/>
                  <w:szCs w:val="16"/>
                  <w:u w:val="single" w:color="auto"/>
                  <w:color w:val="0000EE"/>
                  <w:w w:val="89"/>
                </w:rPr>
                <w:t>4</w:t>
              </w:r>
            </w:hyperlink>
          </w:p>
        </w:tc>
      </w:tr>
      <w:tr>
        <w:trPr>
          <w:trHeight w:val="233"/>
        </w:trPr>
        <w:tc>
          <w:tcPr>
            <w:tcW w:w="840" w:type="dxa"/>
            <w:vAlign w:val="bottom"/>
          </w:tcPr>
          <w:p>
            <w:pPr>
              <w:spacing w:after="0"/>
              <w:rPr>
                <w:sz w:val="20"/>
                <w:szCs w:val="20"/>
                <w:color w:val="auto"/>
              </w:rPr>
            </w:pPr>
          </w:p>
        </w:tc>
        <w:tc>
          <w:tcPr>
            <w:tcW w:w="9620" w:type="dxa"/>
            <w:vAlign w:val="bottom"/>
          </w:tcPr>
          <w:p>
            <w:pPr>
              <w:ind w:left="180"/>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Condensed Consolidated Statements of Equity for the Three and Six Months Ended June 30, 2020 and 2019 (unaudited)</w:t>
              </w:r>
            </w:hyperlink>
          </w:p>
        </w:tc>
        <w:tc>
          <w:tcPr>
            <w:tcW w:w="780" w:type="dxa"/>
            <w:vAlign w:val="bottom"/>
          </w:tcPr>
          <w:p>
            <w:pPr>
              <w:jc w:val="center"/>
              <w:spacing w:after="0"/>
              <w:rPr>
                <w:rFonts w:ascii="Arial" w:cs="Arial" w:eastAsia="Arial" w:hAnsi="Arial"/>
                <w:sz w:val="16"/>
                <w:szCs w:val="16"/>
                <w:u w:val="single" w:color="auto"/>
                <w:color w:val="0000EE"/>
                <w:w w:val="89"/>
              </w:rPr>
            </w:pPr>
            <w:hyperlink w:anchor="page7">
              <w:r>
                <w:rPr>
                  <w:rFonts w:ascii="Arial" w:cs="Arial" w:eastAsia="Arial" w:hAnsi="Arial"/>
                  <w:sz w:val="16"/>
                  <w:szCs w:val="16"/>
                  <w:u w:val="single" w:color="auto"/>
                  <w:color w:val="0000EE"/>
                  <w:w w:val="89"/>
                </w:rPr>
                <w:t>5</w:t>
              </w:r>
            </w:hyperlink>
          </w:p>
        </w:tc>
      </w:tr>
      <w:tr>
        <w:trPr>
          <w:trHeight w:val="233"/>
        </w:trPr>
        <w:tc>
          <w:tcPr>
            <w:tcW w:w="840" w:type="dxa"/>
            <w:vAlign w:val="bottom"/>
          </w:tcPr>
          <w:p>
            <w:pPr>
              <w:spacing w:after="0"/>
              <w:rPr>
                <w:sz w:val="20"/>
                <w:szCs w:val="20"/>
                <w:color w:val="auto"/>
              </w:rPr>
            </w:pPr>
          </w:p>
        </w:tc>
        <w:tc>
          <w:tcPr>
            <w:tcW w:w="9620" w:type="dxa"/>
            <w:vAlign w:val="bottom"/>
          </w:tcPr>
          <w:p>
            <w:pPr>
              <w:ind w:left="180"/>
              <w:spacing w:after="0"/>
              <w:rPr>
                <w:rFonts w:ascii="Arial" w:cs="Arial" w:eastAsia="Arial" w:hAnsi="Arial"/>
                <w:sz w:val="16"/>
                <w:szCs w:val="16"/>
                <w:u w:val="single" w:color="auto"/>
                <w:color w:val="0000EE"/>
              </w:rPr>
            </w:pPr>
            <w:hyperlink w:anchor="page9">
              <w:r>
                <w:rPr>
                  <w:rFonts w:ascii="Arial" w:cs="Arial" w:eastAsia="Arial" w:hAnsi="Arial"/>
                  <w:sz w:val="16"/>
                  <w:szCs w:val="16"/>
                  <w:u w:val="single" w:color="auto"/>
                  <w:color w:val="0000EE"/>
                </w:rPr>
                <w:t>Condensed Consolidated Statements of Cash Flows for the Six Months Ended June 30, 2020 and 2019 (unaudited)</w:t>
              </w:r>
            </w:hyperlink>
          </w:p>
        </w:tc>
        <w:tc>
          <w:tcPr>
            <w:tcW w:w="780" w:type="dxa"/>
            <w:vAlign w:val="bottom"/>
          </w:tcPr>
          <w:p>
            <w:pPr>
              <w:jc w:val="center"/>
              <w:spacing w:after="0"/>
              <w:rPr>
                <w:rFonts w:ascii="Arial" w:cs="Arial" w:eastAsia="Arial" w:hAnsi="Arial"/>
                <w:sz w:val="16"/>
                <w:szCs w:val="16"/>
                <w:u w:val="single" w:color="auto"/>
                <w:color w:val="0000EE"/>
                <w:w w:val="89"/>
              </w:rPr>
            </w:pPr>
            <w:hyperlink w:anchor="page9">
              <w:r>
                <w:rPr>
                  <w:rFonts w:ascii="Arial" w:cs="Arial" w:eastAsia="Arial" w:hAnsi="Arial"/>
                  <w:sz w:val="16"/>
                  <w:szCs w:val="16"/>
                  <w:u w:val="single" w:color="auto"/>
                  <w:color w:val="0000EE"/>
                  <w:w w:val="89"/>
                </w:rPr>
                <w:t>7</w:t>
              </w:r>
            </w:hyperlink>
          </w:p>
        </w:tc>
      </w:tr>
      <w:tr>
        <w:trPr>
          <w:trHeight w:val="233"/>
        </w:trPr>
        <w:tc>
          <w:tcPr>
            <w:tcW w:w="840" w:type="dxa"/>
            <w:vAlign w:val="bottom"/>
          </w:tcPr>
          <w:p>
            <w:pPr>
              <w:spacing w:after="0"/>
              <w:rPr>
                <w:sz w:val="20"/>
                <w:szCs w:val="20"/>
                <w:color w:val="auto"/>
              </w:rPr>
            </w:pPr>
          </w:p>
        </w:tc>
        <w:tc>
          <w:tcPr>
            <w:tcW w:w="9620" w:type="dxa"/>
            <w:vAlign w:val="bottom"/>
          </w:tcPr>
          <w:p>
            <w:pPr>
              <w:ind w:left="180"/>
              <w:spacing w:after="0"/>
              <w:rPr>
                <w:rFonts w:ascii="Arial" w:cs="Arial" w:eastAsia="Arial" w:hAnsi="Arial"/>
                <w:sz w:val="16"/>
                <w:szCs w:val="16"/>
                <w:u w:val="single" w:color="auto"/>
                <w:color w:val="0000EE"/>
              </w:rPr>
            </w:pPr>
            <w:hyperlink w:anchor="page11">
              <w:r>
                <w:rPr>
                  <w:rFonts w:ascii="Arial" w:cs="Arial" w:eastAsia="Arial" w:hAnsi="Arial"/>
                  <w:sz w:val="16"/>
                  <w:szCs w:val="16"/>
                  <w:u w:val="single" w:color="auto"/>
                  <w:color w:val="0000EE"/>
                </w:rPr>
                <w:t>Notes to Condensed Consolidated Financial Statements (unaudited)</w:t>
              </w:r>
            </w:hyperlink>
          </w:p>
        </w:tc>
        <w:tc>
          <w:tcPr>
            <w:tcW w:w="780" w:type="dxa"/>
            <w:vAlign w:val="bottom"/>
          </w:tcPr>
          <w:p>
            <w:pPr>
              <w:jc w:val="center"/>
              <w:spacing w:after="0"/>
              <w:rPr>
                <w:rFonts w:ascii="Arial" w:cs="Arial" w:eastAsia="Arial" w:hAnsi="Arial"/>
                <w:sz w:val="16"/>
                <w:szCs w:val="16"/>
                <w:u w:val="single" w:color="auto"/>
                <w:color w:val="0000EE"/>
                <w:w w:val="89"/>
              </w:rPr>
            </w:pPr>
            <w:hyperlink w:anchor="page11">
              <w:r>
                <w:rPr>
                  <w:rFonts w:ascii="Arial" w:cs="Arial" w:eastAsia="Arial" w:hAnsi="Arial"/>
                  <w:sz w:val="16"/>
                  <w:szCs w:val="16"/>
                  <w:u w:val="single" w:color="auto"/>
                  <w:color w:val="0000EE"/>
                  <w:w w:val="89"/>
                </w:rPr>
                <w:t>9</w:t>
              </w:r>
            </w:hyperlink>
          </w:p>
        </w:tc>
      </w:tr>
      <w:tr>
        <w:trPr>
          <w:trHeight w:val="233"/>
        </w:trPr>
        <w:tc>
          <w:tcPr>
            <w:tcW w:w="840" w:type="dxa"/>
            <w:vAlign w:val="bottom"/>
          </w:tcPr>
          <w:p>
            <w:pPr>
              <w:spacing w:after="0"/>
              <w:rPr>
                <w:sz w:val="20"/>
                <w:szCs w:val="20"/>
                <w:color w:val="auto"/>
              </w:rPr>
            </w:pPr>
            <w:r>
              <w:rPr>
                <w:rFonts w:ascii="Arial" w:cs="Arial" w:eastAsia="Arial" w:hAnsi="Arial"/>
                <w:sz w:val="16"/>
                <w:szCs w:val="16"/>
                <w:color w:val="auto"/>
              </w:rPr>
              <w:t>ITEM 2.</w:t>
            </w:r>
          </w:p>
        </w:tc>
        <w:tc>
          <w:tcPr>
            <w:tcW w:w="9620" w:type="dxa"/>
            <w:vAlign w:val="bottom"/>
          </w:tcPr>
          <w:p>
            <w:pPr>
              <w:ind w:left="180"/>
              <w:spacing w:after="0"/>
              <w:rPr>
                <w:rFonts w:ascii="Arial" w:cs="Arial" w:eastAsia="Arial" w:hAnsi="Arial"/>
                <w:sz w:val="16"/>
                <w:szCs w:val="16"/>
                <w:u w:val="single" w:color="auto"/>
                <w:color w:val="0000EE"/>
              </w:rPr>
            </w:pPr>
            <w:hyperlink w:anchor="page77">
              <w:r>
                <w:rPr>
                  <w:rFonts w:ascii="Arial" w:cs="Arial" w:eastAsia="Arial" w:hAnsi="Arial"/>
                  <w:sz w:val="16"/>
                  <w:szCs w:val="16"/>
                  <w:u w:val="single" w:color="auto"/>
                  <w:color w:val="0000EE"/>
                </w:rPr>
                <w:t>MANAGEMENT’S DISCUSSION AND ANALYSIS OF FINANCIAL CONDITION AND RESULTS OF OPERATIONS</w:t>
              </w:r>
            </w:hyperlink>
          </w:p>
        </w:tc>
        <w:tc>
          <w:tcPr>
            <w:tcW w:w="780" w:type="dxa"/>
            <w:vAlign w:val="bottom"/>
          </w:tcPr>
          <w:p>
            <w:pPr>
              <w:jc w:val="center"/>
              <w:spacing w:after="0"/>
              <w:rPr>
                <w:rFonts w:ascii="Arial" w:cs="Arial" w:eastAsia="Arial" w:hAnsi="Arial"/>
                <w:sz w:val="16"/>
                <w:szCs w:val="16"/>
                <w:u w:val="single" w:color="auto"/>
                <w:color w:val="0000EE"/>
                <w:w w:val="89"/>
              </w:rPr>
            </w:pPr>
            <w:hyperlink w:anchor="page51">
              <w:r>
                <w:rPr>
                  <w:rFonts w:ascii="Arial" w:cs="Arial" w:eastAsia="Arial" w:hAnsi="Arial"/>
                  <w:sz w:val="16"/>
                  <w:szCs w:val="16"/>
                  <w:u w:val="single" w:color="auto"/>
                  <w:color w:val="0000EE"/>
                  <w:w w:val="89"/>
                </w:rPr>
                <w:t>49</w:t>
              </w:r>
            </w:hyperlink>
          </w:p>
        </w:tc>
      </w:tr>
      <w:tr>
        <w:trPr>
          <w:trHeight w:val="233"/>
        </w:trPr>
        <w:tc>
          <w:tcPr>
            <w:tcW w:w="840" w:type="dxa"/>
            <w:vAlign w:val="bottom"/>
          </w:tcPr>
          <w:p>
            <w:pPr>
              <w:spacing w:after="0"/>
              <w:rPr>
                <w:sz w:val="20"/>
                <w:szCs w:val="20"/>
                <w:color w:val="auto"/>
              </w:rPr>
            </w:pPr>
            <w:r>
              <w:rPr>
                <w:rFonts w:ascii="Arial" w:cs="Arial" w:eastAsia="Arial" w:hAnsi="Arial"/>
                <w:sz w:val="16"/>
                <w:szCs w:val="16"/>
                <w:color w:val="auto"/>
              </w:rPr>
              <w:t>ITEM 3.</w:t>
            </w:r>
          </w:p>
        </w:tc>
        <w:tc>
          <w:tcPr>
            <w:tcW w:w="9620" w:type="dxa"/>
            <w:vAlign w:val="bottom"/>
          </w:tcPr>
          <w:p>
            <w:pPr>
              <w:ind w:left="180"/>
              <w:spacing w:after="0"/>
              <w:rPr>
                <w:rFonts w:ascii="Arial" w:cs="Arial" w:eastAsia="Arial" w:hAnsi="Arial"/>
                <w:sz w:val="16"/>
                <w:szCs w:val="16"/>
                <w:u w:val="single" w:color="auto"/>
                <w:color w:val="0000EE"/>
              </w:rPr>
            </w:pPr>
            <w:hyperlink w:anchor="page84">
              <w:r>
                <w:rPr>
                  <w:rFonts w:ascii="Arial" w:cs="Arial" w:eastAsia="Arial" w:hAnsi="Arial"/>
                  <w:sz w:val="16"/>
                  <w:szCs w:val="16"/>
                  <w:u w:val="single" w:color="auto"/>
                  <w:color w:val="0000EE"/>
                </w:rPr>
                <w:t>QUANTITATIVE AND QUALITATIVE DISCLOSURES ABOUT MARKET RISK</w:t>
              </w:r>
            </w:hyperlink>
          </w:p>
        </w:tc>
        <w:tc>
          <w:tcPr>
            <w:tcW w:w="780" w:type="dxa"/>
            <w:vAlign w:val="bottom"/>
          </w:tcPr>
          <w:p>
            <w:pPr>
              <w:jc w:val="center"/>
              <w:spacing w:after="0"/>
              <w:rPr>
                <w:rFonts w:ascii="Arial" w:cs="Arial" w:eastAsia="Arial" w:hAnsi="Arial"/>
                <w:sz w:val="16"/>
                <w:szCs w:val="16"/>
                <w:u w:val="single" w:color="auto"/>
                <w:color w:val="0000EE"/>
                <w:w w:val="89"/>
              </w:rPr>
            </w:pPr>
            <w:hyperlink w:anchor="page84">
              <w:r>
                <w:rPr>
                  <w:rFonts w:ascii="Arial" w:cs="Arial" w:eastAsia="Arial" w:hAnsi="Arial"/>
                  <w:sz w:val="16"/>
                  <w:szCs w:val="16"/>
                  <w:u w:val="single" w:color="auto"/>
                  <w:color w:val="0000EE"/>
                  <w:w w:val="89"/>
                </w:rPr>
                <w:t>82</w:t>
              </w:r>
            </w:hyperlink>
          </w:p>
        </w:tc>
      </w:tr>
      <w:tr>
        <w:trPr>
          <w:trHeight w:val="233"/>
        </w:trPr>
        <w:tc>
          <w:tcPr>
            <w:tcW w:w="840" w:type="dxa"/>
            <w:vAlign w:val="bottom"/>
          </w:tcPr>
          <w:p>
            <w:pPr>
              <w:spacing w:after="0"/>
              <w:rPr>
                <w:sz w:val="20"/>
                <w:szCs w:val="20"/>
                <w:color w:val="auto"/>
              </w:rPr>
            </w:pPr>
            <w:r>
              <w:rPr>
                <w:rFonts w:ascii="Arial" w:cs="Arial" w:eastAsia="Arial" w:hAnsi="Arial"/>
                <w:sz w:val="16"/>
                <w:szCs w:val="16"/>
                <w:color w:val="auto"/>
              </w:rPr>
              <w:t>ITEM 4.</w:t>
            </w:r>
          </w:p>
        </w:tc>
        <w:tc>
          <w:tcPr>
            <w:tcW w:w="9620" w:type="dxa"/>
            <w:vAlign w:val="bottom"/>
          </w:tcPr>
          <w:p>
            <w:pPr>
              <w:ind w:left="180"/>
              <w:spacing w:after="0"/>
              <w:rPr>
                <w:rFonts w:ascii="Arial" w:cs="Arial" w:eastAsia="Arial" w:hAnsi="Arial"/>
                <w:sz w:val="16"/>
                <w:szCs w:val="16"/>
                <w:u w:val="single" w:color="auto"/>
                <w:color w:val="0000EE"/>
              </w:rPr>
            </w:pPr>
            <w:hyperlink w:anchor="page87">
              <w:r>
                <w:rPr>
                  <w:rFonts w:ascii="Arial" w:cs="Arial" w:eastAsia="Arial" w:hAnsi="Arial"/>
                  <w:sz w:val="16"/>
                  <w:szCs w:val="16"/>
                  <w:u w:val="single" w:color="auto"/>
                  <w:color w:val="0000EE"/>
                </w:rPr>
                <w:t>CONTROLS AND PROCEDURES</w:t>
              </w:r>
            </w:hyperlink>
          </w:p>
        </w:tc>
        <w:tc>
          <w:tcPr>
            <w:tcW w:w="780" w:type="dxa"/>
            <w:vAlign w:val="bottom"/>
          </w:tcPr>
          <w:p>
            <w:pPr>
              <w:jc w:val="center"/>
              <w:spacing w:after="0"/>
              <w:rPr>
                <w:rFonts w:ascii="Arial" w:cs="Arial" w:eastAsia="Arial" w:hAnsi="Arial"/>
                <w:sz w:val="16"/>
                <w:szCs w:val="16"/>
                <w:u w:val="single" w:color="auto"/>
                <w:color w:val="0000EE"/>
                <w:w w:val="89"/>
              </w:rPr>
            </w:pPr>
            <w:hyperlink w:anchor="page87">
              <w:r>
                <w:rPr>
                  <w:rFonts w:ascii="Arial" w:cs="Arial" w:eastAsia="Arial" w:hAnsi="Arial"/>
                  <w:sz w:val="16"/>
                  <w:szCs w:val="16"/>
                  <w:u w:val="single" w:color="auto"/>
                  <w:color w:val="0000EE"/>
                  <w:w w:val="89"/>
                </w:rPr>
                <w:t>85</w:t>
              </w:r>
            </w:hyperlink>
          </w:p>
        </w:tc>
      </w:tr>
      <w:tr>
        <w:trPr>
          <w:trHeight w:val="233"/>
        </w:trPr>
        <w:tc>
          <w:tcPr>
            <w:tcW w:w="840" w:type="dxa"/>
            <w:vAlign w:val="bottom"/>
          </w:tcPr>
          <w:p>
            <w:pPr>
              <w:spacing w:after="0"/>
              <w:rPr>
                <w:sz w:val="20"/>
                <w:szCs w:val="20"/>
                <w:color w:val="auto"/>
              </w:rPr>
            </w:pPr>
          </w:p>
        </w:tc>
        <w:tc>
          <w:tcPr>
            <w:tcW w:w="9620" w:type="dxa"/>
            <w:vAlign w:val="bottom"/>
          </w:tcPr>
          <w:p>
            <w:pPr>
              <w:ind w:left="3620"/>
              <w:spacing w:after="0"/>
              <w:rPr>
                <w:sz w:val="20"/>
                <w:szCs w:val="20"/>
                <w:color w:val="auto"/>
              </w:rPr>
            </w:pPr>
            <w:r>
              <w:rPr>
                <w:rFonts w:ascii="Arial" w:cs="Arial" w:eastAsia="Arial" w:hAnsi="Arial"/>
                <w:sz w:val="16"/>
                <w:szCs w:val="16"/>
                <w:b w:val="1"/>
                <w:bCs w:val="1"/>
                <w:color w:val="auto"/>
              </w:rPr>
              <w:t>PART II — OTHER INFORMATION</w:t>
            </w:r>
          </w:p>
        </w:tc>
        <w:tc>
          <w:tcPr>
            <w:tcW w:w="780" w:type="dxa"/>
            <w:vAlign w:val="bottom"/>
          </w:tcPr>
          <w:p>
            <w:pPr>
              <w:spacing w:after="0"/>
              <w:rPr>
                <w:sz w:val="20"/>
                <w:szCs w:val="20"/>
                <w:color w:val="auto"/>
              </w:rPr>
            </w:pPr>
          </w:p>
        </w:tc>
      </w:tr>
      <w:tr>
        <w:trPr>
          <w:trHeight w:val="233"/>
        </w:trPr>
        <w:tc>
          <w:tcPr>
            <w:tcW w:w="840" w:type="dxa"/>
            <w:vAlign w:val="bottom"/>
          </w:tcPr>
          <w:p>
            <w:pPr>
              <w:spacing w:after="0"/>
              <w:rPr>
                <w:sz w:val="20"/>
                <w:szCs w:val="20"/>
                <w:color w:val="auto"/>
              </w:rPr>
            </w:pPr>
            <w:r>
              <w:rPr>
                <w:rFonts w:ascii="Arial" w:cs="Arial" w:eastAsia="Arial" w:hAnsi="Arial"/>
                <w:sz w:val="16"/>
                <w:szCs w:val="16"/>
                <w:color w:val="auto"/>
              </w:rPr>
              <w:t>ITEM 1A.</w:t>
            </w:r>
          </w:p>
        </w:tc>
        <w:tc>
          <w:tcPr>
            <w:tcW w:w="9620" w:type="dxa"/>
            <w:vAlign w:val="bottom"/>
          </w:tcPr>
          <w:p>
            <w:pPr>
              <w:ind w:left="180"/>
              <w:spacing w:after="0"/>
              <w:rPr>
                <w:rFonts w:ascii="Arial" w:cs="Arial" w:eastAsia="Arial" w:hAnsi="Arial"/>
                <w:sz w:val="16"/>
                <w:szCs w:val="16"/>
                <w:u w:val="single" w:color="auto"/>
                <w:color w:val="0000EE"/>
              </w:rPr>
            </w:pPr>
            <w:hyperlink w:anchor="page88">
              <w:r>
                <w:rPr>
                  <w:rFonts w:ascii="Arial" w:cs="Arial" w:eastAsia="Arial" w:hAnsi="Arial"/>
                  <w:sz w:val="16"/>
                  <w:szCs w:val="16"/>
                  <w:u w:val="single" w:color="auto"/>
                  <w:color w:val="0000EE"/>
                </w:rPr>
                <w:t>RISK FACTORS</w:t>
              </w:r>
            </w:hyperlink>
          </w:p>
        </w:tc>
        <w:tc>
          <w:tcPr>
            <w:tcW w:w="780" w:type="dxa"/>
            <w:vAlign w:val="bottom"/>
          </w:tcPr>
          <w:p>
            <w:pPr>
              <w:jc w:val="center"/>
              <w:spacing w:after="0"/>
              <w:rPr>
                <w:rFonts w:ascii="Arial" w:cs="Arial" w:eastAsia="Arial" w:hAnsi="Arial"/>
                <w:sz w:val="16"/>
                <w:szCs w:val="16"/>
                <w:u w:val="single" w:color="auto"/>
                <w:color w:val="0000EE"/>
                <w:w w:val="89"/>
              </w:rPr>
            </w:pPr>
            <w:hyperlink w:anchor="page88">
              <w:r>
                <w:rPr>
                  <w:rFonts w:ascii="Arial" w:cs="Arial" w:eastAsia="Arial" w:hAnsi="Arial"/>
                  <w:sz w:val="16"/>
                  <w:szCs w:val="16"/>
                  <w:u w:val="single" w:color="auto"/>
                  <w:color w:val="0000EE"/>
                  <w:w w:val="89"/>
                </w:rPr>
                <w:t>86</w:t>
              </w:r>
            </w:hyperlink>
          </w:p>
        </w:tc>
      </w:tr>
      <w:tr>
        <w:trPr>
          <w:trHeight w:val="233"/>
        </w:trPr>
        <w:tc>
          <w:tcPr>
            <w:tcW w:w="840" w:type="dxa"/>
            <w:vAlign w:val="bottom"/>
          </w:tcPr>
          <w:p>
            <w:pPr>
              <w:spacing w:after="0"/>
              <w:rPr>
                <w:sz w:val="20"/>
                <w:szCs w:val="20"/>
                <w:color w:val="auto"/>
              </w:rPr>
            </w:pPr>
            <w:r>
              <w:rPr>
                <w:rFonts w:ascii="Arial" w:cs="Arial" w:eastAsia="Arial" w:hAnsi="Arial"/>
                <w:sz w:val="16"/>
                <w:szCs w:val="16"/>
                <w:color w:val="auto"/>
              </w:rPr>
              <w:t>ITEM 2.</w:t>
            </w:r>
          </w:p>
        </w:tc>
        <w:tc>
          <w:tcPr>
            <w:tcW w:w="9620" w:type="dxa"/>
            <w:vAlign w:val="bottom"/>
          </w:tcPr>
          <w:p>
            <w:pPr>
              <w:ind w:left="180"/>
              <w:spacing w:after="0"/>
              <w:rPr>
                <w:rFonts w:ascii="Arial" w:cs="Arial" w:eastAsia="Arial" w:hAnsi="Arial"/>
                <w:sz w:val="16"/>
                <w:szCs w:val="16"/>
                <w:u w:val="single" w:color="auto"/>
                <w:color w:val="0000EE"/>
              </w:rPr>
            </w:pPr>
            <w:hyperlink w:anchor="page88">
              <w:r>
                <w:rPr>
                  <w:rFonts w:ascii="Arial" w:cs="Arial" w:eastAsia="Arial" w:hAnsi="Arial"/>
                  <w:sz w:val="16"/>
                  <w:szCs w:val="16"/>
                  <w:u w:val="single" w:color="auto"/>
                  <w:color w:val="0000EE"/>
                </w:rPr>
                <w:t>UNREGISTERED SALES OF EQUITY SECURITIES AND USE OF PROCEEDS</w:t>
              </w:r>
            </w:hyperlink>
          </w:p>
        </w:tc>
        <w:tc>
          <w:tcPr>
            <w:tcW w:w="780" w:type="dxa"/>
            <w:vAlign w:val="bottom"/>
          </w:tcPr>
          <w:p>
            <w:pPr>
              <w:jc w:val="center"/>
              <w:spacing w:after="0"/>
              <w:rPr>
                <w:rFonts w:ascii="Arial" w:cs="Arial" w:eastAsia="Arial" w:hAnsi="Arial"/>
                <w:sz w:val="16"/>
                <w:szCs w:val="16"/>
                <w:u w:val="single" w:color="auto"/>
                <w:color w:val="0000EE"/>
                <w:w w:val="89"/>
              </w:rPr>
            </w:pPr>
            <w:hyperlink w:anchor="page88">
              <w:r>
                <w:rPr>
                  <w:rFonts w:ascii="Arial" w:cs="Arial" w:eastAsia="Arial" w:hAnsi="Arial"/>
                  <w:sz w:val="16"/>
                  <w:szCs w:val="16"/>
                  <w:u w:val="single" w:color="auto"/>
                  <w:color w:val="0000EE"/>
                  <w:w w:val="89"/>
                </w:rPr>
                <w:t>86</w:t>
              </w:r>
            </w:hyperlink>
          </w:p>
        </w:tc>
      </w:tr>
      <w:tr>
        <w:trPr>
          <w:trHeight w:val="233"/>
        </w:trPr>
        <w:tc>
          <w:tcPr>
            <w:tcW w:w="840" w:type="dxa"/>
            <w:vAlign w:val="bottom"/>
          </w:tcPr>
          <w:p>
            <w:pPr>
              <w:spacing w:after="0"/>
              <w:rPr>
                <w:sz w:val="20"/>
                <w:szCs w:val="20"/>
                <w:color w:val="auto"/>
              </w:rPr>
            </w:pPr>
            <w:r>
              <w:rPr>
                <w:rFonts w:ascii="Arial" w:cs="Arial" w:eastAsia="Arial" w:hAnsi="Arial"/>
                <w:sz w:val="16"/>
                <w:szCs w:val="16"/>
                <w:color w:val="auto"/>
              </w:rPr>
              <w:t>ITEM 6.</w:t>
            </w:r>
          </w:p>
        </w:tc>
        <w:tc>
          <w:tcPr>
            <w:tcW w:w="9620" w:type="dxa"/>
            <w:vAlign w:val="bottom"/>
          </w:tcPr>
          <w:p>
            <w:pPr>
              <w:ind w:left="180"/>
              <w:spacing w:after="0"/>
              <w:rPr>
                <w:rFonts w:ascii="Arial" w:cs="Arial" w:eastAsia="Arial" w:hAnsi="Arial"/>
                <w:sz w:val="16"/>
                <w:szCs w:val="16"/>
                <w:u w:val="single" w:color="auto"/>
                <w:color w:val="0000EE"/>
              </w:rPr>
            </w:pPr>
            <w:hyperlink w:anchor="page89">
              <w:r>
                <w:rPr>
                  <w:rFonts w:ascii="Arial" w:cs="Arial" w:eastAsia="Arial" w:hAnsi="Arial"/>
                  <w:sz w:val="16"/>
                  <w:szCs w:val="16"/>
                  <w:u w:val="single" w:color="auto"/>
                  <w:color w:val="0000EE"/>
                </w:rPr>
                <w:t>EXHIBITS</w:t>
              </w:r>
            </w:hyperlink>
          </w:p>
        </w:tc>
        <w:tc>
          <w:tcPr>
            <w:tcW w:w="780" w:type="dxa"/>
            <w:vAlign w:val="bottom"/>
          </w:tcPr>
          <w:p>
            <w:pPr>
              <w:jc w:val="center"/>
              <w:spacing w:after="0"/>
              <w:rPr>
                <w:rFonts w:ascii="Arial" w:cs="Arial" w:eastAsia="Arial" w:hAnsi="Arial"/>
                <w:sz w:val="16"/>
                <w:szCs w:val="16"/>
                <w:u w:val="single" w:color="auto"/>
                <w:color w:val="0000EE"/>
                <w:w w:val="89"/>
              </w:rPr>
            </w:pPr>
            <w:hyperlink w:anchor="page89">
              <w:r>
                <w:rPr>
                  <w:rFonts w:ascii="Arial" w:cs="Arial" w:eastAsia="Arial" w:hAnsi="Arial"/>
                  <w:sz w:val="16"/>
                  <w:szCs w:val="16"/>
                  <w:u w:val="single" w:color="auto"/>
                  <w:color w:val="0000EE"/>
                  <w:w w:val="89"/>
                </w:rPr>
                <w:t>87</w:t>
              </w:r>
            </w:hyperlink>
          </w:p>
        </w:tc>
      </w:tr>
    </w:tbl>
    <w:p>
      <w:pPr>
        <w:sectPr>
          <w:pgSz w:w="11900" w:h="16838" w:orient="portrait"/>
          <w:cols w:equalWidth="0" w:num="1">
            <w:col w:w="11240"/>
          </w:cols>
          <w:pgMar w:left="340" w:top="309" w:right="31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6"/>
          <w:szCs w:val="16"/>
          <w:b w:val="1"/>
          <w:bCs w:val="1"/>
          <w:color w:val="auto"/>
        </w:rPr>
        <w:t>LIBERTY GLOBAL PLC</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5"/>
                <w:szCs w:val="15"/>
                <w:color w:val="auto"/>
              </w:rPr>
            </w:pPr>
          </w:p>
        </w:tc>
        <w:tc>
          <w:tcPr>
            <w:tcW w:w="1180" w:type="dxa"/>
            <w:vAlign w:val="bottom"/>
          </w:tcPr>
          <w:p>
            <w:pPr>
              <w:jc w:val="right"/>
              <w:ind w:right="263"/>
              <w:spacing w:after="0"/>
              <w:rPr>
                <w:sz w:val="20"/>
                <w:szCs w:val="20"/>
                <w:color w:val="auto"/>
              </w:rPr>
            </w:pPr>
            <w:r>
              <w:rPr>
                <w:rFonts w:ascii="Arial" w:cs="Arial" w:eastAsia="Arial" w:hAnsi="Arial"/>
                <w:sz w:val="14"/>
                <w:szCs w:val="14"/>
                <w:b w:val="1"/>
                <w:bCs w:val="1"/>
                <w:color w:val="auto"/>
                <w:w w:val="90"/>
              </w:rPr>
              <w:t>December 31,</w:t>
            </w:r>
          </w:p>
        </w:tc>
      </w:tr>
      <w:tr>
        <w:trPr>
          <w:trHeight w:val="182"/>
        </w:trPr>
        <w:tc>
          <w:tcPr>
            <w:tcW w:w="8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right"/>
              <w:ind w:right="52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ind w:right="503"/>
              <w:spacing w:after="0"/>
              <w:rPr>
                <w:sz w:val="20"/>
                <w:szCs w:val="20"/>
                <w:color w:val="auto"/>
              </w:rPr>
            </w:pPr>
            <w:r>
              <w:rPr>
                <w:rFonts w:ascii="Arial" w:cs="Arial" w:eastAsia="Arial" w:hAnsi="Arial"/>
                <w:sz w:val="14"/>
                <w:szCs w:val="14"/>
                <w:b w:val="1"/>
                <w:bCs w:val="1"/>
                <w:color w:val="auto"/>
              </w:rPr>
              <w:t>2019</w:t>
            </w:r>
          </w:p>
        </w:tc>
      </w:tr>
      <w:tr>
        <w:trPr>
          <w:trHeight w:val="28"/>
        </w:trPr>
        <w:tc>
          <w:tcPr>
            <w:tcW w:w="8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5"/>
        </w:trPr>
        <w:tc>
          <w:tcPr>
            <w:tcW w:w="8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80" w:type="dxa"/>
            <w:vAlign w:val="bottom"/>
          </w:tcPr>
          <w:p>
            <w:pPr>
              <w:spacing w:after="0"/>
              <w:rPr>
                <w:sz w:val="16"/>
                <w:szCs w:val="16"/>
                <w:color w:val="auto"/>
              </w:rPr>
            </w:pPr>
          </w:p>
        </w:tc>
      </w:tr>
      <w:tr>
        <w:trPr>
          <w:trHeight w:val="28"/>
        </w:trPr>
        <w:tc>
          <w:tcPr>
            <w:tcW w:w="8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13"/>
        </w:trPr>
        <w:tc>
          <w:tcPr>
            <w:tcW w:w="8220" w:type="dxa"/>
            <w:vAlign w:val="bottom"/>
            <w:tcBorders>
              <w:bottom w:val="single" w:sz="8" w:color="CCEEFF"/>
            </w:tcBorders>
            <w:shd w:val="clear" w:color="auto" w:fill="CCEEFF"/>
          </w:tcPr>
          <w:p>
            <w:pPr>
              <w:ind w:left="3840"/>
              <w:spacing w:after="0"/>
              <w:rPr>
                <w:sz w:val="20"/>
                <w:szCs w:val="20"/>
                <w:color w:val="auto"/>
              </w:rPr>
            </w:pPr>
            <w:r>
              <w:rPr>
                <w:rFonts w:ascii="Arial" w:cs="Arial" w:eastAsia="Arial" w:hAnsi="Arial"/>
                <w:sz w:val="14"/>
                <w:szCs w:val="14"/>
                <w:b w:val="1"/>
                <w:bCs w:val="1"/>
                <w:color w:val="auto"/>
              </w:rPr>
              <w:t>ASSETS</w:t>
            </w: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r>
      <w:tr>
        <w:trPr>
          <w:trHeight w:val="209"/>
        </w:trPr>
        <w:tc>
          <w:tcPr>
            <w:tcW w:w="82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4"/>
        </w:trPr>
        <w:tc>
          <w:tcPr>
            <w:tcW w:w="8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13"/>
        </w:trPr>
        <w:tc>
          <w:tcPr>
            <w:tcW w:w="8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28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4,360.6</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8,142.4</w:t>
            </w:r>
          </w:p>
        </w:tc>
      </w:tr>
      <w:tr>
        <w:trPr>
          <w:trHeight w:val="209"/>
        </w:trPr>
        <w:tc>
          <w:tcPr>
            <w:tcW w:w="8220" w:type="dxa"/>
            <w:vAlign w:val="bottom"/>
          </w:tcPr>
          <w:p>
            <w:pPr>
              <w:ind w:left="140"/>
              <w:spacing w:after="0"/>
              <w:rPr>
                <w:sz w:val="20"/>
                <w:szCs w:val="20"/>
                <w:color w:val="auto"/>
              </w:rPr>
            </w:pPr>
            <w:r>
              <w:rPr>
                <w:rFonts w:ascii="Arial" w:cs="Arial" w:eastAsia="Arial" w:hAnsi="Arial"/>
                <w:sz w:val="16"/>
                <w:szCs w:val="16"/>
                <w:color w:val="auto"/>
              </w:rPr>
              <w:t>Trade receivables, net</w:t>
            </w:r>
          </w:p>
        </w:tc>
        <w:tc>
          <w:tcPr>
            <w:tcW w:w="280" w:type="dxa"/>
            <w:vAlign w:val="bottom"/>
          </w:tcPr>
          <w:p>
            <w:pPr>
              <w:spacing w:after="0"/>
              <w:rPr>
                <w:sz w:val="18"/>
                <w:szCs w:val="18"/>
                <w:color w:val="auto"/>
              </w:rPr>
            </w:pPr>
          </w:p>
        </w:tc>
        <w:tc>
          <w:tcPr>
            <w:tcW w:w="1200" w:type="dxa"/>
            <w:vAlign w:val="bottom"/>
          </w:tcPr>
          <w:p>
            <w:pPr>
              <w:jc w:val="right"/>
              <w:ind w:right="44"/>
              <w:spacing w:after="0"/>
              <w:rPr>
                <w:sz w:val="20"/>
                <w:szCs w:val="20"/>
                <w:color w:val="auto"/>
              </w:rPr>
            </w:pPr>
            <w:r>
              <w:rPr>
                <w:rFonts w:ascii="Arial" w:cs="Arial" w:eastAsia="Arial" w:hAnsi="Arial"/>
                <w:sz w:val="16"/>
                <w:szCs w:val="16"/>
                <w:color w:val="auto"/>
              </w:rPr>
              <w:t>498.4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23"/>
              <w:spacing w:after="0"/>
              <w:rPr>
                <w:sz w:val="20"/>
                <w:szCs w:val="20"/>
                <w:color w:val="auto"/>
              </w:rPr>
            </w:pPr>
            <w:r>
              <w:rPr>
                <w:rFonts w:ascii="Arial" w:cs="Arial" w:eastAsia="Arial" w:hAnsi="Arial"/>
                <w:sz w:val="16"/>
                <w:szCs w:val="16"/>
                <w:color w:val="auto"/>
              </w:rPr>
              <w:t>1,404.8</w:t>
            </w:r>
          </w:p>
        </w:tc>
      </w:tr>
      <w:tr>
        <w:trPr>
          <w:trHeight w:val="24"/>
        </w:trPr>
        <w:tc>
          <w:tcPr>
            <w:tcW w:w="8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13"/>
        </w:trPr>
        <w:tc>
          <w:tcPr>
            <w:tcW w:w="8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Short-term investments (measured at fair value on a recurring basis) (note 5)</w:t>
            </w: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2,650.8</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w:t>
            </w:r>
          </w:p>
        </w:tc>
      </w:tr>
      <w:tr>
        <w:trPr>
          <w:trHeight w:val="209"/>
        </w:trPr>
        <w:tc>
          <w:tcPr>
            <w:tcW w:w="8220" w:type="dxa"/>
            <w:vAlign w:val="bottom"/>
          </w:tcPr>
          <w:p>
            <w:pPr>
              <w:ind w:left="140"/>
              <w:spacing w:after="0"/>
              <w:rPr>
                <w:sz w:val="20"/>
                <w:szCs w:val="20"/>
                <w:color w:val="auto"/>
              </w:rPr>
            </w:pPr>
            <w:r>
              <w:rPr>
                <w:rFonts w:ascii="Arial" w:cs="Arial" w:eastAsia="Arial" w:hAnsi="Arial"/>
                <w:sz w:val="16"/>
                <w:szCs w:val="16"/>
                <w:color w:val="auto"/>
              </w:rPr>
              <w:t>Derivative instruments (note 6)</w:t>
            </w:r>
          </w:p>
        </w:tc>
        <w:tc>
          <w:tcPr>
            <w:tcW w:w="280" w:type="dxa"/>
            <w:vAlign w:val="bottom"/>
          </w:tcPr>
          <w:p>
            <w:pPr>
              <w:spacing w:after="0"/>
              <w:rPr>
                <w:sz w:val="18"/>
                <w:szCs w:val="18"/>
                <w:color w:val="auto"/>
              </w:rPr>
            </w:pPr>
          </w:p>
        </w:tc>
        <w:tc>
          <w:tcPr>
            <w:tcW w:w="1200" w:type="dxa"/>
            <w:vAlign w:val="bottom"/>
          </w:tcPr>
          <w:p>
            <w:pPr>
              <w:jc w:val="right"/>
              <w:ind w:right="44"/>
              <w:spacing w:after="0"/>
              <w:rPr>
                <w:sz w:val="20"/>
                <w:szCs w:val="20"/>
                <w:color w:val="auto"/>
              </w:rPr>
            </w:pPr>
            <w:r>
              <w:rPr>
                <w:rFonts w:ascii="Arial" w:cs="Arial" w:eastAsia="Arial" w:hAnsi="Arial"/>
                <w:sz w:val="16"/>
                <w:szCs w:val="16"/>
                <w:color w:val="auto"/>
              </w:rPr>
              <w:t>576.0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23"/>
              <w:spacing w:after="0"/>
              <w:rPr>
                <w:sz w:val="20"/>
                <w:szCs w:val="20"/>
                <w:color w:val="auto"/>
              </w:rPr>
            </w:pPr>
            <w:r>
              <w:rPr>
                <w:rFonts w:ascii="Arial" w:cs="Arial" w:eastAsia="Arial" w:hAnsi="Arial"/>
                <w:sz w:val="16"/>
                <w:szCs w:val="16"/>
                <w:color w:val="auto"/>
              </w:rPr>
              <w:t>331.1</w:t>
            </w:r>
          </w:p>
        </w:tc>
      </w:tr>
      <w:tr>
        <w:trPr>
          <w:trHeight w:val="24"/>
        </w:trPr>
        <w:tc>
          <w:tcPr>
            <w:tcW w:w="8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3"/>
        </w:trPr>
        <w:tc>
          <w:tcPr>
            <w:tcW w:w="8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Other current assets (notes 3, 4 and 5)</w:t>
            </w: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554.0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695.0</w:t>
            </w:r>
          </w:p>
        </w:tc>
      </w:tr>
      <w:tr>
        <w:trPr>
          <w:trHeight w:val="201"/>
        </w:trPr>
        <w:tc>
          <w:tcPr>
            <w:tcW w:w="8220" w:type="dxa"/>
            <w:vAlign w:val="bottom"/>
          </w:tcPr>
          <w:p>
            <w:pPr>
              <w:ind w:left="320"/>
              <w:spacing w:after="0"/>
              <w:rPr>
                <w:sz w:val="20"/>
                <w:szCs w:val="20"/>
                <w:color w:val="auto"/>
              </w:rPr>
            </w:pPr>
            <w:r>
              <w:rPr>
                <w:rFonts w:ascii="Arial" w:cs="Arial" w:eastAsia="Arial" w:hAnsi="Arial"/>
                <w:sz w:val="16"/>
                <w:szCs w:val="16"/>
                <w:color w:val="auto"/>
              </w:rPr>
              <w:t>Total current assets</w:t>
            </w:r>
          </w:p>
        </w:tc>
        <w:tc>
          <w:tcPr>
            <w:tcW w:w="2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8,639.8</w:t>
            </w: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10,573.3</w:t>
            </w:r>
          </w:p>
        </w:tc>
      </w:tr>
      <w:tr>
        <w:trPr>
          <w:trHeight w:val="24"/>
        </w:trPr>
        <w:tc>
          <w:tcPr>
            <w:tcW w:w="8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9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8"/>
              </w:rPr>
              <w:t>Investments and related notes receivable (including $1,269.9 million and $1,289.2 million, respectively, measured at fair value on a</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00"/>
        </w:trPr>
        <w:tc>
          <w:tcPr>
            <w:tcW w:w="8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recurring basis) (note 5)</w:t>
            </w:r>
          </w:p>
        </w:tc>
        <w:tc>
          <w:tcPr>
            <w:tcW w:w="2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4,731.4</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4,782.0</w:t>
            </w:r>
          </w:p>
        </w:tc>
      </w:tr>
      <w:tr>
        <w:trPr>
          <w:trHeight w:val="209"/>
        </w:trPr>
        <w:tc>
          <w:tcPr>
            <w:tcW w:w="8220" w:type="dxa"/>
            <w:vAlign w:val="bottom"/>
          </w:tcPr>
          <w:p>
            <w:pPr>
              <w:ind w:left="20"/>
              <w:spacing w:after="0"/>
              <w:rPr>
                <w:sz w:val="20"/>
                <w:szCs w:val="20"/>
                <w:color w:val="auto"/>
              </w:rPr>
            </w:pPr>
            <w:r>
              <w:rPr>
                <w:rFonts w:ascii="Arial" w:cs="Arial" w:eastAsia="Arial" w:hAnsi="Arial"/>
                <w:sz w:val="16"/>
                <w:szCs w:val="16"/>
                <w:color w:val="auto"/>
              </w:rPr>
              <w:t>Property and equipment, net (notes 8 and 10)</w:t>
            </w:r>
          </w:p>
        </w:tc>
        <w:tc>
          <w:tcPr>
            <w:tcW w:w="280" w:type="dxa"/>
            <w:vAlign w:val="bottom"/>
          </w:tcPr>
          <w:p>
            <w:pPr>
              <w:spacing w:after="0"/>
              <w:rPr>
                <w:sz w:val="18"/>
                <w:szCs w:val="18"/>
                <w:color w:val="auto"/>
              </w:rPr>
            </w:pPr>
          </w:p>
        </w:tc>
        <w:tc>
          <w:tcPr>
            <w:tcW w:w="1200" w:type="dxa"/>
            <w:vAlign w:val="bottom"/>
          </w:tcPr>
          <w:p>
            <w:pPr>
              <w:jc w:val="right"/>
              <w:ind w:right="44"/>
              <w:spacing w:after="0"/>
              <w:rPr>
                <w:sz w:val="20"/>
                <w:szCs w:val="20"/>
                <w:color w:val="auto"/>
              </w:rPr>
            </w:pPr>
            <w:r>
              <w:rPr>
                <w:rFonts w:ascii="Arial" w:cs="Arial" w:eastAsia="Arial" w:hAnsi="Arial"/>
                <w:sz w:val="16"/>
                <w:szCs w:val="16"/>
                <w:color w:val="auto"/>
              </w:rPr>
              <w:t>6,172.6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23"/>
              <w:spacing w:after="0"/>
              <w:rPr>
                <w:sz w:val="20"/>
                <w:szCs w:val="20"/>
                <w:color w:val="auto"/>
              </w:rPr>
            </w:pPr>
            <w:r>
              <w:rPr>
                <w:rFonts w:ascii="Arial" w:cs="Arial" w:eastAsia="Arial" w:hAnsi="Arial"/>
                <w:sz w:val="16"/>
                <w:szCs w:val="16"/>
                <w:color w:val="auto"/>
              </w:rPr>
              <w:t>13,843.4</w:t>
            </w:r>
          </w:p>
        </w:tc>
      </w:tr>
      <w:tr>
        <w:trPr>
          <w:trHeight w:val="24"/>
        </w:trPr>
        <w:tc>
          <w:tcPr>
            <w:tcW w:w="8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13"/>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 (note 8)</w:t>
            </w: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6,379.2</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14,052.1</w:t>
            </w:r>
          </w:p>
        </w:tc>
      </w:tr>
      <w:tr>
        <w:trPr>
          <w:trHeight w:val="209"/>
        </w:trPr>
        <w:tc>
          <w:tcPr>
            <w:tcW w:w="8220" w:type="dxa"/>
            <w:vAlign w:val="bottom"/>
          </w:tcPr>
          <w:p>
            <w:pPr>
              <w:ind w:left="20"/>
              <w:spacing w:after="0"/>
              <w:rPr>
                <w:sz w:val="20"/>
                <w:szCs w:val="20"/>
                <w:color w:val="auto"/>
              </w:rPr>
            </w:pPr>
            <w:r>
              <w:rPr>
                <w:rFonts w:ascii="Arial" w:cs="Arial" w:eastAsia="Arial" w:hAnsi="Arial"/>
                <w:sz w:val="16"/>
                <w:szCs w:val="16"/>
                <w:color w:val="auto"/>
              </w:rPr>
              <w:t>Deferred tax assets (note 11)</w:t>
            </w:r>
          </w:p>
        </w:tc>
        <w:tc>
          <w:tcPr>
            <w:tcW w:w="280" w:type="dxa"/>
            <w:vAlign w:val="bottom"/>
          </w:tcPr>
          <w:p>
            <w:pPr>
              <w:spacing w:after="0"/>
              <w:rPr>
                <w:sz w:val="18"/>
                <w:szCs w:val="18"/>
                <w:color w:val="auto"/>
              </w:rPr>
            </w:pPr>
          </w:p>
        </w:tc>
        <w:tc>
          <w:tcPr>
            <w:tcW w:w="1200" w:type="dxa"/>
            <w:vAlign w:val="bottom"/>
          </w:tcPr>
          <w:p>
            <w:pPr>
              <w:jc w:val="right"/>
              <w:ind w:right="44"/>
              <w:spacing w:after="0"/>
              <w:rPr>
                <w:sz w:val="20"/>
                <w:szCs w:val="20"/>
                <w:color w:val="auto"/>
              </w:rPr>
            </w:pPr>
            <w:r>
              <w:rPr>
                <w:rFonts w:ascii="Arial" w:cs="Arial" w:eastAsia="Arial" w:hAnsi="Arial"/>
                <w:sz w:val="16"/>
                <w:szCs w:val="16"/>
                <w:color w:val="auto"/>
              </w:rPr>
              <w:t>333.6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23"/>
              <w:spacing w:after="0"/>
              <w:rPr>
                <w:sz w:val="20"/>
                <w:szCs w:val="20"/>
                <w:color w:val="auto"/>
              </w:rPr>
            </w:pPr>
            <w:r>
              <w:rPr>
                <w:rFonts w:ascii="Arial" w:cs="Arial" w:eastAsia="Arial" w:hAnsi="Arial"/>
                <w:sz w:val="16"/>
                <w:szCs w:val="16"/>
                <w:color w:val="auto"/>
              </w:rPr>
              <w:t>2,457.4</w:t>
            </w:r>
          </w:p>
        </w:tc>
      </w:tr>
      <w:tr>
        <w:trPr>
          <w:trHeight w:val="24"/>
        </w:trPr>
        <w:tc>
          <w:tcPr>
            <w:tcW w:w="8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13"/>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 held for sale (note 4)</w:t>
            </w: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19,030.5</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w:t>
            </w:r>
          </w:p>
        </w:tc>
      </w:tr>
      <w:tr>
        <w:trPr>
          <w:trHeight w:val="209"/>
        </w:trPr>
        <w:tc>
          <w:tcPr>
            <w:tcW w:w="8220" w:type="dxa"/>
            <w:vAlign w:val="bottom"/>
          </w:tcPr>
          <w:p>
            <w:pPr>
              <w:ind w:left="20"/>
              <w:spacing w:after="0"/>
              <w:rPr>
                <w:sz w:val="20"/>
                <w:szCs w:val="20"/>
                <w:color w:val="auto"/>
              </w:rPr>
            </w:pPr>
            <w:r>
              <w:rPr>
                <w:rFonts w:ascii="Arial" w:cs="Arial" w:eastAsia="Arial" w:hAnsi="Arial"/>
                <w:sz w:val="16"/>
                <w:szCs w:val="16"/>
                <w:color w:val="auto"/>
              </w:rPr>
              <w:t>Other assets, net (notes 3, 4, 6, 8 and 10)</w:t>
            </w:r>
          </w:p>
        </w:tc>
        <w:tc>
          <w:tcPr>
            <w:tcW w:w="280" w:type="dxa"/>
            <w:vAlign w:val="bottom"/>
          </w:tcPr>
          <w:p>
            <w:pPr>
              <w:spacing w:after="0"/>
              <w:rPr>
                <w:sz w:val="18"/>
                <w:szCs w:val="18"/>
                <w:color w:val="auto"/>
              </w:rPr>
            </w:pPr>
          </w:p>
        </w:tc>
        <w:tc>
          <w:tcPr>
            <w:tcW w:w="1200" w:type="dxa"/>
            <w:vAlign w:val="bottom"/>
          </w:tcPr>
          <w:p>
            <w:pPr>
              <w:jc w:val="right"/>
              <w:ind w:right="44"/>
              <w:spacing w:after="0"/>
              <w:rPr>
                <w:sz w:val="20"/>
                <w:szCs w:val="20"/>
                <w:color w:val="auto"/>
              </w:rPr>
            </w:pPr>
            <w:r>
              <w:rPr>
                <w:rFonts w:ascii="Arial" w:cs="Arial" w:eastAsia="Arial" w:hAnsi="Arial"/>
                <w:sz w:val="16"/>
                <w:szCs w:val="16"/>
                <w:color w:val="auto"/>
              </w:rPr>
              <w:t>2,053.1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23"/>
              <w:spacing w:after="0"/>
              <w:rPr>
                <w:sz w:val="20"/>
                <w:szCs w:val="20"/>
                <w:color w:val="auto"/>
              </w:rPr>
            </w:pPr>
            <w:r>
              <w:rPr>
                <w:rFonts w:ascii="Arial" w:cs="Arial" w:eastAsia="Arial" w:hAnsi="Arial"/>
                <w:sz w:val="16"/>
                <w:szCs w:val="16"/>
                <w:color w:val="auto"/>
              </w:rPr>
              <w:t>3,338.1</w:t>
            </w:r>
          </w:p>
        </w:tc>
      </w:tr>
      <w:tr>
        <w:trPr>
          <w:trHeight w:val="24"/>
        </w:trPr>
        <w:tc>
          <w:tcPr>
            <w:tcW w:w="8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9"/>
        </w:trPr>
        <w:tc>
          <w:tcPr>
            <w:tcW w:w="82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Total assets</w:t>
            </w:r>
          </w:p>
        </w:tc>
        <w:tc>
          <w:tcPr>
            <w:tcW w:w="28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47,340.2</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49,046.3</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14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60"/>
          </w:cols>
          <w:pgMar w:left="320" w:top="309" w:right="31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6"/>
          <w:szCs w:val="16"/>
          <w:b w:val="1"/>
          <w:bCs w:val="1"/>
          <w:color w:val="auto"/>
        </w:rPr>
        <w:t>LIBERTY GLOBAL PLC</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BALANCE SHEETS — (Continued)</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5"/>
                <w:szCs w:val="15"/>
                <w:color w:val="auto"/>
              </w:rPr>
            </w:pPr>
          </w:p>
        </w:tc>
        <w:tc>
          <w:tcPr>
            <w:tcW w:w="1160" w:type="dxa"/>
            <w:vAlign w:val="bottom"/>
          </w:tcPr>
          <w:p>
            <w:pPr>
              <w:jc w:val="right"/>
              <w:ind w:right="203"/>
              <w:spacing w:after="0"/>
              <w:rPr>
                <w:sz w:val="20"/>
                <w:szCs w:val="20"/>
                <w:color w:val="auto"/>
              </w:rPr>
            </w:pPr>
            <w:r>
              <w:rPr>
                <w:rFonts w:ascii="Arial" w:cs="Arial" w:eastAsia="Arial" w:hAnsi="Arial"/>
                <w:sz w:val="14"/>
                <w:szCs w:val="14"/>
                <w:b w:val="1"/>
                <w:bCs w:val="1"/>
                <w:color w:val="auto"/>
                <w:w w:val="94"/>
              </w:rPr>
              <w:t>December 31,</w:t>
            </w:r>
          </w:p>
        </w:tc>
      </w:tr>
      <w:tr>
        <w:trPr>
          <w:trHeight w:val="182"/>
        </w:trPr>
        <w:tc>
          <w:tcPr>
            <w:tcW w:w="8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46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ind w:right="443"/>
              <w:spacing w:after="0"/>
              <w:rPr>
                <w:sz w:val="20"/>
                <w:szCs w:val="20"/>
                <w:color w:val="auto"/>
              </w:rPr>
            </w:pPr>
            <w:r>
              <w:rPr>
                <w:rFonts w:ascii="Arial" w:cs="Arial" w:eastAsia="Arial" w:hAnsi="Arial"/>
                <w:sz w:val="14"/>
                <w:szCs w:val="14"/>
                <w:b w:val="1"/>
                <w:bCs w:val="1"/>
                <w:color w:val="auto"/>
              </w:rPr>
              <w:t>2019</w:t>
            </w:r>
          </w:p>
        </w:tc>
      </w:tr>
      <w:tr>
        <w:trPr>
          <w:trHeight w:val="28"/>
        </w:trPr>
        <w:tc>
          <w:tcPr>
            <w:tcW w:w="84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4"/>
          </w:tcPr>
          <w:p>
            <w:pPr>
              <w:spacing w:after="0"/>
              <w:rPr>
                <w:sz w:val="2"/>
                <w:szCs w:val="2"/>
                <w:color w:val="auto"/>
              </w:rPr>
            </w:pPr>
          </w:p>
        </w:tc>
      </w:tr>
      <w:tr>
        <w:trPr>
          <w:trHeight w:val="185"/>
        </w:trPr>
        <w:tc>
          <w:tcPr>
            <w:tcW w:w="8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60" w:type="dxa"/>
            <w:vAlign w:val="bottom"/>
            <w:gridSpan w:val="4"/>
          </w:tcPr>
          <w:p>
            <w:pPr>
              <w:jc w:val="right"/>
              <w:ind w:right="1003"/>
              <w:spacing w:after="0"/>
              <w:rPr>
                <w:sz w:val="20"/>
                <w:szCs w:val="20"/>
                <w:color w:val="auto"/>
              </w:rPr>
            </w:pPr>
            <w:r>
              <w:rPr>
                <w:rFonts w:ascii="Arial" w:cs="Arial" w:eastAsia="Arial" w:hAnsi="Arial"/>
                <w:sz w:val="14"/>
                <w:szCs w:val="14"/>
                <w:b w:val="1"/>
                <w:bCs w:val="1"/>
                <w:color w:val="auto"/>
              </w:rPr>
              <w:t>in millions</w:t>
            </w:r>
          </w:p>
        </w:tc>
      </w:tr>
      <w:tr>
        <w:trPr>
          <w:trHeight w:val="28"/>
        </w:trPr>
        <w:tc>
          <w:tcPr>
            <w:tcW w:w="8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3"/>
        </w:trPr>
        <w:tc>
          <w:tcPr>
            <w:tcW w:w="8460" w:type="dxa"/>
            <w:vAlign w:val="bottom"/>
            <w:tcBorders>
              <w:bottom w:val="single" w:sz="8" w:color="CCEEFF"/>
            </w:tcBorders>
            <w:shd w:val="clear" w:color="auto" w:fill="CCEEFF"/>
          </w:tcPr>
          <w:p>
            <w:pPr>
              <w:ind w:left="3320"/>
              <w:spacing w:after="0"/>
              <w:rPr>
                <w:sz w:val="20"/>
                <w:szCs w:val="20"/>
                <w:color w:val="auto"/>
              </w:rPr>
            </w:pPr>
            <w:r>
              <w:rPr>
                <w:rFonts w:ascii="Arial" w:cs="Arial" w:eastAsia="Arial" w:hAnsi="Arial"/>
                <w:sz w:val="14"/>
                <w:szCs w:val="14"/>
                <w:b w:val="1"/>
                <w:bCs w:val="1"/>
                <w:color w:val="auto"/>
              </w:rPr>
              <w:t>LIABILITIES AND EQUITY</w:t>
            </w: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r>
      <w:tr>
        <w:trPr>
          <w:trHeight w:val="209"/>
        </w:trPr>
        <w:tc>
          <w:tcPr>
            <w:tcW w:w="846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4"/>
        </w:trPr>
        <w:tc>
          <w:tcPr>
            <w:tcW w:w="8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3"/>
        </w:trPr>
        <w:tc>
          <w:tcPr>
            <w:tcW w:w="8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Accounts payable</w:t>
            </w:r>
          </w:p>
        </w:tc>
        <w:tc>
          <w:tcPr>
            <w:tcW w:w="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410.0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963.9</w:t>
            </w:r>
          </w:p>
        </w:tc>
      </w:tr>
      <w:tr>
        <w:trPr>
          <w:trHeight w:val="209"/>
        </w:trPr>
        <w:tc>
          <w:tcPr>
            <w:tcW w:w="8460" w:type="dxa"/>
            <w:vAlign w:val="bottom"/>
          </w:tcPr>
          <w:p>
            <w:pPr>
              <w:ind w:left="140"/>
              <w:spacing w:after="0"/>
              <w:rPr>
                <w:sz w:val="20"/>
                <w:szCs w:val="20"/>
                <w:color w:val="auto"/>
              </w:rPr>
            </w:pPr>
            <w:r>
              <w:rPr>
                <w:rFonts w:ascii="Arial" w:cs="Arial" w:eastAsia="Arial" w:hAnsi="Arial"/>
                <w:sz w:val="16"/>
                <w:szCs w:val="16"/>
                <w:color w:val="auto"/>
              </w:rPr>
              <w:t>Deferred revenue (note 3)</w:t>
            </w:r>
          </w:p>
        </w:tc>
        <w:tc>
          <w:tcPr>
            <w:tcW w:w="240" w:type="dxa"/>
            <w:vAlign w:val="bottom"/>
          </w:tcPr>
          <w:p>
            <w:pPr>
              <w:spacing w:after="0"/>
              <w:rPr>
                <w:sz w:val="18"/>
                <w:szCs w:val="18"/>
                <w:color w:val="auto"/>
              </w:rPr>
            </w:pPr>
          </w:p>
        </w:tc>
        <w:tc>
          <w:tcPr>
            <w:tcW w:w="1120" w:type="dxa"/>
            <w:vAlign w:val="bottom"/>
          </w:tcPr>
          <w:p>
            <w:pPr>
              <w:jc w:val="right"/>
              <w:ind w:right="43"/>
              <w:spacing w:after="0"/>
              <w:rPr>
                <w:sz w:val="20"/>
                <w:szCs w:val="20"/>
                <w:color w:val="auto"/>
              </w:rPr>
            </w:pPr>
            <w:r>
              <w:rPr>
                <w:rFonts w:ascii="Arial" w:cs="Arial" w:eastAsia="Arial" w:hAnsi="Arial"/>
                <w:sz w:val="16"/>
                <w:szCs w:val="16"/>
                <w:color w:val="auto"/>
              </w:rPr>
              <w:t>336.2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23"/>
              <w:spacing w:after="0"/>
              <w:rPr>
                <w:sz w:val="20"/>
                <w:szCs w:val="20"/>
                <w:color w:val="auto"/>
              </w:rPr>
            </w:pPr>
            <w:r>
              <w:rPr>
                <w:rFonts w:ascii="Arial" w:cs="Arial" w:eastAsia="Arial" w:hAnsi="Arial"/>
                <w:sz w:val="16"/>
                <w:szCs w:val="16"/>
                <w:color w:val="auto"/>
              </w:rPr>
              <w:t>834.9</w:t>
            </w:r>
          </w:p>
        </w:tc>
      </w:tr>
      <w:tr>
        <w:trPr>
          <w:trHeight w:val="24"/>
        </w:trPr>
        <w:tc>
          <w:tcPr>
            <w:tcW w:w="8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3"/>
        </w:trPr>
        <w:tc>
          <w:tcPr>
            <w:tcW w:w="8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Current portion of debt and finance lease obligations (notes 9 and 10)</w:t>
            </w: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1,867.7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3,877.2</w:t>
            </w:r>
          </w:p>
        </w:tc>
      </w:tr>
      <w:tr>
        <w:trPr>
          <w:trHeight w:val="209"/>
        </w:trPr>
        <w:tc>
          <w:tcPr>
            <w:tcW w:w="8460" w:type="dxa"/>
            <w:vAlign w:val="bottom"/>
          </w:tcPr>
          <w:p>
            <w:pPr>
              <w:ind w:left="140"/>
              <w:spacing w:after="0"/>
              <w:rPr>
                <w:sz w:val="20"/>
                <w:szCs w:val="20"/>
                <w:color w:val="auto"/>
              </w:rPr>
            </w:pPr>
            <w:r>
              <w:rPr>
                <w:rFonts w:ascii="Arial" w:cs="Arial" w:eastAsia="Arial" w:hAnsi="Arial"/>
                <w:sz w:val="16"/>
                <w:szCs w:val="16"/>
                <w:color w:val="auto"/>
              </w:rPr>
              <w:t>Accrued capital expenditures</w:t>
            </w:r>
          </w:p>
        </w:tc>
        <w:tc>
          <w:tcPr>
            <w:tcW w:w="240" w:type="dxa"/>
            <w:vAlign w:val="bottom"/>
          </w:tcPr>
          <w:p>
            <w:pPr>
              <w:spacing w:after="0"/>
              <w:rPr>
                <w:sz w:val="18"/>
                <w:szCs w:val="18"/>
                <w:color w:val="auto"/>
              </w:rPr>
            </w:pPr>
          </w:p>
        </w:tc>
        <w:tc>
          <w:tcPr>
            <w:tcW w:w="1120" w:type="dxa"/>
            <w:vAlign w:val="bottom"/>
          </w:tcPr>
          <w:p>
            <w:pPr>
              <w:jc w:val="right"/>
              <w:ind w:right="43"/>
              <w:spacing w:after="0"/>
              <w:rPr>
                <w:sz w:val="20"/>
                <w:szCs w:val="20"/>
                <w:color w:val="auto"/>
              </w:rPr>
            </w:pPr>
            <w:r>
              <w:rPr>
                <w:rFonts w:ascii="Arial" w:cs="Arial" w:eastAsia="Arial" w:hAnsi="Arial"/>
                <w:sz w:val="16"/>
                <w:szCs w:val="16"/>
                <w:color w:val="auto"/>
              </w:rPr>
              <w:t>199.0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23"/>
              <w:spacing w:after="0"/>
              <w:rPr>
                <w:sz w:val="20"/>
                <w:szCs w:val="20"/>
                <w:color w:val="auto"/>
              </w:rPr>
            </w:pPr>
            <w:r>
              <w:rPr>
                <w:rFonts w:ascii="Arial" w:cs="Arial" w:eastAsia="Arial" w:hAnsi="Arial"/>
                <w:sz w:val="16"/>
                <w:szCs w:val="16"/>
                <w:color w:val="auto"/>
              </w:rPr>
              <w:t>405.2</w:t>
            </w:r>
          </w:p>
        </w:tc>
      </w:tr>
      <w:tr>
        <w:trPr>
          <w:trHeight w:val="24"/>
        </w:trPr>
        <w:tc>
          <w:tcPr>
            <w:tcW w:w="8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3"/>
        </w:trPr>
        <w:tc>
          <w:tcPr>
            <w:tcW w:w="8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Other accrued and current liabilities (notes 6, 10 and 14)</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1,536.8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2,570.5</w:t>
            </w:r>
          </w:p>
        </w:tc>
      </w:tr>
      <w:tr>
        <w:trPr>
          <w:trHeight w:val="201"/>
        </w:trPr>
        <w:tc>
          <w:tcPr>
            <w:tcW w:w="8460" w:type="dxa"/>
            <w:vAlign w:val="bottom"/>
          </w:tcPr>
          <w:p>
            <w:pPr>
              <w:ind w:left="32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4,349.7</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8,651.7</w:t>
            </w:r>
          </w:p>
        </w:tc>
      </w:tr>
      <w:tr>
        <w:trPr>
          <w:trHeight w:val="24"/>
        </w:trPr>
        <w:tc>
          <w:tcPr>
            <w:tcW w:w="8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3"/>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 debt and finance lease obligations (notes 9 and 10)</w:t>
            </w: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10,375.9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24,305.3</w:t>
            </w:r>
          </w:p>
        </w:tc>
      </w:tr>
      <w:tr>
        <w:trPr>
          <w:trHeight w:val="209"/>
        </w:trPr>
        <w:tc>
          <w:tcPr>
            <w:tcW w:w="8460" w:type="dxa"/>
            <w:vAlign w:val="bottom"/>
          </w:tcPr>
          <w:p>
            <w:pPr>
              <w:ind w:left="20"/>
              <w:spacing w:after="0"/>
              <w:rPr>
                <w:sz w:val="20"/>
                <w:szCs w:val="20"/>
                <w:color w:val="auto"/>
              </w:rPr>
            </w:pPr>
            <w:r>
              <w:rPr>
                <w:rFonts w:ascii="Arial" w:cs="Arial" w:eastAsia="Arial" w:hAnsi="Arial"/>
                <w:sz w:val="16"/>
                <w:szCs w:val="16"/>
                <w:color w:val="auto"/>
              </w:rPr>
              <w:t>Liabilities associated with assets held for sale (note 4)</w:t>
            </w:r>
          </w:p>
        </w:tc>
        <w:tc>
          <w:tcPr>
            <w:tcW w:w="240" w:type="dxa"/>
            <w:vAlign w:val="bottom"/>
          </w:tcPr>
          <w:p>
            <w:pPr>
              <w:spacing w:after="0"/>
              <w:rPr>
                <w:sz w:val="18"/>
                <w:szCs w:val="18"/>
                <w:color w:val="auto"/>
              </w:rPr>
            </w:pPr>
          </w:p>
        </w:tc>
        <w:tc>
          <w:tcPr>
            <w:tcW w:w="1120" w:type="dxa"/>
            <w:vAlign w:val="bottom"/>
          </w:tcPr>
          <w:p>
            <w:pPr>
              <w:jc w:val="right"/>
              <w:ind w:right="43"/>
              <w:spacing w:after="0"/>
              <w:rPr>
                <w:sz w:val="20"/>
                <w:szCs w:val="20"/>
                <w:color w:val="auto"/>
              </w:rPr>
            </w:pPr>
            <w:r>
              <w:rPr>
                <w:rFonts w:ascii="Arial" w:cs="Arial" w:eastAsia="Arial" w:hAnsi="Arial"/>
                <w:sz w:val="16"/>
                <w:szCs w:val="16"/>
                <w:color w:val="auto"/>
              </w:rPr>
              <w:t>18,133.3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23"/>
              <w:spacing w:after="0"/>
              <w:rPr>
                <w:sz w:val="20"/>
                <w:szCs w:val="20"/>
                <w:color w:val="auto"/>
              </w:rPr>
            </w:pPr>
            <w:r>
              <w:rPr>
                <w:rFonts w:ascii="Arial" w:cs="Arial" w:eastAsia="Arial" w:hAnsi="Arial"/>
                <w:sz w:val="16"/>
                <w:szCs w:val="16"/>
                <w:color w:val="auto"/>
              </w:rPr>
              <w:t>—</w:t>
            </w:r>
          </w:p>
        </w:tc>
      </w:tr>
      <w:tr>
        <w:trPr>
          <w:trHeight w:val="24"/>
        </w:trPr>
        <w:tc>
          <w:tcPr>
            <w:tcW w:w="8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3"/>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long-term liabilities (notes 3, 6, 10, 11 and 14)</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1,930.8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2,890.7</w:t>
            </w:r>
          </w:p>
        </w:tc>
      </w:tr>
      <w:tr>
        <w:trPr>
          <w:trHeight w:val="201"/>
        </w:trPr>
        <w:tc>
          <w:tcPr>
            <w:tcW w:w="8460" w:type="dxa"/>
            <w:vAlign w:val="bottom"/>
          </w:tcPr>
          <w:p>
            <w:pPr>
              <w:ind w:left="320"/>
              <w:spacing w:after="0"/>
              <w:rPr>
                <w:sz w:val="20"/>
                <w:szCs w:val="20"/>
                <w:color w:val="auto"/>
              </w:rPr>
            </w:pPr>
            <w:r>
              <w:rPr>
                <w:rFonts w:ascii="Arial" w:cs="Arial" w:eastAsia="Arial" w:hAnsi="Arial"/>
                <w:sz w:val="16"/>
                <w:szCs w:val="16"/>
                <w:color w:val="auto"/>
              </w:rPr>
              <w:t>Total liabilities</w:t>
            </w: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34,789.7</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35,847.7</w:t>
            </w:r>
          </w:p>
        </w:tc>
      </w:tr>
      <w:tr>
        <w:trPr>
          <w:trHeight w:val="24"/>
        </w:trPr>
        <w:tc>
          <w:tcPr>
            <w:tcW w:w="8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78"/>
        </w:trPr>
        <w:tc>
          <w:tcPr>
            <w:tcW w:w="84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09"/>
        </w:trPr>
        <w:tc>
          <w:tcPr>
            <w:tcW w:w="8460" w:type="dxa"/>
            <w:vAlign w:val="bottom"/>
          </w:tcPr>
          <w:p>
            <w:pPr>
              <w:ind w:left="20"/>
              <w:spacing w:after="0"/>
              <w:rPr>
                <w:sz w:val="20"/>
                <w:szCs w:val="20"/>
                <w:color w:val="auto"/>
              </w:rPr>
            </w:pPr>
            <w:r>
              <w:rPr>
                <w:rFonts w:ascii="Arial" w:cs="Arial" w:eastAsia="Arial" w:hAnsi="Arial"/>
                <w:sz w:val="16"/>
                <w:szCs w:val="16"/>
                <w:color w:val="auto"/>
              </w:rPr>
              <w:t>Commitments and contingencies (notes 6, 9, 11 and 16)</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4"/>
        </w:trPr>
        <w:tc>
          <w:tcPr>
            <w:tcW w:w="8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86"/>
        </w:trPr>
        <w:tc>
          <w:tcPr>
            <w:tcW w:w="84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09"/>
        </w:trPr>
        <w:tc>
          <w:tcPr>
            <w:tcW w:w="8460" w:type="dxa"/>
            <w:vAlign w:val="bottom"/>
          </w:tcPr>
          <w:p>
            <w:pPr>
              <w:ind w:left="20"/>
              <w:spacing w:after="0"/>
              <w:rPr>
                <w:sz w:val="20"/>
                <w:szCs w:val="20"/>
                <w:color w:val="auto"/>
              </w:rPr>
            </w:pPr>
            <w:r>
              <w:rPr>
                <w:rFonts w:ascii="Arial" w:cs="Arial" w:eastAsia="Arial" w:hAnsi="Arial"/>
                <w:sz w:val="16"/>
                <w:szCs w:val="16"/>
                <w:color w:val="auto"/>
              </w:rPr>
              <w:t>Equity (note 12):</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4"/>
        </w:trPr>
        <w:tc>
          <w:tcPr>
            <w:tcW w:w="8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3"/>
        </w:trPr>
        <w:tc>
          <w:tcPr>
            <w:tcW w:w="8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Liberty Global shareholders:</w:t>
            </w: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r>
      <w:tr>
        <w:trPr>
          <w:trHeight w:val="209"/>
        </w:trPr>
        <w:tc>
          <w:tcPr>
            <w:tcW w:w="8460" w:type="dxa"/>
            <w:vAlign w:val="bottom"/>
          </w:tcPr>
          <w:p>
            <w:pPr>
              <w:ind w:left="220"/>
              <w:spacing w:after="0"/>
              <w:rPr>
                <w:sz w:val="20"/>
                <w:szCs w:val="20"/>
                <w:color w:val="auto"/>
              </w:rPr>
            </w:pPr>
            <w:r>
              <w:rPr>
                <w:rFonts w:ascii="Arial" w:cs="Arial" w:eastAsia="Arial" w:hAnsi="Arial"/>
                <w:sz w:val="16"/>
                <w:szCs w:val="16"/>
                <w:color w:val="auto"/>
                <w:w w:val="90"/>
              </w:rPr>
              <w:t>Class A ordinary shares, $0.01 nominal value. Issued and outstanding 182,268,745 shares and 181,560,735 shares, respectively</w:t>
            </w:r>
          </w:p>
        </w:tc>
        <w:tc>
          <w:tcPr>
            <w:tcW w:w="240" w:type="dxa"/>
            <w:vAlign w:val="bottom"/>
          </w:tcPr>
          <w:p>
            <w:pPr>
              <w:spacing w:after="0"/>
              <w:rPr>
                <w:sz w:val="18"/>
                <w:szCs w:val="18"/>
                <w:color w:val="auto"/>
              </w:rPr>
            </w:pPr>
          </w:p>
        </w:tc>
        <w:tc>
          <w:tcPr>
            <w:tcW w:w="1120" w:type="dxa"/>
            <w:vAlign w:val="bottom"/>
          </w:tcPr>
          <w:p>
            <w:pPr>
              <w:jc w:val="right"/>
              <w:ind w:right="43"/>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23"/>
              <w:spacing w:after="0"/>
              <w:rPr>
                <w:sz w:val="20"/>
                <w:szCs w:val="20"/>
                <w:color w:val="auto"/>
              </w:rPr>
            </w:pPr>
            <w:r>
              <w:rPr>
                <w:rFonts w:ascii="Arial" w:cs="Arial" w:eastAsia="Arial" w:hAnsi="Arial"/>
                <w:sz w:val="16"/>
                <w:szCs w:val="16"/>
                <w:color w:val="auto"/>
              </w:rPr>
              <w:t>1.8</w:t>
            </w:r>
          </w:p>
        </w:tc>
      </w:tr>
      <w:tr>
        <w:trPr>
          <w:trHeight w:val="24"/>
        </w:trPr>
        <w:tc>
          <w:tcPr>
            <w:tcW w:w="8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3"/>
        </w:trPr>
        <w:tc>
          <w:tcPr>
            <w:tcW w:w="8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w w:val="91"/>
              </w:rPr>
              <w:t>Class B ordinary shares, $0.01 nominal value. Issued and outstanding 12,561,851 shares and 12,151,526 shares, respectively</w:t>
            </w: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0.1</w:t>
            </w:r>
          </w:p>
        </w:tc>
      </w:tr>
      <w:tr>
        <w:trPr>
          <w:trHeight w:val="209"/>
        </w:trPr>
        <w:tc>
          <w:tcPr>
            <w:tcW w:w="8460" w:type="dxa"/>
            <w:vAlign w:val="bottom"/>
          </w:tcPr>
          <w:p>
            <w:pPr>
              <w:ind w:left="220"/>
              <w:spacing w:after="0"/>
              <w:rPr>
                <w:sz w:val="20"/>
                <w:szCs w:val="20"/>
                <w:color w:val="auto"/>
              </w:rPr>
            </w:pPr>
            <w:r>
              <w:rPr>
                <w:rFonts w:ascii="Arial" w:cs="Arial" w:eastAsia="Arial" w:hAnsi="Arial"/>
                <w:sz w:val="16"/>
                <w:szCs w:val="16"/>
                <w:color w:val="auto"/>
                <w:w w:val="89"/>
              </w:rPr>
              <w:t>Class C ordinary shares, $0.01 nominal value. Issued and outstanding 401,480,741 shares and 438,867,447 shares, respectively</w:t>
            </w:r>
          </w:p>
        </w:tc>
        <w:tc>
          <w:tcPr>
            <w:tcW w:w="240" w:type="dxa"/>
            <w:vAlign w:val="bottom"/>
          </w:tcPr>
          <w:p>
            <w:pPr>
              <w:spacing w:after="0"/>
              <w:rPr>
                <w:sz w:val="18"/>
                <w:szCs w:val="18"/>
                <w:color w:val="auto"/>
              </w:rPr>
            </w:pPr>
          </w:p>
        </w:tc>
        <w:tc>
          <w:tcPr>
            <w:tcW w:w="1120" w:type="dxa"/>
            <w:vAlign w:val="bottom"/>
          </w:tcPr>
          <w:p>
            <w:pPr>
              <w:jc w:val="right"/>
              <w:ind w:right="43"/>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23"/>
              <w:spacing w:after="0"/>
              <w:rPr>
                <w:sz w:val="20"/>
                <w:szCs w:val="20"/>
                <w:color w:val="auto"/>
              </w:rPr>
            </w:pPr>
            <w:r>
              <w:rPr>
                <w:rFonts w:ascii="Arial" w:cs="Arial" w:eastAsia="Arial" w:hAnsi="Arial"/>
                <w:sz w:val="16"/>
                <w:szCs w:val="16"/>
                <w:color w:val="auto"/>
              </w:rPr>
              <w:t>4.4</w:t>
            </w:r>
          </w:p>
        </w:tc>
      </w:tr>
      <w:tr>
        <w:trPr>
          <w:trHeight w:val="24"/>
        </w:trPr>
        <w:tc>
          <w:tcPr>
            <w:tcW w:w="8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3"/>
        </w:trPr>
        <w:tc>
          <w:tcPr>
            <w:tcW w:w="8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Additional paid-in capital</w:t>
            </w: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5,505.7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6,136.9</w:t>
            </w:r>
          </w:p>
        </w:tc>
      </w:tr>
      <w:tr>
        <w:trPr>
          <w:trHeight w:val="209"/>
        </w:trPr>
        <w:tc>
          <w:tcPr>
            <w:tcW w:w="8460" w:type="dxa"/>
            <w:vAlign w:val="bottom"/>
          </w:tcPr>
          <w:p>
            <w:pPr>
              <w:ind w:left="220"/>
              <w:spacing w:after="0"/>
              <w:rPr>
                <w:sz w:val="20"/>
                <w:szCs w:val="20"/>
                <w:color w:val="auto"/>
              </w:rPr>
            </w:pPr>
            <w:r>
              <w:rPr>
                <w:rFonts w:ascii="Arial" w:cs="Arial" w:eastAsia="Arial" w:hAnsi="Arial"/>
                <w:sz w:val="16"/>
                <w:szCs w:val="16"/>
                <w:color w:val="auto"/>
              </w:rPr>
              <w:t>Accumulated earnings</w:t>
            </w:r>
          </w:p>
        </w:tc>
        <w:tc>
          <w:tcPr>
            <w:tcW w:w="240" w:type="dxa"/>
            <w:vAlign w:val="bottom"/>
          </w:tcPr>
          <w:p>
            <w:pPr>
              <w:spacing w:after="0"/>
              <w:rPr>
                <w:sz w:val="18"/>
                <w:szCs w:val="18"/>
                <w:color w:val="auto"/>
              </w:rPr>
            </w:pPr>
          </w:p>
        </w:tc>
        <w:tc>
          <w:tcPr>
            <w:tcW w:w="1120" w:type="dxa"/>
            <w:vAlign w:val="bottom"/>
          </w:tcPr>
          <w:p>
            <w:pPr>
              <w:jc w:val="right"/>
              <w:ind w:right="43"/>
              <w:spacing w:after="0"/>
              <w:rPr>
                <w:sz w:val="20"/>
                <w:szCs w:val="20"/>
                <w:color w:val="auto"/>
              </w:rPr>
            </w:pPr>
            <w:r>
              <w:rPr>
                <w:rFonts w:ascii="Arial" w:cs="Arial" w:eastAsia="Arial" w:hAnsi="Arial"/>
                <w:sz w:val="16"/>
                <w:szCs w:val="16"/>
                <w:color w:val="auto"/>
              </w:rPr>
              <w:t>6,745.7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23"/>
              <w:spacing w:after="0"/>
              <w:rPr>
                <w:sz w:val="20"/>
                <w:szCs w:val="20"/>
                <w:color w:val="auto"/>
              </w:rPr>
            </w:pPr>
            <w:r>
              <w:rPr>
                <w:rFonts w:ascii="Arial" w:cs="Arial" w:eastAsia="Arial" w:hAnsi="Arial"/>
                <w:sz w:val="16"/>
                <w:szCs w:val="16"/>
                <w:color w:val="auto"/>
              </w:rPr>
              <w:t>6,350.4</w:t>
            </w:r>
          </w:p>
        </w:tc>
      </w:tr>
      <w:tr>
        <w:trPr>
          <w:trHeight w:val="24"/>
        </w:trPr>
        <w:tc>
          <w:tcPr>
            <w:tcW w:w="8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3"/>
        </w:trPr>
        <w:tc>
          <w:tcPr>
            <w:tcW w:w="8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Accumulated other comprehensive earnings, net of taxes</w:t>
            </w: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676.8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1,112.7</w:t>
            </w:r>
          </w:p>
        </w:tc>
      </w:tr>
      <w:tr>
        <w:trPr>
          <w:trHeight w:val="209"/>
        </w:trPr>
        <w:tc>
          <w:tcPr>
            <w:tcW w:w="8460" w:type="dxa"/>
            <w:vAlign w:val="bottom"/>
          </w:tcPr>
          <w:p>
            <w:pPr>
              <w:ind w:left="220"/>
              <w:spacing w:after="0"/>
              <w:rPr>
                <w:sz w:val="20"/>
                <w:szCs w:val="20"/>
                <w:color w:val="auto"/>
              </w:rPr>
            </w:pPr>
            <w:r>
              <w:rPr>
                <w:rFonts w:ascii="Arial" w:cs="Arial" w:eastAsia="Arial" w:hAnsi="Arial"/>
                <w:sz w:val="16"/>
                <w:szCs w:val="16"/>
                <w:color w:val="auto"/>
              </w:rPr>
              <w:t>Treasury shares, at cost</w:t>
            </w:r>
          </w:p>
        </w:tc>
        <w:tc>
          <w:tcPr>
            <w:tcW w:w="240" w:type="dxa"/>
            <w:vAlign w:val="bottom"/>
          </w:tcPr>
          <w:p>
            <w:pPr>
              <w:spacing w:after="0"/>
              <w:rPr>
                <w:sz w:val="18"/>
                <w:szCs w:val="18"/>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4"/>
        </w:trPr>
        <w:tc>
          <w:tcPr>
            <w:tcW w:w="8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4"/>
        </w:trPr>
        <w:tc>
          <w:tcPr>
            <w:tcW w:w="84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Total Liberty Global shareholders</w:t>
            </w:r>
          </w:p>
        </w:tc>
        <w:tc>
          <w:tcPr>
            <w:tcW w:w="2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12,934.0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13,606.2</w:t>
            </w:r>
          </w:p>
        </w:tc>
      </w:tr>
      <w:tr>
        <w:trPr>
          <w:trHeight w:val="209"/>
        </w:trPr>
        <w:tc>
          <w:tcPr>
            <w:tcW w:w="8460" w:type="dxa"/>
            <w:vAlign w:val="bottom"/>
          </w:tcPr>
          <w:p>
            <w:pPr>
              <w:ind w:left="140"/>
              <w:spacing w:after="0"/>
              <w:rPr>
                <w:sz w:val="20"/>
                <w:szCs w:val="20"/>
                <w:color w:val="auto"/>
              </w:rPr>
            </w:pPr>
            <w:r>
              <w:rPr>
                <w:rFonts w:ascii="Arial" w:cs="Arial" w:eastAsia="Arial" w:hAnsi="Arial"/>
                <w:sz w:val="16"/>
                <w:szCs w:val="16"/>
                <w:color w:val="auto"/>
              </w:rPr>
              <w:t>Noncontrolling interests</w:t>
            </w:r>
          </w:p>
        </w:tc>
        <w:tc>
          <w:tcPr>
            <w:tcW w:w="240" w:type="dxa"/>
            <w:vAlign w:val="bottom"/>
          </w:tcPr>
          <w:p>
            <w:pPr>
              <w:spacing w:after="0"/>
              <w:rPr>
                <w:sz w:val="18"/>
                <w:szCs w:val="18"/>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(383.5)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(407.6)</w:t>
            </w:r>
          </w:p>
        </w:tc>
      </w:tr>
      <w:tr>
        <w:trPr>
          <w:trHeight w:val="24"/>
        </w:trPr>
        <w:tc>
          <w:tcPr>
            <w:tcW w:w="8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4"/>
        </w:trPr>
        <w:tc>
          <w:tcPr>
            <w:tcW w:w="84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Total equity</w:t>
            </w:r>
          </w:p>
        </w:tc>
        <w:tc>
          <w:tcPr>
            <w:tcW w:w="2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12,550.5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13,198.6</w:t>
            </w:r>
          </w:p>
        </w:tc>
      </w:tr>
      <w:tr>
        <w:trPr>
          <w:trHeight w:val="201"/>
        </w:trPr>
        <w:tc>
          <w:tcPr>
            <w:tcW w:w="8460" w:type="dxa"/>
            <w:vAlign w:val="bottom"/>
          </w:tcPr>
          <w:p>
            <w:pPr>
              <w:ind w:left="500"/>
              <w:spacing w:after="0"/>
              <w:rPr>
                <w:sz w:val="20"/>
                <w:szCs w:val="20"/>
                <w:color w:val="auto"/>
              </w:rPr>
            </w:pPr>
            <w:r>
              <w:rPr>
                <w:rFonts w:ascii="Arial" w:cs="Arial" w:eastAsia="Arial" w:hAnsi="Arial"/>
                <w:sz w:val="16"/>
                <w:szCs w:val="16"/>
                <w:color w:val="auto"/>
              </w:rPr>
              <w:t>Total liabilities and equity</w:t>
            </w:r>
          </w:p>
        </w:tc>
        <w:tc>
          <w:tcPr>
            <w:tcW w:w="240" w:type="dxa"/>
            <w:vAlign w:val="bottom"/>
            <w:tcBorders>
              <w:top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47,340.2</w:t>
            </w:r>
          </w:p>
        </w:tc>
        <w:tc>
          <w:tcPr>
            <w:tcW w:w="100" w:type="dxa"/>
            <w:vAlign w:val="bottom"/>
          </w:tcPr>
          <w:p>
            <w:pPr>
              <w:spacing w:after="0"/>
              <w:rPr>
                <w:sz w:val="17"/>
                <w:szCs w:val="17"/>
                <w:color w:val="auto"/>
              </w:rPr>
            </w:pPr>
          </w:p>
        </w:tc>
        <w:tc>
          <w:tcPr>
            <w:tcW w:w="18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49,046.3</w:t>
            </w:r>
          </w:p>
        </w:tc>
      </w:tr>
      <w:tr>
        <w:trPr>
          <w:trHeight w:val="24"/>
        </w:trPr>
        <w:tc>
          <w:tcPr>
            <w:tcW w:w="84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8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14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60"/>
          </w:cols>
          <w:pgMar w:left="320" w:top="868" w:right="31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6"/>
          <w:szCs w:val="16"/>
          <w:b w:val="1"/>
          <w:bCs w:val="1"/>
          <w:color w:val="auto"/>
        </w:rPr>
        <w:t>LIBERTY GLOBAL PLC</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4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5"/>
                <w:szCs w:val="15"/>
                <w:color w:val="auto"/>
              </w:rPr>
            </w:pPr>
          </w:p>
        </w:tc>
        <w:tc>
          <w:tcPr>
            <w:tcW w:w="1880" w:type="dxa"/>
            <w:vAlign w:val="bottom"/>
            <w:gridSpan w:val="4"/>
          </w:tcPr>
          <w:p>
            <w:pPr>
              <w:jc w:val="right"/>
              <w:ind w:right="44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33"/>
        </w:trPr>
        <w:tc>
          <w:tcPr>
            <w:tcW w:w="6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3"/>
          </w:tcPr>
          <w:p>
            <w:pPr>
              <w:jc w:val="right"/>
              <w:ind w:right="2"/>
              <w:spacing w:after="0"/>
              <w:rPr>
                <w:sz w:val="20"/>
                <w:szCs w:val="20"/>
                <w:color w:val="auto"/>
              </w:rPr>
            </w:pPr>
            <w:r>
              <w:rPr>
                <w:rFonts w:ascii="Arial" w:cs="Arial" w:eastAsia="Arial" w:hAnsi="Arial"/>
                <w:sz w:val="14"/>
                <w:szCs w:val="14"/>
                <w:b w:val="1"/>
                <w:bCs w:val="1"/>
                <w:color w:val="auto"/>
              </w:rPr>
              <w:t>June 30,</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3"/>
          </w:tcPr>
          <w:p>
            <w:pPr>
              <w:jc w:val="right"/>
              <w:ind w:right="2"/>
              <w:spacing w:after="0"/>
              <w:rPr>
                <w:sz w:val="20"/>
                <w:szCs w:val="20"/>
                <w:color w:val="auto"/>
              </w:rPr>
            </w:pPr>
            <w:r>
              <w:rPr>
                <w:rFonts w:ascii="Arial" w:cs="Arial" w:eastAsia="Arial" w:hAnsi="Arial"/>
                <w:sz w:val="14"/>
                <w:szCs w:val="14"/>
                <w:b w:val="1"/>
                <w:bCs w:val="1"/>
                <w:color w:val="auto"/>
              </w:rPr>
              <w:t>June 30,</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6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6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30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jc w:val="right"/>
              <w:ind w:right="30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ind w:right="28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jc w:val="right"/>
              <w:ind w:right="28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8"/>
        </w:trPr>
        <w:tc>
          <w:tcPr>
            <w:tcW w:w="6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7"/>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6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360" w:type="dxa"/>
            <w:vAlign w:val="bottom"/>
            <w:gridSpan w:val="7"/>
          </w:tcPr>
          <w:p>
            <w:pPr>
              <w:ind w:left="60"/>
              <w:spacing w:after="0"/>
              <w:rPr>
                <w:sz w:val="20"/>
                <w:szCs w:val="20"/>
                <w:color w:val="auto"/>
              </w:rPr>
            </w:pPr>
            <w:r>
              <w:rPr>
                <w:rFonts w:ascii="Arial" w:cs="Arial" w:eastAsia="Arial" w:hAnsi="Arial"/>
                <w:sz w:val="14"/>
                <w:szCs w:val="14"/>
                <w:b w:val="1"/>
                <w:bCs w:val="1"/>
                <w:color w:val="auto"/>
                <w:w w:val="90"/>
              </w:rPr>
              <w:t>in millions, except per share amounts</w:t>
            </w: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6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 (notes 3, 4, 5 and 17)</w:t>
            </w:r>
          </w:p>
        </w:tc>
        <w:tc>
          <w:tcPr>
            <w:tcW w:w="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2,722.9</w:t>
            </w:r>
          </w:p>
        </w:tc>
        <w:tc>
          <w:tcPr>
            <w:tcW w:w="400" w:type="dxa"/>
            <w:vAlign w:val="bottom"/>
            <w:tcBorders>
              <w:bottom w:val="single" w:sz="8" w:color="CCEEFF"/>
            </w:tcBorders>
            <w:gridSpan w:val="2"/>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2,850.4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5,598.7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5,718.4</w:t>
            </w:r>
          </w:p>
        </w:tc>
        <w:tc>
          <w:tcPr>
            <w:tcW w:w="0" w:type="dxa"/>
            <w:vAlign w:val="bottom"/>
          </w:tcPr>
          <w:p>
            <w:pPr>
              <w:spacing w:after="0"/>
              <w:rPr>
                <w:sz w:val="1"/>
                <w:szCs w:val="1"/>
                <w:color w:val="auto"/>
              </w:rPr>
            </w:pPr>
          </w:p>
        </w:tc>
      </w:tr>
      <w:tr>
        <w:trPr>
          <w:trHeight w:val="189"/>
        </w:trPr>
        <w:tc>
          <w:tcPr>
            <w:tcW w:w="6860" w:type="dxa"/>
            <w:vAlign w:val="bottom"/>
          </w:tcPr>
          <w:p>
            <w:pPr>
              <w:ind w:left="20"/>
              <w:spacing w:after="0"/>
              <w:rPr>
                <w:sz w:val="20"/>
                <w:szCs w:val="20"/>
                <w:color w:val="auto"/>
              </w:rPr>
            </w:pPr>
            <w:r>
              <w:rPr>
                <w:rFonts w:ascii="Arial" w:cs="Arial" w:eastAsia="Arial" w:hAnsi="Arial"/>
                <w:sz w:val="16"/>
                <w:szCs w:val="16"/>
                <w:color w:val="auto"/>
                <w:w w:val="95"/>
              </w:rPr>
              <w:t>Operating costs and expenses (exclusive of depreciation and amortization, shown separately below):</w:t>
            </w:r>
          </w:p>
        </w:tc>
        <w:tc>
          <w:tcPr>
            <w:tcW w:w="2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6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6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Programming and other direct costs of services</w:t>
            </w:r>
          </w:p>
        </w:tc>
        <w:tc>
          <w:tcPr>
            <w:tcW w:w="2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715.0</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786.3</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1,570.1</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1,586.7</w:t>
            </w:r>
          </w:p>
        </w:tc>
        <w:tc>
          <w:tcPr>
            <w:tcW w:w="0" w:type="dxa"/>
            <w:vAlign w:val="bottom"/>
          </w:tcPr>
          <w:p>
            <w:pPr>
              <w:spacing w:after="0"/>
              <w:rPr>
                <w:sz w:val="1"/>
                <w:szCs w:val="1"/>
                <w:color w:val="auto"/>
              </w:rPr>
            </w:pPr>
          </w:p>
        </w:tc>
      </w:tr>
      <w:tr>
        <w:trPr>
          <w:trHeight w:val="209"/>
        </w:trPr>
        <w:tc>
          <w:tcPr>
            <w:tcW w:w="6860" w:type="dxa"/>
            <w:vAlign w:val="bottom"/>
          </w:tcPr>
          <w:p>
            <w:pPr>
              <w:ind w:left="140"/>
              <w:spacing w:after="0"/>
              <w:rPr>
                <w:sz w:val="20"/>
                <w:szCs w:val="20"/>
                <w:color w:val="auto"/>
              </w:rPr>
            </w:pPr>
            <w:r>
              <w:rPr>
                <w:rFonts w:ascii="Arial" w:cs="Arial" w:eastAsia="Arial" w:hAnsi="Arial"/>
                <w:sz w:val="16"/>
                <w:szCs w:val="16"/>
                <w:color w:val="auto"/>
              </w:rPr>
              <w:t>Other operating (note 13)</w:t>
            </w:r>
          </w:p>
        </w:tc>
        <w:tc>
          <w:tcPr>
            <w:tcW w:w="240" w:type="dxa"/>
            <w:vAlign w:val="bottom"/>
          </w:tcPr>
          <w:p>
            <w:pPr>
              <w:spacing w:after="0"/>
              <w:rPr>
                <w:sz w:val="18"/>
                <w:szCs w:val="18"/>
                <w:color w:val="auto"/>
              </w:rPr>
            </w:pPr>
          </w:p>
        </w:tc>
        <w:tc>
          <w:tcPr>
            <w:tcW w:w="800" w:type="dxa"/>
            <w:vAlign w:val="bottom"/>
          </w:tcPr>
          <w:p>
            <w:pPr>
              <w:jc w:val="right"/>
              <w:ind w:right="43"/>
              <w:spacing w:after="0"/>
              <w:rPr>
                <w:sz w:val="20"/>
                <w:szCs w:val="20"/>
                <w:color w:val="auto"/>
              </w:rPr>
            </w:pPr>
            <w:r>
              <w:rPr>
                <w:rFonts w:ascii="Arial" w:cs="Arial" w:eastAsia="Arial" w:hAnsi="Arial"/>
                <w:sz w:val="16"/>
                <w:szCs w:val="16"/>
                <w:color w:val="auto"/>
              </w:rPr>
              <w:t>401.1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ind w:right="43"/>
              <w:spacing w:after="0"/>
              <w:rPr>
                <w:sz w:val="20"/>
                <w:szCs w:val="20"/>
                <w:color w:val="auto"/>
              </w:rPr>
            </w:pPr>
            <w:r>
              <w:rPr>
                <w:rFonts w:ascii="Arial" w:cs="Arial" w:eastAsia="Arial" w:hAnsi="Arial"/>
                <w:sz w:val="16"/>
                <w:szCs w:val="16"/>
                <w:color w:val="auto"/>
              </w:rPr>
              <w:t>417.8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3"/>
              <w:spacing w:after="0"/>
              <w:rPr>
                <w:sz w:val="20"/>
                <w:szCs w:val="20"/>
                <w:color w:val="auto"/>
              </w:rPr>
            </w:pPr>
            <w:r>
              <w:rPr>
                <w:rFonts w:ascii="Arial" w:cs="Arial" w:eastAsia="Arial" w:hAnsi="Arial"/>
                <w:sz w:val="16"/>
                <w:szCs w:val="16"/>
                <w:color w:val="auto"/>
              </w:rPr>
              <w:t>821.2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ind w:right="23"/>
              <w:spacing w:after="0"/>
              <w:rPr>
                <w:sz w:val="20"/>
                <w:szCs w:val="20"/>
                <w:color w:val="auto"/>
              </w:rPr>
            </w:pPr>
            <w:r>
              <w:rPr>
                <w:rFonts w:ascii="Arial" w:cs="Arial" w:eastAsia="Arial" w:hAnsi="Arial"/>
                <w:sz w:val="16"/>
                <w:szCs w:val="16"/>
                <w:color w:val="auto"/>
              </w:rPr>
              <w:t>837.2</w:t>
            </w:r>
          </w:p>
        </w:tc>
        <w:tc>
          <w:tcPr>
            <w:tcW w:w="0" w:type="dxa"/>
            <w:vAlign w:val="bottom"/>
          </w:tcPr>
          <w:p>
            <w:pPr>
              <w:spacing w:after="0"/>
              <w:rPr>
                <w:sz w:val="1"/>
                <w:szCs w:val="1"/>
                <w:color w:val="auto"/>
              </w:rPr>
            </w:pPr>
          </w:p>
        </w:tc>
      </w:tr>
      <w:tr>
        <w:trPr>
          <w:trHeight w:val="24"/>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6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Selling, general and administrative (</w:t>
            </w:r>
            <w:r>
              <w:rPr>
                <w:rFonts w:ascii="Arial" w:cs="Arial" w:eastAsia="Arial" w:hAnsi="Arial"/>
                <w:sz w:val="16"/>
                <w:szCs w:val="16"/>
                <w:b w:val="1"/>
                <w:bCs w:val="1"/>
                <w:color w:val="auto"/>
              </w:rPr>
              <w:t>SG&amp;A</w:t>
            </w:r>
            <w:r>
              <w:rPr>
                <w:rFonts w:ascii="Arial" w:cs="Arial" w:eastAsia="Arial" w:hAnsi="Arial"/>
                <w:sz w:val="16"/>
                <w:szCs w:val="16"/>
                <w:color w:val="auto"/>
              </w:rPr>
              <w:t>) (note 13)</w:t>
            </w:r>
          </w:p>
        </w:tc>
        <w:tc>
          <w:tcPr>
            <w:tcW w:w="2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502.1</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542.6</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1,007.6</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1,074.8</w:t>
            </w:r>
          </w:p>
        </w:tc>
        <w:tc>
          <w:tcPr>
            <w:tcW w:w="0" w:type="dxa"/>
            <w:vAlign w:val="bottom"/>
          </w:tcPr>
          <w:p>
            <w:pPr>
              <w:spacing w:after="0"/>
              <w:rPr>
                <w:sz w:val="1"/>
                <w:szCs w:val="1"/>
                <w:color w:val="auto"/>
              </w:rPr>
            </w:pPr>
          </w:p>
        </w:tc>
      </w:tr>
      <w:tr>
        <w:trPr>
          <w:trHeight w:val="209"/>
        </w:trPr>
        <w:tc>
          <w:tcPr>
            <w:tcW w:w="686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8"/>
                <w:szCs w:val="18"/>
                <w:color w:val="auto"/>
              </w:rPr>
            </w:pPr>
          </w:p>
        </w:tc>
        <w:tc>
          <w:tcPr>
            <w:tcW w:w="800" w:type="dxa"/>
            <w:vAlign w:val="bottom"/>
          </w:tcPr>
          <w:p>
            <w:pPr>
              <w:jc w:val="right"/>
              <w:ind w:right="43"/>
              <w:spacing w:after="0"/>
              <w:rPr>
                <w:sz w:val="20"/>
                <w:szCs w:val="20"/>
                <w:color w:val="auto"/>
              </w:rPr>
            </w:pPr>
            <w:r>
              <w:rPr>
                <w:rFonts w:ascii="Arial" w:cs="Arial" w:eastAsia="Arial" w:hAnsi="Arial"/>
                <w:sz w:val="16"/>
                <w:szCs w:val="16"/>
                <w:color w:val="auto"/>
              </w:rPr>
              <w:t>545.7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ind w:right="43"/>
              <w:spacing w:after="0"/>
              <w:rPr>
                <w:sz w:val="20"/>
                <w:szCs w:val="20"/>
                <w:color w:val="auto"/>
              </w:rPr>
            </w:pPr>
            <w:r>
              <w:rPr>
                <w:rFonts w:ascii="Arial" w:cs="Arial" w:eastAsia="Arial" w:hAnsi="Arial"/>
                <w:sz w:val="16"/>
                <w:szCs w:val="16"/>
                <w:color w:val="auto"/>
              </w:rPr>
              <w:t>921.8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3"/>
              <w:spacing w:after="0"/>
              <w:rPr>
                <w:sz w:val="20"/>
                <w:szCs w:val="20"/>
                <w:color w:val="auto"/>
              </w:rPr>
            </w:pPr>
            <w:r>
              <w:rPr>
                <w:rFonts w:ascii="Arial" w:cs="Arial" w:eastAsia="Arial" w:hAnsi="Arial"/>
                <w:sz w:val="16"/>
                <w:szCs w:val="16"/>
                <w:color w:val="auto"/>
              </w:rPr>
              <w:t>1,329.2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ind w:right="23"/>
              <w:spacing w:after="0"/>
              <w:rPr>
                <w:sz w:val="20"/>
                <w:szCs w:val="20"/>
                <w:color w:val="auto"/>
              </w:rPr>
            </w:pPr>
            <w:r>
              <w:rPr>
                <w:rFonts w:ascii="Arial" w:cs="Arial" w:eastAsia="Arial" w:hAnsi="Arial"/>
                <w:sz w:val="16"/>
                <w:szCs w:val="16"/>
                <w:color w:val="auto"/>
              </w:rPr>
              <w:t>1,861.4</w:t>
            </w:r>
          </w:p>
        </w:tc>
        <w:tc>
          <w:tcPr>
            <w:tcW w:w="0" w:type="dxa"/>
            <w:vAlign w:val="bottom"/>
          </w:tcPr>
          <w:p>
            <w:pPr>
              <w:spacing w:after="0"/>
              <w:rPr>
                <w:sz w:val="1"/>
                <w:szCs w:val="1"/>
                <w:color w:val="auto"/>
              </w:rPr>
            </w:pPr>
          </w:p>
        </w:tc>
      </w:tr>
      <w:tr>
        <w:trPr>
          <w:trHeight w:val="24"/>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6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Impairment, restructuring and other operating items, net (note 14)</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32.2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33.2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63.2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104.1</w:t>
            </w:r>
          </w:p>
        </w:tc>
        <w:tc>
          <w:tcPr>
            <w:tcW w:w="0" w:type="dxa"/>
            <w:vAlign w:val="bottom"/>
          </w:tcPr>
          <w:p>
            <w:pPr>
              <w:spacing w:after="0"/>
              <w:rPr>
                <w:sz w:val="1"/>
                <w:szCs w:val="1"/>
                <w:color w:val="auto"/>
              </w:rPr>
            </w:pPr>
          </w:p>
        </w:tc>
      </w:tr>
      <w:tr>
        <w:trPr>
          <w:trHeight w:val="201"/>
        </w:trPr>
        <w:tc>
          <w:tcPr>
            <w:tcW w:w="68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2,196.1</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2,701.7</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4,791.3</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5,464.2</w:t>
            </w:r>
          </w:p>
        </w:tc>
        <w:tc>
          <w:tcPr>
            <w:tcW w:w="0" w:type="dxa"/>
            <w:vAlign w:val="bottom"/>
          </w:tcPr>
          <w:p>
            <w:pPr>
              <w:spacing w:after="0"/>
              <w:rPr>
                <w:sz w:val="1"/>
                <w:szCs w:val="1"/>
                <w:color w:val="auto"/>
              </w:rPr>
            </w:pPr>
          </w:p>
        </w:tc>
      </w:tr>
      <w:tr>
        <w:trPr>
          <w:trHeight w:val="24"/>
        </w:trPr>
        <w:tc>
          <w:tcPr>
            <w:tcW w:w="6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6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Operating income</w:t>
            </w: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526.8</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148.7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807.4</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254.2</w:t>
            </w:r>
          </w:p>
        </w:tc>
        <w:tc>
          <w:tcPr>
            <w:tcW w:w="0" w:type="dxa"/>
            <w:vAlign w:val="bottom"/>
          </w:tcPr>
          <w:p>
            <w:pPr>
              <w:spacing w:after="0"/>
              <w:rPr>
                <w:sz w:val="1"/>
                <w:szCs w:val="1"/>
                <w:color w:val="auto"/>
              </w:rPr>
            </w:pPr>
          </w:p>
        </w:tc>
      </w:tr>
      <w:tr>
        <w:trPr>
          <w:trHeight w:val="189"/>
        </w:trPr>
        <w:tc>
          <w:tcPr>
            <w:tcW w:w="6860" w:type="dxa"/>
            <w:vAlign w:val="bottom"/>
          </w:tcPr>
          <w:p>
            <w:pPr>
              <w:ind w:left="20"/>
              <w:spacing w:after="0"/>
              <w:rPr>
                <w:sz w:val="20"/>
                <w:szCs w:val="20"/>
                <w:color w:val="auto"/>
              </w:rPr>
            </w:pPr>
            <w:r>
              <w:rPr>
                <w:rFonts w:ascii="Arial" w:cs="Arial" w:eastAsia="Arial" w:hAnsi="Arial"/>
                <w:sz w:val="16"/>
                <w:szCs w:val="16"/>
                <w:color w:val="auto"/>
              </w:rPr>
              <w:t>Non-operating income (expense):</w:t>
            </w:r>
          </w:p>
        </w:tc>
        <w:tc>
          <w:tcPr>
            <w:tcW w:w="2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6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6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Interest expense</w:t>
            </w:r>
          </w:p>
        </w:tc>
        <w:tc>
          <w:tcPr>
            <w:tcW w:w="2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(281.7)</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(363.6)</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(595.0)</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(730.9)</w:t>
            </w:r>
          </w:p>
        </w:tc>
        <w:tc>
          <w:tcPr>
            <w:tcW w:w="0" w:type="dxa"/>
            <w:vAlign w:val="bottom"/>
          </w:tcPr>
          <w:p>
            <w:pPr>
              <w:spacing w:after="0"/>
              <w:rPr>
                <w:sz w:val="1"/>
                <w:szCs w:val="1"/>
                <w:color w:val="auto"/>
              </w:rPr>
            </w:pPr>
          </w:p>
        </w:tc>
      </w:tr>
      <w:tr>
        <w:trPr>
          <w:trHeight w:val="199"/>
        </w:trPr>
        <w:tc>
          <w:tcPr>
            <w:tcW w:w="6860" w:type="dxa"/>
            <w:vAlign w:val="bottom"/>
          </w:tcPr>
          <w:p>
            <w:pPr>
              <w:ind w:left="140"/>
              <w:spacing w:after="0"/>
              <w:rPr>
                <w:sz w:val="20"/>
                <w:szCs w:val="20"/>
                <w:color w:val="auto"/>
              </w:rPr>
            </w:pPr>
            <w:r>
              <w:rPr>
                <w:rFonts w:ascii="Arial" w:cs="Arial" w:eastAsia="Arial" w:hAnsi="Arial"/>
                <w:sz w:val="16"/>
                <w:szCs w:val="16"/>
                <w:color w:val="auto"/>
              </w:rPr>
              <w:t>Realized and unrealized gains (losses) on derivative instruments, net</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60" w:type="dxa"/>
            <w:vAlign w:val="bottom"/>
          </w:tcPr>
          <w:p>
            <w:pPr>
              <w:ind w:left="240"/>
              <w:spacing w:after="0"/>
              <w:rPr>
                <w:sz w:val="20"/>
                <w:szCs w:val="20"/>
                <w:color w:val="auto"/>
              </w:rPr>
            </w:pPr>
            <w:r>
              <w:rPr>
                <w:rFonts w:ascii="Arial" w:cs="Arial" w:eastAsia="Arial" w:hAnsi="Arial"/>
                <w:sz w:val="16"/>
                <w:szCs w:val="16"/>
                <w:color w:val="auto"/>
              </w:rPr>
              <w:t>(note 6)</w:t>
            </w:r>
          </w:p>
        </w:tc>
        <w:tc>
          <w:tcPr>
            <w:tcW w:w="240" w:type="dxa"/>
            <w:vAlign w:val="bottom"/>
          </w:tcPr>
          <w:p>
            <w:pPr>
              <w:spacing w:after="0"/>
              <w:rPr>
                <w:sz w:val="17"/>
                <w:szCs w:val="17"/>
                <w:color w:val="auto"/>
              </w:rPr>
            </w:pPr>
          </w:p>
        </w:tc>
        <w:tc>
          <w:tcPr>
            <w:tcW w:w="800" w:type="dxa"/>
            <w:vAlign w:val="bottom"/>
          </w:tcPr>
          <w:p>
            <w:pPr>
              <w:jc w:val="right"/>
              <w:ind w:right="3"/>
              <w:spacing w:after="0"/>
              <w:rPr>
                <w:sz w:val="20"/>
                <w:szCs w:val="20"/>
                <w:color w:val="auto"/>
              </w:rPr>
            </w:pPr>
            <w:r>
              <w:rPr>
                <w:rFonts w:ascii="Arial" w:cs="Arial" w:eastAsia="Arial" w:hAnsi="Arial"/>
                <w:sz w:val="16"/>
                <w:szCs w:val="16"/>
                <w:color w:val="auto"/>
              </w:rPr>
              <w:t>(319.7)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jc w:val="right"/>
              <w:ind w:right="43"/>
              <w:spacing w:after="0"/>
              <w:rPr>
                <w:sz w:val="20"/>
                <w:szCs w:val="20"/>
                <w:color w:val="auto"/>
              </w:rPr>
            </w:pPr>
            <w:r>
              <w:rPr>
                <w:rFonts w:ascii="Arial" w:cs="Arial" w:eastAsia="Arial" w:hAnsi="Arial"/>
                <w:sz w:val="16"/>
                <w:szCs w:val="16"/>
                <w:color w:val="auto"/>
              </w:rPr>
              <w:t>152.9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ind w:right="23"/>
              <w:spacing w:after="0"/>
              <w:rPr>
                <w:sz w:val="20"/>
                <w:szCs w:val="20"/>
                <w:color w:val="auto"/>
              </w:rPr>
            </w:pPr>
            <w:r>
              <w:rPr>
                <w:rFonts w:ascii="Arial" w:cs="Arial" w:eastAsia="Arial" w:hAnsi="Arial"/>
                <w:sz w:val="16"/>
                <w:szCs w:val="16"/>
                <w:color w:val="auto"/>
              </w:rPr>
              <w:t>917.6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jc w:val="right"/>
              <w:ind w:right="23"/>
              <w:spacing w:after="0"/>
              <w:rPr>
                <w:sz w:val="20"/>
                <w:szCs w:val="20"/>
                <w:color w:val="auto"/>
              </w:rPr>
            </w:pPr>
            <w:r>
              <w:rPr>
                <w:rFonts w:ascii="Arial" w:cs="Arial" w:eastAsia="Arial" w:hAnsi="Arial"/>
                <w:sz w:val="16"/>
                <w:szCs w:val="16"/>
                <w:color w:val="auto"/>
              </w:rPr>
              <w:t>70.1</w:t>
            </w:r>
          </w:p>
        </w:tc>
        <w:tc>
          <w:tcPr>
            <w:tcW w:w="0" w:type="dxa"/>
            <w:vAlign w:val="bottom"/>
          </w:tcPr>
          <w:p>
            <w:pPr>
              <w:spacing w:after="0"/>
              <w:rPr>
                <w:sz w:val="1"/>
                <w:szCs w:val="1"/>
                <w:color w:val="auto"/>
              </w:rPr>
            </w:pPr>
          </w:p>
        </w:tc>
      </w:tr>
      <w:tr>
        <w:trPr>
          <w:trHeight w:val="24"/>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6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Foreign currency transaction gains (losses), net</w:t>
            </w:r>
          </w:p>
        </w:tc>
        <w:tc>
          <w:tcPr>
            <w:tcW w:w="2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(478.0)</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(27.0)</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(86.3)</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111.6</w:t>
            </w:r>
          </w:p>
        </w:tc>
        <w:tc>
          <w:tcPr>
            <w:tcW w:w="0" w:type="dxa"/>
            <w:vAlign w:val="bottom"/>
          </w:tcPr>
          <w:p>
            <w:pPr>
              <w:spacing w:after="0"/>
              <w:rPr>
                <w:sz w:val="1"/>
                <w:szCs w:val="1"/>
                <w:color w:val="auto"/>
              </w:rPr>
            </w:pPr>
          </w:p>
        </w:tc>
      </w:tr>
      <w:tr>
        <w:trPr>
          <w:trHeight w:val="199"/>
        </w:trPr>
        <w:tc>
          <w:tcPr>
            <w:tcW w:w="6860" w:type="dxa"/>
            <w:vAlign w:val="bottom"/>
          </w:tcPr>
          <w:p>
            <w:pPr>
              <w:ind w:left="140"/>
              <w:spacing w:after="0"/>
              <w:rPr>
                <w:sz w:val="20"/>
                <w:szCs w:val="20"/>
                <w:color w:val="auto"/>
              </w:rPr>
            </w:pPr>
            <w:r>
              <w:rPr>
                <w:rFonts w:ascii="Arial" w:cs="Arial" w:eastAsia="Arial" w:hAnsi="Arial"/>
                <w:sz w:val="16"/>
                <w:szCs w:val="16"/>
                <w:color w:val="auto"/>
                <w:w w:val="90"/>
              </w:rPr>
              <w:t>Realized and unrealized gains (losses) due to changes in fair values of certain investments and debt, net</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60" w:type="dxa"/>
            <w:vAlign w:val="bottom"/>
          </w:tcPr>
          <w:p>
            <w:pPr>
              <w:ind w:left="280"/>
              <w:spacing w:after="0"/>
              <w:rPr>
                <w:sz w:val="20"/>
                <w:szCs w:val="20"/>
                <w:color w:val="auto"/>
              </w:rPr>
            </w:pPr>
            <w:r>
              <w:rPr>
                <w:rFonts w:ascii="Arial" w:cs="Arial" w:eastAsia="Arial" w:hAnsi="Arial"/>
                <w:sz w:val="16"/>
                <w:szCs w:val="16"/>
                <w:color w:val="auto"/>
              </w:rPr>
              <w:t>(notes 5, 7 and 9)</w:t>
            </w:r>
          </w:p>
        </w:tc>
        <w:tc>
          <w:tcPr>
            <w:tcW w:w="240" w:type="dxa"/>
            <w:vAlign w:val="bottom"/>
          </w:tcPr>
          <w:p>
            <w:pPr>
              <w:spacing w:after="0"/>
              <w:rPr>
                <w:sz w:val="17"/>
                <w:szCs w:val="17"/>
                <w:color w:val="auto"/>
              </w:rPr>
            </w:pPr>
          </w:p>
        </w:tc>
        <w:tc>
          <w:tcPr>
            <w:tcW w:w="800" w:type="dxa"/>
            <w:vAlign w:val="bottom"/>
          </w:tcPr>
          <w:p>
            <w:pPr>
              <w:jc w:val="right"/>
              <w:ind w:right="43"/>
              <w:spacing w:after="0"/>
              <w:rPr>
                <w:sz w:val="20"/>
                <w:szCs w:val="20"/>
                <w:color w:val="auto"/>
              </w:rPr>
            </w:pPr>
            <w:r>
              <w:rPr>
                <w:rFonts w:ascii="Arial" w:cs="Arial" w:eastAsia="Arial" w:hAnsi="Arial"/>
                <w:sz w:val="16"/>
                <w:szCs w:val="16"/>
                <w:color w:val="auto"/>
              </w:rPr>
              <w:t>152.3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jc w:val="right"/>
              <w:ind w:right="3"/>
              <w:spacing w:after="0"/>
              <w:rPr>
                <w:sz w:val="20"/>
                <w:szCs w:val="20"/>
                <w:color w:val="auto"/>
              </w:rPr>
            </w:pPr>
            <w:r>
              <w:rPr>
                <w:rFonts w:ascii="Arial" w:cs="Arial" w:eastAsia="Arial" w:hAnsi="Arial"/>
                <w:sz w:val="16"/>
                <w:szCs w:val="16"/>
                <w:color w:val="auto"/>
              </w:rPr>
              <w:t>(138.7)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(377.5)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(146.9)</w:t>
            </w:r>
          </w:p>
        </w:tc>
        <w:tc>
          <w:tcPr>
            <w:tcW w:w="0" w:type="dxa"/>
            <w:vAlign w:val="bottom"/>
          </w:tcPr>
          <w:p>
            <w:pPr>
              <w:spacing w:after="0"/>
              <w:rPr>
                <w:sz w:val="1"/>
                <w:szCs w:val="1"/>
                <w:color w:val="auto"/>
              </w:rPr>
            </w:pPr>
          </w:p>
        </w:tc>
      </w:tr>
      <w:tr>
        <w:trPr>
          <w:trHeight w:val="24"/>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6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Losses on debt extinguishment, net (note 9)</w:t>
            </w:r>
          </w:p>
        </w:tc>
        <w:tc>
          <w:tcPr>
            <w:tcW w:w="2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(165.6)</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(48.3)</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(220.1)</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(48.8)</w:t>
            </w:r>
          </w:p>
        </w:tc>
        <w:tc>
          <w:tcPr>
            <w:tcW w:w="0" w:type="dxa"/>
            <w:vAlign w:val="bottom"/>
          </w:tcPr>
          <w:p>
            <w:pPr>
              <w:spacing w:after="0"/>
              <w:rPr>
                <w:sz w:val="1"/>
                <w:szCs w:val="1"/>
                <w:color w:val="auto"/>
              </w:rPr>
            </w:pPr>
          </w:p>
        </w:tc>
      </w:tr>
      <w:tr>
        <w:trPr>
          <w:trHeight w:val="209"/>
        </w:trPr>
        <w:tc>
          <w:tcPr>
            <w:tcW w:w="6860" w:type="dxa"/>
            <w:vAlign w:val="bottom"/>
          </w:tcPr>
          <w:p>
            <w:pPr>
              <w:ind w:left="140"/>
              <w:spacing w:after="0"/>
              <w:rPr>
                <w:sz w:val="20"/>
                <w:szCs w:val="20"/>
                <w:color w:val="auto"/>
              </w:rPr>
            </w:pPr>
            <w:r>
              <w:rPr>
                <w:rFonts w:ascii="Arial" w:cs="Arial" w:eastAsia="Arial" w:hAnsi="Arial"/>
                <w:sz w:val="16"/>
                <w:szCs w:val="16"/>
                <w:color w:val="auto"/>
              </w:rPr>
              <w:t>Share of results of affiliates, net (note 5)</w:t>
            </w:r>
          </w:p>
        </w:tc>
        <w:tc>
          <w:tcPr>
            <w:tcW w:w="240" w:type="dxa"/>
            <w:vAlign w:val="bottom"/>
          </w:tcPr>
          <w:p>
            <w:pPr>
              <w:spacing w:after="0"/>
              <w:rPr>
                <w:sz w:val="18"/>
                <w:szCs w:val="18"/>
                <w:color w:val="auto"/>
              </w:rPr>
            </w:pPr>
          </w:p>
        </w:tc>
        <w:tc>
          <w:tcPr>
            <w:tcW w:w="800" w:type="dxa"/>
            <w:vAlign w:val="bottom"/>
          </w:tcPr>
          <w:p>
            <w:pPr>
              <w:jc w:val="right"/>
              <w:ind w:right="3"/>
              <w:spacing w:after="0"/>
              <w:rPr>
                <w:sz w:val="20"/>
                <w:szCs w:val="20"/>
                <w:color w:val="auto"/>
              </w:rPr>
            </w:pPr>
            <w:r>
              <w:rPr>
                <w:rFonts w:ascii="Arial" w:cs="Arial" w:eastAsia="Arial" w:hAnsi="Arial"/>
                <w:sz w:val="16"/>
                <w:szCs w:val="16"/>
                <w:color w:val="auto"/>
              </w:rPr>
              <w:t>(105.4)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ind w:right="3"/>
              <w:spacing w:after="0"/>
              <w:rPr>
                <w:sz w:val="20"/>
                <w:szCs w:val="20"/>
                <w:color w:val="auto"/>
              </w:rPr>
            </w:pPr>
            <w:r>
              <w:rPr>
                <w:rFonts w:ascii="Arial" w:cs="Arial" w:eastAsia="Arial" w:hAnsi="Arial"/>
                <w:sz w:val="16"/>
                <w:szCs w:val="16"/>
                <w:color w:val="auto"/>
              </w:rPr>
              <w:t>(69.3)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(140.2)</w:t>
            </w:r>
          </w:p>
        </w:tc>
        <w:tc>
          <w:tcPr>
            <w:tcW w:w="0" w:type="dxa"/>
            <w:vAlign w:val="bottom"/>
          </w:tcPr>
          <w:p>
            <w:pPr>
              <w:spacing w:after="0"/>
              <w:rPr>
                <w:sz w:val="1"/>
                <w:szCs w:val="1"/>
                <w:color w:val="auto"/>
              </w:rPr>
            </w:pPr>
          </w:p>
        </w:tc>
      </w:tr>
      <w:tr>
        <w:trPr>
          <w:trHeight w:val="24"/>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6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Other income, net</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9.5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32.5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61.9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39.0</w:t>
            </w:r>
          </w:p>
        </w:tc>
        <w:tc>
          <w:tcPr>
            <w:tcW w:w="0" w:type="dxa"/>
            <w:vAlign w:val="bottom"/>
          </w:tcPr>
          <w:p>
            <w:pPr>
              <w:spacing w:after="0"/>
              <w:rPr>
                <w:sz w:val="1"/>
                <w:szCs w:val="1"/>
                <w:color w:val="auto"/>
              </w:rPr>
            </w:pPr>
          </w:p>
        </w:tc>
      </w:tr>
      <w:tr>
        <w:trPr>
          <w:trHeight w:val="201"/>
        </w:trPr>
        <w:tc>
          <w:tcPr>
            <w:tcW w:w="68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3"/>
              <w:spacing w:after="0"/>
              <w:rPr>
                <w:sz w:val="20"/>
                <w:szCs w:val="20"/>
                <w:color w:val="auto"/>
              </w:rPr>
            </w:pPr>
            <w:r>
              <w:rPr>
                <w:rFonts w:ascii="Arial" w:cs="Arial" w:eastAsia="Arial" w:hAnsi="Arial"/>
                <w:sz w:val="16"/>
                <w:szCs w:val="16"/>
                <w:color w:val="auto"/>
              </w:rPr>
              <w:t>(1,188.6)</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3"/>
              <w:spacing w:after="0"/>
              <w:rPr>
                <w:sz w:val="20"/>
                <w:szCs w:val="20"/>
                <w:color w:val="auto"/>
              </w:rPr>
            </w:pPr>
            <w:r>
              <w:rPr>
                <w:rFonts w:ascii="Arial" w:cs="Arial" w:eastAsia="Arial" w:hAnsi="Arial"/>
                <w:sz w:val="16"/>
                <w:szCs w:val="16"/>
                <w:color w:val="auto"/>
              </w:rPr>
              <w:t>(461.5)</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(371.4)</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(846.1)</w:t>
            </w:r>
          </w:p>
        </w:tc>
        <w:tc>
          <w:tcPr>
            <w:tcW w:w="0" w:type="dxa"/>
            <w:vAlign w:val="bottom"/>
          </w:tcPr>
          <w:p>
            <w:pPr>
              <w:spacing w:after="0"/>
              <w:rPr>
                <w:sz w:val="1"/>
                <w:szCs w:val="1"/>
                <w:color w:val="auto"/>
              </w:rPr>
            </w:pPr>
          </w:p>
        </w:tc>
      </w:tr>
      <w:tr>
        <w:trPr>
          <w:trHeight w:val="24"/>
        </w:trPr>
        <w:tc>
          <w:tcPr>
            <w:tcW w:w="6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6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Earnings (loss) from continuing operations before income taxes</w:t>
            </w:r>
          </w:p>
        </w:tc>
        <w:tc>
          <w:tcPr>
            <w:tcW w:w="2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(661.8)</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(312.8)</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436.0</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(591.9)</w:t>
            </w:r>
          </w:p>
        </w:tc>
        <w:tc>
          <w:tcPr>
            <w:tcW w:w="0" w:type="dxa"/>
            <w:vAlign w:val="bottom"/>
          </w:tcPr>
          <w:p>
            <w:pPr>
              <w:spacing w:after="0"/>
              <w:rPr>
                <w:sz w:val="1"/>
                <w:szCs w:val="1"/>
                <w:color w:val="auto"/>
              </w:rPr>
            </w:pPr>
          </w:p>
        </w:tc>
      </w:tr>
      <w:tr>
        <w:trPr>
          <w:trHeight w:val="209"/>
        </w:trPr>
        <w:tc>
          <w:tcPr>
            <w:tcW w:w="6860" w:type="dxa"/>
            <w:vAlign w:val="bottom"/>
          </w:tcPr>
          <w:p>
            <w:pPr>
              <w:ind w:left="20"/>
              <w:spacing w:after="0"/>
              <w:rPr>
                <w:sz w:val="20"/>
                <w:szCs w:val="20"/>
                <w:color w:val="auto"/>
              </w:rPr>
            </w:pPr>
            <w:r>
              <w:rPr>
                <w:rFonts w:ascii="Arial" w:cs="Arial" w:eastAsia="Arial" w:hAnsi="Arial"/>
                <w:sz w:val="16"/>
                <w:szCs w:val="16"/>
                <w:color w:val="auto"/>
              </w:rPr>
              <w:t>Income tax benefit (expense) (note 11)</w:t>
            </w:r>
          </w:p>
        </w:tc>
        <w:tc>
          <w:tcPr>
            <w:tcW w:w="240" w:type="dxa"/>
            <w:vAlign w:val="bottom"/>
          </w:tcPr>
          <w:p>
            <w:pPr>
              <w:spacing w:after="0"/>
              <w:rPr>
                <w:sz w:val="18"/>
                <w:szCs w:val="18"/>
                <w:color w:val="auto"/>
              </w:rPr>
            </w:pPr>
          </w:p>
        </w:tc>
        <w:tc>
          <w:tcPr>
            <w:tcW w:w="800" w:type="dxa"/>
            <w:vAlign w:val="bottom"/>
          </w:tcPr>
          <w:p>
            <w:pPr>
              <w:jc w:val="right"/>
              <w:ind w:right="43"/>
              <w:spacing w:after="0"/>
              <w:rPr>
                <w:sz w:val="20"/>
                <w:szCs w:val="20"/>
                <w:color w:val="auto"/>
              </w:rPr>
            </w:pPr>
            <w:r>
              <w:rPr>
                <w:rFonts w:ascii="Arial" w:cs="Arial" w:eastAsia="Arial" w:hAnsi="Arial"/>
                <w:sz w:val="16"/>
                <w:szCs w:val="16"/>
                <w:color w:val="auto"/>
              </w:rPr>
              <w:t>158.0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ind w:right="3"/>
              <w:spacing w:after="0"/>
              <w:rPr>
                <w:sz w:val="20"/>
                <w:szCs w:val="20"/>
                <w:color w:val="auto"/>
              </w:rPr>
            </w:pPr>
            <w:r>
              <w:rPr>
                <w:rFonts w:ascii="Arial" w:cs="Arial" w:eastAsia="Arial" w:hAnsi="Arial"/>
                <w:sz w:val="16"/>
                <w:szCs w:val="16"/>
                <w:color w:val="auto"/>
              </w:rPr>
              <w:t>(26.8)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3"/>
              <w:spacing w:after="0"/>
              <w:rPr>
                <w:sz w:val="20"/>
                <w:szCs w:val="20"/>
                <w:color w:val="auto"/>
              </w:rPr>
            </w:pPr>
            <w:r>
              <w:rPr>
                <w:rFonts w:ascii="Arial" w:cs="Arial" w:eastAsia="Arial" w:hAnsi="Arial"/>
                <w:sz w:val="16"/>
                <w:szCs w:val="16"/>
                <w:color w:val="auto"/>
              </w:rPr>
              <w:t>77.9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(54.6)</w:t>
            </w:r>
          </w:p>
        </w:tc>
        <w:tc>
          <w:tcPr>
            <w:tcW w:w="0" w:type="dxa"/>
            <w:vAlign w:val="bottom"/>
          </w:tcPr>
          <w:p>
            <w:pPr>
              <w:spacing w:after="0"/>
              <w:rPr>
                <w:sz w:val="1"/>
                <w:szCs w:val="1"/>
                <w:color w:val="auto"/>
              </w:rPr>
            </w:pPr>
          </w:p>
        </w:tc>
      </w:tr>
      <w:tr>
        <w:trPr>
          <w:trHeight w:val="24"/>
        </w:trPr>
        <w:tc>
          <w:tcPr>
            <w:tcW w:w="6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6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Earnings (loss) from continuing operations</w:t>
            </w:r>
          </w:p>
        </w:tc>
        <w:tc>
          <w:tcPr>
            <w:tcW w:w="2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(503.8)</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(339.6)</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513.9</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(646.5)</w:t>
            </w:r>
          </w:p>
        </w:tc>
        <w:tc>
          <w:tcPr>
            <w:tcW w:w="0" w:type="dxa"/>
            <w:vAlign w:val="bottom"/>
          </w:tcPr>
          <w:p>
            <w:pPr>
              <w:spacing w:after="0"/>
              <w:rPr>
                <w:sz w:val="1"/>
                <w:szCs w:val="1"/>
                <w:color w:val="auto"/>
              </w:rPr>
            </w:pPr>
          </w:p>
        </w:tc>
      </w:tr>
      <w:tr>
        <w:trPr>
          <w:trHeight w:val="209"/>
        </w:trPr>
        <w:tc>
          <w:tcPr>
            <w:tcW w:w="6860" w:type="dxa"/>
            <w:vAlign w:val="bottom"/>
          </w:tcPr>
          <w:p>
            <w:pPr>
              <w:ind w:left="20"/>
              <w:spacing w:after="0"/>
              <w:rPr>
                <w:sz w:val="20"/>
                <w:szCs w:val="20"/>
                <w:color w:val="auto"/>
              </w:rPr>
            </w:pPr>
            <w:r>
              <w:rPr>
                <w:rFonts w:ascii="Arial" w:cs="Arial" w:eastAsia="Arial" w:hAnsi="Arial"/>
                <w:sz w:val="16"/>
                <w:szCs w:val="16"/>
                <w:color w:val="auto"/>
              </w:rPr>
              <w:t>Discontinued operations (note 4):</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6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Earnings from discontinued operations, net of taxes</w:t>
            </w:r>
          </w:p>
        </w:tc>
        <w:tc>
          <w:tcPr>
            <w:tcW w:w="2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315.5</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638.1</w:t>
            </w:r>
          </w:p>
        </w:tc>
        <w:tc>
          <w:tcPr>
            <w:tcW w:w="0" w:type="dxa"/>
            <w:vAlign w:val="bottom"/>
          </w:tcPr>
          <w:p>
            <w:pPr>
              <w:spacing w:after="0"/>
              <w:rPr>
                <w:sz w:val="1"/>
                <w:szCs w:val="1"/>
                <w:color w:val="auto"/>
              </w:rPr>
            </w:pPr>
          </w:p>
        </w:tc>
      </w:tr>
      <w:tr>
        <w:trPr>
          <w:trHeight w:val="209"/>
        </w:trPr>
        <w:tc>
          <w:tcPr>
            <w:tcW w:w="6860" w:type="dxa"/>
            <w:vAlign w:val="bottom"/>
          </w:tcPr>
          <w:p>
            <w:pPr>
              <w:ind w:left="140"/>
              <w:spacing w:after="0"/>
              <w:rPr>
                <w:sz w:val="20"/>
                <w:szCs w:val="20"/>
                <w:color w:val="auto"/>
              </w:rPr>
            </w:pPr>
            <w:r>
              <w:rPr>
                <w:rFonts w:ascii="Arial" w:cs="Arial" w:eastAsia="Arial" w:hAnsi="Arial"/>
                <w:sz w:val="16"/>
                <w:szCs w:val="16"/>
                <w:color w:val="auto"/>
              </w:rPr>
              <w:t>Gain on disposal of discontinued operations, net of taxes</w:t>
            </w:r>
          </w:p>
        </w:tc>
        <w:tc>
          <w:tcPr>
            <w:tcW w:w="240" w:type="dxa"/>
            <w:vAlign w:val="bottom"/>
          </w:tcPr>
          <w:p>
            <w:pPr>
              <w:spacing w:after="0"/>
              <w:rPr>
                <w:sz w:val="18"/>
                <w:szCs w:val="18"/>
                <w:color w:val="auto"/>
              </w:rPr>
            </w:pPr>
          </w:p>
        </w:tc>
        <w:tc>
          <w:tcPr>
            <w:tcW w:w="80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ind w:right="43"/>
              <w:spacing w:after="0"/>
              <w:rPr>
                <w:sz w:val="20"/>
                <w:szCs w:val="20"/>
                <w:color w:val="auto"/>
              </w:rPr>
            </w:pPr>
            <w:r>
              <w:rPr>
                <w:rFonts w:ascii="Arial" w:cs="Arial" w:eastAsia="Arial" w:hAnsi="Arial"/>
                <w:sz w:val="16"/>
                <w:szCs w:val="16"/>
                <w:color w:val="auto"/>
              </w:rPr>
              <w:t>106.6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720" w:type="dxa"/>
            <w:vAlign w:val="bottom"/>
          </w:tcPr>
          <w:p>
            <w:pPr>
              <w:jc w:val="right"/>
              <w:ind w:right="23"/>
              <w:spacing w:after="0"/>
              <w:rPr>
                <w:sz w:val="20"/>
                <w:szCs w:val="20"/>
                <w:color w:val="auto"/>
              </w:rPr>
            </w:pPr>
            <w:r>
              <w:rPr>
                <w:rFonts w:ascii="Arial" w:cs="Arial" w:eastAsia="Arial" w:hAnsi="Arial"/>
                <w:sz w:val="16"/>
                <w:szCs w:val="16"/>
                <w:color w:val="auto"/>
              </w:rPr>
              <w:t>106.6</w:t>
            </w:r>
          </w:p>
        </w:tc>
        <w:tc>
          <w:tcPr>
            <w:tcW w:w="0" w:type="dxa"/>
            <w:vAlign w:val="bottom"/>
          </w:tcPr>
          <w:p>
            <w:pPr>
              <w:spacing w:after="0"/>
              <w:rPr>
                <w:sz w:val="1"/>
                <w:szCs w:val="1"/>
                <w:color w:val="auto"/>
              </w:rPr>
            </w:pPr>
          </w:p>
        </w:tc>
      </w:tr>
      <w:tr>
        <w:trPr>
          <w:trHeight w:val="24"/>
        </w:trPr>
        <w:tc>
          <w:tcPr>
            <w:tcW w:w="6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68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422.1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744.7</w:t>
            </w:r>
          </w:p>
        </w:tc>
        <w:tc>
          <w:tcPr>
            <w:tcW w:w="0" w:type="dxa"/>
            <w:vAlign w:val="bottom"/>
          </w:tcPr>
          <w:p>
            <w:pPr>
              <w:spacing w:after="0"/>
              <w:rPr>
                <w:sz w:val="1"/>
                <w:szCs w:val="1"/>
                <w:color w:val="auto"/>
              </w:rPr>
            </w:pPr>
          </w:p>
        </w:tc>
      </w:tr>
      <w:tr>
        <w:trPr>
          <w:trHeight w:val="201"/>
        </w:trPr>
        <w:tc>
          <w:tcPr>
            <w:tcW w:w="6860" w:type="dxa"/>
            <w:vAlign w:val="bottom"/>
          </w:tcPr>
          <w:p>
            <w:pPr>
              <w:ind w:left="220"/>
              <w:spacing w:after="0"/>
              <w:rPr>
                <w:sz w:val="20"/>
                <w:szCs w:val="20"/>
                <w:color w:val="auto"/>
              </w:rPr>
            </w:pPr>
            <w:r>
              <w:rPr>
                <w:rFonts w:ascii="Arial" w:cs="Arial" w:eastAsia="Arial" w:hAnsi="Arial"/>
                <w:sz w:val="16"/>
                <w:szCs w:val="16"/>
                <w:color w:val="auto"/>
              </w:rPr>
              <w:t>Net earnings (loss)</w:t>
            </w: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3"/>
              <w:spacing w:after="0"/>
              <w:rPr>
                <w:sz w:val="20"/>
                <w:szCs w:val="20"/>
                <w:color w:val="auto"/>
              </w:rPr>
            </w:pPr>
            <w:r>
              <w:rPr>
                <w:rFonts w:ascii="Arial" w:cs="Arial" w:eastAsia="Arial" w:hAnsi="Arial"/>
                <w:sz w:val="16"/>
                <w:szCs w:val="16"/>
                <w:color w:val="auto"/>
              </w:rPr>
              <w:t>(503.8)</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82.5</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513.9</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98.2</w:t>
            </w:r>
          </w:p>
        </w:tc>
        <w:tc>
          <w:tcPr>
            <w:tcW w:w="0" w:type="dxa"/>
            <w:vAlign w:val="bottom"/>
          </w:tcPr>
          <w:p>
            <w:pPr>
              <w:spacing w:after="0"/>
              <w:rPr>
                <w:sz w:val="1"/>
                <w:szCs w:val="1"/>
                <w:color w:val="auto"/>
              </w:rPr>
            </w:pPr>
          </w:p>
        </w:tc>
      </w:tr>
      <w:tr>
        <w:trPr>
          <w:trHeight w:val="24"/>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earnings attributable to noncontrolling interests</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(20.4)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(29.5)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(38.2)</w:t>
            </w:r>
          </w:p>
        </w:tc>
        <w:tc>
          <w:tcPr>
            <w:tcW w:w="0" w:type="dxa"/>
            <w:vAlign w:val="bottom"/>
          </w:tcPr>
          <w:p>
            <w:pPr>
              <w:spacing w:after="0"/>
              <w:rPr>
                <w:sz w:val="1"/>
                <w:szCs w:val="1"/>
                <w:color w:val="auto"/>
              </w:rPr>
            </w:pPr>
          </w:p>
        </w:tc>
      </w:tr>
      <w:tr>
        <w:trPr>
          <w:trHeight w:val="258"/>
        </w:trPr>
        <w:tc>
          <w:tcPr>
            <w:tcW w:w="68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Net earnings (loss) attributable to Liberty Global shareholders</w:t>
            </w:r>
          </w:p>
        </w:tc>
        <w:tc>
          <w:tcPr>
            <w:tcW w:w="24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6"/>
                <w:szCs w:val="16"/>
                <w:color w:val="auto"/>
              </w:rPr>
              <w:t>(524.2)</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22"/>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53.0</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425.6</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r>
        <w:trPr>
          <w:trHeight w:val="260"/>
        </w:trPr>
        <w:tc>
          <w:tcPr>
            <w:tcW w:w="68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9"/>
        </w:trPr>
        <w:tc>
          <w:tcPr>
            <w:tcW w:w="6860" w:type="dxa"/>
            <w:vAlign w:val="bottom"/>
          </w:tcPr>
          <w:p>
            <w:pPr>
              <w:ind w:left="20"/>
              <w:spacing w:after="0"/>
              <w:rPr>
                <w:sz w:val="20"/>
                <w:szCs w:val="20"/>
                <w:color w:val="auto"/>
              </w:rPr>
            </w:pPr>
            <w:r>
              <w:rPr>
                <w:rFonts w:ascii="Arial" w:cs="Arial" w:eastAsia="Arial" w:hAnsi="Arial"/>
                <w:sz w:val="16"/>
                <w:szCs w:val="16"/>
                <w:color w:val="auto"/>
                <w:w w:val="90"/>
              </w:rPr>
              <w:t>Basic earnings (loss) from continuing operations attributable to Liberty Global shareholders per share (note</w:t>
            </w:r>
          </w:p>
        </w:tc>
        <w:tc>
          <w:tcPr>
            <w:tcW w:w="240" w:type="dxa"/>
            <w:vAlign w:val="bottom"/>
            <w:vMerge w:val="restart"/>
          </w:tcPr>
          <w:p>
            <w:pPr>
              <w:jc w:val="right"/>
              <w:ind w:right="62"/>
              <w:spacing w:after="0"/>
              <w:rPr>
                <w:sz w:val="20"/>
                <w:szCs w:val="20"/>
                <w:color w:val="auto"/>
              </w:rPr>
            </w:pPr>
            <w:r>
              <w:rPr>
                <w:rFonts w:ascii="Arial" w:cs="Arial" w:eastAsia="Arial" w:hAnsi="Arial"/>
                <w:sz w:val="16"/>
                <w:szCs w:val="16"/>
                <w:color w:val="auto"/>
                <w:w w:val="89"/>
              </w:rPr>
              <w:t>$</w:t>
            </w:r>
          </w:p>
        </w:tc>
        <w:tc>
          <w:tcPr>
            <w:tcW w:w="800" w:type="dxa"/>
            <w:vAlign w:val="bottom"/>
            <w:vMerge w:val="restart"/>
          </w:tcPr>
          <w:p>
            <w:pPr>
              <w:jc w:val="right"/>
              <w:ind w:right="3"/>
              <w:spacing w:after="0"/>
              <w:rPr>
                <w:sz w:val="20"/>
                <w:szCs w:val="20"/>
                <w:color w:val="auto"/>
              </w:rPr>
            </w:pPr>
            <w:r>
              <w:rPr>
                <w:rFonts w:ascii="Arial" w:cs="Arial" w:eastAsia="Arial" w:hAnsi="Arial"/>
                <w:sz w:val="16"/>
                <w:szCs w:val="16"/>
                <w:color w:val="auto"/>
              </w:rPr>
              <w:t>(0.86)</w:t>
            </w:r>
          </w:p>
        </w:tc>
        <w:tc>
          <w:tcPr>
            <w:tcW w:w="100" w:type="dxa"/>
            <w:vAlign w:val="bottom"/>
            <w:vMerge w:val="restart"/>
          </w:tcPr>
          <w:p>
            <w:pPr>
              <w:spacing w:after="0"/>
              <w:rPr>
                <w:sz w:val="17"/>
                <w:szCs w:val="17"/>
                <w:color w:val="auto"/>
              </w:rPr>
            </w:pPr>
          </w:p>
        </w:tc>
        <w:tc>
          <w:tcPr>
            <w:tcW w:w="300" w:type="dxa"/>
            <w:vAlign w:val="bottom"/>
            <w:vMerge w:val="restart"/>
          </w:tcPr>
          <w:p>
            <w:pPr>
              <w:jc w:val="right"/>
              <w:ind w:right="122"/>
              <w:spacing w:after="0"/>
              <w:rPr>
                <w:sz w:val="20"/>
                <w:szCs w:val="20"/>
                <w:color w:val="auto"/>
              </w:rPr>
            </w:pPr>
            <w:r>
              <w:rPr>
                <w:rFonts w:ascii="Arial" w:cs="Arial" w:eastAsia="Arial" w:hAnsi="Arial"/>
                <w:sz w:val="16"/>
                <w:szCs w:val="16"/>
                <w:color w:val="auto"/>
                <w:w w:val="89"/>
              </w:rPr>
              <w:t>$</w:t>
            </w:r>
          </w:p>
        </w:tc>
        <w:tc>
          <w:tcPr>
            <w:tcW w:w="740" w:type="dxa"/>
            <w:vAlign w:val="bottom"/>
            <w:vMerge w:val="restart"/>
          </w:tcPr>
          <w:p>
            <w:pPr>
              <w:jc w:val="right"/>
              <w:ind w:right="3"/>
              <w:spacing w:after="0"/>
              <w:rPr>
                <w:sz w:val="20"/>
                <w:szCs w:val="20"/>
                <w:color w:val="auto"/>
              </w:rPr>
            </w:pPr>
            <w:r>
              <w:rPr>
                <w:rFonts w:ascii="Arial" w:cs="Arial" w:eastAsia="Arial" w:hAnsi="Arial"/>
                <w:sz w:val="16"/>
                <w:szCs w:val="16"/>
                <w:color w:val="auto"/>
              </w:rPr>
              <w:t>(0.50)</w:t>
            </w:r>
          </w:p>
        </w:tc>
        <w:tc>
          <w:tcPr>
            <w:tcW w:w="100" w:type="dxa"/>
            <w:vAlign w:val="bottom"/>
          </w:tcPr>
          <w:p>
            <w:pPr>
              <w:spacing w:after="0"/>
              <w:rPr>
                <w:sz w:val="17"/>
                <w:szCs w:val="17"/>
                <w:color w:val="auto"/>
              </w:rPr>
            </w:pPr>
          </w:p>
        </w:tc>
        <w:tc>
          <w:tcPr>
            <w:tcW w:w="240" w:type="dxa"/>
            <w:vAlign w:val="bottom"/>
            <w:vMerge w:val="restart"/>
          </w:tcPr>
          <w:p>
            <w:pPr>
              <w:jc w:val="right"/>
              <w:ind w:right="42"/>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ind w:right="23"/>
              <w:spacing w:after="0"/>
              <w:rPr>
                <w:sz w:val="20"/>
                <w:szCs w:val="20"/>
                <w:color w:val="auto"/>
              </w:rPr>
            </w:pPr>
            <w:r>
              <w:rPr>
                <w:rFonts w:ascii="Arial" w:cs="Arial" w:eastAsia="Arial" w:hAnsi="Arial"/>
                <w:sz w:val="16"/>
                <w:szCs w:val="16"/>
                <w:color w:val="auto"/>
              </w:rPr>
              <w:t>0.69</w:t>
            </w:r>
          </w:p>
        </w:tc>
        <w:tc>
          <w:tcPr>
            <w:tcW w:w="100" w:type="dxa"/>
            <w:vAlign w:val="bottom"/>
          </w:tcPr>
          <w:p>
            <w:pPr>
              <w:spacing w:after="0"/>
              <w:rPr>
                <w:sz w:val="17"/>
                <w:szCs w:val="17"/>
                <w:color w:val="auto"/>
              </w:rPr>
            </w:pPr>
          </w:p>
        </w:tc>
        <w:tc>
          <w:tcPr>
            <w:tcW w:w="280" w:type="dxa"/>
            <w:vAlign w:val="bottom"/>
            <w:vMerge w:val="restart"/>
          </w:tcPr>
          <w:p>
            <w:pPr>
              <w:jc w:val="right"/>
              <w:ind w:right="102"/>
              <w:spacing w:after="0"/>
              <w:rPr>
                <w:sz w:val="20"/>
                <w:szCs w:val="20"/>
                <w:color w:val="auto"/>
              </w:rPr>
            </w:pPr>
            <w:r>
              <w:rPr>
                <w:rFonts w:ascii="Arial" w:cs="Arial" w:eastAsia="Arial" w:hAnsi="Arial"/>
                <w:sz w:val="16"/>
                <w:szCs w:val="16"/>
                <w:color w:val="auto"/>
                <w:w w:val="89"/>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(0.93)</w:t>
            </w:r>
          </w:p>
        </w:tc>
        <w:tc>
          <w:tcPr>
            <w:tcW w:w="0" w:type="dxa"/>
            <w:vAlign w:val="bottom"/>
          </w:tcPr>
          <w:p>
            <w:pPr>
              <w:spacing w:after="0"/>
              <w:rPr>
                <w:sz w:val="1"/>
                <w:szCs w:val="1"/>
                <w:color w:val="auto"/>
              </w:rPr>
            </w:pPr>
          </w:p>
        </w:tc>
      </w:tr>
      <w:tr>
        <w:trPr>
          <w:trHeight w:val="242"/>
        </w:trPr>
        <w:tc>
          <w:tcPr>
            <w:tcW w:w="686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15)</w:t>
            </w:r>
          </w:p>
        </w:tc>
        <w:tc>
          <w:tcPr>
            <w:tcW w:w="240" w:type="dxa"/>
            <w:vAlign w:val="bottom"/>
            <w:tcBorders>
              <w:bottom w:val="single" w:sz="8" w:color="auto"/>
            </w:tcBorders>
            <w:vMerge w:val="continue"/>
          </w:tcPr>
          <w:p>
            <w:pPr>
              <w:spacing w:after="0"/>
              <w:rPr>
                <w:sz w:val="21"/>
                <w:szCs w:val="21"/>
                <w:color w:val="auto"/>
              </w:rPr>
            </w:pPr>
          </w:p>
        </w:tc>
        <w:tc>
          <w:tcPr>
            <w:tcW w:w="80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300" w:type="dxa"/>
            <w:vAlign w:val="bottom"/>
            <w:tcBorders>
              <w:bottom w:val="single" w:sz="8" w:color="auto"/>
            </w:tcBorders>
            <w:vMerge w:val="continue"/>
          </w:tcPr>
          <w:p>
            <w:pPr>
              <w:spacing w:after="0"/>
              <w:rPr>
                <w:sz w:val="21"/>
                <w:szCs w:val="21"/>
                <w:color w:val="auto"/>
              </w:rPr>
            </w:pPr>
          </w:p>
        </w:tc>
        <w:tc>
          <w:tcPr>
            <w:tcW w:w="74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vMerge w:val="continue"/>
          </w:tcPr>
          <w:p>
            <w:pPr>
              <w:spacing w:after="0"/>
              <w:rPr>
                <w:sz w:val="21"/>
                <w:szCs w:val="21"/>
                <w:color w:val="auto"/>
              </w:rPr>
            </w:pPr>
          </w:p>
        </w:tc>
        <w:tc>
          <w:tcPr>
            <w:tcW w:w="7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vMerge w:val="continue"/>
          </w:tcPr>
          <w:p>
            <w:pPr>
              <w:spacing w:after="0"/>
              <w:rPr>
                <w:sz w:val="21"/>
                <w:szCs w:val="21"/>
                <w:color w:val="auto"/>
              </w:rPr>
            </w:pPr>
          </w:p>
        </w:tc>
        <w:tc>
          <w:tcPr>
            <w:tcW w:w="7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57"/>
        </w:trPr>
        <w:tc>
          <w:tcPr>
            <w:tcW w:w="6860" w:type="dxa"/>
            <w:vAlign w:val="bottom"/>
            <w:shd w:val="clear" w:color="auto" w:fill="CCEEFF"/>
          </w:tcPr>
          <w:p>
            <w:pPr>
              <w:ind w:left="20"/>
              <w:spacing w:after="0" w:line="157" w:lineRule="exact"/>
              <w:rPr>
                <w:sz w:val="20"/>
                <w:szCs w:val="20"/>
                <w:color w:val="auto"/>
              </w:rPr>
            </w:pPr>
            <w:r>
              <w:rPr>
                <w:rFonts w:ascii="Arial" w:cs="Arial" w:eastAsia="Arial" w:hAnsi="Arial"/>
                <w:sz w:val="16"/>
                <w:szCs w:val="16"/>
                <w:color w:val="auto"/>
                <w:w w:val="88"/>
              </w:rPr>
              <w:t>Diluted earnings (loss) from continuing operations attributable to Liberty Global shareholders per share (note</w:t>
            </w:r>
          </w:p>
        </w:tc>
        <w:tc>
          <w:tcPr>
            <w:tcW w:w="240" w:type="dxa"/>
            <w:vAlign w:val="bottom"/>
            <w:vMerge w:val="restart"/>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(0.86)</w:t>
            </w:r>
          </w:p>
        </w:tc>
        <w:tc>
          <w:tcPr>
            <w:tcW w:w="400" w:type="dxa"/>
            <w:vAlign w:val="bottom"/>
            <w:gridSpan w:val="2"/>
            <w:vMerge w:val="restart"/>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74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(0.50)</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CEEFF"/>
          </w:tcPr>
          <w:p>
            <w:pPr>
              <w:jc w:val="right"/>
              <w:ind w:right="23"/>
              <w:spacing w:after="0"/>
              <w:rPr>
                <w:sz w:val="20"/>
                <w:szCs w:val="20"/>
                <w:color w:val="auto"/>
              </w:rPr>
            </w:pPr>
            <w:r>
              <w:rPr>
                <w:rFonts w:ascii="Arial" w:cs="Arial" w:eastAsia="Arial" w:hAnsi="Arial"/>
                <w:sz w:val="16"/>
                <w:szCs w:val="16"/>
                <w:color w:val="auto"/>
              </w:rPr>
              <w:t>0.68</w:t>
            </w:r>
          </w:p>
        </w:tc>
        <w:tc>
          <w:tcPr>
            <w:tcW w:w="10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(0.93)</w:t>
            </w:r>
          </w:p>
        </w:tc>
        <w:tc>
          <w:tcPr>
            <w:tcW w:w="0" w:type="dxa"/>
            <w:vAlign w:val="bottom"/>
          </w:tcPr>
          <w:p>
            <w:pPr>
              <w:spacing w:after="0"/>
              <w:rPr>
                <w:sz w:val="1"/>
                <w:szCs w:val="1"/>
                <w:color w:val="auto"/>
              </w:rPr>
            </w:pPr>
          </w:p>
        </w:tc>
      </w:tr>
      <w:tr>
        <w:trPr>
          <w:trHeight w:val="202"/>
        </w:trPr>
        <w:tc>
          <w:tcPr>
            <w:tcW w:w="6860" w:type="dxa"/>
            <w:vAlign w:val="bottom"/>
            <w:shd w:val="clear" w:color="auto" w:fill="CCEEFF"/>
          </w:tcPr>
          <w:p>
            <w:pPr>
              <w:ind w:left="80"/>
              <w:spacing w:after="0"/>
              <w:rPr>
                <w:sz w:val="20"/>
                <w:szCs w:val="20"/>
                <w:color w:val="auto"/>
              </w:rPr>
            </w:pPr>
            <w:r>
              <w:rPr>
                <w:rFonts w:ascii="Arial" w:cs="Arial" w:eastAsia="Arial" w:hAnsi="Arial"/>
                <w:sz w:val="16"/>
                <w:szCs w:val="16"/>
                <w:color w:val="auto"/>
              </w:rPr>
              <w:t>15)</w:t>
            </w:r>
          </w:p>
        </w:tc>
        <w:tc>
          <w:tcPr>
            <w:tcW w:w="24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400" w:type="dxa"/>
            <w:vAlign w:val="bottom"/>
            <w:gridSpan w:val="2"/>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14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60"/>
          </w:cols>
          <w:pgMar w:left="320" w:top="309" w:right="31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6"/>
          <w:szCs w:val="16"/>
          <w:b w:val="1"/>
          <w:bCs w:val="1"/>
          <w:color w:val="auto"/>
        </w:rPr>
        <w:t>LIBERTY GLOBAL PLC</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STATEMENTS OF COMPREHENSIVE EARNINGS (LOSS)</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4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5"/>
                <w:szCs w:val="15"/>
                <w:color w:val="auto"/>
              </w:rPr>
            </w:pPr>
          </w:p>
        </w:tc>
        <w:tc>
          <w:tcPr>
            <w:tcW w:w="1800" w:type="dxa"/>
            <w:vAlign w:val="bottom"/>
            <w:gridSpan w:val="4"/>
          </w:tcPr>
          <w:p>
            <w:pPr>
              <w:jc w:val="right"/>
              <w:ind w:right="443"/>
              <w:spacing w:after="0"/>
              <w:rPr>
                <w:sz w:val="20"/>
                <w:szCs w:val="20"/>
                <w:color w:val="auto"/>
              </w:rPr>
            </w:pPr>
            <w:r>
              <w:rPr>
                <w:rFonts w:ascii="Arial" w:cs="Arial" w:eastAsia="Arial" w:hAnsi="Arial"/>
                <w:sz w:val="14"/>
                <w:szCs w:val="14"/>
                <w:b w:val="1"/>
                <w:bCs w:val="1"/>
                <w:color w:val="auto"/>
              </w:rPr>
              <w:t>Six months ended</w:t>
            </w:r>
          </w:p>
        </w:tc>
      </w:tr>
      <w:tr>
        <w:trPr>
          <w:trHeight w:val="233"/>
        </w:trPr>
        <w:tc>
          <w:tcPr>
            <w:tcW w:w="6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3"/>
          </w:tcPr>
          <w:p>
            <w:pPr>
              <w:jc w:val="right"/>
              <w:ind w:right="2"/>
              <w:spacing w:after="0"/>
              <w:rPr>
                <w:sz w:val="20"/>
                <w:szCs w:val="20"/>
                <w:color w:val="auto"/>
              </w:rPr>
            </w:pPr>
            <w:r>
              <w:rPr>
                <w:rFonts w:ascii="Arial" w:cs="Arial" w:eastAsia="Arial" w:hAnsi="Arial"/>
                <w:sz w:val="14"/>
                <w:szCs w:val="14"/>
                <w:b w:val="1"/>
                <w:bCs w:val="1"/>
                <w:color w:val="auto"/>
              </w:rPr>
              <w:t>June 30,</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gridSpan w:val="3"/>
          </w:tcPr>
          <w:p>
            <w:pPr>
              <w:jc w:val="right"/>
              <w:ind w:right="2"/>
              <w:spacing w:after="0"/>
              <w:rPr>
                <w:sz w:val="20"/>
                <w:szCs w:val="20"/>
                <w:color w:val="auto"/>
              </w:rPr>
            </w:pPr>
            <w:r>
              <w:rPr>
                <w:rFonts w:ascii="Arial" w:cs="Arial" w:eastAsia="Arial" w:hAnsi="Arial"/>
                <w:sz w:val="14"/>
                <w:szCs w:val="14"/>
                <w:b w:val="1"/>
                <w:bCs w:val="1"/>
                <w:color w:val="auto"/>
              </w:rPr>
              <w:t>June 30,</w:t>
            </w:r>
          </w:p>
        </w:tc>
        <w:tc>
          <w:tcPr>
            <w:tcW w:w="720" w:type="dxa"/>
            <w:vAlign w:val="bottom"/>
          </w:tcPr>
          <w:p>
            <w:pPr>
              <w:spacing w:after="0"/>
              <w:rPr>
                <w:sz w:val="20"/>
                <w:szCs w:val="20"/>
                <w:color w:val="auto"/>
              </w:rPr>
            </w:pPr>
          </w:p>
        </w:tc>
      </w:tr>
      <w:tr>
        <w:trPr>
          <w:trHeight w:val="28"/>
        </w:trPr>
        <w:tc>
          <w:tcPr>
            <w:tcW w:w="6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97"/>
        </w:trPr>
        <w:tc>
          <w:tcPr>
            <w:tcW w:w="6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30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jc w:val="right"/>
              <w:ind w:right="30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jc w:val="right"/>
              <w:ind w:right="28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jc w:val="right"/>
              <w:ind w:right="283"/>
              <w:spacing w:after="0"/>
              <w:rPr>
                <w:sz w:val="20"/>
                <w:szCs w:val="20"/>
                <w:color w:val="auto"/>
              </w:rPr>
            </w:pPr>
            <w:r>
              <w:rPr>
                <w:rFonts w:ascii="Arial" w:cs="Arial" w:eastAsia="Arial" w:hAnsi="Arial"/>
                <w:sz w:val="14"/>
                <w:szCs w:val="14"/>
                <w:b w:val="1"/>
                <w:bCs w:val="1"/>
                <w:color w:val="auto"/>
              </w:rPr>
              <w:t>2019</w:t>
            </w:r>
          </w:p>
        </w:tc>
      </w:tr>
      <w:tr>
        <w:trPr>
          <w:trHeight w:val="28"/>
        </w:trPr>
        <w:tc>
          <w:tcPr>
            <w:tcW w:w="6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85"/>
        </w:trPr>
        <w:tc>
          <w:tcPr>
            <w:tcW w:w="6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gridSpan w:val="3"/>
          </w:tcPr>
          <w:p>
            <w:pPr>
              <w:jc w:val="right"/>
              <w:ind w:right="2"/>
              <w:spacing w:after="0"/>
              <w:rPr>
                <w:sz w:val="20"/>
                <w:szCs w:val="20"/>
                <w:color w:val="auto"/>
              </w:rPr>
            </w:pPr>
            <w:r>
              <w:rPr>
                <w:rFonts w:ascii="Arial" w:cs="Arial" w:eastAsia="Arial" w:hAnsi="Arial"/>
                <w:sz w:val="14"/>
                <w:szCs w:val="14"/>
                <w:b w:val="1"/>
                <w:bCs w:val="1"/>
                <w:color w:val="auto"/>
              </w:rPr>
              <w:t>in millions</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60"/>
        </w:trPr>
        <w:tc>
          <w:tcPr>
            <w:tcW w:w="6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33"/>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earnings (loss)</w:t>
            </w:r>
          </w:p>
        </w:tc>
        <w:tc>
          <w:tcPr>
            <w:tcW w:w="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(503.8)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82.5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513.9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98.2</w:t>
            </w:r>
          </w:p>
        </w:tc>
      </w:tr>
      <w:tr>
        <w:trPr>
          <w:trHeight w:val="201"/>
        </w:trPr>
        <w:tc>
          <w:tcPr>
            <w:tcW w:w="6860" w:type="dxa"/>
            <w:vAlign w:val="bottom"/>
          </w:tcPr>
          <w:p>
            <w:pPr>
              <w:ind w:left="20"/>
              <w:spacing w:after="0"/>
              <w:rPr>
                <w:sz w:val="20"/>
                <w:szCs w:val="20"/>
                <w:color w:val="auto"/>
              </w:rPr>
            </w:pPr>
            <w:r>
              <w:rPr>
                <w:rFonts w:ascii="Arial" w:cs="Arial" w:eastAsia="Arial" w:hAnsi="Arial"/>
                <w:sz w:val="16"/>
                <w:szCs w:val="16"/>
                <w:color w:val="auto"/>
              </w:rPr>
              <w:t>Other comprehensive earnings (loss), net of taxes:</w:t>
            </w: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r>
      <w:tr>
        <w:trPr>
          <w:trHeight w:val="24"/>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13"/>
        </w:trPr>
        <w:tc>
          <w:tcPr>
            <w:tcW w:w="6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Continuing operations:</w:t>
            </w:r>
          </w:p>
        </w:tc>
        <w:tc>
          <w:tcPr>
            <w:tcW w:w="2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r>
      <w:tr>
        <w:trPr>
          <w:trHeight w:val="209"/>
        </w:trPr>
        <w:tc>
          <w:tcPr>
            <w:tcW w:w="6860" w:type="dxa"/>
            <w:vAlign w:val="bottom"/>
          </w:tcPr>
          <w:p>
            <w:pPr>
              <w:ind w:left="200"/>
              <w:spacing w:after="0"/>
              <w:rPr>
                <w:sz w:val="20"/>
                <w:szCs w:val="20"/>
                <w:color w:val="auto"/>
              </w:rPr>
            </w:pPr>
            <w:r>
              <w:rPr>
                <w:rFonts w:ascii="Arial" w:cs="Arial" w:eastAsia="Arial" w:hAnsi="Arial"/>
                <w:sz w:val="16"/>
                <w:szCs w:val="16"/>
                <w:color w:val="auto"/>
              </w:rPr>
              <w:t>Foreign currency translation adjustments</w:t>
            </w:r>
          </w:p>
        </w:tc>
        <w:tc>
          <w:tcPr>
            <w:tcW w:w="240" w:type="dxa"/>
            <w:vAlign w:val="bottom"/>
          </w:tcPr>
          <w:p>
            <w:pPr>
              <w:spacing w:after="0"/>
              <w:rPr>
                <w:sz w:val="18"/>
                <w:szCs w:val="18"/>
                <w:color w:val="auto"/>
              </w:rPr>
            </w:pPr>
          </w:p>
        </w:tc>
        <w:tc>
          <w:tcPr>
            <w:tcW w:w="800" w:type="dxa"/>
            <w:vAlign w:val="bottom"/>
          </w:tcPr>
          <w:p>
            <w:pPr>
              <w:jc w:val="right"/>
              <w:ind w:right="44"/>
              <w:spacing w:after="0"/>
              <w:rPr>
                <w:sz w:val="20"/>
                <w:szCs w:val="20"/>
                <w:color w:val="auto"/>
              </w:rPr>
            </w:pPr>
            <w:r>
              <w:rPr>
                <w:rFonts w:ascii="Arial" w:cs="Arial" w:eastAsia="Arial" w:hAnsi="Arial"/>
                <w:sz w:val="16"/>
                <w:szCs w:val="16"/>
                <w:color w:val="auto"/>
              </w:rPr>
              <w:t>646.6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ind w:right="4"/>
              <w:spacing w:after="0"/>
              <w:rPr>
                <w:sz w:val="20"/>
                <w:szCs w:val="20"/>
                <w:color w:val="auto"/>
              </w:rPr>
            </w:pPr>
            <w:r>
              <w:rPr>
                <w:rFonts w:ascii="Arial" w:cs="Arial" w:eastAsia="Arial" w:hAnsi="Arial"/>
                <w:sz w:val="16"/>
                <w:szCs w:val="16"/>
                <w:color w:val="auto"/>
              </w:rPr>
              <w:t>(25.5)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(424.3)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(141.5)</w:t>
            </w:r>
          </w:p>
        </w:tc>
      </w:tr>
      <w:tr>
        <w:trPr>
          <w:trHeight w:val="24"/>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3"/>
        </w:trPr>
        <w:tc>
          <w:tcPr>
            <w:tcW w:w="6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Pension-related adjustments and other</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(16.0)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r>
      <w:tr>
        <w:trPr>
          <w:trHeight w:val="201"/>
        </w:trPr>
        <w:tc>
          <w:tcPr>
            <w:tcW w:w="6860" w:type="dxa"/>
            <w:vAlign w:val="bottom"/>
          </w:tcPr>
          <w:p>
            <w:pPr>
              <w:ind w:left="300"/>
              <w:spacing w:after="0"/>
              <w:rPr>
                <w:sz w:val="20"/>
                <w:szCs w:val="20"/>
                <w:color w:val="auto"/>
              </w:rPr>
            </w:pPr>
            <w:r>
              <w:rPr>
                <w:rFonts w:ascii="Arial" w:cs="Arial" w:eastAsia="Arial" w:hAnsi="Arial"/>
                <w:sz w:val="16"/>
                <w:szCs w:val="16"/>
                <w:color w:val="auto"/>
              </w:rPr>
              <w:t>Other comprehensive earnings (loss) from continuing operations</w:t>
            </w: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630.6</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4"/>
              <w:spacing w:after="0"/>
              <w:rPr>
                <w:sz w:val="20"/>
                <w:szCs w:val="20"/>
                <w:color w:val="auto"/>
              </w:rPr>
            </w:pPr>
            <w:r>
              <w:rPr>
                <w:rFonts w:ascii="Arial" w:cs="Arial" w:eastAsia="Arial" w:hAnsi="Arial"/>
                <w:sz w:val="16"/>
                <w:szCs w:val="16"/>
                <w:color w:val="auto"/>
              </w:rPr>
              <w:t>(25.9)</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(442.6)</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(142.3)</w:t>
            </w:r>
          </w:p>
        </w:tc>
      </w:tr>
      <w:tr>
        <w:trPr>
          <w:trHeight w:val="24"/>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3"/>
        </w:trPr>
        <w:tc>
          <w:tcPr>
            <w:tcW w:w="6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Other comprehensive earnings from discontinued operations (note 4)</w:t>
            </w: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19.6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1.0</w:t>
            </w:r>
          </w:p>
        </w:tc>
      </w:tr>
      <w:tr>
        <w:trPr>
          <w:trHeight w:val="201"/>
        </w:trPr>
        <w:tc>
          <w:tcPr>
            <w:tcW w:w="6860" w:type="dxa"/>
            <w:vAlign w:val="bottom"/>
          </w:tcPr>
          <w:p>
            <w:pPr>
              <w:ind w:left="420"/>
              <w:spacing w:after="0"/>
              <w:rPr>
                <w:sz w:val="20"/>
                <w:szCs w:val="20"/>
                <w:color w:val="auto"/>
              </w:rPr>
            </w:pPr>
            <w:r>
              <w:rPr>
                <w:rFonts w:ascii="Arial" w:cs="Arial" w:eastAsia="Arial" w:hAnsi="Arial"/>
                <w:sz w:val="16"/>
                <w:szCs w:val="16"/>
                <w:color w:val="auto"/>
              </w:rPr>
              <w:t>Other comprehensive earnings (loss)</w:t>
            </w: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630.6</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4"/>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(442.6)</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(141.3)</w:t>
            </w:r>
          </w:p>
        </w:tc>
      </w:tr>
      <w:tr>
        <w:trPr>
          <w:trHeight w:val="24"/>
        </w:trPr>
        <w:tc>
          <w:tcPr>
            <w:tcW w:w="6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4"/>
        </w:trPr>
        <w:tc>
          <w:tcPr>
            <w:tcW w:w="686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6"/>
                <w:szCs w:val="16"/>
                <w:color w:val="auto"/>
              </w:rPr>
              <w:t>Comprehensive earnings (loss)</w:t>
            </w:r>
          </w:p>
        </w:tc>
        <w:tc>
          <w:tcPr>
            <w:tcW w:w="2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126.8</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76.2</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71.3</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(43.1)</w:t>
            </w:r>
          </w:p>
        </w:tc>
      </w:tr>
      <w:tr>
        <w:trPr>
          <w:trHeight w:val="209"/>
        </w:trPr>
        <w:tc>
          <w:tcPr>
            <w:tcW w:w="6860" w:type="dxa"/>
            <w:vAlign w:val="bottom"/>
          </w:tcPr>
          <w:p>
            <w:pPr>
              <w:ind w:left="140"/>
              <w:spacing w:after="0"/>
              <w:rPr>
                <w:sz w:val="20"/>
                <w:szCs w:val="20"/>
                <w:color w:val="auto"/>
              </w:rPr>
            </w:pPr>
            <w:r>
              <w:rPr>
                <w:rFonts w:ascii="Arial" w:cs="Arial" w:eastAsia="Arial" w:hAnsi="Arial"/>
                <w:sz w:val="16"/>
                <w:szCs w:val="16"/>
                <w:color w:val="auto"/>
              </w:rPr>
              <w:t>Comprehensive earnings attributable to noncontrolling interests</w:t>
            </w:r>
          </w:p>
        </w:tc>
        <w:tc>
          <w:tcPr>
            <w:tcW w:w="240" w:type="dxa"/>
            <w:vAlign w:val="bottom"/>
          </w:tcPr>
          <w:p>
            <w:pPr>
              <w:spacing w:after="0"/>
              <w:rPr>
                <w:sz w:val="18"/>
                <w:szCs w:val="18"/>
                <w:color w:val="auto"/>
              </w:rPr>
            </w:pPr>
          </w:p>
        </w:tc>
        <w:tc>
          <w:tcPr>
            <w:tcW w:w="800" w:type="dxa"/>
            <w:vAlign w:val="bottom"/>
          </w:tcPr>
          <w:p>
            <w:pPr>
              <w:jc w:val="right"/>
              <w:ind w:right="4"/>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ind w:right="4"/>
              <w:spacing w:after="0"/>
              <w:rPr>
                <w:sz w:val="20"/>
                <w:szCs w:val="20"/>
                <w:color w:val="auto"/>
              </w:rPr>
            </w:pPr>
            <w:r>
              <w:rPr>
                <w:rFonts w:ascii="Arial" w:cs="Arial" w:eastAsia="Arial" w:hAnsi="Arial"/>
                <w:sz w:val="16"/>
                <w:szCs w:val="16"/>
                <w:color w:val="auto"/>
              </w:rPr>
              <w:t>(29.7)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(81.6)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(38.6)</w:t>
            </w:r>
          </w:p>
        </w:tc>
      </w:tr>
      <w:tr>
        <w:trPr>
          <w:trHeight w:val="24"/>
        </w:trPr>
        <w:tc>
          <w:tcPr>
            <w:tcW w:w="6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18"/>
        </w:trPr>
        <w:tc>
          <w:tcPr>
            <w:tcW w:w="68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Comprehensive earnings (loss) attributable to Liberty Global shareholders</w:t>
            </w: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112.4</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46.5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(81.7)</w:t>
            </w:r>
          </w:p>
        </w:tc>
      </w:tr>
      <w:tr>
        <w:trPr>
          <w:trHeight w:val="20"/>
        </w:trPr>
        <w:tc>
          <w:tcPr>
            <w:tcW w:w="6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14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60"/>
          </w:cols>
          <w:pgMar w:left="320" w:top="309" w:right="31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6"/>
          <w:szCs w:val="16"/>
          <w:b w:val="1"/>
          <w:bCs w:val="1"/>
          <w:color w:val="auto"/>
        </w:rPr>
        <w:t>LIBERTY GLOBAL PLC</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STATEMENTS OF EQUITY</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20" w:type="dxa"/>
            <w:vAlign w:val="bottom"/>
            <w:gridSpan w:val="8"/>
          </w:tcPr>
          <w:p>
            <w:pPr>
              <w:ind w:left="340"/>
              <w:spacing w:after="0"/>
              <w:rPr>
                <w:sz w:val="20"/>
                <w:szCs w:val="20"/>
                <w:color w:val="auto"/>
              </w:rPr>
            </w:pPr>
            <w:r>
              <w:rPr>
                <w:rFonts w:ascii="Arial" w:cs="Arial" w:eastAsia="Arial" w:hAnsi="Arial"/>
                <w:sz w:val="14"/>
                <w:szCs w:val="14"/>
                <w:b w:val="1"/>
                <w:bCs w:val="1"/>
                <w:color w:val="auto"/>
              </w:rPr>
              <w:t>Liberty Global shareholders</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2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2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6"/>
            <w:vMerge w:val="restart"/>
          </w:tcPr>
          <w:p>
            <w:pPr>
              <w:jc w:val="right"/>
              <w:spacing w:after="0"/>
              <w:rPr>
                <w:sz w:val="20"/>
                <w:szCs w:val="20"/>
                <w:color w:val="auto"/>
              </w:rPr>
            </w:pPr>
            <w:r>
              <w:rPr>
                <w:rFonts w:ascii="Arial" w:cs="Arial" w:eastAsia="Arial" w:hAnsi="Arial"/>
                <w:sz w:val="14"/>
                <w:szCs w:val="14"/>
                <w:b w:val="1"/>
                <w:bCs w:val="1"/>
                <w:color w:val="auto"/>
              </w:rPr>
              <w:t>Ordinary shares</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other</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6"/>
        </w:trPr>
        <w:tc>
          <w:tcPr>
            <w:tcW w:w="2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60" w:type="dxa"/>
            <w:vAlign w:val="bottom"/>
            <w:gridSpan w:val="6"/>
            <w:vMerge w:val="continue"/>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3"/>
              </w:rPr>
              <w:t>Additional</w:t>
            </w: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5"/>
              </w:rPr>
              <w:t>comprehensive</w:t>
            </w:r>
          </w:p>
        </w:tc>
        <w:tc>
          <w:tcPr>
            <w:tcW w:w="7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Treasury</w:t>
            </w:r>
          </w:p>
        </w:tc>
        <w:tc>
          <w:tcPr>
            <w:tcW w:w="10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Total Liberty</w:t>
            </w:r>
          </w:p>
        </w:tc>
        <w:tc>
          <w:tcPr>
            <w:tcW w:w="100" w:type="dxa"/>
            <w:vAlign w:val="bottom"/>
          </w:tcPr>
          <w:p>
            <w:pPr>
              <w:spacing w:after="0"/>
              <w:rPr>
                <w:sz w:val="5"/>
                <w:szCs w:val="5"/>
                <w:color w:val="auto"/>
              </w:rPr>
            </w:pPr>
          </w:p>
        </w:tc>
        <w:tc>
          <w:tcPr>
            <w:tcW w:w="7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7"/>
              </w:rPr>
              <w:t>Non-</w:t>
            </w: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
        </w:trPr>
        <w:tc>
          <w:tcPr>
            <w:tcW w:w="2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gridSpan w:val="3"/>
            <w:vMerge w:val="continue"/>
          </w:tcPr>
          <w:p>
            <w:pPr>
              <w:spacing w:after="0"/>
              <w:rPr>
                <w:sz w:val="2"/>
                <w:szCs w:val="2"/>
                <w:color w:val="auto"/>
              </w:rPr>
            </w:pPr>
          </w:p>
        </w:tc>
        <w:tc>
          <w:tcPr>
            <w:tcW w:w="760" w:type="dxa"/>
            <w:vAlign w:val="bottom"/>
            <w:gridSpan w:val="3"/>
            <w:vMerge w:val="continue"/>
          </w:tcPr>
          <w:p>
            <w:pPr>
              <w:spacing w:after="0"/>
              <w:rPr>
                <w:sz w:val="2"/>
                <w:szCs w:val="2"/>
                <w:color w:val="auto"/>
              </w:rPr>
            </w:pPr>
          </w:p>
        </w:tc>
        <w:tc>
          <w:tcPr>
            <w:tcW w:w="100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2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gridSpan w:val="3"/>
            <w:vMerge w:val="continue"/>
          </w:tcPr>
          <w:p>
            <w:pPr>
              <w:spacing w:after="0"/>
              <w:rPr>
                <w:sz w:val="5"/>
                <w:szCs w:val="5"/>
                <w:color w:val="auto"/>
              </w:rPr>
            </w:pPr>
          </w:p>
        </w:tc>
        <w:tc>
          <w:tcPr>
            <w:tcW w:w="760" w:type="dxa"/>
            <w:vAlign w:val="bottom"/>
            <w:gridSpan w:val="3"/>
            <w:vMerge w:val="continue"/>
          </w:tcPr>
          <w:p>
            <w:pPr>
              <w:spacing w:after="0"/>
              <w:rPr>
                <w:sz w:val="5"/>
                <w:szCs w:val="5"/>
                <w:color w:val="auto"/>
              </w:rPr>
            </w:pPr>
          </w:p>
        </w:tc>
        <w:tc>
          <w:tcPr>
            <w:tcW w:w="100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2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paid-in</w:t>
            </w: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Accumulated</w:t>
            </w:r>
          </w:p>
        </w:tc>
        <w:tc>
          <w:tcPr>
            <w:tcW w:w="120" w:type="dxa"/>
            <w:vAlign w:val="bottom"/>
          </w:tcPr>
          <w:p>
            <w:pPr>
              <w:spacing w:after="0"/>
              <w:rPr>
                <w:sz w:val="15"/>
                <w:szCs w:val="15"/>
                <w:color w:val="auto"/>
              </w:rPr>
            </w:pPr>
          </w:p>
        </w:tc>
        <w:tc>
          <w:tcPr>
            <w:tcW w:w="11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earnings, net of</w:t>
            </w: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5"/>
              </w:rPr>
              <w:t>shares, at</w:t>
            </w:r>
          </w:p>
        </w:tc>
        <w:tc>
          <w:tcPr>
            <w:tcW w:w="180" w:type="dxa"/>
            <w:vAlign w:val="bottom"/>
          </w:tcPr>
          <w:p>
            <w:pPr>
              <w:spacing w:after="0"/>
              <w:rPr>
                <w:sz w:val="15"/>
                <w:szCs w:val="15"/>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Global</w:t>
            </w:r>
          </w:p>
        </w:tc>
        <w:tc>
          <w:tcPr>
            <w:tcW w:w="8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controlling</w:t>
            </w:r>
          </w:p>
        </w:tc>
        <w:tc>
          <w:tcPr>
            <w:tcW w:w="160" w:type="dxa"/>
            <w:vAlign w:val="bottom"/>
          </w:tcPr>
          <w:p>
            <w:pPr>
              <w:spacing w:after="0"/>
              <w:rPr>
                <w:sz w:val="15"/>
                <w:szCs w:val="15"/>
                <w:color w:val="auto"/>
              </w:rPr>
            </w:pPr>
          </w:p>
        </w:tc>
        <w:tc>
          <w:tcPr>
            <w:tcW w:w="620" w:type="dxa"/>
            <w:vAlign w:val="bottom"/>
          </w:tcPr>
          <w:p>
            <w:pPr>
              <w:jc w:val="right"/>
              <w:ind w:right="167"/>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2"/>
        </w:trPr>
        <w:tc>
          <w:tcPr>
            <w:tcW w:w="270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Arial" w:cs="Arial" w:eastAsia="Arial" w:hAnsi="Arial"/>
                <w:sz w:val="14"/>
                <w:szCs w:val="14"/>
                <w:b w:val="1"/>
                <w:bCs w:val="1"/>
                <w:color w:val="auto"/>
              </w:rPr>
              <w:t>Class A</w:t>
            </w:r>
          </w:p>
        </w:tc>
        <w:tc>
          <w:tcPr>
            <w:tcW w:w="700" w:type="dxa"/>
            <w:vAlign w:val="bottom"/>
            <w:gridSpan w:val="3"/>
          </w:tcPr>
          <w:p>
            <w:pPr>
              <w:ind w:left="60"/>
              <w:spacing w:after="0"/>
              <w:rPr>
                <w:sz w:val="20"/>
                <w:szCs w:val="20"/>
                <w:color w:val="auto"/>
              </w:rPr>
            </w:pPr>
            <w:r>
              <w:rPr>
                <w:rFonts w:ascii="Arial" w:cs="Arial" w:eastAsia="Arial" w:hAnsi="Arial"/>
                <w:sz w:val="14"/>
                <w:szCs w:val="14"/>
                <w:b w:val="1"/>
                <w:bCs w:val="1"/>
                <w:color w:val="auto"/>
              </w:rPr>
              <w:t>Class B</w:t>
            </w:r>
          </w:p>
        </w:tc>
        <w:tc>
          <w:tcPr>
            <w:tcW w:w="700" w:type="dxa"/>
            <w:vAlign w:val="bottom"/>
            <w:gridSpan w:val="3"/>
          </w:tcPr>
          <w:p>
            <w:pPr>
              <w:ind w:left="60"/>
              <w:spacing w:after="0"/>
              <w:rPr>
                <w:sz w:val="20"/>
                <w:szCs w:val="20"/>
                <w:color w:val="auto"/>
              </w:rPr>
            </w:pPr>
            <w:r>
              <w:rPr>
                <w:rFonts w:ascii="Arial" w:cs="Arial" w:eastAsia="Arial" w:hAnsi="Arial"/>
                <w:sz w:val="14"/>
                <w:szCs w:val="14"/>
                <w:b w:val="1"/>
                <w:bCs w:val="1"/>
                <w:color w:val="auto"/>
              </w:rPr>
              <w:t>Class C</w:t>
            </w:r>
          </w:p>
        </w:tc>
        <w:tc>
          <w:tcPr>
            <w:tcW w:w="140" w:type="dxa"/>
            <w:vAlign w:val="bottom"/>
          </w:tcPr>
          <w:p>
            <w:pPr>
              <w:spacing w:after="0"/>
              <w:rPr>
                <w:sz w:val="15"/>
                <w:szCs w:val="15"/>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capital</w:t>
            </w:r>
          </w:p>
        </w:tc>
        <w:tc>
          <w:tcPr>
            <w:tcW w:w="180" w:type="dxa"/>
            <w:vAlign w:val="bottom"/>
          </w:tcPr>
          <w:p>
            <w:pPr>
              <w:spacing w:after="0"/>
              <w:rPr>
                <w:sz w:val="15"/>
                <w:szCs w:val="15"/>
                <w:color w:val="auto"/>
              </w:rPr>
            </w:pPr>
          </w:p>
        </w:tc>
        <w:tc>
          <w:tcPr>
            <w:tcW w:w="740" w:type="dxa"/>
            <w:vAlign w:val="bottom"/>
          </w:tcPr>
          <w:p>
            <w:pPr>
              <w:jc w:val="right"/>
              <w:ind w:right="207"/>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taxes</w:t>
            </w:r>
          </w:p>
        </w:tc>
        <w:tc>
          <w:tcPr>
            <w:tcW w:w="160" w:type="dxa"/>
            <w:vAlign w:val="bottom"/>
          </w:tcPr>
          <w:p>
            <w:pPr>
              <w:spacing w:after="0"/>
              <w:rPr>
                <w:sz w:val="15"/>
                <w:szCs w:val="15"/>
                <w:color w:val="auto"/>
              </w:rPr>
            </w:pPr>
          </w:p>
        </w:tc>
        <w:tc>
          <w:tcPr>
            <w:tcW w:w="6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cost</w:t>
            </w: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shareholders</w:t>
            </w:r>
          </w:p>
        </w:tc>
        <w:tc>
          <w:tcPr>
            <w:tcW w:w="10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interests</w:t>
            </w:r>
          </w:p>
        </w:tc>
        <w:tc>
          <w:tcPr>
            <w:tcW w:w="160" w:type="dxa"/>
            <w:vAlign w:val="bottom"/>
          </w:tcPr>
          <w:p>
            <w:pPr>
              <w:spacing w:after="0"/>
              <w:rPr>
                <w:sz w:val="15"/>
                <w:szCs w:val="15"/>
                <w:color w:val="auto"/>
              </w:rPr>
            </w:pPr>
          </w:p>
        </w:tc>
        <w:tc>
          <w:tcPr>
            <w:tcW w:w="620" w:type="dxa"/>
            <w:vAlign w:val="bottom"/>
          </w:tcPr>
          <w:p>
            <w:pPr>
              <w:jc w:val="right"/>
              <w:ind w:right="127"/>
              <w:spacing w:after="0"/>
              <w:rPr>
                <w:sz w:val="20"/>
                <w:szCs w:val="20"/>
                <w:color w:val="auto"/>
              </w:rPr>
            </w:pPr>
            <w:r>
              <w:rPr>
                <w:rFonts w:ascii="Arial" w:cs="Arial" w:eastAsia="Arial" w:hAnsi="Arial"/>
                <w:sz w:val="14"/>
                <w:szCs w:val="14"/>
                <w:b w:val="1"/>
                <w:bCs w:val="1"/>
                <w:color w:val="auto"/>
                <w:w w:val="96"/>
              </w:rPr>
              <w:t>equity</w:t>
            </w:r>
          </w:p>
        </w:tc>
        <w:tc>
          <w:tcPr>
            <w:tcW w:w="0" w:type="dxa"/>
            <w:vAlign w:val="bottom"/>
          </w:tcPr>
          <w:p>
            <w:pPr>
              <w:spacing w:after="0"/>
              <w:rPr>
                <w:sz w:val="1"/>
                <w:szCs w:val="1"/>
                <w:color w:val="auto"/>
              </w:rPr>
            </w:pPr>
          </w:p>
        </w:tc>
      </w:tr>
      <w:tr>
        <w:trPr>
          <w:trHeight w:val="28"/>
        </w:trPr>
        <w:tc>
          <w:tcPr>
            <w:tcW w:w="2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4"/>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2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20" w:type="dxa"/>
            <w:vAlign w:val="bottom"/>
            <w:gridSpan w:val="4"/>
          </w:tcPr>
          <w:p>
            <w:pPr>
              <w:ind w:left="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700" w:type="dxa"/>
            <w:vAlign w:val="bottom"/>
            <w:shd w:val="clear" w:color="auto" w:fill="CCEEFF"/>
          </w:tcPr>
          <w:p>
            <w:pPr>
              <w:ind w:left="20"/>
              <w:spacing w:after="0"/>
              <w:rPr>
                <w:sz w:val="20"/>
                <w:szCs w:val="20"/>
                <w:color w:val="auto"/>
              </w:rPr>
            </w:pPr>
            <w:r>
              <w:rPr>
                <w:rFonts w:ascii="Arial" w:cs="Arial" w:eastAsia="Arial" w:hAnsi="Arial"/>
                <w:sz w:val="15"/>
                <w:szCs w:val="15"/>
                <w:color w:val="auto"/>
                <w:w w:val="91"/>
              </w:rPr>
              <w:t>Balance at January 1, 2019, before effect of</w:t>
            </w: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accounting change</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5"/>
                <w:szCs w:val="15"/>
                <w:color w:val="auto"/>
                <w:w w:val="95"/>
              </w:rPr>
              <w:t>$</w:t>
            </w:r>
          </w:p>
        </w:tc>
        <w:tc>
          <w:tcPr>
            <w:tcW w:w="3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2.0</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5"/>
                <w:szCs w:val="15"/>
                <w:color w:val="auto"/>
                <w:w w:val="95"/>
              </w:rPr>
              <w:t>$</w:t>
            </w:r>
          </w:p>
        </w:tc>
        <w:tc>
          <w:tcPr>
            <w:tcW w:w="3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0.1</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4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5.3</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9,214.5</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(5,172.2)</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631.8</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4,681.4</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(533.1)</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w w:val="99"/>
              </w:rPr>
              <w:t>4,148.3</w:t>
            </w:r>
          </w:p>
        </w:tc>
        <w:tc>
          <w:tcPr>
            <w:tcW w:w="0" w:type="dxa"/>
            <w:vAlign w:val="bottom"/>
          </w:tcPr>
          <w:p>
            <w:pPr>
              <w:spacing w:after="0"/>
              <w:rPr>
                <w:sz w:val="1"/>
                <w:szCs w:val="1"/>
                <w:color w:val="auto"/>
              </w:rPr>
            </w:pPr>
          </w:p>
        </w:tc>
      </w:tr>
      <w:tr>
        <w:trPr>
          <w:trHeight w:val="207"/>
        </w:trPr>
        <w:tc>
          <w:tcPr>
            <w:tcW w:w="2700" w:type="dxa"/>
            <w:vAlign w:val="bottom"/>
          </w:tcPr>
          <w:p>
            <w:pPr>
              <w:ind w:left="140"/>
              <w:spacing w:after="0"/>
              <w:rPr>
                <w:sz w:val="20"/>
                <w:szCs w:val="20"/>
                <w:color w:val="auto"/>
              </w:rPr>
            </w:pPr>
            <w:r>
              <w:rPr>
                <w:rFonts w:ascii="Arial" w:cs="Arial" w:eastAsia="Arial" w:hAnsi="Arial"/>
                <w:sz w:val="15"/>
                <w:szCs w:val="15"/>
                <w:color w:val="auto"/>
              </w:rPr>
              <w:t xml:space="preserve">Impact of ASU No. 2016-02, </w:t>
            </w:r>
            <w:r>
              <w:rPr>
                <w:rFonts w:ascii="Arial" w:cs="Arial" w:eastAsia="Arial" w:hAnsi="Arial"/>
                <w:sz w:val="15"/>
                <w:szCs w:val="15"/>
                <w:i w:val="1"/>
                <w:iCs w:val="1"/>
                <w:color w:val="auto"/>
              </w:rPr>
              <w:t>Leases</w:t>
            </w:r>
          </w:p>
        </w:tc>
        <w:tc>
          <w:tcPr>
            <w:tcW w:w="200" w:type="dxa"/>
            <w:vAlign w:val="bottom"/>
          </w:tcPr>
          <w:p>
            <w:pPr>
              <w:spacing w:after="0"/>
              <w:rPr>
                <w:sz w:val="17"/>
                <w:szCs w:val="17"/>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17"/>
                <w:szCs w:val="17"/>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5"/>
                <w:szCs w:val="15"/>
                <w:b w:val="1"/>
                <w:bCs w:val="1"/>
                <w:color w:val="auto"/>
              </w:rPr>
              <w:t>—</w:t>
            </w:r>
          </w:p>
        </w:tc>
        <w:tc>
          <w:tcPr>
            <w:tcW w:w="160" w:type="dxa"/>
            <w:vAlign w:val="bottom"/>
          </w:tcPr>
          <w:p>
            <w:pPr>
              <w:spacing w:after="0"/>
              <w:rPr>
                <w:sz w:val="17"/>
                <w:szCs w:val="17"/>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740" w:type="dxa"/>
            <w:vAlign w:val="bottom"/>
          </w:tcPr>
          <w:p>
            <w:pPr>
              <w:jc w:val="right"/>
              <w:ind w:right="47"/>
              <w:spacing w:after="0"/>
              <w:rPr>
                <w:sz w:val="20"/>
                <w:szCs w:val="20"/>
                <w:color w:val="auto"/>
              </w:rPr>
            </w:pPr>
            <w:r>
              <w:rPr>
                <w:rFonts w:ascii="Arial" w:cs="Arial" w:eastAsia="Arial" w:hAnsi="Arial"/>
                <w:sz w:val="15"/>
                <w:szCs w:val="15"/>
                <w:color w:val="auto"/>
              </w:rPr>
              <w:t>1.2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700" w:type="dxa"/>
            <w:vAlign w:val="bottom"/>
          </w:tcPr>
          <w:p>
            <w:pPr>
              <w:jc w:val="right"/>
              <w:ind w:right="27"/>
              <w:spacing w:after="0"/>
              <w:rPr>
                <w:sz w:val="20"/>
                <w:szCs w:val="20"/>
                <w:color w:val="auto"/>
              </w:rPr>
            </w:pPr>
            <w:r>
              <w:rPr>
                <w:rFonts w:ascii="Arial" w:cs="Arial" w:eastAsia="Arial" w:hAnsi="Arial"/>
                <w:sz w:val="15"/>
                <w:szCs w:val="15"/>
                <w:color w:val="auto"/>
              </w:rPr>
              <w:t>1.2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620" w:type="dxa"/>
            <w:vAlign w:val="bottom"/>
          </w:tcPr>
          <w:p>
            <w:pPr>
              <w:jc w:val="right"/>
              <w:ind w:right="27"/>
              <w:spacing w:after="0"/>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26"/>
        </w:trPr>
        <w:tc>
          <w:tcPr>
            <w:tcW w:w="2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700" w:type="dxa"/>
            <w:vAlign w:val="bottom"/>
            <w:shd w:val="clear" w:color="auto" w:fill="CCEEFF"/>
          </w:tcPr>
          <w:p>
            <w:pPr>
              <w:ind w:left="20"/>
              <w:spacing w:after="0" w:line="163" w:lineRule="exact"/>
              <w:rPr>
                <w:sz w:val="20"/>
                <w:szCs w:val="20"/>
                <w:color w:val="auto"/>
              </w:rPr>
            </w:pPr>
            <w:r>
              <w:rPr>
                <w:rFonts w:ascii="Arial" w:cs="Arial" w:eastAsia="Arial" w:hAnsi="Arial"/>
                <w:sz w:val="15"/>
                <w:szCs w:val="15"/>
                <w:color w:val="auto"/>
                <w:w w:val="91"/>
              </w:rPr>
              <w:t>Balance at January 1, 2019, as adjusted for</w:t>
            </w:r>
          </w:p>
        </w:tc>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accounting change</w:t>
            </w:r>
          </w:p>
        </w:tc>
        <w:tc>
          <w:tcPr>
            <w:tcW w:w="2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2.0</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0.1</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5.3</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9,214.5</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(5,171.0)</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631.8</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4,682.6</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(533.1)</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w w:val="99"/>
              </w:rPr>
              <w:t>4,149.5</w:t>
            </w:r>
          </w:p>
        </w:tc>
        <w:tc>
          <w:tcPr>
            <w:tcW w:w="0" w:type="dxa"/>
            <w:vAlign w:val="bottom"/>
          </w:tcPr>
          <w:p>
            <w:pPr>
              <w:spacing w:after="0"/>
              <w:rPr>
                <w:sz w:val="1"/>
                <w:szCs w:val="1"/>
                <w:color w:val="auto"/>
              </w:rPr>
            </w:pPr>
          </w:p>
        </w:tc>
      </w:tr>
      <w:tr>
        <w:trPr>
          <w:trHeight w:val="207"/>
        </w:trPr>
        <w:tc>
          <w:tcPr>
            <w:tcW w:w="2700" w:type="dxa"/>
            <w:vAlign w:val="bottom"/>
          </w:tcPr>
          <w:p>
            <w:pPr>
              <w:ind w:left="140"/>
              <w:spacing w:after="0"/>
              <w:rPr>
                <w:sz w:val="20"/>
                <w:szCs w:val="20"/>
                <w:color w:val="auto"/>
              </w:rPr>
            </w:pPr>
            <w:r>
              <w:rPr>
                <w:rFonts w:ascii="Arial" w:cs="Arial" w:eastAsia="Arial" w:hAnsi="Arial"/>
                <w:sz w:val="15"/>
                <w:szCs w:val="15"/>
                <w:color w:val="auto"/>
              </w:rPr>
              <w:t>Net earnings</w:t>
            </w:r>
          </w:p>
        </w:tc>
        <w:tc>
          <w:tcPr>
            <w:tcW w:w="200" w:type="dxa"/>
            <w:vAlign w:val="bottom"/>
          </w:tcPr>
          <w:p>
            <w:pPr>
              <w:spacing w:after="0"/>
              <w:rPr>
                <w:sz w:val="17"/>
                <w:szCs w:val="17"/>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740" w:type="dxa"/>
            <w:vAlign w:val="bottom"/>
          </w:tcPr>
          <w:p>
            <w:pPr>
              <w:jc w:val="right"/>
              <w:ind w:right="47"/>
              <w:spacing w:after="0"/>
              <w:rPr>
                <w:sz w:val="20"/>
                <w:szCs w:val="20"/>
                <w:color w:val="auto"/>
              </w:rPr>
            </w:pPr>
            <w:r>
              <w:rPr>
                <w:rFonts w:ascii="Arial" w:cs="Arial" w:eastAsia="Arial" w:hAnsi="Arial"/>
                <w:sz w:val="15"/>
                <w:szCs w:val="15"/>
                <w:color w:val="auto"/>
              </w:rPr>
              <w:t>7.0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700" w:type="dxa"/>
            <w:vAlign w:val="bottom"/>
          </w:tcPr>
          <w:p>
            <w:pPr>
              <w:jc w:val="right"/>
              <w:ind w:right="27"/>
              <w:spacing w:after="0"/>
              <w:rPr>
                <w:sz w:val="20"/>
                <w:szCs w:val="20"/>
                <w:color w:val="auto"/>
              </w:rPr>
            </w:pPr>
            <w:r>
              <w:rPr>
                <w:rFonts w:ascii="Arial" w:cs="Arial" w:eastAsia="Arial" w:hAnsi="Arial"/>
                <w:sz w:val="15"/>
                <w:szCs w:val="15"/>
                <w:color w:val="auto"/>
              </w:rPr>
              <w:t>7.0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27"/>
              <w:spacing w:after="0"/>
              <w:rPr>
                <w:sz w:val="20"/>
                <w:szCs w:val="20"/>
                <w:color w:val="auto"/>
              </w:rPr>
            </w:pPr>
            <w:r>
              <w:rPr>
                <w:rFonts w:ascii="Arial" w:cs="Arial" w:eastAsia="Arial" w:hAnsi="Arial"/>
                <w:sz w:val="15"/>
                <w:szCs w:val="15"/>
                <w:color w:val="auto"/>
              </w:rPr>
              <w:t>8.7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ind w:right="27"/>
              <w:spacing w:after="0"/>
              <w:rPr>
                <w:sz w:val="20"/>
                <w:szCs w:val="20"/>
                <w:color w:val="auto"/>
              </w:rPr>
            </w:pPr>
            <w:r>
              <w:rPr>
                <w:rFonts w:ascii="Arial" w:cs="Arial" w:eastAsia="Arial" w:hAnsi="Arial"/>
                <w:sz w:val="15"/>
                <w:szCs w:val="15"/>
                <w:color w:val="auto"/>
              </w:rPr>
              <w:t>15.7</w:t>
            </w:r>
          </w:p>
        </w:tc>
        <w:tc>
          <w:tcPr>
            <w:tcW w:w="0" w:type="dxa"/>
            <w:vAlign w:val="bottom"/>
          </w:tcPr>
          <w:p>
            <w:pPr>
              <w:spacing w:after="0"/>
              <w:rPr>
                <w:sz w:val="1"/>
                <w:szCs w:val="1"/>
                <w:color w:val="auto"/>
              </w:rPr>
            </w:pPr>
          </w:p>
        </w:tc>
      </w:tr>
      <w:tr>
        <w:trPr>
          <w:trHeight w:val="26"/>
        </w:trPr>
        <w:tc>
          <w:tcPr>
            <w:tcW w:w="2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w w:val="97"/>
              </w:rPr>
              <w:t>Other comprehensive loss, net of taxes</w:t>
            </w:r>
          </w:p>
        </w:tc>
        <w:tc>
          <w:tcPr>
            <w:tcW w:w="2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(135.2)</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(135.2)</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0.2</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(135.0)</w:t>
            </w:r>
          </w:p>
        </w:tc>
        <w:tc>
          <w:tcPr>
            <w:tcW w:w="0" w:type="dxa"/>
            <w:vAlign w:val="bottom"/>
          </w:tcPr>
          <w:p>
            <w:pPr>
              <w:spacing w:after="0"/>
              <w:rPr>
                <w:sz w:val="1"/>
                <w:szCs w:val="1"/>
                <w:color w:val="auto"/>
              </w:rPr>
            </w:pPr>
          </w:p>
        </w:tc>
      </w:tr>
      <w:tr>
        <w:trPr>
          <w:trHeight w:val="183"/>
        </w:trPr>
        <w:tc>
          <w:tcPr>
            <w:tcW w:w="2700" w:type="dxa"/>
            <w:vAlign w:val="bottom"/>
          </w:tcPr>
          <w:p>
            <w:pPr>
              <w:ind w:left="140"/>
              <w:spacing w:after="0"/>
              <w:rPr>
                <w:sz w:val="20"/>
                <w:szCs w:val="20"/>
                <w:color w:val="auto"/>
              </w:rPr>
            </w:pPr>
            <w:r>
              <w:rPr>
                <w:rFonts w:ascii="Arial" w:cs="Arial" w:eastAsia="Arial" w:hAnsi="Arial"/>
                <w:sz w:val="15"/>
                <w:szCs w:val="15"/>
                <w:color w:val="auto"/>
                <w:w w:val="92"/>
              </w:rPr>
              <w:t>Repurchases and cancellations of Liberty</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700" w:type="dxa"/>
            <w:vAlign w:val="bottom"/>
          </w:tcPr>
          <w:p>
            <w:pPr>
              <w:ind w:left="280"/>
              <w:spacing w:after="0"/>
              <w:rPr>
                <w:sz w:val="20"/>
                <w:szCs w:val="20"/>
                <w:color w:val="auto"/>
              </w:rPr>
            </w:pPr>
            <w:r>
              <w:rPr>
                <w:rFonts w:ascii="Arial" w:cs="Arial" w:eastAsia="Arial" w:hAnsi="Arial"/>
                <w:sz w:val="15"/>
                <w:szCs w:val="15"/>
                <w:color w:val="auto"/>
              </w:rPr>
              <w:t>Global ordinary shares</w:t>
            </w:r>
          </w:p>
        </w:tc>
        <w:tc>
          <w:tcPr>
            <w:tcW w:w="200" w:type="dxa"/>
            <w:vAlign w:val="bottom"/>
          </w:tcPr>
          <w:p>
            <w:pPr>
              <w:spacing w:after="0"/>
              <w:rPr>
                <w:sz w:val="16"/>
                <w:szCs w:val="16"/>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(0.1)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(214.0)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(214.1)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(214.1)</w:t>
            </w:r>
          </w:p>
        </w:tc>
        <w:tc>
          <w:tcPr>
            <w:tcW w:w="0" w:type="dxa"/>
            <w:vAlign w:val="bottom"/>
          </w:tcPr>
          <w:p>
            <w:pPr>
              <w:spacing w:after="0"/>
              <w:rPr>
                <w:sz w:val="1"/>
                <w:szCs w:val="1"/>
                <w:color w:val="auto"/>
              </w:rPr>
            </w:pPr>
          </w:p>
        </w:tc>
      </w:tr>
      <w:tr>
        <w:trPr>
          <w:trHeight w:val="26"/>
        </w:trPr>
        <w:tc>
          <w:tcPr>
            <w:tcW w:w="2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70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0"/>
              </w:rPr>
              <w:t>Repurchases by Telenet of its outstanding</w:t>
            </w: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shares</w:t>
            </w:r>
          </w:p>
        </w:tc>
        <w:tc>
          <w:tcPr>
            <w:tcW w:w="2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(68.2)</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(68.2)</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11.3</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(56.9)</w:t>
            </w:r>
          </w:p>
        </w:tc>
        <w:tc>
          <w:tcPr>
            <w:tcW w:w="0" w:type="dxa"/>
            <w:vAlign w:val="bottom"/>
          </w:tcPr>
          <w:p>
            <w:pPr>
              <w:spacing w:after="0"/>
              <w:rPr>
                <w:sz w:val="1"/>
                <w:szCs w:val="1"/>
                <w:color w:val="auto"/>
              </w:rPr>
            </w:pPr>
          </w:p>
        </w:tc>
      </w:tr>
      <w:tr>
        <w:trPr>
          <w:trHeight w:val="207"/>
        </w:trPr>
        <w:tc>
          <w:tcPr>
            <w:tcW w:w="2700" w:type="dxa"/>
            <w:vAlign w:val="bottom"/>
          </w:tcPr>
          <w:p>
            <w:pPr>
              <w:ind w:left="140"/>
              <w:spacing w:after="0"/>
              <w:rPr>
                <w:sz w:val="20"/>
                <w:szCs w:val="20"/>
                <w:color w:val="auto"/>
              </w:rPr>
            </w:pPr>
            <w:r>
              <w:rPr>
                <w:rFonts w:ascii="Arial" w:cs="Arial" w:eastAsia="Arial" w:hAnsi="Arial"/>
                <w:sz w:val="15"/>
                <w:szCs w:val="15"/>
                <w:color w:val="auto"/>
              </w:rPr>
              <w:t>Share-based compensation (note 13)</w:t>
            </w:r>
          </w:p>
        </w:tc>
        <w:tc>
          <w:tcPr>
            <w:tcW w:w="200" w:type="dxa"/>
            <w:vAlign w:val="bottom"/>
          </w:tcPr>
          <w:p>
            <w:pPr>
              <w:spacing w:after="0"/>
              <w:rPr>
                <w:sz w:val="17"/>
                <w:szCs w:val="17"/>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660" w:type="dxa"/>
            <w:vAlign w:val="bottom"/>
          </w:tcPr>
          <w:p>
            <w:pPr>
              <w:jc w:val="right"/>
              <w:ind w:right="47"/>
              <w:spacing w:after="0"/>
              <w:rPr>
                <w:sz w:val="20"/>
                <w:szCs w:val="20"/>
                <w:color w:val="auto"/>
              </w:rPr>
            </w:pPr>
            <w:r>
              <w:rPr>
                <w:rFonts w:ascii="Arial" w:cs="Arial" w:eastAsia="Arial" w:hAnsi="Arial"/>
                <w:sz w:val="15"/>
                <w:szCs w:val="15"/>
                <w:color w:val="auto"/>
              </w:rPr>
              <w:t>55.6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700" w:type="dxa"/>
            <w:vAlign w:val="bottom"/>
          </w:tcPr>
          <w:p>
            <w:pPr>
              <w:jc w:val="right"/>
              <w:ind w:right="27"/>
              <w:spacing w:after="0"/>
              <w:rPr>
                <w:sz w:val="20"/>
                <w:szCs w:val="20"/>
                <w:color w:val="auto"/>
              </w:rPr>
            </w:pPr>
            <w:r>
              <w:rPr>
                <w:rFonts w:ascii="Arial" w:cs="Arial" w:eastAsia="Arial" w:hAnsi="Arial"/>
                <w:sz w:val="15"/>
                <w:szCs w:val="15"/>
                <w:color w:val="auto"/>
              </w:rPr>
              <w:t>55.6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620" w:type="dxa"/>
            <w:vAlign w:val="bottom"/>
          </w:tcPr>
          <w:p>
            <w:pPr>
              <w:jc w:val="right"/>
              <w:ind w:right="27"/>
              <w:spacing w:after="0"/>
              <w:rPr>
                <w:sz w:val="20"/>
                <w:szCs w:val="20"/>
                <w:color w:val="auto"/>
              </w:rPr>
            </w:pPr>
            <w:r>
              <w:rPr>
                <w:rFonts w:ascii="Arial" w:cs="Arial" w:eastAsia="Arial" w:hAnsi="Arial"/>
                <w:sz w:val="15"/>
                <w:szCs w:val="15"/>
                <w:color w:val="auto"/>
              </w:rPr>
              <w:t>55.6</w:t>
            </w:r>
          </w:p>
        </w:tc>
        <w:tc>
          <w:tcPr>
            <w:tcW w:w="0" w:type="dxa"/>
            <w:vAlign w:val="bottom"/>
          </w:tcPr>
          <w:p>
            <w:pPr>
              <w:spacing w:after="0"/>
              <w:rPr>
                <w:sz w:val="1"/>
                <w:szCs w:val="1"/>
                <w:color w:val="auto"/>
              </w:rPr>
            </w:pPr>
          </w:p>
        </w:tc>
      </w:tr>
      <w:tr>
        <w:trPr>
          <w:trHeight w:val="26"/>
        </w:trPr>
        <w:tc>
          <w:tcPr>
            <w:tcW w:w="2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7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Adjustments due to changes in</w:t>
            </w: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subsidiaries’ equity and other, net</w:t>
            </w:r>
          </w:p>
        </w:tc>
        <w:tc>
          <w:tcPr>
            <w:tcW w:w="2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32.4</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32.4</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2.4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34.8</w:t>
            </w:r>
          </w:p>
        </w:tc>
        <w:tc>
          <w:tcPr>
            <w:tcW w:w="0" w:type="dxa"/>
            <w:vAlign w:val="bottom"/>
          </w:tcPr>
          <w:p>
            <w:pPr>
              <w:spacing w:after="0"/>
              <w:rPr>
                <w:sz w:val="1"/>
                <w:szCs w:val="1"/>
                <w:color w:val="auto"/>
              </w:rPr>
            </w:pPr>
          </w:p>
        </w:tc>
      </w:tr>
      <w:tr>
        <w:trPr>
          <w:trHeight w:val="187"/>
        </w:trPr>
        <w:tc>
          <w:tcPr>
            <w:tcW w:w="2700" w:type="dxa"/>
            <w:vAlign w:val="bottom"/>
          </w:tcPr>
          <w:p>
            <w:pPr>
              <w:ind w:left="20"/>
              <w:spacing w:after="0"/>
              <w:rPr>
                <w:sz w:val="20"/>
                <w:szCs w:val="20"/>
                <w:color w:val="auto"/>
              </w:rPr>
            </w:pPr>
            <w:r>
              <w:rPr>
                <w:rFonts w:ascii="Arial" w:cs="Arial" w:eastAsia="Arial" w:hAnsi="Arial"/>
                <w:sz w:val="15"/>
                <w:szCs w:val="15"/>
                <w:color w:val="auto"/>
              </w:rPr>
              <w:t>Balance at March 31, 2019</w:t>
            </w:r>
          </w:p>
        </w:tc>
        <w:tc>
          <w:tcPr>
            <w:tcW w:w="20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rPr>
              <w:t>2.0</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jc w:val="right"/>
              <w:ind w:right="46"/>
              <w:spacing w:after="0"/>
              <w:rPr>
                <w:sz w:val="20"/>
                <w:szCs w:val="20"/>
                <w:color w:val="auto"/>
              </w:rPr>
            </w:pPr>
            <w:r>
              <w:rPr>
                <w:rFonts w:ascii="Arial" w:cs="Arial" w:eastAsia="Arial" w:hAnsi="Arial"/>
                <w:sz w:val="15"/>
                <w:szCs w:val="15"/>
                <w:color w:val="auto"/>
              </w:rPr>
              <w:t>0.1</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jc w:val="right"/>
              <w:ind w:right="46"/>
              <w:spacing w:after="0"/>
              <w:rPr>
                <w:sz w:val="20"/>
                <w:szCs w:val="20"/>
                <w:color w:val="auto"/>
              </w:rPr>
            </w:pPr>
            <w:r>
              <w:rPr>
                <w:rFonts w:ascii="Arial" w:cs="Arial" w:eastAsia="Arial" w:hAnsi="Arial"/>
                <w:sz w:val="15"/>
                <w:szCs w:val="15"/>
                <w:color w:val="auto"/>
              </w:rPr>
              <w:t>5.2</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rPr>
              <w:t>9,020.3</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rPr>
              <w:t>(5,164.0)</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rPr>
              <w:t>496.6</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(0.1)</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rPr>
              <w:t>4,360.1</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(510.5)</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99"/>
              </w:rPr>
              <w:t>3,849.6</w:t>
            </w:r>
          </w:p>
        </w:tc>
        <w:tc>
          <w:tcPr>
            <w:tcW w:w="0" w:type="dxa"/>
            <w:vAlign w:val="bottom"/>
          </w:tcPr>
          <w:p>
            <w:pPr>
              <w:spacing w:after="0"/>
              <w:rPr>
                <w:sz w:val="1"/>
                <w:szCs w:val="1"/>
                <w:color w:val="auto"/>
              </w:rPr>
            </w:pPr>
          </w:p>
        </w:tc>
      </w:tr>
      <w:tr>
        <w:trPr>
          <w:trHeight w:val="26"/>
        </w:trPr>
        <w:tc>
          <w:tcPr>
            <w:tcW w:w="2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Net earnings</w:t>
            </w:r>
          </w:p>
        </w:tc>
        <w:tc>
          <w:tcPr>
            <w:tcW w:w="2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53.0</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53.0</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29.5</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82.5</w:t>
            </w:r>
          </w:p>
        </w:tc>
        <w:tc>
          <w:tcPr>
            <w:tcW w:w="0" w:type="dxa"/>
            <w:vAlign w:val="bottom"/>
          </w:tcPr>
          <w:p>
            <w:pPr>
              <w:spacing w:after="0"/>
              <w:rPr>
                <w:sz w:val="1"/>
                <w:szCs w:val="1"/>
                <w:color w:val="auto"/>
              </w:rPr>
            </w:pPr>
          </w:p>
        </w:tc>
      </w:tr>
      <w:tr>
        <w:trPr>
          <w:trHeight w:val="207"/>
        </w:trPr>
        <w:tc>
          <w:tcPr>
            <w:tcW w:w="2700" w:type="dxa"/>
            <w:vAlign w:val="bottom"/>
          </w:tcPr>
          <w:p>
            <w:pPr>
              <w:ind w:left="140"/>
              <w:spacing w:after="0"/>
              <w:rPr>
                <w:sz w:val="20"/>
                <w:szCs w:val="20"/>
                <w:color w:val="auto"/>
              </w:rPr>
            </w:pPr>
            <w:r>
              <w:rPr>
                <w:rFonts w:ascii="Arial" w:cs="Arial" w:eastAsia="Arial" w:hAnsi="Arial"/>
                <w:sz w:val="15"/>
                <w:szCs w:val="15"/>
                <w:color w:val="auto"/>
                <w:w w:val="97"/>
              </w:rPr>
              <w:t>Other comprehensive loss, net of taxes</w:t>
            </w:r>
          </w:p>
        </w:tc>
        <w:tc>
          <w:tcPr>
            <w:tcW w:w="200" w:type="dxa"/>
            <w:vAlign w:val="bottom"/>
          </w:tcPr>
          <w:p>
            <w:pPr>
              <w:spacing w:after="0"/>
              <w:rPr>
                <w:sz w:val="17"/>
                <w:szCs w:val="17"/>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74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(6.5)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(6.5)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27"/>
              <w:spacing w:after="0"/>
              <w:rPr>
                <w:sz w:val="20"/>
                <w:szCs w:val="20"/>
                <w:color w:val="auto"/>
              </w:rPr>
            </w:pPr>
            <w:r>
              <w:rPr>
                <w:rFonts w:ascii="Arial" w:cs="Arial" w:eastAsia="Arial" w:hAnsi="Arial"/>
                <w:sz w:val="15"/>
                <w:szCs w:val="15"/>
                <w:color w:val="auto"/>
              </w:rPr>
              <w:t>0.2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(6.3)</w:t>
            </w:r>
          </w:p>
        </w:tc>
        <w:tc>
          <w:tcPr>
            <w:tcW w:w="0" w:type="dxa"/>
            <w:vAlign w:val="bottom"/>
          </w:tcPr>
          <w:p>
            <w:pPr>
              <w:spacing w:after="0"/>
              <w:rPr>
                <w:sz w:val="1"/>
                <w:szCs w:val="1"/>
                <w:color w:val="auto"/>
              </w:rPr>
            </w:pPr>
          </w:p>
        </w:tc>
      </w:tr>
      <w:tr>
        <w:trPr>
          <w:trHeight w:val="26"/>
        </w:trPr>
        <w:tc>
          <w:tcPr>
            <w:tcW w:w="2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70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2"/>
              </w:rPr>
              <w:t>Repurchases and cancellations of Liberty</w:t>
            </w: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Global ordinary shares</w:t>
            </w:r>
          </w:p>
        </w:tc>
        <w:tc>
          <w:tcPr>
            <w:tcW w:w="2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(288.3)</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(288.4)</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(288.4)</w:t>
            </w:r>
          </w:p>
        </w:tc>
        <w:tc>
          <w:tcPr>
            <w:tcW w:w="0" w:type="dxa"/>
            <w:vAlign w:val="bottom"/>
          </w:tcPr>
          <w:p>
            <w:pPr>
              <w:spacing w:after="0"/>
              <w:rPr>
                <w:sz w:val="1"/>
                <w:szCs w:val="1"/>
                <w:color w:val="auto"/>
              </w:rPr>
            </w:pPr>
          </w:p>
        </w:tc>
      </w:tr>
      <w:tr>
        <w:trPr>
          <w:trHeight w:val="207"/>
        </w:trPr>
        <w:tc>
          <w:tcPr>
            <w:tcW w:w="2700" w:type="dxa"/>
            <w:vAlign w:val="bottom"/>
          </w:tcPr>
          <w:p>
            <w:pPr>
              <w:ind w:left="140"/>
              <w:spacing w:after="0"/>
              <w:rPr>
                <w:sz w:val="20"/>
                <w:szCs w:val="20"/>
                <w:color w:val="auto"/>
              </w:rPr>
            </w:pPr>
            <w:r>
              <w:rPr>
                <w:rFonts w:ascii="Arial" w:cs="Arial" w:eastAsia="Arial" w:hAnsi="Arial"/>
                <w:sz w:val="15"/>
                <w:szCs w:val="15"/>
                <w:color w:val="auto"/>
              </w:rPr>
              <w:t>Share-based compensation (note 13)</w:t>
            </w:r>
          </w:p>
        </w:tc>
        <w:tc>
          <w:tcPr>
            <w:tcW w:w="200" w:type="dxa"/>
            <w:vAlign w:val="bottom"/>
          </w:tcPr>
          <w:p>
            <w:pPr>
              <w:spacing w:after="0"/>
              <w:rPr>
                <w:sz w:val="17"/>
                <w:szCs w:val="17"/>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660" w:type="dxa"/>
            <w:vAlign w:val="bottom"/>
          </w:tcPr>
          <w:p>
            <w:pPr>
              <w:jc w:val="right"/>
              <w:ind w:right="47"/>
              <w:spacing w:after="0"/>
              <w:rPr>
                <w:sz w:val="20"/>
                <w:szCs w:val="20"/>
                <w:color w:val="auto"/>
              </w:rPr>
            </w:pPr>
            <w:r>
              <w:rPr>
                <w:rFonts w:ascii="Arial" w:cs="Arial" w:eastAsia="Arial" w:hAnsi="Arial"/>
                <w:sz w:val="15"/>
                <w:szCs w:val="15"/>
                <w:color w:val="auto"/>
              </w:rPr>
              <w:t>70.0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700" w:type="dxa"/>
            <w:vAlign w:val="bottom"/>
          </w:tcPr>
          <w:p>
            <w:pPr>
              <w:jc w:val="right"/>
              <w:ind w:right="27"/>
              <w:spacing w:after="0"/>
              <w:rPr>
                <w:sz w:val="20"/>
                <w:szCs w:val="20"/>
                <w:color w:val="auto"/>
              </w:rPr>
            </w:pPr>
            <w:r>
              <w:rPr>
                <w:rFonts w:ascii="Arial" w:cs="Arial" w:eastAsia="Arial" w:hAnsi="Arial"/>
                <w:sz w:val="15"/>
                <w:szCs w:val="15"/>
                <w:color w:val="auto"/>
              </w:rPr>
              <w:t>70.0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620" w:type="dxa"/>
            <w:vAlign w:val="bottom"/>
          </w:tcPr>
          <w:p>
            <w:pPr>
              <w:jc w:val="right"/>
              <w:ind w:right="27"/>
              <w:spacing w:after="0"/>
              <w:rPr>
                <w:sz w:val="20"/>
                <w:szCs w:val="20"/>
                <w:color w:val="auto"/>
              </w:rPr>
            </w:pPr>
            <w:r>
              <w:rPr>
                <w:rFonts w:ascii="Arial" w:cs="Arial" w:eastAsia="Arial" w:hAnsi="Arial"/>
                <w:sz w:val="15"/>
                <w:szCs w:val="15"/>
                <w:color w:val="auto"/>
              </w:rPr>
              <w:t>70.0</w:t>
            </w:r>
          </w:p>
        </w:tc>
        <w:tc>
          <w:tcPr>
            <w:tcW w:w="0" w:type="dxa"/>
            <w:vAlign w:val="bottom"/>
          </w:tcPr>
          <w:p>
            <w:pPr>
              <w:spacing w:after="0"/>
              <w:rPr>
                <w:sz w:val="1"/>
                <w:szCs w:val="1"/>
                <w:color w:val="auto"/>
              </w:rPr>
            </w:pPr>
          </w:p>
        </w:tc>
      </w:tr>
      <w:tr>
        <w:trPr>
          <w:trHeight w:val="26"/>
        </w:trPr>
        <w:tc>
          <w:tcPr>
            <w:tcW w:w="2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70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0"/>
              </w:rPr>
              <w:t>Repurchases by Telenet of its outstanding</w:t>
            </w: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shares</w:t>
            </w:r>
          </w:p>
        </w:tc>
        <w:tc>
          <w:tcPr>
            <w:tcW w:w="2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(66.3)</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(66.3)</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9.1</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(57.2)</w:t>
            </w:r>
          </w:p>
        </w:tc>
        <w:tc>
          <w:tcPr>
            <w:tcW w:w="0" w:type="dxa"/>
            <w:vAlign w:val="bottom"/>
          </w:tcPr>
          <w:p>
            <w:pPr>
              <w:spacing w:after="0"/>
              <w:rPr>
                <w:sz w:val="1"/>
                <w:szCs w:val="1"/>
                <w:color w:val="auto"/>
              </w:rPr>
            </w:pPr>
          </w:p>
        </w:tc>
      </w:tr>
      <w:tr>
        <w:trPr>
          <w:trHeight w:val="183"/>
        </w:trPr>
        <w:tc>
          <w:tcPr>
            <w:tcW w:w="2700" w:type="dxa"/>
            <w:vAlign w:val="bottom"/>
          </w:tcPr>
          <w:p>
            <w:pPr>
              <w:ind w:left="140"/>
              <w:spacing w:after="0"/>
              <w:rPr>
                <w:sz w:val="20"/>
                <w:szCs w:val="20"/>
                <w:color w:val="auto"/>
              </w:rPr>
            </w:pPr>
            <w:r>
              <w:rPr>
                <w:rFonts w:ascii="Arial" w:cs="Arial" w:eastAsia="Arial" w:hAnsi="Arial"/>
                <w:sz w:val="15"/>
                <w:szCs w:val="15"/>
                <w:color w:val="auto"/>
              </w:rPr>
              <w:t>Adjustments due to changes in</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700" w:type="dxa"/>
            <w:vAlign w:val="bottom"/>
          </w:tcPr>
          <w:p>
            <w:pPr>
              <w:ind w:left="280"/>
              <w:spacing w:after="0"/>
              <w:rPr>
                <w:sz w:val="20"/>
                <w:szCs w:val="20"/>
                <w:color w:val="auto"/>
              </w:rPr>
            </w:pPr>
            <w:r>
              <w:rPr>
                <w:rFonts w:ascii="Arial" w:cs="Arial" w:eastAsia="Arial" w:hAnsi="Arial"/>
                <w:sz w:val="15"/>
                <w:szCs w:val="15"/>
                <w:color w:val="auto"/>
              </w:rPr>
              <w:t>subsidiaries’ equity and other, net</w:t>
            </w:r>
          </w:p>
        </w:tc>
        <w:tc>
          <w:tcPr>
            <w:tcW w:w="200" w:type="dxa"/>
            <w:vAlign w:val="bottom"/>
          </w:tcPr>
          <w:p>
            <w:pPr>
              <w:spacing w:after="0"/>
              <w:rPr>
                <w:sz w:val="16"/>
                <w:szCs w:val="16"/>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660" w:type="dxa"/>
            <w:vAlign w:val="bottom"/>
          </w:tcPr>
          <w:p>
            <w:pPr>
              <w:jc w:val="right"/>
              <w:ind w:right="47"/>
              <w:spacing w:after="0"/>
              <w:rPr>
                <w:sz w:val="20"/>
                <w:szCs w:val="20"/>
                <w:color w:val="auto"/>
              </w:rPr>
            </w:pPr>
            <w:r>
              <w:rPr>
                <w:rFonts w:ascii="Arial" w:cs="Arial" w:eastAsia="Arial" w:hAnsi="Arial"/>
                <w:sz w:val="15"/>
                <w:szCs w:val="15"/>
                <w:color w:val="auto"/>
              </w:rPr>
              <w:t>11.6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700" w:type="dxa"/>
            <w:vAlign w:val="bottom"/>
          </w:tcPr>
          <w:p>
            <w:pPr>
              <w:jc w:val="right"/>
              <w:ind w:right="27"/>
              <w:spacing w:after="0"/>
              <w:rPr>
                <w:sz w:val="20"/>
                <w:szCs w:val="20"/>
                <w:color w:val="auto"/>
              </w:rPr>
            </w:pPr>
            <w:r>
              <w:rPr>
                <w:rFonts w:ascii="Arial" w:cs="Arial" w:eastAsia="Arial" w:hAnsi="Arial"/>
                <w:sz w:val="15"/>
                <w:szCs w:val="15"/>
                <w:color w:val="auto"/>
              </w:rPr>
              <w:t>11.6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ind w:right="27"/>
              <w:spacing w:after="0"/>
              <w:rPr>
                <w:sz w:val="20"/>
                <w:szCs w:val="20"/>
                <w:color w:val="auto"/>
              </w:rPr>
            </w:pPr>
            <w:r>
              <w:rPr>
                <w:rFonts w:ascii="Arial" w:cs="Arial" w:eastAsia="Arial" w:hAnsi="Arial"/>
                <w:sz w:val="15"/>
                <w:szCs w:val="15"/>
                <w:color w:val="auto"/>
              </w:rPr>
              <w:t>8.9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ind w:right="27"/>
              <w:spacing w:after="0"/>
              <w:rPr>
                <w:sz w:val="20"/>
                <w:szCs w:val="20"/>
                <w:color w:val="auto"/>
              </w:rPr>
            </w:pPr>
            <w:r>
              <w:rPr>
                <w:rFonts w:ascii="Arial" w:cs="Arial" w:eastAsia="Arial" w:hAnsi="Arial"/>
                <w:sz w:val="15"/>
                <w:szCs w:val="15"/>
                <w:color w:val="auto"/>
              </w:rPr>
              <w:t>20.5</w:t>
            </w:r>
          </w:p>
        </w:tc>
        <w:tc>
          <w:tcPr>
            <w:tcW w:w="0" w:type="dxa"/>
            <w:vAlign w:val="bottom"/>
          </w:tcPr>
          <w:p>
            <w:pPr>
              <w:spacing w:after="0"/>
              <w:rPr>
                <w:sz w:val="1"/>
                <w:szCs w:val="1"/>
                <w:color w:val="auto"/>
              </w:rPr>
            </w:pPr>
          </w:p>
        </w:tc>
      </w:tr>
      <w:tr>
        <w:trPr>
          <w:trHeight w:val="26"/>
        </w:trPr>
        <w:tc>
          <w:tcPr>
            <w:tcW w:w="2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 at June 30, 2019</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5"/>
                <w:szCs w:val="15"/>
                <w:color w:val="auto"/>
                <w:w w:val="95"/>
              </w:rPr>
              <w:t>$</w:t>
            </w:r>
          </w:p>
        </w:tc>
        <w:tc>
          <w:tcPr>
            <w:tcW w:w="3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2.0</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5"/>
                <w:szCs w:val="15"/>
                <w:color w:val="auto"/>
                <w:w w:val="95"/>
              </w:rPr>
              <w:t>$</w:t>
            </w:r>
          </w:p>
        </w:tc>
        <w:tc>
          <w:tcPr>
            <w:tcW w:w="3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0.1</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4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5.1</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8,747.3</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(5,111.0)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490.1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4,133.5</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(462.8)</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w w:val="99"/>
              </w:rPr>
              <w:t>3,670.7</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14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60"/>
          </w:cols>
          <w:pgMar w:left="320" w:top="309" w:right="31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6"/>
          <w:szCs w:val="16"/>
          <w:b w:val="1"/>
          <w:bCs w:val="1"/>
          <w:color w:val="auto"/>
        </w:rPr>
        <w:t>LIBERTY GLOBAL PLC</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STATEMENTS OF EQUITY — (Continued)</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20" w:type="dxa"/>
            <w:vAlign w:val="bottom"/>
            <w:gridSpan w:val="8"/>
          </w:tcPr>
          <w:p>
            <w:pPr>
              <w:ind w:left="340"/>
              <w:spacing w:after="0"/>
              <w:rPr>
                <w:sz w:val="20"/>
                <w:szCs w:val="20"/>
                <w:color w:val="auto"/>
              </w:rPr>
            </w:pPr>
            <w:r>
              <w:rPr>
                <w:rFonts w:ascii="Arial" w:cs="Arial" w:eastAsia="Arial" w:hAnsi="Arial"/>
                <w:sz w:val="14"/>
                <w:szCs w:val="14"/>
                <w:b w:val="1"/>
                <w:bCs w:val="1"/>
                <w:color w:val="auto"/>
              </w:rPr>
              <w:t>Liberty Global shareholders</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2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2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6"/>
            <w:vMerge w:val="restart"/>
          </w:tcPr>
          <w:p>
            <w:pPr>
              <w:jc w:val="right"/>
              <w:spacing w:after="0"/>
              <w:rPr>
                <w:sz w:val="20"/>
                <w:szCs w:val="20"/>
                <w:color w:val="auto"/>
              </w:rPr>
            </w:pPr>
            <w:r>
              <w:rPr>
                <w:rFonts w:ascii="Arial" w:cs="Arial" w:eastAsia="Arial" w:hAnsi="Arial"/>
                <w:sz w:val="14"/>
                <w:szCs w:val="14"/>
                <w:b w:val="1"/>
                <w:bCs w:val="1"/>
                <w:color w:val="auto"/>
              </w:rPr>
              <w:t>Ordinary shares</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other</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6"/>
        </w:trPr>
        <w:tc>
          <w:tcPr>
            <w:tcW w:w="2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60" w:type="dxa"/>
            <w:vAlign w:val="bottom"/>
            <w:gridSpan w:val="6"/>
            <w:vMerge w:val="continue"/>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3"/>
              </w:rPr>
              <w:t>Additional</w:t>
            </w: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5"/>
              </w:rPr>
              <w:t>comprehensive</w:t>
            </w:r>
          </w:p>
        </w:tc>
        <w:tc>
          <w:tcPr>
            <w:tcW w:w="7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Treasury</w:t>
            </w:r>
          </w:p>
        </w:tc>
        <w:tc>
          <w:tcPr>
            <w:tcW w:w="10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Total Liberty</w:t>
            </w:r>
          </w:p>
        </w:tc>
        <w:tc>
          <w:tcPr>
            <w:tcW w:w="100" w:type="dxa"/>
            <w:vAlign w:val="bottom"/>
          </w:tcPr>
          <w:p>
            <w:pPr>
              <w:spacing w:after="0"/>
              <w:rPr>
                <w:sz w:val="5"/>
                <w:szCs w:val="5"/>
                <w:color w:val="auto"/>
              </w:rPr>
            </w:pPr>
          </w:p>
        </w:tc>
        <w:tc>
          <w:tcPr>
            <w:tcW w:w="7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7"/>
              </w:rPr>
              <w:t>Non-</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
        </w:trPr>
        <w:tc>
          <w:tcPr>
            <w:tcW w:w="2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gridSpan w:val="3"/>
            <w:vMerge w:val="continue"/>
          </w:tcPr>
          <w:p>
            <w:pPr>
              <w:spacing w:after="0"/>
              <w:rPr>
                <w:sz w:val="2"/>
                <w:szCs w:val="2"/>
                <w:color w:val="auto"/>
              </w:rPr>
            </w:pPr>
          </w:p>
        </w:tc>
        <w:tc>
          <w:tcPr>
            <w:tcW w:w="760" w:type="dxa"/>
            <w:vAlign w:val="bottom"/>
            <w:gridSpan w:val="3"/>
            <w:vMerge w:val="continue"/>
          </w:tcPr>
          <w:p>
            <w:pPr>
              <w:spacing w:after="0"/>
              <w:rPr>
                <w:sz w:val="2"/>
                <w:szCs w:val="2"/>
                <w:color w:val="auto"/>
              </w:rPr>
            </w:pPr>
          </w:p>
        </w:tc>
        <w:tc>
          <w:tcPr>
            <w:tcW w:w="100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2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gridSpan w:val="3"/>
            <w:vMerge w:val="continue"/>
          </w:tcPr>
          <w:p>
            <w:pPr>
              <w:spacing w:after="0"/>
              <w:rPr>
                <w:sz w:val="5"/>
                <w:szCs w:val="5"/>
                <w:color w:val="auto"/>
              </w:rPr>
            </w:pPr>
          </w:p>
        </w:tc>
        <w:tc>
          <w:tcPr>
            <w:tcW w:w="760" w:type="dxa"/>
            <w:vAlign w:val="bottom"/>
            <w:gridSpan w:val="3"/>
            <w:vMerge w:val="continue"/>
          </w:tcPr>
          <w:p>
            <w:pPr>
              <w:spacing w:after="0"/>
              <w:rPr>
                <w:sz w:val="5"/>
                <w:szCs w:val="5"/>
                <w:color w:val="auto"/>
              </w:rPr>
            </w:pPr>
          </w:p>
        </w:tc>
        <w:tc>
          <w:tcPr>
            <w:tcW w:w="100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2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paid-in</w:t>
            </w: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Accumulated</w:t>
            </w:r>
          </w:p>
        </w:tc>
        <w:tc>
          <w:tcPr>
            <w:tcW w:w="120" w:type="dxa"/>
            <w:vAlign w:val="bottom"/>
          </w:tcPr>
          <w:p>
            <w:pPr>
              <w:spacing w:after="0"/>
              <w:rPr>
                <w:sz w:val="15"/>
                <w:szCs w:val="15"/>
                <w:color w:val="auto"/>
              </w:rPr>
            </w:pPr>
          </w:p>
        </w:tc>
        <w:tc>
          <w:tcPr>
            <w:tcW w:w="11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earnings, net of</w:t>
            </w: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5"/>
              </w:rPr>
              <w:t>shares, at</w:t>
            </w:r>
          </w:p>
        </w:tc>
        <w:tc>
          <w:tcPr>
            <w:tcW w:w="180" w:type="dxa"/>
            <w:vAlign w:val="bottom"/>
          </w:tcPr>
          <w:p>
            <w:pPr>
              <w:spacing w:after="0"/>
              <w:rPr>
                <w:sz w:val="15"/>
                <w:szCs w:val="15"/>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Global</w:t>
            </w:r>
          </w:p>
        </w:tc>
        <w:tc>
          <w:tcPr>
            <w:tcW w:w="8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controlling</w:t>
            </w:r>
          </w:p>
        </w:tc>
        <w:tc>
          <w:tcPr>
            <w:tcW w:w="780" w:type="dxa"/>
            <w:vAlign w:val="bottom"/>
          </w:tcPr>
          <w:p>
            <w:pPr>
              <w:jc w:val="right"/>
              <w:ind w:right="167"/>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2"/>
        </w:trPr>
        <w:tc>
          <w:tcPr>
            <w:tcW w:w="270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Arial" w:cs="Arial" w:eastAsia="Arial" w:hAnsi="Arial"/>
                <w:sz w:val="14"/>
                <w:szCs w:val="14"/>
                <w:b w:val="1"/>
                <w:bCs w:val="1"/>
                <w:color w:val="auto"/>
              </w:rPr>
              <w:t>Class A</w:t>
            </w:r>
          </w:p>
        </w:tc>
        <w:tc>
          <w:tcPr>
            <w:tcW w:w="700" w:type="dxa"/>
            <w:vAlign w:val="bottom"/>
            <w:gridSpan w:val="3"/>
          </w:tcPr>
          <w:p>
            <w:pPr>
              <w:ind w:left="60"/>
              <w:spacing w:after="0"/>
              <w:rPr>
                <w:sz w:val="20"/>
                <w:szCs w:val="20"/>
                <w:color w:val="auto"/>
              </w:rPr>
            </w:pPr>
            <w:r>
              <w:rPr>
                <w:rFonts w:ascii="Arial" w:cs="Arial" w:eastAsia="Arial" w:hAnsi="Arial"/>
                <w:sz w:val="14"/>
                <w:szCs w:val="14"/>
                <w:b w:val="1"/>
                <w:bCs w:val="1"/>
                <w:color w:val="auto"/>
              </w:rPr>
              <w:t>Class B</w:t>
            </w:r>
          </w:p>
        </w:tc>
        <w:tc>
          <w:tcPr>
            <w:tcW w:w="700" w:type="dxa"/>
            <w:vAlign w:val="bottom"/>
            <w:gridSpan w:val="3"/>
          </w:tcPr>
          <w:p>
            <w:pPr>
              <w:ind w:left="60"/>
              <w:spacing w:after="0"/>
              <w:rPr>
                <w:sz w:val="20"/>
                <w:szCs w:val="20"/>
                <w:color w:val="auto"/>
              </w:rPr>
            </w:pPr>
            <w:r>
              <w:rPr>
                <w:rFonts w:ascii="Arial" w:cs="Arial" w:eastAsia="Arial" w:hAnsi="Arial"/>
                <w:sz w:val="14"/>
                <w:szCs w:val="14"/>
                <w:b w:val="1"/>
                <w:bCs w:val="1"/>
                <w:color w:val="auto"/>
              </w:rPr>
              <w:t>Class C</w:t>
            </w:r>
          </w:p>
        </w:tc>
        <w:tc>
          <w:tcPr>
            <w:tcW w:w="140" w:type="dxa"/>
            <w:vAlign w:val="bottom"/>
          </w:tcPr>
          <w:p>
            <w:pPr>
              <w:spacing w:after="0"/>
              <w:rPr>
                <w:sz w:val="15"/>
                <w:szCs w:val="15"/>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capital</w:t>
            </w:r>
          </w:p>
        </w:tc>
        <w:tc>
          <w:tcPr>
            <w:tcW w:w="140" w:type="dxa"/>
            <w:vAlign w:val="bottom"/>
          </w:tcPr>
          <w:p>
            <w:pPr>
              <w:spacing w:after="0"/>
              <w:rPr>
                <w:sz w:val="15"/>
                <w:szCs w:val="15"/>
                <w:color w:val="auto"/>
              </w:rPr>
            </w:pPr>
          </w:p>
        </w:tc>
        <w:tc>
          <w:tcPr>
            <w:tcW w:w="780" w:type="dxa"/>
            <w:vAlign w:val="bottom"/>
          </w:tcPr>
          <w:p>
            <w:pPr>
              <w:jc w:val="right"/>
              <w:ind w:right="127"/>
              <w:spacing w:after="0"/>
              <w:rPr>
                <w:sz w:val="20"/>
                <w:szCs w:val="20"/>
                <w:color w:val="auto"/>
              </w:rPr>
            </w:pPr>
            <w:r>
              <w:rPr>
                <w:rFonts w:ascii="Arial" w:cs="Arial" w:eastAsia="Arial" w:hAnsi="Arial"/>
                <w:sz w:val="14"/>
                <w:szCs w:val="14"/>
                <w:b w:val="1"/>
                <w:bCs w:val="1"/>
                <w:color w:val="auto"/>
                <w:w w:val="95"/>
              </w:rPr>
              <w:t>earnings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taxes</w:t>
            </w:r>
          </w:p>
        </w:tc>
        <w:tc>
          <w:tcPr>
            <w:tcW w:w="160" w:type="dxa"/>
            <w:vAlign w:val="bottom"/>
          </w:tcPr>
          <w:p>
            <w:pPr>
              <w:spacing w:after="0"/>
              <w:rPr>
                <w:sz w:val="15"/>
                <w:szCs w:val="15"/>
                <w:color w:val="auto"/>
              </w:rPr>
            </w:pPr>
          </w:p>
        </w:tc>
        <w:tc>
          <w:tcPr>
            <w:tcW w:w="6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cost</w:t>
            </w: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shareholders</w:t>
            </w:r>
          </w:p>
        </w:tc>
        <w:tc>
          <w:tcPr>
            <w:tcW w:w="10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interests</w:t>
            </w:r>
          </w:p>
        </w:tc>
        <w:tc>
          <w:tcPr>
            <w:tcW w:w="780" w:type="dxa"/>
            <w:vAlign w:val="bottom"/>
          </w:tcPr>
          <w:p>
            <w:pPr>
              <w:jc w:val="right"/>
              <w:ind w:right="127"/>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8"/>
        </w:trPr>
        <w:tc>
          <w:tcPr>
            <w:tcW w:w="2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4"/>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2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20" w:type="dxa"/>
            <w:vAlign w:val="bottom"/>
            <w:gridSpan w:val="4"/>
          </w:tcPr>
          <w:p>
            <w:pPr>
              <w:ind w:left="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700" w:type="dxa"/>
            <w:vAlign w:val="bottom"/>
            <w:shd w:val="clear" w:color="auto" w:fill="CCEEFF"/>
          </w:tcPr>
          <w:p>
            <w:pPr>
              <w:ind w:left="20"/>
              <w:spacing w:after="0"/>
              <w:rPr>
                <w:sz w:val="20"/>
                <w:szCs w:val="20"/>
                <w:color w:val="auto"/>
              </w:rPr>
            </w:pPr>
            <w:r>
              <w:rPr>
                <w:rFonts w:ascii="Arial" w:cs="Arial" w:eastAsia="Arial" w:hAnsi="Arial"/>
                <w:sz w:val="15"/>
                <w:szCs w:val="15"/>
                <w:color w:val="auto"/>
                <w:w w:val="91"/>
              </w:rPr>
              <w:t>Balance at January 1, 2020, before effect of</w:t>
            </w: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accounting change</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5"/>
                <w:szCs w:val="15"/>
                <w:color w:val="auto"/>
                <w:w w:val="95"/>
              </w:rPr>
              <w:t>$</w:t>
            </w:r>
          </w:p>
        </w:tc>
        <w:tc>
          <w:tcPr>
            <w:tcW w:w="3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1.8</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5"/>
                <w:szCs w:val="15"/>
                <w:color w:val="auto"/>
                <w:w w:val="95"/>
              </w:rPr>
              <w:t>$</w:t>
            </w:r>
          </w:p>
        </w:tc>
        <w:tc>
          <w:tcPr>
            <w:tcW w:w="3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0.1</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4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4.4</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6,136.9</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6,350.4</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1,112.7</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w w:val="99"/>
              </w:rPr>
              <w:t>13,606.2</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(407.6)</w:t>
            </w: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w w:val="93"/>
              </w:rPr>
              <w:t>$ 13,198.6</w:t>
            </w:r>
          </w:p>
        </w:tc>
        <w:tc>
          <w:tcPr>
            <w:tcW w:w="0" w:type="dxa"/>
            <w:vAlign w:val="bottom"/>
          </w:tcPr>
          <w:p>
            <w:pPr>
              <w:spacing w:after="0"/>
              <w:rPr>
                <w:sz w:val="1"/>
                <w:szCs w:val="1"/>
                <w:color w:val="auto"/>
              </w:rPr>
            </w:pPr>
          </w:p>
        </w:tc>
      </w:tr>
      <w:tr>
        <w:trPr>
          <w:trHeight w:val="207"/>
        </w:trPr>
        <w:tc>
          <w:tcPr>
            <w:tcW w:w="2700" w:type="dxa"/>
            <w:vAlign w:val="bottom"/>
          </w:tcPr>
          <w:p>
            <w:pPr>
              <w:ind w:left="140"/>
              <w:spacing w:after="0"/>
              <w:rPr>
                <w:sz w:val="20"/>
                <w:szCs w:val="20"/>
                <w:color w:val="auto"/>
              </w:rPr>
            </w:pPr>
            <w:r>
              <w:rPr>
                <w:rFonts w:ascii="Arial" w:cs="Arial" w:eastAsia="Arial" w:hAnsi="Arial"/>
                <w:sz w:val="15"/>
                <w:szCs w:val="15"/>
                <w:color w:val="auto"/>
              </w:rPr>
              <w:t>Impact of ASU No. 2016-13 (note 2)</w:t>
            </w:r>
          </w:p>
        </w:tc>
        <w:tc>
          <w:tcPr>
            <w:tcW w:w="200" w:type="dxa"/>
            <w:vAlign w:val="bottom"/>
          </w:tcPr>
          <w:p>
            <w:pPr>
              <w:spacing w:after="0"/>
              <w:rPr>
                <w:sz w:val="17"/>
                <w:szCs w:val="17"/>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17"/>
                <w:szCs w:val="17"/>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5"/>
                <w:szCs w:val="15"/>
                <w:b w:val="1"/>
                <w:bCs w:val="1"/>
                <w:color w:val="auto"/>
              </w:rPr>
              <w:t>—</w:t>
            </w:r>
          </w:p>
        </w:tc>
        <w:tc>
          <w:tcPr>
            <w:tcW w:w="160" w:type="dxa"/>
            <w:vAlign w:val="bottom"/>
          </w:tcPr>
          <w:p>
            <w:pPr>
              <w:spacing w:after="0"/>
              <w:rPr>
                <w:sz w:val="17"/>
                <w:szCs w:val="17"/>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780" w:type="dxa"/>
            <w:vAlign w:val="bottom"/>
          </w:tcPr>
          <w:p>
            <w:pPr>
              <w:jc w:val="right"/>
              <w:ind w:right="7"/>
              <w:spacing w:after="0"/>
              <w:rPr>
                <w:sz w:val="20"/>
                <w:szCs w:val="20"/>
                <w:color w:val="auto"/>
              </w:rPr>
            </w:pPr>
            <w:r>
              <w:rPr>
                <w:rFonts w:ascii="Arial" w:cs="Arial" w:eastAsia="Arial" w:hAnsi="Arial"/>
                <w:sz w:val="15"/>
                <w:szCs w:val="15"/>
                <w:color w:val="auto"/>
              </w:rPr>
              <w:t>(30.3)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(30.3)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27"/>
              <w:spacing w:after="0"/>
              <w:rPr>
                <w:sz w:val="20"/>
                <w:szCs w:val="20"/>
                <w:color w:val="auto"/>
              </w:rPr>
            </w:pPr>
            <w:r>
              <w:rPr>
                <w:rFonts w:ascii="Arial" w:cs="Arial" w:eastAsia="Arial" w:hAnsi="Arial"/>
                <w:sz w:val="15"/>
                <w:szCs w:val="15"/>
                <w:color w:val="auto"/>
              </w:rPr>
              <w:t>0.2</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(30.1)</w:t>
            </w:r>
          </w:p>
        </w:tc>
        <w:tc>
          <w:tcPr>
            <w:tcW w:w="0" w:type="dxa"/>
            <w:vAlign w:val="bottom"/>
          </w:tcPr>
          <w:p>
            <w:pPr>
              <w:spacing w:after="0"/>
              <w:rPr>
                <w:sz w:val="1"/>
                <w:szCs w:val="1"/>
                <w:color w:val="auto"/>
              </w:rPr>
            </w:pPr>
          </w:p>
        </w:tc>
      </w:tr>
      <w:tr>
        <w:trPr>
          <w:trHeight w:val="26"/>
        </w:trPr>
        <w:tc>
          <w:tcPr>
            <w:tcW w:w="2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700" w:type="dxa"/>
            <w:vAlign w:val="bottom"/>
            <w:shd w:val="clear" w:color="auto" w:fill="CCEEFF"/>
          </w:tcPr>
          <w:p>
            <w:pPr>
              <w:ind w:left="20"/>
              <w:spacing w:after="0" w:line="163" w:lineRule="exact"/>
              <w:rPr>
                <w:sz w:val="20"/>
                <w:szCs w:val="20"/>
                <w:color w:val="auto"/>
              </w:rPr>
            </w:pPr>
            <w:r>
              <w:rPr>
                <w:rFonts w:ascii="Arial" w:cs="Arial" w:eastAsia="Arial" w:hAnsi="Arial"/>
                <w:sz w:val="15"/>
                <w:szCs w:val="15"/>
                <w:color w:val="auto"/>
                <w:w w:val="91"/>
              </w:rPr>
              <w:t>Balance at January 1, 2020, as adjusted for</w:t>
            </w:r>
          </w:p>
        </w:tc>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accounting change</w:t>
            </w:r>
          </w:p>
        </w:tc>
        <w:tc>
          <w:tcPr>
            <w:tcW w:w="2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1.8</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0.1</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4.4</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6,136.9</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6,320.1</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1,112.7</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w w:val="99"/>
              </w:rPr>
              <w:t>13,575.9</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(407.4)</w:t>
            </w: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13,168.5</w:t>
            </w:r>
          </w:p>
        </w:tc>
        <w:tc>
          <w:tcPr>
            <w:tcW w:w="0" w:type="dxa"/>
            <w:vAlign w:val="bottom"/>
          </w:tcPr>
          <w:p>
            <w:pPr>
              <w:spacing w:after="0"/>
              <w:rPr>
                <w:sz w:val="1"/>
                <w:szCs w:val="1"/>
                <w:color w:val="auto"/>
              </w:rPr>
            </w:pPr>
          </w:p>
        </w:tc>
      </w:tr>
      <w:tr>
        <w:trPr>
          <w:trHeight w:val="207"/>
        </w:trPr>
        <w:tc>
          <w:tcPr>
            <w:tcW w:w="2700" w:type="dxa"/>
            <w:vAlign w:val="bottom"/>
          </w:tcPr>
          <w:p>
            <w:pPr>
              <w:ind w:left="140"/>
              <w:spacing w:after="0"/>
              <w:rPr>
                <w:sz w:val="20"/>
                <w:szCs w:val="20"/>
                <w:color w:val="auto"/>
              </w:rPr>
            </w:pPr>
            <w:r>
              <w:rPr>
                <w:rFonts w:ascii="Arial" w:cs="Arial" w:eastAsia="Arial" w:hAnsi="Arial"/>
                <w:sz w:val="15"/>
                <w:szCs w:val="15"/>
                <w:color w:val="auto"/>
              </w:rPr>
              <w:t>Net earnings</w:t>
            </w:r>
          </w:p>
        </w:tc>
        <w:tc>
          <w:tcPr>
            <w:tcW w:w="200" w:type="dxa"/>
            <w:vAlign w:val="bottom"/>
          </w:tcPr>
          <w:p>
            <w:pPr>
              <w:spacing w:after="0"/>
              <w:rPr>
                <w:sz w:val="17"/>
                <w:szCs w:val="17"/>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780" w:type="dxa"/>
            <w:vAlign w:val="bottom"/>
          </w:tcPr>
          <w:p>
            <w:pPr>
              <w:jc w:val="right"/>
              <w:ind w:right="47"/>
              <w:spacing w:after="0"/>
              <w:rPr>
                <w:sz w:val="20"/>
                <w:szCs w:val="20"/>
                <w:color w:val="auto"/>
              </w:rPr>
            </w:pPr>
            <w:r>
              <w:rPr>
                <w:rFonts w:ascii="Arial" w:cs="Arial" w:eastAsia="Arial" w:hAnsi="Arial"/>
                <w:sz w:val="15"/>
                <w:szCs w:val="15"/>
                <w:color w:val="auto"/>
              </w:rPr>
              <w:t>949.8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700" w:type="dxa"/>
            <w:vAlign w:val="bottom"/>
          </w:tcPr>
          <w:p>
            <w:pPr>
              <w:jc w:val="right"/>
              <w:ind w:right="27"/>
              <w:spacing w:after="0"/>
              <w:rPr>
                <w:sz w:val="20"/>
                <w:szCs w:val="20"/>
                <w:color w:val="auto"/>
              </w:rPr>
            </w:pPr>
            <w:r>
              <w:rPr>
                <w:rFonts w:ascii="Arial" w:cs="Arial" w:eastAsia="Arial" w:hAnsi="Arial"/>
                <w:sz w:val="15"/>
                <w:szCs w:val="15"/>
                <w:color w:val="auto"/>
              </w:rPr>
              <w:t>949.8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27"/>
              <w:spacing w:after="0"/>
              <w:rPr>
                <w:sz w:val="20"/>
                <w:szCs w:val="20"/>
                <w:color w:val="auto"/>
              </w:rPr>
            </w:pPr>
            <w:r>
              <w:rPr>
                <w:rFonts w:ascii="Arial" w:cs="Arial" w:eastAsia="Arial" w:hAnsi="Arial"/>
                <w:sz w:val="15"/>
                <w:szCs w:val="15"/>
                <w:color w:val="auto"/>
              </w:rPr>
              <w:t>67.9</w:t>
            </w:r>
          </w:p>
        </w:tc>
        <w:tc>
          <w:tcPr>
            <w:tcW w:w="100" w:type="dxa"/>
            <w:vAlign w:val="bottom"/>
          </w:tcPr>
          <w:p>
            <w:pPr>
              <w:spacing w:after="0"/>
              <w:rPr>
                <w:sz w:val="17"/>
                <w:szCs w:val="17"/>
                <w:color w:val="auto"/>
              </w:rPr>
            </w:pPr>
          </w:p>
        </w:tc>
        <w:tc>
          <w:tcPr>
            <w:tcW w:w="780" w:type="dxa"/>
            <w:vAlign w:val="bottom"/>
          </w:tcPr>
          <w:p>
            <w:pPr>
              <w:jc w:val="right"/>
              <w:ind w:right="27"/>
              <w:spacing w:after="0"/>
              <w:rPr>
                <w:sz w:val="20"/>
                <w:szCs w:val="20"/>
                <w:color w:val="auto"/>
              </w:rPr>
            </w:pPr>
            <w:r>
              <w:rPr>
                <w:rFonts w:ascii="Arial" w:cs="Arial" w:eastAsia="Arial" w:hAnsi="Arial"/>
                <w:sz w:val="15"/>
                <w:szCs w:val="15"/>
                <w:color w:val="auto"/>
              </w:rPr>
              <w:t>1,017.7</w:t>
            </w:r>
          </w:p>
        </w:tc>
        <w:tc>
          <w:tcPr>
            <w:tcW w:w="0" w:type="dxa"/>
            <w:vAlign w:val="bottom"/>
          </w:tcPr>
          <w:p>
            <w:pPr>
              <w:spacing w:after="0"/>
              <w:rPr>
                <w:sz w:val="1"/>
                <w:szCs w:val="1"/>
                <w:color w:val="auto"/>
              </w:rPr>
            </w:pPr>
          </w:p>
        </w:tc>
      </w:tr>
      <w:tr>
        <w:trPr>
          <w:trHeight w:val="26"/>
        </w:trPr>
        <w:tc>
          <w:tcPr>
            <w:tcW w:w="2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w w:val="97"/>
              </w:rPr>
              <w:t>Other comprehensive loss, net of taxes</w:t>
            </w:r>
          </w:p>
        </w:tc>
        <w:tc>
          <w:tcPr>
            <w:tcW w:w="2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(1,072.5)</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(1,072.5)</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(0.7)</w:t>
            </w: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(1,073.2)</w:t>
            </w:r>
          </w:p>
        </w:tc>
        <w:tc>
          <w:tcPr>
            <w:tcW w:w="0" w:type="dxa"/>
            <w:vAlign w:val="bottom"/>
          </w:tcPr>
          <w:p>
            <w:pPr>
              <w:spacing w:after="0"/>
              <w:rPr>
                <w:sz w:val="1"/>
                <w:szCs w:val="1"/>
                <w:color w:val="auto"/>
              </w:rPr>
            </w:pPr>
          </w:p>
        </w:tc>
      </w:tr>
      <w:tr>
        <w:trPr>
          <w:trHeight w:val="183"/>
        </w:trPr>
        <w:tc>
          <w:tcPr>
            <w:tcW w:w="2700" w:type="dxa"/>
            <w:vAlign w:val="bottom"/>
          </w:tcPr>
          <w:p>
            <w:pPr>
              <w:ind w:left="140"/>
              <w:spacing w:after="0"/>
              <w:rPr>
                <w:sz w:val="20"/>
                <w:szCs w:val="20"/>
                <w:color w:val="auto"/>
              </w:rPr>
            </w:pPr>
            <w:r>
              <w:rPr>
                <w:rFonts w:ascii="Arial" w:cs="Arial" w:eastAsia="Arial" w:hAnsi="Arial"/>
                <w:sz w:val="15"/>
                <w:szCs w:val="15"/>
                <w:color w:val="auto"/>
                <w:w w:val="92"/>
              </w:rPr>
              <w:t>Repurchases and cancellations of Liberty</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700" w:type="dxa"/>
            <w:vAlign w:val="bottom"/>
          </w:tcPr>
          <w:p>
            <w:pPr>
              <w:ind w:left="280"/>
              <w:spacing w:after="0"/>
              <w:rPr>
                <w:sz w:val="20"/>
                <w:szCs w:val="20"/>
                <w:color w:val="auto"/>
              </w:rPr>
            </w:pPr>
            <w:r>
              <w:rPr>
                <w:rFonts w:ascii="Arial" w:cs="Arial" w:eastAsia="Arial" w:hAnsi="Arial"/>
                <w:sz w:val="15"/>
                <w:szCs w:val="15"/>
                <w:color w:val="auto"/>
              </w:rPr>
              <w:t>Global ordinary shares (note 12)</w:t>
            </w:r>
          </w:p>
        </w:tc>
        <w:tc>
          <w:tcPr>
            <w:tcW w:w="200" w:type="dxa"/>
            <w:vAlign w:val="bottom"/>
          </w:tcPr>
          <w:p>
            <w:pPr>
              <w:spacing w:after="0"/>
              <w:rPr>
                <w:sz w:val="16"/>
                <w:szCs w:val="16"/>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(0.1)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(224.3)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(224.4)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(224.4)</w:t>
            </w:r>
          </w:p>
        </w:tc>
        <w:tc>
          <w:tcPr>
            <w:tcW w:w="0" w:type="dxa"/>
            <w:vAlign w:val="bottom"/>
          </w:tcPr>
          <w:p>
            <w:pPr>
              <w:spacing w:after="0"/>
              <w:rPr>
                <w:sz w:val="1"/>
                <w:szCs w:val="1"/>
                <w:color w:val="auto"/>
              </w:rPr>
            </w:pPr>
          </w:p>
        </w:tc>
      </w:tr>
      <w:tr>
        <w:trPr>
          <w:trHeight w:val="26"/>
        </w:trPr>
        <w:tc>
          <w:tcPr>
            <w:tcW w:w="2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Share-based compensation (note 13)</w:t>
            </w:r>
          </w:p>
        </w:tc>
        <w:tc>
          <w:tcPr>
            <w:tcW w:w="2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46.1</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46.1</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46.1</w:t>
            </w:r>
          </w:p>
        </w:tc>
        <w:tc>
          <w:tcPr>
            <w:tcW w:w="0" w:type="dxa"/>
            <w:vAlign w:val="bottom"/>
          </w:tcPr>
          <w:p>
            <w:pPr>
              <w:spacing w:after="0"/>
              <w:rPr>
                <w:sz w:val="1"/>
                <w:szCs w:val="1"/>
                <w:color w:val="auto"/>
              </w:rPr>
            </w:pPr>
          </w:p>
        </w:tc>
      </w:tr>
      <w:tr>
        <w:trPr>
          <w:trHeight w:val="183"/>
        </w:trPr>
        <w:tc>
          <w:tcPr>
            <w:tcW w:w="2700" w:type="dxa"/>
            <w:vAlign w:val="bottom"/>
          </w:tcPr>
          <w:p>
            <w:pPr>
              <w:ind w:left="140"/>
              <w:spacing w:after="0"/>
              <w:rPr>
                <w:sz w:val="20"/>
                <w:szCs w:val="20"/>
                <w:color w:val="auto"/>
              </w:rPr>
            </w:pPr>
            <w:r>
              <w:rPr>
                <w:rFonts w:ascii="Arial" w:cs="Arial" w:eastAsia="Arial" w:hAnsi="Arial"/>
                <w:sz w:val="15"/>
                <w:szCs w:val="15"/>
                <w:color w:val="auto"/>
                <w:w w:val="90"/>
              </w:rPr>
              <w:t>Repurchases by Telenet of its outstanding</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700" w:type="dxa"/>
            <w:vAlign w:val="bottom"/>
          </w:tcPr>
          <w:p>
            <w:pPr>
              <w:ind w:left="280"/>
              <w:spacing w:after="0"/>
              <w:rPr>
                <w:sz w:val="20"/>
                <w:szCs w:val="20"/>
                <w:color w:val="auto"/>
              </w:rPr>
            </w:pPr>
            <w:r>
              <w:rPr>
                <w:rFonts w:ascii="Arial" w:cs="Arial" w:eastAsia="Arial" w:hAnsi="Arial"/>
                <w:sz w:val="15"/>
                <w:szCs w:val="15"/>
                <w:color w:val="auto"/>
              </w:rPr>
              <w:t>shares</w:t>
            </w:r>
          </w:p>
        </w:tc>
        <w:tc>
          <w:tcPr>
            <w:tcW w:w="200" w:type="dxa"/>
            <w:vAlign w:val="bottom"/>
          </w:tcPr>
          <w:p>
            <w:pPr>
              <w:spacing w:after="0"/>
              <w:rPr>
                <w:sz w:val="16"/>
                <w:szCs w:val="16"/>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(45.3)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(45.3)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ind w:right="27"/>
              <w:spacing w:after="0"/>
              <w:rPr>
                <w:sz w:val="20"/>
                <w:szCs w:val="20"/>
                <w:color w:val="auto"/>
              </w:rPr>
            </w:pPr>
            <w:r>
              <w:rPr>
                <w:rFonts w:ascii="Arial" w:cs="Arial" w:eastAsia="Arial" w:hAnsi="Arial"/>
                <w:sz w:val="15"/>
                <w:szCs w:val="15"/>
                <w:color w:val="auto"/>
              </w:rPr>
              <w:t>7.2</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(38.1)</w:t>
            </w:r>
          </w:p>
        </w:tc>
        <w:tc>
          <w:tcPr>
            <w:tcW w:w="0" w:type="dxa"/>
            <w:vAlign w:val="bottom"/>
          </w:tcPr>
          <w:p>
            <w:pPr>
              <w:spacing w:after="0"/>
              <w:rPr>
                <w:sz w:val="1"/>
                <w:szCs w:val="1"/>
                <w:color w:val="auto"/>
              </w:rPr>
            </w:pPr>
          </w:p>
        </w:tc>
      </w:tr>
      <w:tr>
        <w:trPr>
          <w:trHeight w:val="26"/>
        </w:trPr>
        <w:tc>
          <w:tcPr>
            <w:tcW w:w="2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7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Adjustments due to changes in</w:t>
            </w: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subsidiaries’ equity and other, net</w:t>
            </w:r>
          </w:p>
        </w:tc>
        <w:tc>
          <w:tcPr>
            <w:tcW w:w="2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14.5</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14.5</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1.1</w:t>
            </w: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15.6</w:t>
            </w:r>
          </w:p>
        </w:tc>
        <w:tc>
          <w:tcPr>
            <w:tcW w:w="0" w:type="dxa"/>
            <w:vAlign w:val="bottom"/>
          </w:tcPr>
          <w:p>
            <w:pPr>
              <w:spacing w:after="0"/>
              <w:rPr>
                <w:sz w:val="1"/>
                <w:szCs w:val="1"/>
                <w:color w:val="auto"/>
              </w:rPr>
            </w:pPr>
          </w:p>
        </w:tc>
      </w:tr>
      <w:tr>
        <w:trPr>
          <w:trHeight w:val="187"/>
        </w:trPr>
        <w:tc>
          <w:tcPr>
            <w:tcW w:w="2700" w:type="dxa"/>
            <w:vAlign w:val="bottom"/>
          </w:tcPr>
          <w:p>
            <w:pPr>
              <w:ind w:left="20"/>
              <w:spacing w:after="0"/>
              <w:rPr>
                <w:sz w:val="20"/>
                <w:szCs w:val="20"/>
                <w:color w:val="auto"/>
              </w:rPr>
            </w:pPr>
            <w:r>
              <w:rPr>
                <w:rFonts w:ascii="Arial" w:cs="Arial" w:eastAsia="Arial" w:hAnsi="Arial"/>
                <w:sz w:val="15"/>
                <w:szCs w:val="15"/>
                <w:color w:val="auto"/>
              </w:rPr>
              <w:t>Balance at March 31, 2020</w:t>
            </w:r>
          </w:p>
        </w:tc>
        <w:tc>
          <w:tcPr>
            <w:tcW w:w="20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rPr>
              <w:t>1.8</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jc w:val="right"/>
              <w:ind w:right="46"/>
              <w:spacing w:after="0"/>
              <w:rPr>
                <w:sz w:val="20"/>
                <w:szCs w:val="20"/>
                <w:color w:val="auto"/>
              </w:rPr>
            </w:pPr>
            <w:r>
              <w:rPr>
                <w:rFonts w:ascii="Arial" w:cs="Arial" w:eastAsia="Arial" w:hAnsi="Arial"/>
                <w:sz w:val="15"/>
                <w:szCs w:val="15"/>
                <w:color w:val="auto"/>
              </w:rPr>
              <w:t>0.1</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jc w:val="right"/>
              <w:ind w:right="46"/>
              <w:spacing w:after="0"/>
              <w:rPr>
                <w:sz w:val="20"/>
                <w:szCs w:val="20"/>
                <w:color w:val="auto"/>
              </w:rPr>
            </w:pPr>
            <w:r>
              <w:rPr>
                <w:rFonts w:ascii="Arial" w:cs="Arial" w:eastAsia="Arial" w:hAnsi="Arial"/>
                <w:sz w:val="15"/>
                <w:szCs w:val="15"/>
                <w:color w:val="auto"/>
              </w:rPr>
              <w:t>4.3</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rPr>
              <w:t>5,927.9</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rPr>
              <w:t>7,269.9</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rPr>
              <w:t>40.2</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(0.1)</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99"/>
              </w:rPr>
              <w:t>13,244.1</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(331.9)</w:t>
            </w:r>
          </w:p>
        </w:tc>
        <w:tc>
          <w:tcPr>
            <w:tcW w:w="100" w:type="dxa"/>
            <w:vAlign w:val="bottom"/>
          </w:tcPr>
          <w:p>
            <w:pPr>
              <w:spacing w:after="0"/>
              <w:rPr>
                <w:sz w:val="16"/>
                <w:szCs w:val="16"/>
                <w:color w:val="auto"/>
              </w:rPr>
            </w:pPr>
          </w:p>
        </w:tc>
        <w:tc>
          <w:tcPr>
            <w:tcW w:w="7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rPr>
              <w:t>12,912.2</w:t>
            </w:r>
          </w:p>
        </w:tc>
        <w:tc>
          <w:tcPr>
            <w:tcW w:w="0" w:type="dxa"/>
            <w:vAlign w:val="bottom"/>
          </w:tcPr>
          <w:p>
            <w:pPr>
              <w:spacing w:after="0"/>
              <w:rPr>
                <w:sz w:val="1"/>
                <w:szCs w:val="1"/>
                <w:color w:val="auto"/>
              </w:rPr>
            </w:pPr>
          </w:p>
        </w:tc>
      </w:tr>
      <w:tr>
        <w:trPr>
          <w:trHeight w:val="26"/>
        </w:trPr>
        <w:tc>
          <w:tcPr>
            <w:tcW w:w="2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Net loss</w:t>
            </w:r>
          </w:p>
        </w:tc>
        <w:tc>
          <w:tcPr>
            <w:tcW w:w="2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(524.2)</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(524.2)</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20.4</w:t>
            </w: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(503.8)</w:t>
            </w:r>
          </w:p>
        </w:tc>
        <w:tc>
          <w:tcPr>
            <w:tcW w:w="0" w:type="dxa"/>
            <w:vAlign w:val="bottom"/>
          </w:tcPr>
          <w:p>
            <w:pPr>
              <w:spacing w:after="0"/>
              <w:rPr>
                <w:sz w:val="1"/>
                <w:szCs w:val="1"/>
                <w:color w:val="auto"/>
              </w:rPr>
            </w:pPr>
          </w:p>
        </w:tc>
      </w:tr>
      <w:tr>
        <w:trPr>
          <w:trHeight w:val="183"/>
        </w:trPr>
        <w:tc>
          <w:tcPr>
            <w:tcW w:w="2700" w:type="dxa"/>
            <w:vAlign w:val="bottom"/>
          </w:tcPr>
          <w:p>
            <w:pPr>
              <w:ind w:left="140"/>
              <w:spacing w:after="0"/>
              <w:rPr>
                <w:sz w:val="20"/>
                <w:szCs w:val="20"/>
                <w:color w:val="auto"/>
              </w:rPr>
            </w:pPr>
            <w:r>
              <w:rPr>
                <w:rFonts w:ascii="Arial" w:cs="Arial" w:eastAsia="Arial" w:hAnsi="Arial"/>
                <w:sz w:val="15"/>
                <w:szCs w:val="15"/>
                <w:color w:val="auto"/>
              </w:rPr>
              <w:t>Other comprehensive earnings, net of</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700" w:type="dxa"/>
            <w:vAlign w:val="bottom"/>
          </w:tcPr>
          <w:p>
            <w:pPr>
              <w:ind w:left="280"/>
              <w:spacing w:after="0"/>
              <w:rPr>
                <w:sz w:val="20"/>
                <w:szCs w:val="20"/>
                <w:color w:val="auto"/>
              </w:rPr>
            </w:pPr>
            <w:r>
              <w:rPr>
                <w:rFonts w:ascii="Arial" w:cs="Arial" w:eastAsia="Arial" w:hAnsi="Arial"/>
                <w:sz w:val="15"/>
                <w:szCs w:val="15"/>
                <w:color w:val="auto"/>
              </w:rPr>
              <w:t>taxes</w:t>
            </w:r>
          </w:p>
        </w:tc>
        <w:tc>
          <w:tcPr>
            <w:tcW w:w="200" w:type="dxa"/>
            <w:vAlign w:val="bottom"/>
          </w:tcPr>
          <w:p>
            <w:pPr>
              <w:spacing w:after="0"/>
              <w:rPr>
                <w:sz w:val="16"/>
                <w:szCs w:val="16"/>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78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27"/>
              <w:spacing w:after="0"/>
              <w:rPr>
                <w:sz w:val="20"/>
                <w:szCs w:val="20"/>
                <w:color w:val="auto"/>
              </w:rPr>
            </w:pPr>
            <w:r>
              <w:rPr>
                <w:rFonts w:ascii="Arial" w:cs="Arial" w:eastAsia="Arial" w:hAnsi="Arial"/>
                <w:sz w:val="15"/>
                <w:szCs w:val="15"/>
                <w:color w:val="auto"/>
              </w:rPr>
              <w:t>636.6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700" w:type="dxa"/>
            <w:vAlign w:val="bottom"/>
          </w:tcPr>
          <w:p>
            <w:pPr>
              <w:jc w:val="right"/>
              <w:ind w:right="27"/>
              <w:spacing w:after="0"/>
              <w:rPr>
                <w:sz w:val="20"/>
                <w:szCs w:val="20"/>
                <w:color w:val="auto"/>
              </w:rPr>
            </w:pPr>
            <w:r>
              <w:rPr>
                <w:rFonts w:ascii="Arial" w:cs="Arial" w:eastAsia="Arial" w:hAnsi="Arial"/>
                <w:sz w:val="15"/>
                <w:szCs w:val="15"/>
                <w:color w:val="auto"/>
              </w:rPr>
              <w:t>636.6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(6.0)</w:t>
            </w:r>
          </w:p>
        </w:tc>
        <w:tc>
          <w:tcPr>
            <w:tcW w:w="100" w:type="dxa"/>
            <w:vAlign w:val="bottom"/>
          </w:tcPr>
          <w:p>
            <w:pPr>
              <w:spacing w:after="0"/>
              <w:rPr>
                <w:sz w:val="16"/>
                <w:szCs w:val="16"/>
                <w:color w:val="auto"/>
              </w:rPr>
            </w:pPr>
          </w:p>
        </w:tc>
        <w:tc>
          <w:tcPr>
            <w:tcW w:w="780" w:type="dxa"/>
            <w:vAlign w:val="bottom"/>
          </w:tcPr>
          <w:p>
            <w:pPr>
              <w:jc w:val="right"/>
              <w:ind w:right="27"/>
              <w:spacing w:after="0"/>
              <w:rPr>
                <w:sz w:val="20"/>
                <w:szCs w:val="20"/>
                <w:color w:val="auto"/>
              </w:rPr>
            </w:pPr>
            <w:r>
              <w:rPr>
                <w:rFonts w:ascii="Arial" w:cs="Arial" w:eastAsia="Arial" w:hAnsi="Arial"/>
                <w:sz w:val="15"/>
                <w:szCs w:val="15"/>
                <w:color w:val="auto"/>
              </w:rPr>
              <w:t>630.6</w:t>
            </w:r>
          </w:p>
        </w:tc>
        <w:tc>
          <w:tcPr>
            <w:tcW w:w="0" w:type="dxa"/>
            <w:vAlign w:val="bottom"/>
          </w:tcPr>
          <w:p>
            <w:pPr>
              <w:spacing w:after="0"/>
              <w:rPr>
                <w:sz w:val="1"/>
                <w:szCs w:val="1"/>
                <w:color w:val="auto"/>
              </w:rPr>
            </w:pPr>
          </w:p>
        </w:tc>
      </w:tr>
      <w:tr>
        <w:trPr>
          <w:trHeight w:val="26"/>
        </w:trPr>
        <w:tc>
          <w:tcPr>
            <w:tcW w:w="2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70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2"/>
              </w:rPr>
              <w:t>Repurchases and cancellations of Liberty</w:t>
            </w: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Global ordinary shares (note 12)</w:t>
            </w:r>
          </w:p>
        </w:tc>
        <w:tc>
          <w:tcPr>
            <w:tcW w:w="2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(0.3)</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(475.5)</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(475.8)</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(475.8)</w:t>
            </w:r>
          </w:p>
        </w:tc>
        <w:tc>
          <w:tcPr>
            <w:tcW w:w="0" w:type="dxa"/>
            <w:vAlign w:val="bottom"/>
          </w:tcPr>
          <w:p>
            <w:pPr>
              <w:spacing w:after="0"/>
              <w:rPr>
                <w:sz w:val="1"/>
                <w:szCs w:val="1"/>
                <w:color w:val="auto"/>
              </w:rPr>
            </w:pPr>
          </w:p>
        </w:tc>
      </w:tr>
      <w:tr>
        <w:trPr>
          <w:trHeight w:val="207"/>
        </w:trPr>
        <w:tc>
          <w:tcPr>
            <w:tcW w:w="2700" w:type="dxa"/>
            <w:vAlign w:val="bottom"/>
          </w:tcPr>
          <w:p>
            <w:pPr>
              <w:ind w:left="140"/>
              <w:spacing w:after="0"/>
              <w:rPr>
                <w:sz w:val="20"/>
                <w:szCs w:val="20"/>
                <w:color w:val="auto"/>
              </w:rPr>
            </w:pPr>
            <w:r>
              <w:rPr>
                <w:rFonts w:ascii="Arial" w:cs="Arial" w:eastAsia="Arial" w:hAnsi="Arial"/>
                <w:sz w:val="15"/>
                <w:szCs w:val="15"/>
                <w:color w:val="auto"/>
              </w:rPr>
              <w:t>Share-based compensation (note 13)</w:t>
            </w:r>
          </w:p>
        </w:tc>
        <w:tc>
          <w:tcPr>
            <w:tcW w:w="200" w:type="dxa"/>
            <w:vAlign w:val="bottom"/>
          </w:tcPr>
          <w:p>
            <w:pPr>
              <w:spacing w:after="0"/>
              <w:rPr>
                <w:sz w:val="17"/>
                <w:szCs w:val="17"/>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660" w:type="dxa"/>
            <w:vAlign w:val="bottom"/>
          </w:tcPr>
          <w:p>
            <w:pPr>
              <w:jc w:val="right"/>
              <w:ind w:right="47"/>
              <w:spacing w:after="0"/>
              <w:rPr>
                <w:sz w:val="20"/>
                <w:szCs w:val="20"/>
                <w:color w:val="auto"/>
              </w:rPr>
            </w:pPr>
            <w:r>
              <w:rPr>
                <w:rFonts w:ascii="Arial" w:cs="Arial" w:eastAsia="Arial" w:hAnsi="Arial"/>
                <w:sz w:val="15"/>
                <w:szCs w:val="15"/>
                <w:color w:val="auto"/>
              </w:rPr>
              <w:t>69.5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700" w:type="dxa"/>
            <w:vAlign w:val="bottom"/>
          </w:tcPr>
          <w:p>
            <w:pPr>
              <w:jc w:val="right"/>
              <w:ind w:right="27"/>
              <w:spacing w:after="0"/>
              <w:rPr>
                <w:sz w:val="20"/>
                <w:szCs w:val="20"/>
                <w:color w:val="auto"/>
              </w:rPr>
            </w:pPr>
            <w:r>
              <w:rPr>
                <w:rFonts w:ascii="Arial" w:cs="Arial" w:eastAsia="Arial" w:hAnsi="Arial"/>
                <w:sz w:val="15"/>
                <w:szCs w:val="15"/>
                <w:color w:val="auto"/>
              </w:rPr>
              <w:t>69.5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27"/>
              <w:spacing w:after="0"/>
              <w:rPr>
                <w:sz w:val="20"/>
                <w:szCs w:val="20"/>
                <w:color w:val="auto"/>
              </w:rPr>
            </w:pPr>
            <w:r>
              <w:rPr>
                <w:rFonts w:ascii="Arial" w:cs="Arial" w:eastAsia="Arial" w:hAnsi="Arial"/>
                <w:sz w:val="15"/>
                <w:szCs w:val="15"/>
                <w:color w:val="auto"/>
              </w:rPr>
              <w:t>69.5</w:t>
            </w:r>
          </w:p>
        </w:tc>
        <w:tc>
          <w:tcPr>
            <w:tcW w:w="0" w:type="dxa"/>
            <w:vAlign w:val="bottom"/>
          </w:tcPr>
          <w:p>
            <w:pPr>
              <w:spacing w:after="0"/>
              <w:rPr>
                <w:sz w:val="1"/>
                <w:szCs w:val="1"/>
                <w:color w:val="auto"/>
              </w:rPr>
            </w:pPr>
          </w:p>
        </w:tc>
      </w:tr>
      <w:tr>
        <w:trPr>
          <w:trHeight w:val="26"/>
        </w:trPr>
        <w:tc>
          <w:tcPr>
            <w:tcW w:w="2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7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Adjustments due to changes in</w:t>
            </w: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subsidiaries’ equity and other, net</w:t>
            </w:r>
          </w:p>
        </w:tc>
        <w:tc>
          <w:tcPr>
            <w:tcW w:w="2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(16.2)</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(16.2)</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(66.0)</w:t>
            </w: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(82.2)</w:t>
            </w:r>
          </w:p>
        </w:tc>
        <w:tc>
          <w:tcPr>
            <w:tcW w:w="0" w:type="dxa"/>
            <w:vAlign w:val="bottom"/>
          </w:tcPr>
          <w:p>
            <w:pPr>
              <w:spacing w:after="0"/>
              <w:rPr>
                <w:sz w:val="1"/>
                <w:szCs w:val="1"/>
                <w:color w:val="auto"/>
              </w:rPr>
            </w:pPr>
          </w:p>
        </w:tc>
      </w:tr>
      <w:tr>
        <w:trPr>
          <w:trHeight w:val="187"/>
        </w:trPr>
        <w:tc>
          <w:tcPr>
            <w:tcW w:w="2700" w:type="dxa"/>
            <w:vAlign w:val="bottom"/>
          </w:tcPr>
          <w:p>
            <w:pPr>
              <w:ind w:left="20"/>
              <w:spacing w:after="0"/>
              <w:rPr>
                <w:sz w:val="20"/>
                <w:szCs w:val="20"/>
                <w:color w:val="auto"/>
              </w:rPr>
            </w:pPr>
            <w:r>
              <w:rPr>
                <w:rFonts w:ascii="Arial" w:cs="Arial" w:eastAsia="Arial" w:hAnsi="Arial"/>
                <w:sz w:val="15"/>
                <w:szCs w:val="15"/>
                <w:color w:val="auto"/>
              </w:rPr>
              <w:t>Balance at June 30, 2020</w:t>
            </w: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5"/>
                <w:szCs w:val="15"/>
                <w:color w:val="auto"/>
                <w:w w:val="95"/>
              </w:rPr>
              <w:t>$</w:t>
            </w:r>
          </w:p>
        </w:tc>
        <w:tc>
          <w:tcPr>
            <w:tcW w:w="38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rPr>
              <w:t>1.8</w:t>
            </w:r>
          </w:p>
        </w:tc>
        <w:tc>
          <w:tcPr>
            <w:tcW w:w="120" w:type="dxa"/>
            <w:vAlign w:val="bottom"/>
          </w:tcPr>
          <w:p>
            <w:pPr>
              <w:spacing w:after="0"/>
              <w:rPr>
                <w:sz w:val="16"/>
                <w:szCs w:val="16"/>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5"/>
                <w:szCs w:val="15"/>
                <w:color w:val="auto"/>
                <w:w w:val="95"/>
              </w:rPr>
              <w:t>$</w:t>
            </w:r>
          </w:p>
        </w:tc>
        <w:tc>
          <w:tcPr>
            <w:tcW w:w="380" w:type="dxa"/>
            <w:vAlign w:val="bottom"/>
            <w:tcBorders>
              <w:top w:val="single" w:sz="8" w:color="auto"/>
            </w:tcBorders>
          </w:tcPr>
          <w:p>
            <w:pPr>
              <w:jc w:val="right"/>
              <w:ind w:right="46"/>
              <w:spacing w:after="0"/>
              <w:rPr>
                <w:sz w:val="20"/>
                <w:szCs w:val="20"/>
                <w:color w:val="auto"/>
              </w:rPr>
            </w:pPr>
            <w:r>
              <w:rPr>
                <w:rFonts w:ascii="Arial" w:cs="Arial" w:eastAsia="Arial" w:hAnsi="Arial"/>
                <w:sz w:val="15"/>
                <w:szCs w:val="15"/>
                <w:color w:val="auto"/>
              </w:rPr>
              <w:t>0.1</w:t>
            </w:r>
          </w:p>
        </w:tc>
        <w:tc>
          <w:tcPr>
            <w:tcW w:w="12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420" w:type="dxa"/>
            <w:vAlign w:val="bottom"/>
            <w:tcBorders>
              <w:top w:val="single" w:sz="8" w:color="auto"/>
            </w:tcBorders>
          </w:tcPr>
          <w:p>
            <w:pPr>
              <w:jc w:val="right"/>
              <w:ind w:right="46"/>
              <w:spacing w:after="0"/>
              <w:rPr>
                <w:sz w:val="20"/>
                <w:szCs w:val="20"/>
                <w:color w:val="auto"/>
              </w:rPr>
            </w:pPr>
            <w:r>
              <w:rPr>
                <w:rFonts w:ascii="Arial" w:cs="Arial" w:eastAsia="Arial" w:hAnsi="Arial"/>
                <w:sz w:val="15"/>
                <w:szCs w:val="15"/>
                <w:color w:val="auto"/>
              </w:rPr>
              <w:t>4.0</w:t>
            </w:r>
          </w:p>
        </w:tc>
        <w:tc>
          <w:tcPr>
            <w:tcW w:w="12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rPr>
              <w:t>5,505.7</w:t>
            </w:r>
          </w:p>
        </w:tc>
        <w:tc>
          <w:tcPr>
            <w:tcW w:w="12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rPr>
              <w:t>6,745.7</w:t>
            </w:r>
          </w:p>
        </w:tc>
        <w:tc>
          <w:tcPr>
            <w:tcW w:w="12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rPr>
              <w:t>676.8</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(0.1)</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5"/>
                <w:szCs w:val="15"/>
                <w:color w:val="auto"/>
                <w:w w:val="95"/>
              </w:rPr>
              <w:t>$</w:t>
            </w:r>
          </w:p>
        </w:tc>
        <w:tc>
          <w:tcPr>
            <w:tcW w:w="70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99"/>
              </w:rPr>
              <w:t>12,934.0</w:t>
            </w:r>
          </w:p>
        </w:tc>
        <w:tc>
          <w:tcPr>
            <w:tcW w:w="12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(383.5)</w:t>
            </w:r>
          </w:p>
        </w:tc>
        <w:tc>
          <w:tcPr>
            <w:tcW w:w="100" w:type="dxa"/>
            <w:vAlign w:val="bottom"/>
          </w:tcPr>
          <w:p>
            <w:pPr>
              <w:spacing w:after="0"/>
              <w:rPr>
                <w:sz w:val="16"/>
                <w:szCs w:val="16"/>
                <w:color w:val="auto"/>
              </w:rPr>
            </w:pPr>
          </w:p>
        </w:tc>
        <w:tc>
          <w:tcPr>
            <w:tcW w:w="7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93"/>
              </w:rPr>
              <w:t>$ 12,550.5</w:t>
            </w:r>
          </w:p>
        </w:tc>
        <w:tc>
          <w:tcPr>
            <w:tcW w:w="0" w:type="dxa"/>
            <w:vAlign w:val="bottom"/>
          </w:tcPr>
          <w:p>
            <w:pPr>
              <w:spacing w:after="0"/>
              <w:rPr>
                <w:sz w:val="1"/>
                <w:szCs w:val="1"/>
                <w:color w:val="auto"/>
              </w:rPr>
            </w:pPr>
          </w:p>
        </w:tc>
      </w:tr>
      <w:tr>
        <w:trPr>
          <w:trHeight w:val="26"/>
        </w:trPr>
        <w:tc>
          <w:tcPr>
            <w:tcW w:w="2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14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60"/>
          </w:cols>
          <w:pgMar w:left="320" w:top="309" w:right="31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6"/>
          <w:szCs w:val="16"/>
          <w:b w:val="1"/>
          <w:bCs w:val="1"/>
          <w:color w:val="auto"/>
        </w:rPr>
        <w:t>LIBERTY GLOBAL PLC</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2"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40" w:type="dxa"/>
            <w:vAlign w:val="bottom"/>
            <w:gridSpan w:val="3"/>
          </w:tcPr>
          <w:p>
            <w:pPr>
              <w:jc w:val="center"/>
              <w:ind w:left="464"/>
              <w:spacing w:after="0"/>
              <w:rPr>
                <w:sz w:val="20"/>
                <w:szCs w:val="20"/>
                <w:color w:val="auto"/>
              </w:rPr>
            </w:pPr>
            <w:r>
              <w:rPr>
                <w:rFonts w:ascii="Arial" w:cs="Arial" w:eastAsia="Arial" w:hAnsi="Arial"/>
                <w:sz w:val="14"/>
                <w:szCs w:val="14"/>
                <w:b w:val="1"/>
                <w:bCs w:val="1"/>
                <w:color w:val="auto"/>
                <w:w w:val="87"/>
              </w:rPr>
              <w:t>Six months ended</w:t>
            </w:r>
          </w:p>
        </w:tc>
        <w:tc>
          <w:tcPr>
            <w:tcW w:w="840" w:type="dxa"/>
            <w:vAlign w:val="bottom"/>
          </w:tcPr>
          <w:p>
            <w:pPr>
              <w:spacing w:after="0"/>
              <w:rPr>
                <w:sz w:val="15"/>
                <w:szCs w:val="15"/>
                <w:color w:val="auto"/>
              </w:rPr>
            </w:pPr>
          </w:p>
        </w:tc>
      </w:tr>
      <w:tr>
        <w:trPr>
          <w:trHeight w:val="221"/>
        </w:trPr>
        <w:tc>
          <w:tcPr>
            <w:tcW w:w="8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gridSpan w:val="3"/>
          </w:tcPr>
          <w:p>
            <w:pPr>
              <w:jc w:val="center"/>
              <w:ind w:left="464"/>
              <w:spacing w:after="0"/>
              <w:rPr>
                <w:sz w:val="20"/>
                <w:szCs w:val="20"/>
                <w:color w:val="auto"/>
              </w:rPr>
            </w:pPr>
            <w:r>
              <w:rPr>
                <w:rFonts w:ascii="Arial" w:cs="Arial" w:eastAsia="Arial" w:hAnsi="Arial"/>
                <w:sz w:val="14"/>
                <w:szCs w:val="14"/>
                <w:b w:val="1"/>
                <w:bCs w:val="1"/>
                <w:color w:val="auto"/>
                <w:w w:val="89"/>
              </w:rPr>
              <w:t>June 30,</w:t>
            </w:r>
          </w:p>
        </w:tc>
        <w:tc>
          <w:tcPr>
            <w:tcW w:w="840" w:type="dxa"/>
            <w:vAlign w:val="bottom"/>
          </w:tcPr>
          <w:p>
            <w:pPr>
              <w:spacing w:after="0"/>
              <w:rPr>
                <w:sz w:val="19"/>
                <w:szCs w:val="19"/>
                <w:color w:val="auto"/>
              </w:rPr>
            </w:pPr>
          </w:p>
        </w:tc>
      </w:tr>
      <w:tr>
        <w:trPr>
          <w:trHeight w:val="28"/>
        </w:trPr>
        <w:tc>
          <w:tcPr>
            <w:tcW w:w="84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7"/>
        </w:trPr>
        <w:tc>
          <w:tcPr>
            <w:tcW w:w="8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46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jc w:val="right"/>
              <w:ind w:right="443"/>
              <w:spacing w:after="0"/>
              <w:rPr>
                <w:sz w:val="20"/>
                <w:szCs w:val="20"/>
                <w:color w:val="auto"/>
              </w:rPr>
            </w:pPr>
            <w:r>
              <w:rPr>
                <w:rFonts w:ascii="Arial" w:cs="Arial" w:eastAsia="Arial" w:hAnsi="Arial"/>
                <w:sz w:val="14"/>
                <w:szCs w:val="14"/>
                <w:b w:val="1"/>
                <w:bCs w:val="1"/>
                <w:color w:val="auto"/>
                <w:w w:val="96"/>
              </w:rPr>
              <w:t>2019</w:t>
            </w:r>
          </w:p>
        </w:tc>
      </w:tr>
      <w:tr>
        <w:trPr>
          <w:trHeight w:val="28"/>
        </w:trPr>
        <w:tc>
          <w:tcPr>
            <w:tcW w:w="84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85"/>
        </w:trPr>
        <w:tc>
          <w:tcPr>
            <w:tcW w:w="8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gridSpan w:val="3"/>
          </w:tcPr>
          <w:p>
            <w:pPr>
              <w:jc w:val="center"/>
              <w:ind w:left="464"/>
              <w:spacing w:after="0"/>
              <w:rPr>
                <w:sz w:val="20"/>
                <w:szCs w:val="20"/>
                <w:color w:val="auto"/>
              </w:rPr>
            </w:pPr>
            <w:r>
              <w:rPr>
                <w:rFonts w:ascii="Arial" w:cs="Arial" w:eastAsia="Arial" w:hAnsi="Arial"/>
                <w:sz w:val="14"/>
                <w:szCs w:val="14"/>
                <w:b w:val="1"/>
                <w:bCs w:val="1"/>
                <w:color w:val="auto"/>
                <w:w w:val="89"/>
              </w:rPr>
              <w:t>in millions</w:t>
            </w:r>
          </w:p>
        </w:tc>
        <w:tc>
          <w:tcPr>
            <w:tcW w:w="840" w:type="dxa"/>
            <w:vAlign w:val="bottom"/>
          </w:tcPr>
          <w:p>
            <w:pPr>
              <w:spacing w:after="0"/>
              <w:rPr>
                <w:sz w:val="16"/>
                <w:szCs w:val="16"/>
                <w:color w:val="auto"/>
              </w:rPr>
            </w:pPr>
          </w:p>
        </w:tc>
      </w:tr>
      <w:tr>
        <w:trPr>
          <w:trHeight w:val="28"/>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13"/>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r>
      <w:tr>
        <w:trPr>
          <w:trHeight w:val="209"/>
        </w:trPr>
        <w:tc>
          <w:tcPr>
            <w:tcW w:w="8460" w:type="dxa"/>
            <w:vAlign w:val="bottom"/>
          </w:tcPr>
          <w:p>
            <w:pPr>
              <w:ind w:left="140"/>
              <w:spacing w:after="0"/>
              <w:rPr>
                <w:sz w:val="20"/>
                <w:szCs w:val="20"/>
                <w:color w:val="auto"/>
              </w:rPr>
            </w:pPr>
            <w:r>
              <w:rPr>
                <w:rFonts w:ascii="Arial" w:cs="Arial" w:eastAsia="Arial" w:hAnsi="Arial"/>
                <w:sz w:val="16"/>
                <w:szCs w:val="16"/>
                <w:color w:val="auto"/>
              </w:rPr>
              <w:t>Net earnings</w:t>
            </w: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4"/>
              <w:spacing w:after="0"/>
              <w:rPr>
                <w:sz w:val="20"/>
                <w:szCs w:val="20"/>
                <w:color w:val="auto"/>
              </w:rPr>
            </w:pPr>
            <w:r>
              <w:rPr>
                <w:rFonts w:ascii="Arial" w:cs="Arial" w:eastAsia="Arial" w:hAnsi="Arial"/>
                <w:sz w:val="16"/>
                <w:szCs w:val="16"/>
                <w:color w:val="auto"/>
              </w:rPr>
              <w:t>513.9</w:t>
            </w:r>
          </w:p>
        </w:tc>
        <w:tc>
          <w:tcPr>
            <w:tcW w:w="100" w:type="dxa"/>
            <w:vAlign w:val="bottom"/>
          </w:tcPr>
          <w:p>
            <w:pPr>
              <w:spacing w:after="0"/>
              <w:rPr>
                <w:sz w:val="18"/>
                <w:szCs w:val="18"/>
                <w:color w:val="auto"/>
              </w:rPr>
            </w:pPr>
          </w:p>
        </w:tc>
        <w:tc>
          <w:tcPr>
            <w:tcW w:w="500" w:type="dxa"/>
            <w:vAlign w:val="bottom"/>
          </w:tcPr>
          <w:p>
            <w:pPr>
              <w:jc w:val="right"/>
              <w:ind w:right="322"/>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23"/>
              <w:spacing w:after="0"/>
              <w:rPr>
                <w:sz w:val="20"/>
                <w:szCs w:val="20"/>
                <w:color w:val="auto"/>
              </w:rPr>
            </w:pPr>
            <w:r>
              <w:rPr>
                <w:rFonts w:ascii="Arial" w:cs="Arial" w:eastAsia="Arial" w:hAnsi="Arial"/>
                <w:sz w:val="16"/>
                <w:szCs w:val="16"/>
                <w:color w:val="auto"/>
              </w:rPr>
              <w:t>98.2</w:t>
            </w:r>
          </w:p>
        </w:tc>
      </w:tr>
      <w:tr>
        <w:trPr>
          <w:trHeight w:val="24"/>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3"/>
        </w:trPr>
        <w:tc>
          <w:tcPr>
            <w:tcW w:w="8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Earnings from discontinued operations</w:t>
            </w: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744.7</w:t>
            </w:r>
          </w:p>
        </w:tc>
      </w:tr>
      <w:tr>
        <w:trPr>
          <w:trHeight w:val="201"/>
        </w:trPr>
        <w:tc>
          <w:tcPr>
            <w:tcW w:w="8460" w:type="dxa"/>
            <w:vAlign w:val="bottom"/>
          </w:tcPr>
          <w:p>
            <w:pPr>
              <w:ind w:left="140"/>
              <w:spacing w:after="0"/>
              <w:rPr>
                <w:sz w:val="20"/>
                <w:szCs w:val="20"/>
                <w:color w:val="auto"/>
              </w:rPr>
            </w:pPr>
            <w:r>
              <w:rPr>
                <w:rFonts w:ascii="Arial" w:cs="Arial" w:eastAsia="Arial" w:hAnsi="Arial"/>
                <w:sz w:val="16"/>
                <w:szCs w:val="16"/>
                <w:color w:val="auto"/>
              </w:rPr>
              <w:t>Earnings (loss) from continuing operations</w:t>
            </w: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513.9</w:t>
            </w:r>
          </w:p>
        </w:tc>
        <w:tc>
          <w:tcPr>
            <w:tcW w:w="10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(646.5)</w:t>
            </w:r>
          </w:p>
        </w:tc>
      </w:tr>
      <w:tr>
        <w:trPr>
          <w:trHeight w:val="24"/>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99"/>
        </w:trPr>
        <w:tc>
          <w:tcPr>
            <w:tcW w:w="846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4"/>
              </w:rPr>
              <w:t>Adjustments to reconcile earnings (loss) from continuing operations to net cash provided by operating activities of continuing</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0"/>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operations:</w:t>
            </w: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r>
      <w:tr>
        <w:trPr>
          <w:trHeight w:val="209"/>
        </w:trPr>
        <w:tc>
          <w:tcPr>
            <w:tcW w:w="8460" w:type="dxa"/>
            <w:vAlign w:val="bottom"/>
          </w:tcPr>
          <w:p>
            <w:pPr>
              <w:ind w:left="320"/>
              <w:spacing w:after="0"/>
              <w:rPr>
                <w:sz w:val="20"/>
                <w:szCs w:val="20"/>
                <w:color w:val="auto"/>
              </w:rPr>
            </w:pPr>
            <w:r>
              <w:rPr>
                <w:rFonts w:ascii="Arial" w:cs="Arial" w:eastAsia="Arial" w:hAnsi="Arial"/>
                <w:sz w:val="16"/>
                <w:szCs w:val="16"/>
                <w:color w:val="auto"/>
              </w:rPr>
              <w:t>Share-based compensation expense</w:t>
            </w:r>
          </w:p>
        </w:tc>
        <w:tc>
          <w:tcPr>
            <w:tcW w:w="320" w:type="dxa"/>
            <w:vAlign w:val="bottom"/>
          </w:tcPr>
          <w:p>
            <w:pPr>
              <w:spacing w:after="0"/>
              <w:rPr>
                <w:sz w:val="18"/>
                <w:szCs w:val="18"/>
                <w:color w:val="auto"/>
              </w:rPr>
            </w:pPr>
          </w:p>
        </w:tc>
        <w:tc>
          <w:tcPr>
            <w:tcW w:w="1040" w:type="dxa"/>
            <w:vAlign w:val="bottom"/>
          </w:tcPr>
          <w:p>
            <w:pPr>
              <w:jc w:val="right"/>
              <w:ind w:right="44"/>
              <w:spacing w:after="0"/>
              <w:rPr>
                <w:sz w:val="20"/>
                <w:szCs w:val="20"/>
                <w:color w:val="auto"/>
              </w:rPr>
            </w:pPr>
            <w:r>
              <w:rPr>
                <w:rFonts w:ascii="Arial" w:cs="Arial" w:eastAsia="Arial" w:hAnsi="Arial"/>
                <w:sz w:val="16"/>
                <w:szCs w:val="16"/>
                <w:color w:val="auto"/>
              </w:rPr>
              <w:t>139.0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jc w:val="right"/>
              <w:ind w:right="23"/>
              <w:spacing w:after="0"/>
              <w:rPr>
                <w:sz w:val="20"/>
                <w:szCs w:val="20"/>
                <w:color w:val="auto"/>
              </w:rPr>
            </w:pPr>
            <w:r>
              <w:rPr>
                <w:rFonts w:ascii="Arial" w:cs="Arial" w:eastAsia="Arial" w:hAnsi="Arial"/>
                <w:sz w:val="16"/>
                <w:szCs w:val="16"/>
                <w:color w:val="auto"/>
              </w:rPr>
              <w:t>154.3</w:t>
            </w:r>
          </w:p>
        </w:tc>
      </w:tr>
      <w:tr>
        <w:trPr>
          <w:trHeight w:val="24"/>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13"/>
        </w:trPr>
        <w:tc>
          <w:tcPr>
            <w:tcW w:w="84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Depreciation and amortization</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1,329.2</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1,861.4</w:t>
            </w:r>
          </w:p>
        </w:tc>
      </w:tr>
      <w:tr>
        <w:trPr>
          <w:trHeight w:val="209"/>
        </w:trPr>
        <w:tc>
          <w:tcPr>
            <w:tcW w:w="8460" w:type="dxa"/>
            <w:vAlign w:val="bottom"/>
          </w:tcPr>
          <w:p>
            <w:pPr>
              <w:ind w:left="320"/>
              <w:spacing w:after="0"/>
              <w:rPr>
                <w:sz w:val="20"/>
                <w:szCs w:val="20"/>
                <w:color w:val="auto"/>
              </w:rPr>
            </w:pPr>
            <w:r>
              <w:rPr>
                <w:rFonts w:ascii="Arial" w:cs="Arial" w:eastAsia="Arial" w:hAnsi="Arial"/>
                <w:sz w:val="16"/>
                <w:szCs w:val="16"/>
                <w:color w:val="auto"/>
              </w:rPr>
              <w:t>Impairment, restructuring and other operating items, net</w:t>
            </w:r>
          </w:p>
        </w:tc>
        <w:tc>
          <w:tcPr>
            <w:tcW w:w="320" w:type="dxa"/>
            <w:vAlign w:val="bottom"/>
          </w:tcPr>
          <w:p>
            <w:pPr>
              <w:spacing w:after="0"/>
              <w:rPr>
                <w:sz w:val="18"/>
                <w:szCs w:val="18"/>
                <w:color w:val="auto"/>
              </w:rPr>
            </w:pPr>
          </w:p>
        </w:tc>
        <w:tc>
          <w:tcPr>
            <w:tcW w:w="1040" w:type="dxa"/>
            <w:vAlign w:val="bottom"/>
          </w:tcPr>
          <w:p>
            <w:pPr>
              <w:jc w:val="right"/>
              <w:ind w:right="44"/>
              <w:spacing w:after="0"/>
              <w:rPr>
                <w:sz w:val="20"/>
                <w:szCs w:val="20"/>
                <w:color w:val="auto"/>
              </w:rPr>
            </w:pPr>
            <w:r>
              <w:rPr>
                <w:rFonts w:ascii="Arial" w:cs="Arial" w:eastAsia="Arial" w:hAnsi="Arial"/>
                <w:sz w:val="16"/>
                <w:szCs w:val="16"/>
                <w:color w:val="auto"/>
              </w:rPr>
              <w:t>63.2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jc w:val="right"/>
              <w:ind w:right="23"/>
              <w:spacing w:after="0"/>
              <w:rPr>
                <w:sz w:val="20"/>
                <w:szCs w:val="20"/>
                <w:color w:val="auto"/>
              </w:rPr>
            </w:pPr>
            <w:r>
              <w:rPr>
                <w:rFonts w:ascii="Arial" w:cs="Arial" w:eastAsia="Arial" w:hAnsi="Arial"/>
                <w:sz w:val="16"/>
                <w:szCs w:val="16"/>
                <w:color w:val="auto"/>
              </w:rPr>
              <w:t>104.1</w:t>
            </w:r>
          </w:p>
        </w:tc>
      </w:tr>
      <w:tr>
        <w:trPr>
          <w:trHeight w:val="24"/>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13"/>
        </w:trPr>
        <w:tc>
          <w:tcPr>
            <w:tcW w:w="84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Amortization of deferred financing costs and non-cash interest</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24.1</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27.0</w:t>
            </w:r>
          </w:p>
        </w:tc>
      </w:tr>
      <w:tr>
        <w:trPr>
          <w:trHeight w:val="209"/>
        </w:trPr>
        <w:tc>
          <w:tcPr>
            <w:tcW w:w="8460" w:type="dxa"/>
            <w:vAlign w:val="bottom"/>
          </w:tcPr>
          <w:p>
            <w:pPr>
              <w:ind w:left="320"/>
              <w:spacing w:after="0"/>
              <w:rPr>
                <w:sz w:val="20"/>
                <w:szCs w:val="20"/>
                <w:color w:val="auto"/>
              </w:rPr>
            </w:pPr>
            <w:r>
              <w:rPr>
                <w:rFonts w:ascii="Arial" w:cs="Arial" w:eastAsia="Arial" w:hAnsi="Arial"/>
                <w:sz w:val="16"/>
                <w:szCs w:val="16"/>
                <w:color w:val="auto"/>
              </w:rPr>
              <w:t>Realized and unrealized gains on derivative instruments, net</w:t>
            </w:r>
          </w:p>
        </w:tc>
        <w:tc>
          <w:tcPr>
            <w:tcW w:w="320" w:type="dxa"/>
            <w:vAlign w:val="bottom"/>
          </w:tcPr>
          <w:p>
            <w:pPr>
              <w:spacing w:after="0"/>
              <w:rPr>
                <w:sz w:val="18"/>
                <w:szCs w:val="18"/>
                <w:color w:val="auto"/>
              </w:rPr>
            </w:pPr>
          </w:p>
        </w:tc>
        <w:tc>
          <w:tcPr>
            <w:tcW w:w="1040" w:type="dxa"/>
            <w:vAlign w:val="bottom"/>
          </w:tcPr>
          <w:p>
            <w:pPr>
              <w:jc w:val="right"/>
              <w:ind w:right="4"/>
              <w:spacing w:after="0"/>
              <w:rPr>
                <w:sz w:val="20"/>
                <w:szCs w:val="20"/>
                <w:color w:val="auto"/>
              </w:rPr>
            </w:pPr>
            <w:r>
              <w:rPr>
                <w:rFonts w:ascii="Arial" w:cs="Arial" w:eastAsia="Arial" w:hAnsi="Arial"/>
                <w:sz w:val="16"/>
                <w:szCs w:val="16"/>
                <w:color w:val="auto"/>
              </w:rPr>
              <w:t>(917.6)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(70.1)</w:t>
            </w:r>
          </w:p>
        </w:tc>
      </w:tr>
      <w:tr>
        <w:trPr>
          <w:trHeight w:val="24"/>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13"/>
        </w:trPr>
        <w:tc>
          <w:tcPr>
            <w:tcW w:w="84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Foreign currency transaction losses (gains), net</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86.3</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(111.6)</w:t>
            </w:r>
          </w:p>
        </w:tc>
      </w:tr>
      <w:tr>
        <w:trPr>
          <w:trHeight w:val="209"/>
        </w:trPr>
        <w:tc>
          <w:tcPr>
            <w:tcW w:w="8460" w:type="dxa"/>
            <w:vAlign w:val="bottom"/>
          </w:tcPr>
          <w:p>
            <w:pPr>
              <w:ind w:left="320"/>
              <w:spacing w:after="0"/>
              <w:rPr>
                <w:sz w:val="20"/>
                <w:szCs w:val="20"/>
                <w:color w:val="auto"/>
              </w:rPr>
            </w:pPr>
            <w:r>
              <w:rPr>
                <w:rFonts w:ascii="Arial" w:cs="Arial" w:eastAsia="Arial" w:hAnsi="Arial"/>
                <w:sz w:val="16"/>
                <w:szCs w:val="16"/>
                <w:color w:val="auto"/>
              </w:rPr>
              <w:t>Realized and unrealized losses due to changes in fair values of certain investments and debt, net</w:t>
            </w:r>
          </w:p>
        </w:tc>
        <w:tc>
          <w:tcPr>
            <w:tcW w:w="320" w:type="dxa"/>
            <w:vAlign w:val="bottom"/>
          </w:tcPr>
          <w:p>
            <w:pPr>
              <w:spacing w:after="0"/>
              <w:rPr>
                <w:sz w:val="18"/>
                <w:szCs w:val="18"/>
                <w:color w:val="auto"/>
              </w:rPr>
            </w:pPr>
          </w:p>
        </w:tc>
        <w:tc>
          <w:tcPr>
            <w:tcW w:w="1040" w:type="dxa"/>
            <w:vAlign w:val="bottom"/>
          </w:tcPr>
          <w:p>
            <w:pPr>
              <w:jc w:val="right"/>
              <w:ind w:right="44"/>
              <w:spacing w:after="0"/>
              <w:rPr>
                <w:sz w:val="20"/>
                <w:szCs w:val="20"/>
                <w:color w:val="auto"/>
              </w:rPr>
            </w:pPr>
            <w:r>
              <w:rPr>
                <w:rFonts w:ascii="Arial" w:cs="Arial" w:eastAsia="Arial" w:hAnsi="Arial"/>
                <w:sz w:val="16"/>
                <w:szCs w:val="16"/>
                <w:color w:val="auto"/>
              </w:rPr>
              <w:t>377.5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jc w:val="right"/>
              <w:ind w:right="23"/>
              <w:spacing w:after="0"/>
              <w:rPr>
                <w:sz w:val="20"/>
                <w:szCs w:val="20"/>
                <w:color w:val="auto"/>
              </w:rPr>
            </w:pPr>
            <w:r>
              <w:rPr>
                <w:rFonts w:ascii="Arial" w:cs="Arial" w:eastAsia="Arial" w:hAnsi="Arial"/>
                <w:sz w:val="16"/>
                <w:szCs w:val="16"/>
                <w:color w:val="auto"/>
              </w:rPr>
              <w:t>146.9</w:t>
            </w:r>
          </w:p>
        </w:tc>
      </w:tr>
      <w:tr>
        <w:trPr>
          <w:trHeight w:val="24"/>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13"/>
        </w:trPr>
        <w:tc>
          <w:tcPr>
            <w:tcW w:w="84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Losses on debt extinguishment, net</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220.1</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48.8</w:t>
            </w:r>
          </w:p>
        </w:tc>
      </w:tr>
      <w:tr>
        <w:trPr>
          <w:trHeight w:val="209"/>
        </w:trPr>
        <w:tc>
          <w:tcPr>
            <w:tcW w:w="8460" w:type="dxa"/>
            <w:vAlign w:val="bottom"/>
          </w:tcPr>
          <w:p>
            <w:pPr>
              <w:ind w:left="320"/>
              <w:spacing w:after="0"/>
              <w:rPr>
                <w:sz w:val="20"/>
                <w:szCs w:val="20"/>
                <w:color w:val="auto"/>
              </w:rPr>
            </w:pPr>
            <w:r>
              <w:rPr>
                <w:rFonts w:ascii="Arial" w:cs="Arial" w:eastAsia="Arial" w:hAnsi="Arial"/>
                <w:sz w:val="16"/>
                <w:szCs w:val="16"/>
                <w:color w:val="auto"/>
              </w:rPr>
              <w:t>Share of results of affiliates, net</w:t>
            </w:r>
          </w:p>
        </w:tc>
        <w:tc>
          <w:tcPr>
            <w:tcW w:w="320" w:type="dxa"/>
            <w:vAlign w:val="bottom"/>
          </w:tcPr>
          <w:p>
            <w:pPr>
              <w:spacing w:after="0"/>
              <w:rPr>
                <w:sz w:val="18"/>
                <w:szCs w:val="18"/>
                <w:color w:val="auto"/>
              </w:rPr>
            </w:pPr>
          </w:p>
        </w:tc>
        <w:tc>
          <w:tcPr>
            <w:tcW w:w="1040" w:type="dxa"/>
            <w:vAlign w:val="bottom"/>
          </w:tcPr>
          <w:p>
            <w:pPr>
              <w:jc w:val="right"/>
              <w:ind w:right="44"/>
              <w:spacing w:after="0"/>
              <w:rPr>
                <w:sz w:val="20"/>
                <w:szCs w:val="20"/>
                <w:color w:val="auto"/>
              </w:rPr>
            </w:pPr>
            <w:r>
              <w:rPr>
                <w:rFonts w:ascii="Arial" w:cs="Arial" w:eastAsia="Arial" w:hAnsi="Arial"/>
                <w:sz w:val="16"/>
                <w:szCs w:val="16"/>
                <w:color w:val="auto"/>
              </w:rPr>
              <w:t>72.0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jc w:val="right"/>
              <w:ind w:right="23"/>
              <w:spacing w:after="0"/>
              <w:rPr>
                <w:sz w:val="20"/>
                <w:szCs w:val="20"/>
                <w:color w:val="auto"/>
              </w:rPr>
            </w:pPr>
            <w:r>
              <w:rPr>
                <w:rFonts w:ascii="Arial" w:cs="Arial" w:eastAsia="Arial" w:hAnsi="Arial"/>
                <w:sz w:val="16"/>
                <w:szCs w:val="16"/>
                <w:color w:val="auto"/>
              </w:rPr>
              <w:t>140.2</w:t>
            </w:r>
          </w:p>
        </w:tc>
      </w:tr>
      <w:tr>
        <w:trPr>
          <w:trHeight w:val="24"/>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13"/>
        </w:trPr>
        <w:tc>
          <w:tcPr>
            <w:tcW w:w="84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Deferred income tax expense (benefit)</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95.0</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(99.5)</w:t>
            </w:r>
          </w:p>
        </w:tc>
      </w:tr>
      <w:tr>
        <w:trPr>
          <w:trHeight w:val="209"/>
        </w:trPr>
        <w:tc>
          <w:tcPr>
            <w:tcW w:w="8460" w:type="dxa"/>
            <w:vAlign w:val="bottom"/>
          </w:tcPr>
          <w:p>
            <w:pPr>
              <w:ind w:left="320"/>
              <w:spacing w:after="0"/>
              <w:rPr>
                <w:sz w:val="20"/>
                <w:szCs w:val="20"/>
                <w:color w:val="auto"/>
              </w:rPr>
            </w:pPr>
            <w:r>
              <w:rPr>
                <w:rFonts w:ascii="Arial" w:cs="Arial" w:eastAsia="Arial" w:hAnsi="Arial"/>
                <w:sz w:val="16"/>
                <w:szCs w:val="16"/>
                <w:color w:val="auto"/>
              </w:rPr>
              <w:t>Changes in operating assets and liabilities, net of the effects of acquisitions and dispositions</w:t>
            </w:r>
          </w:p>
        </w:tc>
        <w:tc>
          <w:tcPr>
            <w:tcW w:w="320" w:type="dxa"/>
            <w:vAlign w:val="bottom"/>
          </w:tcPr>
          <w:p>
            <w:pPr>
              <w:spacing w:after="0"/>
              <w:rPr>
                <w:sz w:val="18"/>
                <w:szCs w:val="18"/>
                <w:color w:val="auto"/>
              </w:rPr>
            </w:pPr>
          </w:p>
        </w:tc>
        <w:tc>
          <w:tcPr>
            <w:tcW w:w="1040" w:type="dxa"/>
            <w:vAlign w:val="bottom"/>
          </w:tcPr>
          <w:p>
            <w:pPr>
              <w:jc w:val="right"/>
              <w:ind w:right="4"/>
              <w:spacing w:after="0"/>
              <w:rPr>
                <w:sz w:val="20"/>
                <w:szCs w:val="20"/>
                <w:color w:val="auto"/>
              </w:rPr>
            </w:pPr>
            <w:r>
              <w:rPr>
                <w:rFonts w:ascii="Arial" w:cs="Arial" w:eastAsia="Arial" w:hAnsi="Arial"/>
                <w:sz w:val="16"/>
                <w:szCs w:val="16"/>
                <w:color w:val="auto"/>
              </w:rPr>
              <w:t>(410.8)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jc w:val="right"/>
              <w:ind w:right="23"/>
              <w:spacing w:after="0"/>
              <w:rPr>
                <w:sz w:val="20"/>
                <w:szCs w:val="20"/>
                <w:color w:val="auto"/>
              </w:rPr>
            </w:pPr>
            <w:r>
              <w:rPr>
                <w:rFonts w:ascii="Arial" w:cs="Arial" w:eastAsia="Arial" w:hAnsi="Arial"/>
                <w:sz w:val="16"/>
                <w:szCs w:val="16"/>
                <w:color w:val="auto"/>
              </w:rPr>
              <w:t>73.5</w:t>
            </w:r>
          </w:p>
        </w:tc>
      </w:tr>
      <w:tr>
        <w:trPr>
          <w:trHeight w:val="24"/>
        </w:trPr>
        <w:tc>
          <w:tcPr>
            <w:tcW w:w="8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4"/>
        </w:trPr>
        <w:tc>
          <w:tcPr>
            <w:tcW w:w="8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Net cash provided by operating activities of continuing operations</w:t>
            </w: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1,591.9</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1,628.5</w:t>
            </w:r>
          </w:p>
        </w:tc>
      </w:tr>
      <w:tr>
        <w:trPr>
          <w:trHeight w:val="209"/>
        </w:trPr>
        <w:tc>
          <w:tcPr>
            <w:tcW w:w="8460" w:type="dxa"/>
            <w:vAlign w:val="bottom"/>
          </w:tcPr>
          <w:p>
            <w:pPr>
              <w:ind w:left="140"/>
              <w:spacing w:after="0"/>
              <w:rPr>
                <w:sz w:val="20"/>
                <w:szCs w:val="20"/>
                <w:color w:val="auto"/>
              </w:rPr>
            </w:pPr>
            <w:r>
              <w:rPr>
                <w:rFonts w:ascii="Arial" w:cs="Arial" w:eastAsia="Arial" w:hAnsi="Arial"/>
                <w:sz w:val="16"/>
                <w:szCs w:val="16"/>
                <w:color w:val="auto"/>
              </w:rPr>
              <w:t>Net cash provided by operating activities of discontinued operations</w:t>
            </w:r>
          </w:p>
        </w:tc>
        <w:tc>
          <w:tcPr>
            <w:tcW w:w="3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840" w:type="dxa"/>
            <w:vAlign w:val="bottom"/>
          </w:tcPr>
          <w:p>
            <w:pPr>
              <w:jc w:val="right"/>
              <w:ind w:right="23"/>
              <w:spacing w:after="0"/>
              <w:rPr>
                <w:sz w:val="20"/>
                <w:szCs w:val="20"/>
                <w:color w:val="auto"/>
              </w:rPr>
            </w:pPr>
            <w:r>
              <w:rPr>
                <w:rFonts w:ascii="Arial" w:cs="Arial" w:eastAsia="Arial" w:hAnsi="Arial"/>
                <w:sz w:val="16"/>
                <w:szCs w:val="16"/>
                <w:color w:val="auto"/>
              </w:rPr>
              <w:t>829.2</w:t>
            </w:r>
          </w:p>
        </w:tc>
      </w:tr>
      <w:tr>
        <w:trPr>
          <w:trHeight w:val="24"/>
        </w:trPr>
        <w:tc>
          <w:tcPr>
            <w:tcW w:w="8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24"/>
        </w:trPr>
        <w:tc>
          <w:tcPr>
            <w:tcW w:w="84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1,591.9</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2,457.7</w:t>
            </w:r>
          </w:p>
        </w:tc>
      </w:tr>
      <w:tr>
        <w:trPr>
          <w:trHeight w:val="201"/>
        </w:trPr>
        <w:tc>
          <w:tcPr>
            <w:tcW w:w="846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r>
      <w:tr>
        <w:trPr>
          <w:trHeight w:val="213"/>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r>
      <w:tr>
        <w:trPr>
          <w:trHeight w:val="209"/>
        </w:trPr>
        <w:tc>
          <w:tcPr>
            <w:tcW w:w="8460" w:type="dxa"/>
            <w:vAlign w:val="bottom"/>
          </w:tcPr>
          <w:p>
            <w:pPr>
              <w:ind w:left="140"/>
              <w:spacing w:after="0"/>
              <w:rPr>
                <w:sz w:val="20"/>
                <w:szCs w:val="20"/>
                <w:color w:val="auto"/>
              </w:rPr>
            </w:pPr>
            <w:r>
              <w:rPr>
                <w:rFonts w:ascii="Arial" w:cs="Arial" w:eastAsia="Arial" w:hAnsi="Arial"/>
                <w:sz w:val="16"/>
                <w:szCs w:val="16"/>
                <w:color w:val="auto"/>
              </w:rPr>
              <w:t>Cash paid for investments</w:t>
            </w:r>
          </w:p>
        </w:tc>
        <w:tc>
          <w:tcPr>
            <w:tcW w:w="320" w:type="dxa"/>
            <w:vAlign w:val="bottom"/>
          </w:tcPr>
          <w:p>
            <w:pPr>
              <w:spacing w:after="0"/>
              <w:rPr>
                <w:sz w:val="18"/>
                <w:szCs w:val="18"/>
                <w:color w:val="auto"/>
              </w:rPr>
            </w:pPr>
          </w:p>
        </w:tc>
        <w:tc>
          <w:tcPr>
            <w:tcW w:w="1040" w:type="dxa"/>
            <w:vAlign w:val="bottom"/>
          </w:tcPr>
          <w:p>
            <w:pPr>
              <w:jc w:val="right"/>
              <w:ind w:right="4"/>
              <w:spacing w:after="0"/>
              <w:rPr>
                <w:sz w:val="20"/>
                <w:szCs w:val="20"/>
                <w:color w:val="auto"/>
              </w:rPr>
            </w:pPr>
            <w:r>
              <w:rPr>
                <w:rFonts w:ascii="Arial" w:cs="Arial" w:eastAsia="Arial" w:hAnsi="Arial"/>
                <w:sz w:val="16"/>
                <w:szCs w:val="16"/>
                <w:color w:val="auto"/>
              </w:rPr>
              <w:t>(5,501.5)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(189.2)</w:t>
            </w:r>
          </w:p>
        </w:tc>
      </w:tr>
      <w:tr>
        <w:trPr>
          <w:trHeight w:val="24"/>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13"/>
        </w:trPr>
        <w:tc>
          <w:tcPr>
            <w:tcW w:w="8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Cash received from sale of investments</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2,526.2</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8.9</w:t>
            </w:r>
          </w:p>
        </w:tc>
      </w:tr>
      <w:tr>
        <w:trPr>
          <w:trHeight w:val="209"/>
        </w:trPr>
        <w:tc>
          <w:tcPr>
            <w:tcW w:w="8460" w:type="dxa"/>
            <w:vAlign w:val="bottom"/>
          </w:tcPr>
          <w:p>
            <w:pPr>
              <w:ind w:left="140"/>
              <w:spacing w:after="0"/>
              <w:rPr>
                <w:sz w:val="20"/>
                <w:szCs w:val="20"/>
                <w:color w:val="auto"/>
              </w:rPr>
            </w:pPr>
            <w:r>
              <w:rPr>
                <w:rFonts w:ascii="Arial" w:cs="Arial" w:eastAsia="Arial" w:hAnsi="Arial"/>
                <w:sz w:val="16"/>
                <w:szCs w:val="16"/>
                <w:color w:val="auto"/>
              </w:rPr>
              <w:t>Capital expenditures, net</w:t>
            </w:r>
          </w:p>
        </w:tc>
        <w:tc>
          <w:tcPr>
            <w:tcW w:w="320" w:type="dxa"/>
            <w:vAlign w:val="bottom"/>
          </w:tcPr>
          <w:p>
            <w:pPr>
              <w:spacing w:after="0"/>
              <w:rPr>
                <w:sz w:val="18"/>
                <w:szCs w:val="18"/>
                <w:color w:val="auto"/>
              </w:rPr>
            </w:pPr>
          </w:p>
        </w:tc>
        <w:tc>
          <w:tcPr>
            <w:tcW w:w="1040" w:type="dxa"/>
            <w:vAlign w:val="bottom"/>
          </w:tcPr>
          <w:p>
            <w:pPr>
              <w:jc w:val="right"/>
              <w:ind w:right="4"/>
              <w:spacing w:after="0"/>
              <w:rPr>
                <w:sz w:val="20"/>
                <w:szCs w:val="20"/>
                <w:color w:val="auto"/>
              </w:rPr>
            </w:pPr>
            <w:r>
              <w:rPr>
                <w:rFonts w:ascii="Arial" w:cs="Arial" w:eastAsia="Arial" w:hAnsi="Arial"/>
                <w:sz w:val="16"/>
                <w:szCs w:val="16"/>
                <w:color w:val="auto"/>
              </w:rPr>
              <w:t>(649.6)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(632.9)</w:t>
            </w:r>
          </w:p>
        </w:tc>
      </w:tr>
      <w:tr>
        <w:trPr>
          <w:trHeight w:val="24"/>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13"/>
        </w:trPr>
        <w:tc>
          <w:tcPr>
            <w:tcW w:w="8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Proceeds received upon disposition of discontinued operations, net</w:t>
            </w:r>
          </w:p>
        </w:tc>
        <w:tc>
          <w:tcPr>
            <w:tcW w:w="3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145.8</w:t>
            </w:r>
          </w:p>
        </w:tc>
      </w:tr>
      <w:tr>
        <w:trPr>
          <w:trHeight w:val="209"/>
        </w:trPr>
        <w:tc>
          <w:tcPr>
            <w:tcW w:w="8460" w:type="dxa"/>
            <w:vAlign w:val="bottom"/>
          </w:tcPr>
          <w:p>
            <w:pPr>
              <w:ind w:left="140"/>
              <w:spacing w:after="0"/>
              <w:rPr>
                <w:sz w:val="20"/>
                <w:szCs w:val="20"/>
                <w:color w:val="auto"/>
              </w:rPr>
            </w:pPr>
            <w:r>
              <w:rPr>
                <w:rFonts w:ascii="Arial" w:cs="Arial" w:eastAsia="Arial" w:hAnsi="Arial"/>
                <w:sz w:val="16"/>
                <w:szCs w:val="16"/>
                <w:color w:val="auto"/>
              </w:rPr>
              <w:t>Other investing activities, net</w:t>
            </w:r>
          </w:p>
        </w:tc>
        <w:tc>
          <w:tcPr>
            <w:tcW w:w="320" w:type="dxa"/>
            <w:vAlign w:val="bottom"/>
          </w:tcPr>
          <w:p>
            <w:pPr>
              <w:spacing w:after="0"/>
              <w:rPr>
                <w:sz w:val="18"/>
                <w:szCs w:val="18"/>
                <w:color w:val="auto"/>
              </w:rPr>
            </w:pPr>
          </w:p>
        </w:tc>
        <w:tc>
          <w:tcPr>
            <w:tcW w:w="1040" w:type="dxa"/>
            <w:vAlign w:val="bottom"/>
          </w:tcPr>
          <w:p>
            <w:pPr>
              <w:jc w:val="right"/>
              <w:ind w:right="4"/>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(15.3)</w:t>
            </w:r>
          </w:p>
        </w:tc>
      </w:tr>
      <w:tr>
        <w:trPr>
          <w:trHeight w:val="24"/>
        </w:trPr>
        <w:tc>
          <w:tcPr>
            <w:tcW w:w="8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4"/>
        </w:trPr>
        <w:tc>
          <w:tcPr>
            <w:tcW w:w="8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Net cash used by investing activities of continuing operations</w:t>
            </w: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(3,634.4)</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(682.7)</w:t>
            </w:r>
          </w:p>
        </w:tc>
      </w:tr>
      <w:tr>
        <w:trPr>
          <w:trHeight w:val="209"/>
        </w:trPr>
        <w:tc>
          <w:tcPr>
            <w:tcW w:w="8460" w:type="dxa"/>
            <w:vAlign w:val="bottom"/>
          </w:tcPr>
          <w:p>
            <w:pPr>
              <w:ind w:left="220"/>
              <w:spacing w:after="0"/>
              <w:rPr>
                <w:sz w:val="20"/>
                <w:szCs w:val="20"/>
                <w:color w:val="auto"/>
              </w:rPr>
            </w:pPr>
            <w:r>
              <w:rPr>
                <w:rFonts w:ascii="Arial" w:cs="Arial" w:eastAsia="Arial" w:hAnsi="Arial"/>
                <w:sz w:val="16"/>
                <w:szCs w:val="16"/>
                <w:color w:val="auto"/>
              </w:rPr>
              <w:t>Net cash used by investing activities of discontinued operations</w:t>
            </w:r>
          </w:p>
        </w:tc>
        <w:tc>
          <w:tcPr>
            <w:tcW w:w="3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(210.7)</w:t>
            </w:r>
          </w:p>
        </w:tc>
      </w:tr>
      <w:tr>
        <w:trPr>
          <w:trHeight w:val="24"/>
        </w:trPr>
        <w:tc>
          <w:tcPr>
            <w:tcW w:w="8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4"/>
        </w:trPr>
        <w:tc>
          <w:tcPr>
            <w:tcW w:w="84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Net cash used by investing activities</w:t>
            </w:r>
          </w:p>
        </w:tc>
        <w:tc>
          <w:tcPr>
            <w:tcW w:w="32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(3,634.4)</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322"/>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(893.4)</w:t>
            </w:r>
          </w:p>
        </w:tc>
      </w:tr>
      <w:tr>
        <w:trPr>
          <w:trHeight w:val="20"/>
        </w:trPr>
        <w:tc>
          <w:tcPr>
            <w:tcW w:w="84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r>
    </w:tbl>
    <w:p>
      <w:pPr>
        <w:spacing w:after="0" w:line="31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14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60"/>
          </w:cols>
          <w:pgMar w:left="320" w:top="309" w:right="31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6"/>
          <w:szCs w:val="16"/>
          <w:b w:val="1"/>
          <w:bCs w:val="1"/>
          <w:color w:val="auto"/>
        </w:rPr>
        <w:t>LIBERTY GLOBAL PLC</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STATEMENTS OF CASH FLOWS — (Continued)</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40" w:type="dxa"/>
            <w:vAlign w:val="bottom"/>
            <w:gridSpan w:val="3"/>
          </w:tcPr>
          <w:p>
            <w:pPr>
              <w:jc w:val="center"/>
              <w:ind w:left="463"/>
              <w:spacing w:after="0"/>
              <w:rPr>
                <w:sz w:val="20"/>
                <w:szCs w:val="20"/>
                <w:color w:val="auto"/>
              </w:rPr>
            </w:pPr>
            <w:r>
              <w:rPr>
                <w:rFonts w:ascii="Arial" w:cs="Arial" w:eastAsia="Arial" w:hAnsi="Arial"/>
                <w:sz w:val="14"/>
                <w:szCs w:val="14"/>
                <w:b w:val="1"/>
                <w:bCs w:val="1"/>
                <w:color w:val="auto"/>
                <w:w w:val="87"/>
              </w:rPr>
              <w:t>Six months ended</w:t>
            </w:r>
          </w:p>
        </w:tc>
        <w:tc>
          <w:tcPr>
            <w:tcW w:w="840" w:type="dxa"/>
            <w:vAlign w:val="bottom"/>
          </w:tcPr>
          <w:p>
            <w:pPr>
              <w:spacing w:after="0"/>
              <w:rPr>
                <w:sz w:val="15"/>
                <w:szCs w:val="15"/>
                <w:color w:val="auto"/>
              </w:rPr>
            </w:pPr>
          </w:p>
        </w:tc>
      </w:tr>
      <w:tr>
        <w:trPr>
          <w:trHeight w:val="221"/>
        </w:trPr>
        <w:tc>
          <w:tcPr>
            <w:tcW w:w="8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gridSpan w:val="3"/>
          </w:tcPr>
          <w:p>
            <w:pPr>
              <w:jc w:val="center"/>
              <w:ind w:left="463"/>
              <w:spacing w:after="0"/>
              <w:rPr>
                <w:sz w:val="20"/>
                <w:szCs w:val="20"/>
                <w:color w:val="auto"/>
              </w:rPr>
            </w:pPr>
            <w:r>
              <w:rPr>
                <w:rFonts w:ascii="Arial" w:cs="Arial" w:eastAsia="Arial" w:hAnsi="Arial"/>
                <w:sz w:val="14"/>
                <w:szCs w:val="14"/>
                <w:b w:val="1"/>
                <w:bCs w:val="1"/>
                <w:color w:val="auto"/>
                <w:w w:val="89"/>
              </w:rPr>
              <w:t>June 30,</w:t>
            </w:r>
          </w:p>
        </w:tc>
        <w:tc>
          <w:tcPr>
            <w:tcW w:w="840" w:type="dxa"/>
            <w:vAlign w:val="bottom"/>
          </w:tcPr>
          <w:p>
            <w:pPr>
              <w:spacing w:after="0"/>
              <w:rPr>
                <w:sz w:val="19"/>
                <w:szCs w:val="19"/>
                <w:color w:val="auto"/>
              </w:rPr>
            </w:pPr>
          </w:p>
        </w:tc>
      </w:tr>
      <w:tr>
        <w:trPr>
          <w:trHeight w:val="28"/>
        </w:trPr>
        <w:tc>
          <w:tcPr>
            <w:tcW w:w="84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7"/>
        </w:trPr>
        <w:tc>
          <w:tcPr>
            <w:tcW w:w="8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46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jc w:val="right"/>
              <w:ind w:right="443"/>
              <w:spacing w:after="0"/>
              <w:rPr>
                <w:sz w:val="20"/>
                <w:szCs w:val="20"/>
                <w:color w:val="auto"/>
              </w:rPr>
            </w:pPr>
            <w:r>
              <w:rPr>
                <w:rFonts w:ascii="Arial" w:cs="Arial" w:eastAsia="Arial" w:hAnsi="Arial"/>
                <w:sz w:val="14"/>
                <w:szCs w:val="14"/>
                <w:b w:val="1"/>
                <w:bCs w:val="1"/>
                <w:color w:val="auto"/>
                <w:w w:val="96"/>
              </w:rPr>
              <w:t>2019</w:t>
            </w:r>
          </w:p>
        </w:tc>
      </w:tr>
      <w:tr>
        <w:trPr>
          <w:trHeight w:val="28"/>
        </w:trPr>
        <w:tc>
          <w:tcPr>
            <w:tcW w:w="84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85"/>
        </w:trPr>
        <w:tc>
          <w:tcPr>
            <w:tcW w:w="8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gridSpan w:val="3"/>
          </w:tcPr>
          <w:p>
            <w:pPr>
              <w:jc w:val="center"/>
              <w:ind w:left="463"/>
              <w:spacing w:after="0"/>
              <w:rPr>
                <w:sz w:val="20"/>
                <w:szCs w:val="20"/>
                <w:color w:val="auto"/>
              </w:rPr>
            </w:pPr>
            <w:r>
              <w:rPr>
                <w:rFonts w:ascii="Arial" w:cs="Arial" w:eastAsia="Arial" w:hAnsi="Arial"/>
                <w:sz w:val="14"/>
                <w:szCs w:val="14"/>
                <w:b w:val="1"/>
                <w:bCs w:val="1"/>
                <w:color w:val="auto"/>
                <w:w w:val="89"/>
              </w:rPr>
              <w:t>in millions</w:t>
            </w:r>
          </w:p>
        </w:tc>
        <w:tc>
          <w:tcPr>
            <w:tcW w:w="840" w:type="dxa"/>
            <w:vAlign w:val="bottom"/>
          </w:tcPr>
          <w:p>
            <w:pPr>
              <w:spacing w:after="0"/>
              <w:rPr>
                <w:sz w:val="16"/>
                <w:szCs w:val="16"/>
                <w:color w:val="auto"/>
              </w:rPr>
            </w:pPr>
          </w:p>
        </w:tc>
      </w:tr>
      <w:tr>
        <w:trPr>
          <w:trHeight w:val="28"/>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13"/>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r>
      <w:tr>
        <w:trPr>
          <w:trHeight w:val="209"/>
        </w:trPr>
        <w:tc>
          <w:tcPr>
            <w:tcW w:w="8460" w:type="dxa"/>
            <w:vAlign w:val="bottom"/>
          </w:tcPr>
          <w:p>
            <w:pPr>
              <w:ind w:left="140"/>
              <w:spacing w:after="0"/>
              <w:rPr>
                <w:sz w:val="20"/>
                <w:szCs w:val="20"/>
                <w:color w:val="auto"/>
              </w:rPr>
            </w:pPr>
            <w:r>
              <w:rPr>
                <w:rFonts w:ascii="Arial" w:cs="Arial" w:eastAsia="Arial" w:hAnsi="Arial"/>
                <w:sz w:val="16"/>
                <w:szCs w:val="16"/>
                <w:color w:val="auto"/>
              </w:rPr>
              <w:t>Repayments and repurchases of debt and finance lease obligations</w:t>
            </w: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3"/>
              <w:spacing w:after="0"/>
              <w:rPr>
                <w:sz w:val="20"/>
                <w:szCs w:val="20"/>
                <w:color w:val="auto"/>
              </w:rPr>
            </w:pPr>
            <w:r>
              <w:rPr>
                <w:rFonts w:ascii="Arial" w:cs="Arial" w:eastAsia="Arial" w:hAnsi="Arial"/>
                <w:sz w:val="16"/>
                <w:szCs w:val="16"/>
                <w:color w:val="auto"/>
              </w:rPr>
              <w:t>(7,647.9)</w:t>
            </w:r>
          </w:p>
        </w:tc>
        <w:tc>
          <w:tcPr>
            <w:tcW w:w="100" w:type="dxa"/>
            <w:vAlign w:val="bottom"/>
          </w:tcPr>
          <w:p>
            <w:pPr>
              <w:spacing w:after="0"/>
              <w:rPr>
                <w:sz w:val="18"/>
                <w:szCs w:val="18"/>
                <w:color w:val="auto"/>
              </w:rPr>
            </w:pPr>
          </w:p>
        </w:tc>
        <w:tc>
          <w:tcPr>
            <w:tcW w:w="500" w:type="dxa"/>
            <w:vAlign w:val="bottom"/>
          </w:tcPr>
          <w:p>
            <w:pPr>
              <w:jc w:val="right"/>
              <w:ind w:right="322"/>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(3,838.8)</w:t>
            </w:r>
          </w:p>
        </w:tc>
      </w:tr>
      <w:tr>
        <w:trPr>
          <w:trHeight w:val="24"/>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13"/>
        </w:trPr>
        <w:tc>
          <w:tcPr>
            <w:tcW w:w="8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Borrowings of debt</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6,893.1</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2,800.7</w:t>
            </w:r>
          </w:p>
        </w:tc>
      </w:tr>
      <w:tr>
        <w:trPr>
          <w:trHeight w:val="209"/>
        </w:trPr>
        <w:tc>
          <w:tcPr>
            <w:tcW w:w="8460" w:type="dxa"/>
            <w:vAlign w:val="bottom"/>
          </w:tcPr>
          <w:p>
            <w:pPr>
              <w:ind w:left="140"/>
              <w:spacing w:after="0"/>
              <w:rPr>
                <w:sz w:val="20"/>
                <w:szCs w:val="20"/>
                <w:color w:val="auto"/>
              </w:rPr>
            </w:pPr>
            <w:r>
              <w:rPr>
                <w:rFonts w:ascii="Arial" w:cs="Arial" w:eastAsia="Arial" w:hAnsi="Arial"/>
                <w:sz w:val="16"/>
                <w:szCs w:val="16"/>
                <w:color w:val="auto"/>
              </w:rPr>
              <w:t>Repurchases of Liberty Global ordinary shares</w:t>
            </w:r>
          </w:p>
        </w:tc>
        <w:tc>
          <w:tcPr>
            <w:tcW w:w="320" w:type="dxa"/>
            <w:vAlign w:val="bottom"/>
          </w:tcPr>
          <w:p>
            <w:pPr>
              <w:spacing w:after="0"/>
              <w:rPr>
                <w:sz w:val="18"/>
                <w:szCs w:val="18"/>
                <w:color w:val="auto"/>
              </w:rPr>
            </w:pPr>
          </w:p>
        </w:tc>
        <w:tc>
          <w:tcPr>
            <w:tcW w:w="1040" w:type="dxa"/>
            <w:vAlign w:val="bottom"/>
          </w:tcPr>
          <w:p>
            <w:pPr>
              <w:jc w:val="right"/>
              <w:ind w:right="3"/>
              <w:spacing w:after="0"/>
              <w:rPr>
                <w:sz w:val="20"/>
                <w:szCs w:val="20"/>
                <w:color w:val="auto"/>
              </w:rPr>
            </w:pPr>
            <w:r>
              <w:rPr>
                <w:rFonts w:ascii="Arial" w:cs="Arial" w:eastAsia="Arial" w:hAnsi="Arial"/>
                <w:sz w:val="16"/>
                <w:szCs w:val="16"/>
                <w:color w:val="auto"/>
              </w:rPr>
              <w:t>(692.0)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(502.5)</w:t>
            </w:r>
          </w:p>
        </w:tc>
      </w:tr>
      <w:tr>
        <w:trPr>
          <w:trHeight w:val="24"/>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13"/>
        </w:trPr>
        <w:tc>
          <w:tcPr>
            <w:tcW w:w="8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Payment of financing costs and debt premiums</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(226.4)</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(51.0)</w:t>
            </w:r>
          </w:p>
        </w:tc>
      </w:tr>
      <w:tr>
        <w:trPr>
          <w:trHeight w:val="209"/>
        </w:trPr>
        <w:tc>
          <w:tcPr>
            <w:tcW w:w="8460" w:type="dxa"/>
            <w:vAlign w:val="bottom"/>
          </w:tcPr>
          <w:p>
            <w:pPr>
              <w:ind w:left="140"/>
              <w:spacing w:after="0"/>
              <w:rPr>
                <w:sz w:val="20"/>
                <w:szCs w:val="20"/>
                <w:color w:val="auto"/>
              </w:rPr>
            </w:pPr>
            <w:r>
              <w:rPr>
                <w:rFonts w:ascii="Arial" w:cs="Arial" w:eastAsia="Arial" w:hAnsi="Arial"/>
                <w:sz w:val="16"/>
                <w:szCs w:val="16"/>
                <w:color w:val="auto"/>
              </w:rPr>
              <w:t>Net cash received related to derivative instruments</w:t>
            </w:r>
          </w:p>
        </w:tc>
        <w:tc>
          <w:tcPr>
            <w:tcW w:w="320" w:type="dxa"/>
            <w:vAlign w:val="bottom"/>
          </w:tcPr>
          <w:p>
            <w:pPr>
              <w:spacing w:after="0"/>
              <w:rPr>
                <w:sz w:val="18"/>
                <w:szCs w:val="18"/>
                <w:color w:val="auto"/>
              </w:rPr>
            </w:pPr>
          </w:p>
        </w:tc>
        <w:tc>
          <w:tcPr>
            <w:tcW w:w="1040" w:type="dxa"/>
            <w:vAlign w:val="bottom"/>
          </w:tcPr>
          <w:p>
            <w:pPr>
              <w:jc w:val="right"/>
              <w:ind w:right="43"/>
              <w:spacing w:after="0"/>
              <w:rPr>
                <w:sz w:val="20"/>
                <w:szCs w:val="20"/>
                <w:color w:val="auto"/>
              </w:rPr>
            </w:pPr>
            <w:r>
              <w:rPr>
                <w:rFonts w:ascii="Arial" w:cs="Arial" w:eastAsia="Arial" w:hAnsi="Arial"/>
                <w:sz w:val="16"/>
                <w:szCs w:val="16"/>
                <w:color w:val="auto"/>
              </w:rPr>
              <w:t>75.0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jc w:val="right"/>
              <w:ind w:right="23"/>
              <w:spacing w:after="0"/>
              <w:rPr>
                <w:sz w:val="20"/>
                <w:szCs w:val="20"/>
                <w:color w:val="auto"/>
              </w:rPr>
            </w:pPr>
            <w:r>
              <w:rPr>
                <w:rFonts w:ascii="Arial" w:cs="Arial" w:eastAsia="Arial" w:hAnsi="Arial"/>
                <w:sz w:val="16"/>
                <w:szCs w:val="16"/>
                <w:color w:val="auto"/>
              </w:rPr>
              <w:t>93.5</w:t>
            </w:r>
          </w:p>
        </w:tc>
      </w:tr>
      <w:tr>
        <w:trPr>
          <w:trHeight w:val="24"/>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13"/>
        </w:trPr>
        <w:tc>
          <w:tcPr>
            <w:tcW w:w="8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Repurchases by Telenet of its outstanding shares</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(38.1)</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(114.1)</w:t>
            </w:r>
          </w:p>
        </w:tc>
      </w:tr>
      <w:tr>
        <w:trPr>
          <w:trHeight w:val="209"/>
        </w:trPr>
        <w:tc>
          <w:tcPr>
            <w:tcW w:w="8460" w:type="dxa"/>
            <w:vAlign w:val="bottom"/>
          </w:tcPr>
          <w:p>
            <w:pPr>
              <w:ind w:left="140"/>
              <w:spacing w:after="0"/>
              <w:rPr>
                <w:sz w:val="20"/>
                <w:szCs w:val="20"/>
                <w:color w:val="auto"/>
              </w:rPr>
            </w:pPr>
            <w:r>
              <w:rPr>
                <w:rFonts w:ascii="Arial" w:cs="Arial" w:eastAsia="Arial" w:hAnsi="Arial"/>
                <w:sz w:val="16"/>
                <w:szCs w:val="16"/>
                <w:color w:val="auto"/>
              </w:rPr>
              <w:t>Other financing activities, net</w:t>
            </w:r>
          </w:p>
        </w:tc>
        <w:tc>
          <w:tcPr>
            <w:tcW w:w="320" w:type="dxa"/>
            <w:vAlign w:val="bottom"/>
          </w:tcPr>
          <w:p>
            <w:pPr>
              <w:spacing w:after="0"/>
              <w:rPr>
                <w:sz w:val="18"/>
                <w:szCs w:val="18"/>
                <w:color w:val="auto"/>
              </w:rPr>
            </w:pPr>
          </w:p>
        </w:tc>
        <w:tc>
          <w:tcPr>
            <w:tcW w:w="1040" w:type="dxa"/>
            <w:vAlign w:val="bottom"/>
          </w:tcPr>
          <w:p>
            <w:pPr>
              <w:jc w:val="right"/>
              <w:ind w:right="3"/>
              <w:spacing w:after="0"/>
              <w:rPr>
                <w:sz w:val="20"/>
                <w:szCs w:val="20"/>
                <w:color w:val="auto"/>
              </w:rPr>
            </w:pPr>
            <w:r>
              <w:rPr>
                <w:rFonts w:ascii="Arial" w:cs="Arial" w:eastAsia="Arial" w:hAnsi="Arial"/>
                <w:sz w:val="16"/>
                <w:szCs w:val="16"/>
                <w:color w:val="auto"/>
              </w:rPr>
              <w:t>(85.0)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jc w:val="right"/>
              <w:ind w:right="23"/>
              <w:spacing w:after="0"/>
              <w:rPr>
                <w:sz w:val="20"/>
                <w:szCs w:val="20"/>
                <w:color w:val="auto"/>
              </w:rPr>
            </w:pPr>
            <w:r>
              <w:rPr>
                <w:rFonts w:ascii="Arial" w:cs="Arial" w:eastAsia="Arial" w:hAnsi="Arial"/>
                <w:sz w:val="16"/>
                <w:szCs w:val="16"/>
                <w:color w:val="auto"/>
              </w:rPr>
              <w:t>16.8</w:t>
            </w:r>
          </w:p>
        </w:tc>
      </w:tr>
      <w:tr>
        <w:trPr>
          <w:trHeight w:val="24"/>
        </w:trPr>
        <w:tc>
          <w:tcPr>
            <w:tcW w:w="8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4"/>
        </w:trPr>
        <w:tc>
          <w:tcPr>
            <w:tcW w:w="8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Net cash used by financing activities of continuing operations</w:t>
            </w: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(1,721.3)</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(1,595.4)</w:t>
            </w:r>
          </w:p>
        </w:tc>
      </w:tr>
      <w:tr>
        <w:trPr>
          <w:trHeight w:val="209"/>
        </w:trPr>
        <w:tc>
          <w:tcPr>
            <w:tcW w:w="8460" w:type="dxa"/>
            <w:vAlign w:val="bottom"/>
          </w:tcPr>
          <w:p>
            <w:pPr>
              <w:ind w:left="220"/>
              <w:spacing w:after="0"/>
              <w:rPr>
                <w:sz w:val="20"/>
                <w:szCs w:val="20"/>
                <w:color w:val="auto"/>
              </w:rPr>
            </w:pPr>
            <w:r>
              <w:rPr>
                <w:rFonts w:ascii="Arial" w:cs="Arial" w:eastAsia="Arial" w:hAnsi="Arial"/>
                <w:sz w:val="16"/>
                <w:szCs w:val="16"/>
                <w:color w:val="auto"/>
              </w:rPr>
              <w:t>Net cash used by financing activities of discontinued operations</w:t>
            </w:r>
          </w:p>
        </w:tc>
        <w:tc>
          <w:tcPr>
            <w:tcW w:w="3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(168.4)</w:t>
            </w:r>
          </w:p>
        </w:tc>
      </w:tr>
      <w:tr>
        <w:trPr>
          <w:trHeight w:val="24"/>
        </w:trPr>
        <w:tc>
          <w:tcPr>
            <w:tcW w:w="8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24"/>
        </w:trPr>
        <w:tc>
          <w:tcPr>
            <w:tcW w:w="84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Net cash used by financing activities</w:t>
            </w: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(1,721.3)</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(1,763.8)</w:t>
            </w:r>
          </w:p>
        </w:tc>
      </w:tr>
      <w:tr>
        <w:trPr>
          <w:trHeight w:val="178"/>
        </w:trPr>
        <w:tc>
          <w:tcPr>
            <w:tcW w:w="846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r>
      <w:tr>
        <w:trPr>
          <w:trHeight w:val="213"/>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 and restricted cash</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(10.4)</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r>
      <w:tr>
        <w:trPr>
          <w:trHeight w:val="209"/>
        </w:trPr>
        <w:tc>
          <w:tcPr>
            <w:tcW w:w="8460" w:type="dxa"/>
            <w:vAlign w:val="bottom"/>
          </w:tcPr>
          <w:p>
            <w:pPr>
              <w:ind w:left="220"/>
              <w:spacing w:after="0"/>
              <w:rPr>
                <w:sz w:val="20"/>
                <w:szCs w:val="20"/>
                <w:color w:val="auto"/>
              </w:rPr>
            </w:pPr>
            <w:r>
              <w:rPr>
                <w:rFonts w:ascii="Arial" w:cs="Arial" w:eastAsia="Arial" w:hAnsi="Arial"/>
                <w:sz w:val="16"/>
                <w:szCs w:val="16"/>
                <w:color w:val="auto"/>
              </w:rPr>
              <w:t>Net decrease in cash and cash equivalents and restricted cash:</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4"/>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13"/>
        </w:trPr>
        <w:tc>
          <w:tcPr>
            <w:tcW w:w="84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Continuing operations</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(3,774.2)</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(654.6)</w:t>
            </w:r>
          </w:p>
        </w:tc>
      </w:tr>
      <w:tr>
        <w:trPr>
          <w:trHeight w:val="209"/>
        </w:trPr>
        <w:tc>
          <w:tcPr>
            <w:tcW w:w="8460" w:type="dxa"/>
            <w:vAlign w:val="bottom"/>
          </w:tcPr>
          <w:p>
            <w:pPr>
              <w:ind w:left="320"/>
              <w:spacing w:after="0"/>
              <w:rPr>
                <w:sz w:val="20"/>
                <w:szCs w:val="20"/>
                <w:color w:val="auto"/>
              </w:rPr>
            </w:pPr>
            <w:r>
              <w:rPr>
                <w:rFonts w:ascii="Arial" w:cs="Arial" w:eastAsia="Arial" w:hAnsi="Arial"/>
                <w:sz w:val="16"/>
                <w:szCs w:val="16"/>
                <w:color w:val="auto"/>
              </w:rPr>
              <w:t>Discontinued operations</w:t>
            </w:r>
          </w:p>
        </w:tc>
        <w:tc>
          <w:tcPr>
            <w:tcW w:w="3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840" w:type="dxa"/>
            <w:vAlign w:val="bottom"/>
          </w:tcPr>
          <w:p>
            <w:pPr>
              <w:jc w:val="right"/>
              <w:ind w:right="23"/>
              <w:spacing w:after="0"/>
              <w:rPr>
                <w:sz w:val="20"/>
                <w:szCs w:val="20"/>
                <w:color w:val="auto"/>
              </w:rPr>
            </w:pPr>
            <w:r>
              <w:rPr>
                <w:rFonts w:ascii="Arial" w:cs="Arial" w:eastAsia="Arial" w:hAnsi="Arial"/>
                <w:sz w:val="16"/>
                <w:szCs w:val="16"/>
                <w:color w:val="auto"/>
              </w:rPr>
              <w:t>450.1</w:t>
            </w:r>
          </w:p>
        </w:tc>
      </w:tr>
      <w:tr>
        <w:trPr>
          <w:trHeight w:val="24"/>
        </w:trPr>
        <w:tc>
          <w:tcPr>
            <w:tcW w:w="8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29"/>
        </w:trPr>
        <w:tc>
          <w:tcPr>
            <w:tcW w:w="84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(3,774.2)</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322"/>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(204.5)</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138"/>
        </w:trPr>
        <w:tc>
          <w:tcPr>
            <w:tcW w:w="8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213"/>
        </w:trPr>
        <w:tc>
          <w:tcPr>
            <w:tcW w:w="8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Cash and cash equivalents and restricted cash:</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r>
      <w:tr>
        <w:trPr>
          <w:trHeight w:val="209"/>
        </w:trPr>
        <w:tc>
          <w:tcPr>
            <w:tcW w:w="8460" w:type="dxa"/>
            <w:vAlign w:val="bottom"/>
          </w:tcPr>
          <w:p>
            <w:pPr>
              <w:ind w:left="380"/>
              <w:spacing w:after="0"/>
              <w:rPr>
                <w:sz w:val="20"/>
                <w:szCs w:val="20"/>
                <w:color w:val="auto"/>
              </w:rPr>
            </w:pPr>
            <w:r>
              <w:rPr>
                <w:rFonts w:ascii="Arial" w:cs="Arial" w:eastAsia="Arial" w:hAnsi="Arial"/>
                <w:sz w:val="16"/>
                <w:szCs w:val="16"/>
                <w:color w:val="auto"/>
              </w:rPr>
              <w:t>Beginning of period</w:t>
            </w: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3"/>
              <w:spacing w:after="0"/>
              <w:rPr>
                <w:sz w:val="20"/>
                <w:szCs w:val="20"/>
                <w:color w:val="auto"/>
              </w:rPr>
            </w:pPr>
            <w:r>
              <w:rPr>
                <w:rFonts w:ascii="Arial" w:cs="Arial" w:eastAsia="Arial" w:hAnsi="Arial"/>
                <w:sz w:val="16"/>
                <w:szCs w:val="16"/>
                <w:color w:val="auto"/>
              </w:rPr>
              <w:t>8,180.9</w:t>
            </w:r>
          </w:p>
        </w:tc>
        <w:tc>
          <w:tcPr>
            <w:tcW w:w="100" w:type="dxa"/>
            <w:vAlign w:val="bottom"/>
          </w:tcPr>
          <w:p>
            <w:pPr>
              <w:spacing w:after="0"/>
              <w:rPr>
                <w:sz w:val="18"/>
                <w:szCs w:val="18"/>
                <w:color w:val="auto"/>
              </w:rPr>
            </w:pPr>
          </w:p>
        </w:tc>
        <w:tc>
          <w:tcPr>
            <w:tcW w:w="500" w:type="dxa"/>
            <w:vAlign w:val="bottom"/>
          </w:tcPr>
          <w:p>
            <w:pPr>
              <w:jc w:val="right"/>
              <w:ind w:right="322"/>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23"/>
              <w:spacing w:after="0"/>
              <w:rPr>
                <w:sz w:val="20"/>
                <w:szCs w:val="20"/>
                <w:color w:val="auto"/>
              </w:rPr>
            </w:pPr>
            <w:r>
              <w:rPr>
                <w:rFonts w:ascii="Arial" w:cs="Arial" w:eastAsia="Arial" w:hAnsi="Arial"/>
                <w:sz w:val="16"/>
                <w:szCs w:val="16"/>
                <w:color w:val="auto"/>
              </w:rPr>
              <w:t>1,498.3</w:t>
            </w:r>
          </w:p>
        </w:tc>
      </w:tr>
      <w:tr>
        <w:trPr>
          <w:trHeight w:val="24"/>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3"/>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decrease</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(3,774.2)</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(204.5)</w:t>
            </w:r>
          </w:p>
        </w:tc>
      </w:tr>
      <w:tr>
        <w:trPr>
          <w:trHeight w:val="201"/>
        </w:trPr>
        <w:tc>
          <w:tcPr>
            <w:tcW w:w="8460" w:type="dxa"/>
            <w:vAlign w:val="bottom"/>
          </w:tcPr>
          <w:p>
            <w:pPr>
              <w:ind w:left="380"/>
              <w:spacing w:after="0"/>
              <w:rPr>
                <w:sz w:val="20"/>
                <w:szCs w:val="20"/>
                <w:color w:val="auto"/>
              </w:rPr>
            </w:pPr>
            <w:r>
              <w:rPr>
                <w:rFonts w:ascii="Arial" w:cs="Arial" w:eastAsia="Arial" w:hAnsi="Arial"/>
                <w:sz w:val="16"/>
                <w:szCs w:val="16"/>
                <w:color w:val="auto"/>
              </w:rPr>
              <w:t>End of period</w:t>
            </w:r>
          </w:p>
        </w:tc>
        <w:tc>
          <w:tcPr>
            <w:tcW w:w="320" w:type="dxa"/>
            <w:vAlign w:val="bottom"/>
            <w:tcBorders>
              <w:top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4,406.7</w:t>
            </w:r>
          </w:p>
        </w:tc>
        <w:tc>
          <w:tcPr>
            <w:tcW w:w="100" w:type="dxa"/>
            <w:vAlign w:val="bottom"/>
          </w:tcPr>
          <w:p>
            <w:pPr>
              <w:spacing w:after="0"/>
              <w:rPr>
                <w:sz w:val="17"/>
                <w:szCs w:val="17"/>
                <w:color w:val="auto"/>
              </w:rPr>
            </w:pPr>
          </w:p>
        </w:tc>
        <w:tc>
          <w:tcPr>
            <w:tcW w:w="500" w:type="dxa"/>
            <w:vAlign w:val="bottom"/>
            <w:tcBorders>
              <w:top w:val="single" w:sz="8" w:color="auto"/>
            </w:tcBorders>
          </w:tcPr>
          <w:p>
            <w:pPr>
              <w:jc w:val="right"/>
              <w:ind w:right="322"/>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1,293.8</w:t>
            </w:r>
          </w:p>
        </w:tc>
      </w:tr>
      <w:tr>
        <w:trPr>
          <w:trHeight w:val="64"/>
        </w:trPr>
        <w:tc>
          <w:tcPr>
            <w:tcW w:w="846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r>
      <w:tr>
        <w:trPr>
          <w:trHeight w:val="161"/>
        </w:trPr>
        <w:tc>
          <w:tcPr>
            <w:tcW w:w="84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209"/>
        </w:trPr>
        <w:tc>
          <w:tcPr>
            <w:tcW w:w="8460" w:type="dxa"/>
            <w:vAlign w:val="bottom"/>
          </w:tcPr>
          <w:p>
            <w:pPr>
              <w:ind w:left="20"/>
              <w:spacing w:after="0"/>
              <w:rPr>
                <w:sz w:val="20"/>
                <w:szCs w:val="20"/>
                <w:color w:val="auto"/>
              </w:rPr>
            </w:pPr>
            <w:r>
              <w:rPr>
                <w:rFonts w:ascii="Arial" w:cs="Arial" w:eastAsia="Arial" w:hAnsi="Arial"/>
                <w:sz w:val="16"/>
                <w:szCs w:val="16"/>
                <w:color w:val="auto"/>
              </w:rPr>
              <w:t>Cash paid for interest:</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4"/>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13"/>
        </w:trPr>
        <w:tc>
          <w:tcPr>
            <w:tcW w:w="8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Continuing operations</w:t>
            </w:r>
          </w:p>
        </w:tc>
        <w:tc>
          <w:tcPr>
            <w:tcW w:w="32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662.5</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322"/>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738.9</w:t>
            </w:r>
          </w:p>
        </w:tc>
      </w:tr>
      <w:tr>
        <w:trPr>
          <w:trHeight w:val="209"/>
        </w:trPr>
        <w:tc>
          <w:tcPr>
            <w:tcW w:w="8460" w:type="dxa"/>
            <w:vAlign w:val="bottom"/>
          </w:tcPr>
          <w:p>
            <w:pPr>
              <w:ind w:left="140"/>
              <w:spacing w:after="0"/>
              <w:rPr>
                <w:sz w:val="20"/>
                <w:szCs w:val="20"/>
                <w:color w:val="auto"/>
              </w:rPr>
            </w:pPr>
            <w:r>
              <w:rPr>
                <w:rFonts w:ascii="Arial" w:cs="Arial" w:eastAsia="Arial" w:hAnsi="Arial"/>
                <w:sz w:val="16"/>
                <w:szCs w:val="16"/>
                <w:color w:val="auto"/>
              </w:rPr>
              <w:t>Discontinued operations</w:t>
            </w:r>
          </w:p>
        </w:tc>
        <w:tc>
          <w:tcPr>
            <w:tcW w:w="3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840" w:type="dxa"/>
            <w:vAlign w:val="bottom"/>
          </w:tcPr>
          <w:p>
            <w:pPr>
              <w:jc w:val="right"/>
              <w:ind w:right="23"/>
              <w:spacing w:after="0"/>
              <w:rPr>
                <w:sz w:val="20"/>
                <w:szCs w:val="20"/>
                <w:color w:val="auto"/>
              </w:rPr>
            </w:pPr>
            <w:r>
              <w:rPr>
                <w:rFonts w:ascii="Arial" w:cs="Arial" w:eastAsia="Arial" w:hAnsi="Arial"/>
                <w:sz w:val="16"/>
                <w:szCs w:val="16"/>
                <w:color w:val="auto"/>
              </w:rPr>
              <w:t>225.4</w:t>
            </w:r>
          </w:p>
        </w:tc>
      </w:tr>
      <w:tr>
        <w:trPr>
          <w:trHeight w:val="24"/>
        </w:trPr>
        <w:tc>
          <w:tcPr>
            <w:tcW w:w="8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29"/>
        </w:trPr>
        <w:tc>
          <w:tcPr>
            <w:tcW w:w="84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662.5</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322"/>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964.3</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115"/>
        </w:trPr>
        <w:tc>
          <w:tcPr>
            <w:tcW w:w="8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tcPr>
          <w:p>
            <w:pPr>
              <w:spacing w:after="0"/>
              <w:rPr>
                <w:sz w:val="9"/>
                <w:szCs w:val="9"/>
                <w:color w:val="auto"/>
              </w:rPr>
            </w:pPr>
          </w:p>
        </w:tc>
      </w:tr>
      <w:tr>
        <w:trPr>
          <w:trHeight w:val="213"/>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paid for taxes:</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r>
      <w:tr>
        <w:trPr>
          <w:trHeight w:val="209"/>
        </w:trPr>
        <w:tc>
          <w:tcPr>
            <w:tcW w:w="8460" w:type="dxa"/>
            <w:vAlign w:val="bottom"/>
          </w:tcPr>
          <w:p>
            <w:pPr>
              <w:ind w:left="140"/>
              <w:spacing w:after="0"/>
              <w:rPr>
                <w:sz w:val="20"/>
                <w:szCs w:val="20"/>
                <w:color w:val="auto"/>
              </w:rPr>
            </w:pPr>
            <w:r>
              <w:rPr>
                <w:rFonts w:ascii="Arial" w:cs="Arial" w:eastAsia="Arial" w:hAnsi="Arial"/>
                <w:sz w:val="16"/>
                <w:szCs w:val="16"/>
                <w:color w:val="auto"/>
              </w:rPr>
              <w:t>Continuing operations</w:t>
            </w: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3"/>
              <w:spacing w:after="0"/>
              <w:rPr>
                <w:sz w:val="20"/>
                <w:szCs w:val="20"/>
                <w:color w:val="auto"/>
              </w:rPr>
            </w:pPr>
            <w:r>
              <w:rPr>
                <w:rFonts w:ascii="Arial" w:cs="Arial" w:eastAsia="Arial" w:hAnsi="Arial"/>
                <w:sz w:val="16"/>
                <w:szCs w:val="16"/>
                <w:color w:val="auto"/>
              </w:rPr>
              <w:t>57.2</w:t>
            </w:r>
          </w:p>
        </w:tc>
        <w:tc>
          <w:tcPr>
            <w:tcW w:w="100" w:type="dxa"/>
            <w:vAlign w:val="bottom"/>
          </w:tcPr>
          <w:p>
            <w:pPr>
              <w:spacing w:after="0"/>
              <w:rPr>
                <w:sz w:val="18"/>
                <w:szCs w:val="18"/>
                <w:color w:val="auto"/>
              </w:rPr>
            </w:pPr>
          </w:p>
        </w:tc>
        <w:tc>
          <w:tcPr>
            <w:tcW w:w="500" w:type="dxa"/>
            <w:vAlign w:val="bottom"/>
          </w:tcPr>
          <w:p>
            <w:pPr>
              <w:jc w:val="right"/>
              <w:ind w:right="322"/>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23"/>
              <w:spacing w:after="0"/>
              <w:rPr>
                <w:sz w:val="20"/>
                <w:szCs w:val="20"/>
                <w:color w:val="auto"/>
              </w:rPr>
            </w:pPr>
            <w:r>
              <w:rPr>
                <w:rFonts w:ascii="Arial" w:cs="Arial" w:eastAsia="Arial" w:hAnsi="Arial"/>
                <w:sz w:val="16"/>
                <w:szCs w:val="16"/>
                <w:color w:val="auto"/>
              </w:rPr>
              <w:t>260.6</w:t>
            </w:r>
          </w:p>
        </w:tc>
      </w:tr>
      <w:tr>
        <w:trPr>
          <w:trHeight w:val="24"/>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3"/>
        </w:trPr>
        <w:tc>
          <w:tcPr>
            <w:tcW w:w="8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Discontinued operations</w:t>
            </w: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131.0</w:t>
            </w:r>
          </w:p>
        </w:tc>
      </w:tr>
      <w:tr>
        <w:trPr>
          <w:trHeight w:val="201"/>
        </w:trPr>
        <w:tc>
          <w:tcPr>
            <w:tcW w:w="8460" w:type="dxa"/>
            <w:vAlign w:val="bottom"/>
          </w:tcPr>
          <w:p>
            <w:pPr>
              <w:ind w:left="320"/>
              <w:spacing w:after="0"/>
              <w:rPr>
                <w:sz w:val="20"/>
                <w:szCs w:val="20"/>
                <w:color w:val="auto"/>
              </w:rPr>
            </w:pPr>
            <w:r>
              <w:rPr>
                <w:rFonts w:ascii="Arial" w:cs="Arial" w:eastAsia="Arial" w:hAnsi="Arial"/>
                <w:sz w:val="16"/>
                <w:szCs w:val="16"/>
                <w:color w:val="auto"/>
              </w:rPr>
              <w:t>Total</w:t>
            </w:r>
          </w:p>
        </w:tc>
        <w:tc>
          <w:tcPr>
            <w:tcW w:w="320" w:type="dxa"/>
            <w:vAlign w:val="bottom"/>
            <w:tcBorders>
              <w:top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57.2</w:t>
            </w:r>
          </w:p>
        </w:tc>
        <w:tc>
          <w:tcPr>
            <w:tcW w:w="100" w:type="dxa"/>
            <w:vAlign w:val="bottom"/>
          </w:tcPr>
          <w:p>
            <w:pPr>
              <w:spacing w:after="0"/>
              <w:rPr>
                <w:sz w:val="17"/>
                <w:szCs w:val="17"/>
                <w:color w:val="auto"/>
              </w:rPr>
            </w:pPr>
          </w:p>
        </w:tc>
        <w:tc>
          <w:tcPr>
            <w:tcW w:w="500" w:type="dxa"/>
            <w:vAlign w:val="bottom"/>
            <w:tcBorders>
              <w:top w:val="single" w:sz="8" w:color="auto"/>
            </w:tcBorders>
          </w:tcPr>
          <w:p>
            <w:pPr>
              <w:jc w:val="right"/>
              <w:ind w:right="322"/>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391.6</w:t>
            </w:r>
          </w:p>
        </w:tc>
      </w:tr>
      <w:tr>
        <w:trPr>
          <w:trHeight w:val="64"/>
        </w:trPr>
        <w:tc>
          <w:tcPr>
            <w:tcW w:w="846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r>
      <w:tr>
        <w:trPr>
          <w:trHeight w:val="138"/>
        </w:trPr>
        <w:tc>
          <w:tcPr>
            <w:tcW w:w="84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209"/>
        </w:trPr>
        <w:tc>
          <w:tcPr>
            <w:tcW w:w="8460" w:type="dxa"/>
            <w:vAlign w:val="bottom"/>
          </w:tcPr>
          <w:p>
            <w:pPr>
              <w:ind w:left="20"/>
              <w:spacing w:after="0"/>
              <w:rPr>
                <w:sz w:val="20"/>
                <w:szCs w:val="20"/>
                <w:color w:val="auto"/>
              </w:rPr>
            </w:pPr>
            <w:r>
              <w:rPr>
                <w:rFonts w:ascii="Arial" w:cs="Arial" w:eastAsia="Arial" w:hAnsi="Arial"/>
                <w:sz w:val="16"/>
                <w:szCs w:val="16"/>
                <w:color w:val="auto"/>
              </w:rPr>
              <w:t>Details of end of period cash and cash equivalents and restricted cash:</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4"/>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13"/>
        </w:trPr>
        <w:tc>
          <w:tcPr>
            <w:tcW w:w="8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32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4,360.6</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322"/>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1,269.0</w:t>
            </w:r>
          </w:p>
        </w:tc>
      </w:tr>
      <w:tr>
        <w:trPr>
          <w:trHeight w:val="209"/>
        </w:trPr>
        <w:tc>
          <w:tcPr>
            <w:tcW w:w="8460" w:type="dxa"/>
            <w:vAlign w:val="bottom"/>
          </w:tcPr>
          <w:p>
            <w:pPr>
              <w:ind w:left="220"/>
              <w:spacing w:after="0"/>
              <w:rPr>
                <w:sz w:val="20"/>
                <w:szCs w:val="20"/>
                <w:color w:val="auto"/>
              </w:rPr>
            </w:pPr>
            <w:r>
              <w:rPr>
                <w:rFonts w:ascii="Arial" w:cs="Arial" w:eastAsia="Arial" w:hAnsi="Arial"/>
                <w:sz w:val="16"/>
                <w:szCs w:val="16"/>
                <w:color w:val="auto"/>
              </w:rPr>
              <w:t>Restricted cash included in assets held for sale</w:t>
            </w:r>
          </w:p>
        </w:tc>
        <w:tc>
          <w:tcPr>
            <w:tcW w:w="320" w:type="dxa"/>
            <w:vAlign w:val="bottom"/>
          </w:tcPr>
          <w:p>
            <w:pPr>
              <w:spacing w:after="0"/>
              <w:rPr>
                <w:sz w:val="18"/>
                <w:szCs w:val="18"/>
                <w:color w:val="auto"/>
              </w:rPr>
            </w:pPr>
          </w:p>
        </w:tc>
        <w:tc>
          <w:tcPr>
            <w:tcW w:w="1040" w:type="dxa"/>
            <w:vAlign w:val="bottom"/>
          </w:tcPr>
          <w:p>
            <w:pPr>
              <w:jc w:val="right"/>
              <w:ind w:right="43"/>
              <w:spacing w:after="0"/>
              <w:rPr>
                <w:sz w:val="20"/>
                <w:szCs w:val="20"/>
                <w:color w:val="auto"/>
              </w:rPr>
            </w:pPr>
            <w:r>
              <w:rPr>
                <w:rFonts w:ascii="Arial" w:cs="Arial" w:eastAsia="Arial" w:hAnsi="Arial"/>
                <w:sz w:val="16"/>
                <w:szCs w:val="16"/>
                <w:color w:val="auto"/>
              </w:rPr>
              <w:t>39.3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jc w:val="right"/>
              <w:ind w:right="23"/>
              <w:spacing w:after="0"/>
              <w:rPr>
                <w:sz w:val="20"/>
                <w:szCs w:val="20"/>
                <w:color w:val="auto"/>
              </w:rPr>
            </w:pPr>
            <w:r>
              <w:rPr>
                <w:rFonts w:ascii="Arial" w:cs="Arial" w:eastAsia="Arial" w:hAnsi="Arial"/>
                <w:sz w:val="16"/>
                <w:szCs w:val="16"/>
                <w:color w:val="auto"/>
              </w:rPr>
              <w:t>—</w:t>
            </w:r>
          </w:p>
        </w:tc>
      </w:tr>
      <w:tr>
        <w:trPr>
          <w:trHeight w:val="24"/>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13"/>
        </w:trPr>
        <w:tc>
          <w:tcPr>
            <w:tcW w:w="8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Restricted cash included in other current assets and other assets, net</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22.9</w:t>
            </w:r>
          </w:p>
        </w:tc>
      </w:tr>
      <w:tr>
        <w:trPr>
          <w:trHeight w:val="209"/>
        </w:trPr>
        <w:tc>
          <w:tcPr>
            <w:tcW w:w="8460" w:type="dxa"/>
            <w:vAlign w:val="bottom"/>
          </w:tcPr>
          <w:p>
            <w:pPr>
              <w:ind w:left="220"/>
              <w:spacing w:after="0"/>
              <w:rPr>
                <w:sz w:val="20"/>
                <w:szCs w:val="20"/>
                <w:color w:val="auto"/>
              </w:rPr>
            </w:pPr>
            <w:r>
              <w:rPr>
                <w:rFonts w:ascii="Arial" w:cs="Arial" w:eastAsia="Arial" w:hAnsi="Arial"/>
                <w:sz w:val="16"/>
                <w:szCs w:val="16"/>
                <w:color w:val="auto"/>
              </w:rPr>
              <w:t>Restricted cash included in current and long-term assets of discontinued operations</w:t>
            </w:r>
          </w:p>
        </w:tc>
        <w:tc>
          <w:tcPr>
            <w:tcW w:w="3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840" w:type="dxa"/>
            <w:vAlign w:val="bottom"/>
          </w:tcPr>
          <w:p>
            <w:pPr>
              <w:jc w:val="right"/>
              <w:ind w:right="23"/>
              <w:spacing w:after="0"/>
              <w:rPr>
                <w:sz w:val="20"/>
                <w:szCs w:val="20"/>
                <w:color w:val="auto"/>
              </w:rPr>
            </w:pPr>
            <w:r>
              <w:rPr>
                <w:rFonts w:ascii="Arial" w:cs="Arial" w:eastAsia="Arial" w:hAnsi="Arial"/>
                <w:sz w:val="16"/>
                <w:szCs w:val="16"/>
                <w:color w:val="auto"/>
              </w:rPr>
              <w:t>1.9</w:t>
            </w:r>
          </w:p>
        </w:tc>
      </w:tr>
      <w:tr>
        <w:trPr>
          <w:trHeight w:val="24"/>
        </w:trPr>
        <w:tc>
          <w:tcPr>
            <w:tcW w:w="8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29"/>
        </w:trPr>
        <w:tc>
          <w:tcPr>
            <w:tcW w:w="84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Total cash and cash equivalents and restricted cash</w:t>
            </w:r>
          </w:p>
        </w:tc>
        <w:tc>
          <w:tcPr>
            <w:tcW w:w="32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4,406.7</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322"/>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1,293.8</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14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60"/>
          </w:cols>
          <w:pgMar w:left="320" w:top="309" w:right="319" w:bottom="1440" w:gutter="0" w:footer="0" w:header="0"/>
        </w:sectPr>
      </w:pPr>
    </w:p>
    <w:bookmarkStart w:id="10" w:name="page11"/>
    <w:bookmarkEnd w:id="10"/>
    <w:p>
      <w:pPr>
        <w:jc w:val="center"/>
        <w:ind w:right="-6"/>
        <w:spacing w:after="0"/>
        <w:rPr>
          <w:sz w:val="20"/>
          <w:szCs w:val="20"/>
          <w:color w:val="auto"/>
        </w:rPr>
      </w:pPr>
      <w:r>
        <w:rPr>
          <w:rFonts w:ascii="Arial" w:cs="Arial" w:eastAsia="Arial" w:hAnsi="Arial"/>
          <w:sz w:val="16"/>
          <w:szCs w:val="16"/>
          <w:b w:val="1"/>
          <w:bCs w:val="1"/>
          <w:color w:val="auto"/>
        </w:rPr>
        <w:t>LIBERTY GLOBAL PLC</w:t>
      </w:r>
    </w:p>
    <w:p>
      <w:pPr>
        <w:spacing w:after="0" w:line="18"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June 30, 2020</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(unaudited)</w:t>
      </w:r>
    </w:p>
    <w:p>
      <w:pPr>
        <w:spacing w:after="0" w:line="358" w:lineRule="exact"/>
        <w:rPr>
          <w:sz w:val="20"/>
          <w:szCs w:val="20"/>
          <w:color w:val="auto"/>
        </w:rPr>
      </w:pPr>
    </w:p>
    <w:p>
      <w:pPr>
        <w:ind w:left="307" w:hanging="307"/>
        <w:spacing w:after="0"/>
        <w:tabs>
          <w:tab w:leader="none" w:pos="307"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Basis of Presentation</w:t>
      </w:r>
    </w:p>
    <w:p>
      <w:pPr>
        <w:spacing w:after="0" w:line="188" w:lineRule="exact"/>
        <w:rPr>
          <w:sz w:val="20"/>
          <w:szCs w:val="20"/>
          <w:color w:val="auto"/>
        </w:rPr>
      </w:pPr>
    </w:p>
    <w:p>
      <w:pPr>
        <w:jc w:val="both"/>
        <w:ind w:left="7" w:right="20" w:firstLine="279"/>
        <w:spacing w:after="0" w:line="254" w:lineRule="auto"/>
        <w:rPr>
          <w:sz w:val="20"/>
          <w:szCs w:val="20"/>
          <w:color w:val="auto"/>
        </w:rPr>
      </w:pPr>
      <w:r>
        <w:rPr>
          <w:rFonts w:ascii="Arial" w:cs="Arial" w:eastAsia="Arial" w:hAnsi="Arial"/>
          <w:sz w:val="16"/>
          <w:szCs w:val="16"/>
          <w:color w:val="auto"/>
        </w:rPr>
        <w:t>Liberty Global plc (</w:t>
      </w:r>
      <w:r>
        <w:rPr>
          <w:rFonts w:ascii="Arial" w:cs="Arial" w:eastAsia="Arial" w:hAnsi="Arial"/>
          <w:sz w:val="16"/>
          <w:szCs w:val="16"/>
          <w:b w:val="1"/>
          <w:bCs w:val="1"/>
          <w:color w:val="auto"/>
        </w:rPr>
        <w:t>Liberty Global</w:t>
      </w:r>
      <w:r>
        <w:rPr>
          <w:rFonts w:ascii="Arial" w:cs="Arial" w:eastAsia="Arial" w:hAnsi="Arial"/>
          <w:sz w:val="16"/>
          <w:szCs w:val="16"/>
          <w:color w:val="auto"/>
        </w:rPr>
        <w:t>) is a public limited company organized under the laws of England and Wales. In these notes, the terms “we,” “our,” “our company” and “us” may refer, as the context requires, to Liberty Global or collectively to Liberty Global and its subsidiaries. We are an international provider of broadband internet, video, fixed-line telephony and mobile communications services to residential customers and businesses in Europe.</w:t>
      </w:r>
    </w:p>
    <w:p>
      <w:pPr>
        <w:spacing w:after="0" w:line="160" w:lineRule="exact"/>
        <w:rPr>
          <w:sz w:val="20"/>
          <w:szCs w:val="20"/>
          <w:color w:val="auto"/>
        </w:rPr>
      </w:pPr>
    </w:p>
    <w:p>
      <w:pPr>
        <w:jc w:val="both"/>
        <w:ind w:left="7" w:firstLine="279"/>
        <w:spacing w:after="0" w:line="248" w:lineRule="auto"/>
        <w:rPr>
          <w:sz w:val="20"/>
          <w:szCs w:val="20"/>
          <w:color w:val="auto"/>
        </w:rPr>
      </w:pPr>
      <w:r>
        <w:rPr>
          <w:rFonts w:ascii="Arial" w:cs="Arial" w:eastAsia="Arial" w:hAnsi="Arial"/>
          <w:sz w:val="16"/>
          <w:szCs w:val="16"/>
          <w:color w:val="auto"/>
        </w:rPr>
        <w:t>Our continuing operations comprise businesses that provide residential and business-to-business (</w:t>
      </w:r>
      <w:r>
        <w:rPr>
          <w:rFonts w:ascii="Arial" w:cs="Arial" w:eastAsia="Arial" w:hAnsi="Arial"/>
          <w:sz w:val="16"/>
          <w:szCs w:val="16"/>
          <w:b w:val="1"/>
          <w:bCs w:val="1"/>
          <w:color w:val="auto"/>
        </w:rPr>
        <w:t>B2B</w:t>
      </w:r>
      <w:r>
        <w:rPr>
          <w:rFonts w:ascii="Arial" w:cs="Arial" w:eastAsia="Arial" w:hAnsi="Arial"/>
          <w:sz w:val="16"/>
          <w:szCs w:val="16"/>
          <w:color w:val="auto"/>
        </w:rPr>
        <w:t>) communications services in (i) the United Kingdom (</w:t>
      </w:r>
      <w:r>
        <w:rPr>
          <w:rFonts w:ascii="Arial" w:cs="Arial" w:eastAsia="Arial" w:hAnsi="Arial"/>
          <w:sz w:val="16"/>
          <w:szCs w:val="16"/>
          <w:b w:val="1"/>
          <w:bCs w:val="1"/>
          <w:color w:val="auto"/>
        </w:rPr>
        <w:t>U.K.</w:t>
      </w:r>
      <w:r>
        <w:rPr>
          <w:rFonts w:ascii="Arial" w:cs="Arial" w:eastAsia="Arial" w:hAnsi="Arial"/>
          <w:sz w:val="16"/>
          <w:szCs w:val="16"/>
          <w:color w:val="auto"/>
        </w:rPr>
        <w:t>) and Ireland through Virgin Media Inc. (</w:t>
      </w:r>
      <w:r>
        <w:rPr>
          <w:rFonts w:ascii="Arial" w:cs="Arial" w:eastAsia="Arial" w:hAnsi="Arial"/>
          <w:sz w:val="16"/>
          <w:szCs w:val="16"/>
          <w:b w:val="1"/>
          <w:bCs w:val="1"/>
          <w:color w:val="auto"/>
        </w:rPr>
        <w:t>Virgin Media</w:t>
      </w:r>
      <w:r>
        <w:rPr>
          <w:rFonts w:ascii="Arial" w:cs="Arial" w:eastAsia="Arial" w:hAnsi="Arial"/>
          <w:sz w:val="16"/>
          <w:szCs w:val="16"/>
          <w:color w:val="auto"/>
        </w:rPr>
        <w:t>), a wholly-owned subsidiary of Liberty Global, (ii) Belgium through Telenet Group Holding N.V. (</w:t>
      </w:r>
      <w:r>
        <w:rPr>
          <w:rFonts w:ascii="Arial" w:cs="Arial" w:eastAsia="Arial" w:hAnsi="Arial"/>
          <w:sz w:val="16"/>
          <w:szCs w:val="16"/>
          <w:b w:val="1"/>
          <w:bCs w:val="1"/>
          <w:color w:val="auto"/>
        </w:rPr>
        <w:t>Telenet</w:t>
      </w:r>
      <w:r>
        <w:rPr>
          <w:rFonts w:ascii="Arial" w:cs="Arial" w:eastAsia="Arial" w:hAnsi="Arial"/>
          <w:sz w:val="16"/>
          <w:szCs w:val="16"/>
          <w:color w:val="auto"/>
        </w:rPr>
        <w:t>), a 60.8%-owned subsidiary of Liberty Global, and (iii) Switzerland, Poland and Slovakia through various wholly-owned subsidiaries that we collectively refer to as “</w:t>
      </w:r>
      <w:r>
        <w:rPr>
          <w:rFonts w:ascii="Arial" w:cs="Arial" w:eastAsia="Arial" w:hAnsi="Arial"/>
          <w:sz w:val="16"/>
          <w:szCs w:val="16"/>
          <w:b w:val="1"/>
          <w:bCs w:val="1"/>
          <w:color w:val="auto"/>
        </w:rPr>
        <w:t>UPC Holding</w:t>
      </w:r>
      <w:r>
        <w:rPr>
          <w:rFonts w:ascii="Arial" w:cs="Arial" w:eastAsia="Arial" w:hAnsi="Arial"/>
          <w:sz w:val="16"/>
          <w:szCs w:val="16"/>
          <w:color w:val="auto"/>
        </w:rPr>
        <w:t>.” In addition, we own a 50% noncontrolling interest in a 50:50 joint venture between Vodafone Group plc (</w:t>
      </w:r>
      <w:r>
        <w:rPr>
          <w:rFonts w:ascii="Arial" w:cs="Arial" w:eastAsia="Arial" w:hAnsi="Arial"/>
          <w:sz w:val="16"/>
          <w:szCs w:val="16"/>
          <w:b w:val="1"/>
          <w:bCs w:val="1"/>
          <w:color w:val="auto"/>
        </w:rPr>
        <w:t>Vodafone</w:t>
      </w:r>
      <w:r>
        <w:rPr>
          <w:rFonts w:ascii="Arial" w:cs="Arial" w:eastAsia="Arial" w:hAnsi="Arial"/>
          <w:sz w:val="16"/>
          <w:szCs w:val="16"/>
          <w:color w:val="auto"/>
        </w:rPr>
        <w:t xml:space="preserve">) and Liberty Global (the </w:t>
      </w:r>
      <w:r>
        <w:rPr>
          <w:rFonts w:ascii="Arial" w:cs="Arial" w:eastAsia="Arial" w:hAnsi="Arial"/>
          <w:sz w:val="16"/>
          <w:szCs w:val="16"/>
          <w:b w:val="1"/>
          <w:bCs w:val="1"/>
          <w:color w:val="auto"/>
        </w:rPr>
        <w:t>VodafoneZiggo JV</w:t>
      </w:r>
      <w:r>
        <w:rPr>
          <w:rFonts w:ascii="Arial" w:cs="Arial" w:eastAsia="Arial" w:hAnsi="Arial"/>
          <w:sz w:val="16"/>
          <w:szCs w:val="16"/>
          <w:color w:val="auto"/>
        </w:rPr>
        <w:t>), which provides residential and B2B communication services in the Netherlands.</w:t>
      </w:r>
    </w:p>
    <w:p>
      <w:pPr>
        <w:spacing w:after="0" w:line="172" w:lineRule="exact"/>
        <w:rPr>
          <w:sz w:val="20"/>
          <w:szCs w:val="20"/>
          <w:color w:val="auto"/>
        </w:rPr>
      </w:pPr>
    </w:p>
    <w:p>
      <w:pPr>
        <w:jc w:val="both"/>
        <w:ind w:left="7" w:right="20" w:firstLine="279"/>
        <w:spacing w:after="0" w:line="248" w:lineRule="auto"/>
        <w:rPr>
          <w:sz w:val="20"/>
          <w:szCs w:val="20"/>
          <w:color w:val="auto"/>
        </w:rPr>
      </w:pPr>
      <w:r>
        <w:rPr>
          <w:rFonts w:ascii="Arial" w:cs="Arial" w:eastAsia="Arial" w:hAnsi="Arial"/>
          <w:sz w:val="16"/>
          <w:szCs w:val="16"/>
          <w:color w:val="auto"/>
        </w:rPr>
        <w:t>Effective May 7, 2020, in connection with the pending formation of the U.K. JV (as defined in note 4), we began accounting for the U.K. JV Entities (as defined in note 4) as held for sale. Accordingly, the assets and liabilities of the U.K. JV Entities are included in assets held for sale and liabilities associated with assets held for sale, respectively, on our June 30, 2020 condensed consolidated balance sheet. Consistent with the applicable guidance, we have not reflected similar reclassifications in our condensed consolidated statements of operations or cash flows. For additional information, see note 4.</w:t>
      </w:r>
    </w:p>
    <w:p>
      <w:pPr>
        <w:spacing w:after="0" w:line="164" w:lineRule="exact"/>
        <w:rPr>
          <w:sz w:val="20"/>
          <w:szCs w:val="20"/>
          <w:color w:val="auto"/>
        </w:rPr>
      </w:pPr>
    </w:p>
    <w:p>
      <w:pPr>
        <w:jc w:val="both"/>
        <w:ind w:left="7" w:firstLine="279"/>
        <w:spacing w:after="0" w:line="292" w:lineRule="auto"/>
        <w:rPr>
          <w:sz w:val="20"/>
          <w:szCs w:val="20"/>
          <w:color w:val="auto"/>
        </w:rPr>
      </w:pPr>
      <w:r>
        <w:rPr>
          <w:rFonts w:ascii="Arial" w:cs="Arial" w:eastAsia="Arial" w:hAnsi="Arial"/>
          <w:sz w:val="14"/>
          <w:szCs w:val="14"/>
          <w:color w:val="auto"/>
        </w:rPr>
        <w:t>Through July 31, 2019, we provided residential and B2B communication services in (i) Germany through Unitymedia GmbH (</w:t>
      </w:r>
      <w:r>
        <w:rPr>
          <w:rFonts w:ascii="Arial" w:cs="Arial" w:eastAsia="Arial" w:hAnsi="Arial"/>
          <w:sz w:val="14"/>
          <w:szCs w:val="14"/>
          <w:b w:val="1"/>
          <w:bCs w:val="1"/>
          <w:color w:val="auto"/>
        </w:rPr>
        <w:t>Unitymedia)</w:t>
      </w:r>
      <w:r>
        <w:rPr>
          <w:rFonts w:ascii="Arial" w:cs="Arial" w:eastAsia="Arial" w:hAnsi="Arial"/>
          <w:sz w:val="14"/>
          <w:szCs w:val="14"/>
          <w:color w:val="auto"/>
        </w:rPr>
        <w:t xml:space="preserve"> and (ii) Hungary, the Czech Republic and Romania through UPC Holding B.V. In addition, through May 2, 2019, we provided direct-to-home satellite (</w:t>
      </w:r>
      <w:r>
        <w:rPr>
          <w:rFonts w:ascii="Arial" w:cs="Arial" w:eastAsia="Arial" w:hAnsi="Arial"/>
          <w:sz w:val="14"/>
          <w:szCs w:val="14"/>
          <w:b w:val="1"/>
          <w:bCs w:val="1"/>
          <w:color w:val="auto"/>
        </w:rPr>
        <w:t>DTH</w:t>
      </w:r>
      <w:r>
        <w:rPr>
          <w:rFonts w:ascii="Arial" w:cs="Arial" w:eastAsia="Arial" w:hAnsi="Arial"/>
          <w:sz w:val="14"/>
          <w:szCs w:val="14"/>
          <w:color w:val="auto"/>
        </w:rPr>
        <w:t>) services to residential customers in Hungary, the Czech Republic, Romania and Slovakia through a Luxembourg-based subsidiary of UPC Holding B.V. that we refer to as “</w:t>
      </w:r>
      <w:r>
        <w:rPr>
          <w:rFonts w:ascii="Arial" w:cs="Arial" w:eastAsia="Arial" w:hAnsi="Arial"/>
          <w:sz w:val="14"/>
          <w:szCs w:val="14"/>
          <w:b w:val="1"/>
          <w:bCs w:val="1"/>
          <w:color w:val="auto"/>
        </w:rPr>
        <w:t>UPC DTH</w:t>
      </w:r>
      <w:r>
        <w:rPr>
          <w:rFonts w:ascii="Arial" w:cs="Arial" w:eastAsia="Arial" w:hAnsi="Arial"/>
          <w:sz w:val="14"/>
          <w:szCs w:val="14"/>
          <w:color w:val="auto"/>
        </w:rPr>
        <w:t>.” Accordingly, in the accompanying condensed consolidated statements of operations and cash flows, our operations in Germany, Romania, Hungary and the Czech Republic and the operations of UPC DTH are presented as discontinued operations for the three and six months ended June 30, 2019. For additional information regarding these dispositions, see note 4.</w:t>
      </w:r>
    </w:p>
    <w:p>
      <w:pPr>
        <w:spacing w:after="0" w:line="144" w:lineRule="exact"/>
        <w:rPr>
          <w:sz w:val="20"/>
          <w:szCs w:val="20"/>
          <w:color w:val="auto"/>
        </w:rPr>
      </w:pPr>
    </w:p>
    <w:p>
      <w:pPr>
        <w:ind w:left="287"/>
        <w:spacing w:after="0"/>
        <w:rPr>
          <w:sz w:val="20"/>
          <w:szCs w:val="20"/>
          <w:color w:val="auto"/>
        </w:rPr>
      </w:pPr>
      <w:r>
        <w:rPr>
          <w:rFonts w:ascii="Arial" w:cs="Arial" w:eastAsia="Arial" w:hAnsi="Arial"/>
          <w:sz w:val="16"/>
          <w:szCs w:val="16"/>
          <w:color w:val="auto"/>
        </w:rPr>
        <w:t>Unless otherwise indicated, the amounts presented in these notes relate only to our continuing operations.</w:t>
      </w:r>
    </w:p>
    <w:p>
      <w:pPr>
        <w:spacing w:after="0" w:line="182" w:lineRule="exact"/>
        <w:rPr>
          <w:sz w:val="20"/>
          <w:szCs w:val="20"/>
          <w:color w:val="auto"/>
        </w:rPr>
      </w:pPr>
    </w:p>
    <w:p>
      <w:pPr>
        <w:jc w:val="both"/>
        <w:ind w:left="7" w:firstLine="279"/>
        <w:spacing w:after="0" w:line="289" w:lineRule="auto"/>
        <w:rPr>
          <w:sz w:val="20"/>
          <w:szCs w:val="20"/>
          <w:color w:val="auto"/>
        </w:rPr>
      </w:pPr>
      <w:r>
        <w:rPr>
          <w:rFonts w:ascii="Arial" w:cs="Arial" w:eastAsia="Arial" w:hAnsi="Arial"/>
          <w:sz w:val="14"/>
          <w:szCs w:val="14"/>
          <w:color w:val="auto"/>
        </w:rPr>
        <w:t>Our unaudited condensed consolidated financial statements have been prepared in accordance with accounting principles generally accepted in the United States (</w:t>
      </w:r>
      <w:r>
        <w:rPr>
          <w:rFonts w:ascii="Arial" w:cs="Arial" w:eastAsia="Arial" w:hAnsi="Arial"/>
          <w:sz w:val="14"/>
          <w:szCs w:val="14"/>
          <w:b w:val="1"/>
          <w:bCs w:val="1"/>
          <w:color w:val="auto"/>
        </w:rPr>
        <w:t>GAAP</w:t>
      </w:r>
      <w:r>
        <w:rPr>
          <w:rFonts w:ascii="Arial" w:cs="Arial" w:eastAsia="Arial" w:hAnsi="Arial"/>
          <w:sz w:val="14"/>
          <w:szCs w:val="14"/>
          <w:color w:val="auto"/>
        </w:rPr>
        <w:t xml:space="preserve">) and with the instructions to Form 10-Q and Article 10 of Regulation S-X for interim financial information. Accordingly, these financial statements do not include all of the information required by GAAP or Securities and Exchange Commission rules and regulations for complete financial statements. In the opinion of management, these financial statements reflect all adjustments (consisting of normal recurring adjustments) necessary for a fair presentation of the results of operations for the interim periods presented. The results of operations for any interim period are not necessarily indicative of results for the full year. These unaudited condensed consolidated financial statements should be read in conjunction with our 2019 consolidated financial statements and notes thereto included in our 2019 Annual Report on Form 10-K, as amended (our </w:t>
      </w:r>
      <w:r>
        <w:rPr>
          <w:rFonts w:ascii="Arial" w:cs="Arial" w:eastAsia="Arial" w:hAnsi="Arial"/>
          <w:sz w:val="14"/>
          <w:szCs w:val="14"/>
          <w:b w:val="1"/>
          <w:bCs w:val="1"/>
          <w:color w:val="auto"/>
        </w:rPr>
        <w:t>10-K</w:t>
      </w:r>
      <w:r>
        <w:rPr>
          <w:rFonts w:ascii="Arial" w:cs="Arial" w:eastAsia="Arial" w:hAnsi="Arial"/>
          <w:sz w:val="14"/>
          <w:szCs w:val="14"/>
          <w:color w:val="auto"/>
        </w:rPr>
        <w:t>).</w:t>
      </w:r>
    </w:p>
    <w:p>
      <w:pPr>
        <w:spacing w:after="0" w:line="146" w:lineRule="exact"/>
        <w:rPr>
          <w:sz w:val="20"/>
          <w:szCs w:val="20"/>
          <w:color w:val="auto"/>
        </w:rPr>
      </w:pPr>
    </w:p>
    <w:p>
      <w:pPr>
        <w:jc w:val="both"/>
        <w:ind w:left="7" w:firstLine="279"/>
        <w:spacing w:after="0" w:line="287" w:lineRule="auto"/>
        <w:rPr>
          <w:sz w:val="20"/>
          <w:szCs w:val="20"/>
          <w:color w:val="auto"/>
        </w:rPr>
      </w:pPr>
      <w:r>
        <w:rPr>
          <w:rFonts w:ascii="Arial" w:cs="Arial" w:eastAsia="Arial" w:hAnsi="Arial"/>
          <w:sz w:val="14"/>
          <w:szCs w:val="14"/>
          <w:color w:val="auto"/>
        </w:rPr>
        <w:t>The preparation of financial statements in conformity with GAAP requires management to make estimates and assumptions that affect the reported amounts of assets and liabilities at the date of the financial statements and the reported amounts of revenue and expenses during the reporting period. Estimates and assumptions are used in accounting for, among other things, the valuation of acquisition-related assets and liabilities, allowances for uncollectible accounts, certain components of revenue, programming and copyright costs, deferred income taxes and related valuation allowances, loss contingencies, fair value measurements, impairment assessments, capitalization of internal costs associated with construction and installation activities, lease terms, useful lives of long-lived assets, share-based compensation and actuarial liabilities associated with certain benefit plans. Actual results could differ from those estimates.</w:t>
      </w:r>
    </w:p>
    <w:p>
      <w:pPr>
        <w:spacing w:after="0" w:line="142" w:lineRule="exact"/>
        <w:rPr>
          <w:sz w:val="20"/>
          <w:szCs w:val="20"/>
          <w:color w:val="auto"/>
        </w:rPr>
      </w:pPr>
    </w:p>
    <w:p>
      <w:pPr>
        <w:ind w:left="287"/>
        <w:spacing w:after="0"/>
        <w:rPr>
          <w:sz w:val="20"/>
          <w:szCs w:val="20"/>
          <w:color w:val="auto"/>
        </w:rPr>
      </w:pPr>
      <w:r>
        <w:rPr>
          <w:rFonts w:ascii="Arial" w:cs="Arial" w:eastAsia="Arial" w:hAnsi="Arial"/>
          <w:sz w:val="16"/>
          <w:szCs w:val="16"/>
          <w:color w:val="auto"/>
        </w:rPr>
        <w:t>Unless otherwise indicated, ownership percentages and convenience translations into United States (</w:t>
      </w:r>
      <w:r>
        <w:rPr>
          <w:rFonts w:ascii="Arial" w:cs="Arial" w:eastAsia="Arial" w:hAnsi="Arial"/>
          <w:sz w:val="16"/>
          <w:szCs w:val="16"/>
          <w:b w:val="1"/>
          <w:bCs w:val="1"/>
          <w:color w:val="auto"/>
        </w:rPr>
        <w:t>U.S.</w:t>
      </w:r>
      <w:r>
        <w:rPr>
          <w:rFonts w:ascii="Arial" w:cs="Arial" w:eastAsia="Arial" w:hAnsi="Arial"/>
          <w:sz w:val="16"/>
          <w:szCs w:val="16"/>
          <w:color w:val="auto"/>
        </w:rPr>
        <w:t>) dollars are calculated as of June 30, 2020.</w:t>
      </w:r>
    </w:p>
    <w:p>
      <w:pPr>
        <w:spacing w:after="0" w:line="194" w:lineRule="exact"/>
        <w:rPr>
          <w:sz w:val="20"/>
          <w:szCs w:val="20"/>
          <w:color w:val="auto"/>
        </w:rPr>
      </w:pPr>
    </w:p>
    <w:p>
      <w:pPr>
        <w:ind w:left="287"/>
        <w:spacing w:after="0"/>
        <w:rPr>
          <w:sz w:val="20"/>
          <w:szCs w:val="20"/>
          <w:color w:val="auto"/>
        </w:rPr>
      </w:pPr>
      <w:r>
        <w:rPr>
          <w:rFonts w:ascii="Arial" w:cs="Arial" w:eastAsia="Arial" w:hAnsi="Arial"/>
          <w:sz w:val="16"/>
          <w:szCs w:val="16"/>
          <w:color w:val="auto"/>
        </w:rPr>
        <w:t>Certain prior period amounts have been reclassified to conform to the current period presentation.</w:t>
      </w:r>
    </w:p>
    <w:p>
      <w:pPr>
        <w:spacing w:after="0" w:line="188"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67"/>
          </w:cols>
          <w:pgMar w:left="313" w:top="309" w:right="319" w:bottom="1440" w:gutter="0" w:footer="0" w:header="0"/>
        </w:sectPr>
      </w:pPr>
    </w:p>
    <w:bookmarkStart w:id="11" w:name="page12"/>
    <w:bookmarkEnd w:id="11"/>
    <w:p>
      <w:pPr>
        <w:jc w:val="center"/>
        <w:ind w:right="-6"/>
        <w:spacing w:after="0"/>
        <w:rPr>
          <w:sz w:val="20"/>
          <w:szCs w:val="20"/>
          <w:color w:val="auto"/>
        </w:rPr>
      </w:pPr>
      <w:r>
        <w:rPr>
          <w:rFonts w:ascii="Arial" w:cs="Arial" w:eastAsia="Arial" w:hAnsi="Arial"/>
          <w:sz w:val="16"/>
          <w:szCs w:val="16"/>
          <w:b w:val="1"/>
          <w:bCs w:val="1"/>
          <w:color w:val="auto"/>
        </w:rPr>
        <w:t>LIBERTY GLOBAL PLC</w:t>
      </w:r>
    </w:p>
    <w:p>
      <w:pPr>
        <w:spacing w:after="0" w:line="18"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Notes to Condensed Consolidated Financial Statements — (Continued)</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June 30, 2020</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98" w:lineRule="exact"/>
        <w:rPr>
          <w:sz w:val="20"/>
          <w:szCs w:val="20"/>
          <w:color w:val="auto"/>
        </w:rPr>
      </w:pPr>
    </w:p>
    <w:p>
      <w:pPr>
        <w:ind w:left="327" w:hanging="327"/>
        <w:spacing w:after="0"/>
        <w:tabs>
          <w:tab w:leader="none" w:pos="327"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Accounting Changes and Recent Accounting Pronouncements</w:t>
      </w:r>
    </w:p>
    <w:p>
      <w:pPr>
        <w:spacing w:after="0" w:line="194" w:lineRule="exact"/>
        <w:rPr>
          <w:sz w:val="20"/>
          <w:szCs w:val="20"/>
          <w:color w:val="auto"/>
        </w:rPr>
      </w:pPr>
    </w:p>
    <w:p>
      <w:pPr>
        <w:ind w:left="147"/>
        <w:spacing w:after="0"/>
        <w:rPr>
          <w:sz w:val="20"/>
          <w:szCs w:val="20"/>
          <w:color w:val="auto"/>
        </w:rPr>
      </w:pPr>
      <w:r>
        <w:rPr>
          <w:rFonts w:ascii="Arial" w:cs="Arial" w:eastAsia="Arial" w:hAnsi="Arial"/>
          <w:sz w:val="16"/>
          <w:szCs w:val="16"/>
          <w:b w:val="1"/>
          <w:bCs w:val="1"/>
          <w:i w:val="1"/>
          <w:iCs w:val="1"/>
          <w:color w:val="auto"/>
        </w:rPr>
        <w:t>Accounting Changes</w:t>
      </w:r>
    </w:p>
    <w:p>
      <w:pPr>
        <w:spacing w:after="0" w:line="188" w:lineRule="exact"/>
        <w:rPr>
          <w:sz w:val="20"/>
          <w:szCs w:val="20"/>
          <w:color w:val="auto"/>
        </w:rPr>
      </w:pPr>
    </w:p>
    <w:p>
      <w:pPr>
        <w:ind w:left="287"/>
        <w:spacing w:after="0"/>
        <w:rPr>
          <w:sz w:val="20"/>
          <w:szCs w:val="20"/>
          <w:color w:val="auto"/>
        </w:rPr>
      </w:pPr>
      <w:r>
        <w:rPr>
          <w:rFonts w:ascii="Arial" w:cs="Arial" w:eastAsia="Arial" w:hAnsi="Arial"/>
          <w:sz w:val="16"/>
          <w:szCs w:val="16"/>
          <w:i w:val="1"/>
          <w:iCs w:val="1"/>
          <w:color w:val="auto"/>
        </w:rPr>
        <w:t>ASU 2018-15</w:t>
      </w:r>
    </w:p>
    <w:p>
      <w:pPr>
        <w:spacing w:after="0" w:line="182" w:lineRule="exact"/>
        <w:rPr>
          <w:sz w:val="20"/>
          <w:szCs w:val="20"/>
          <w:color w:val="auto"/>
        </w:rPr>
      </w:pPr>
    </w:p>
    <w:p>
      <w:pPr>
        <w:jc w:val="both"/>
        <w:ind w:left="7" w:firstLine="279"/>
        <w:spacing w:after="0" w:line="286" w:lineRule="auto"/>
        <w:rPr>
          <w:sz w:val="20"/>
          <w:szCs w:val="20"/>
          <w:color w:val="auto"/>
        </w:rPr>
      </w:pPr>
      <w:r>
        <w:rPr>
          <w:rFonts w:ascii="Arial" w:cs="Arial" w:eastAsia="Arial" w:hAnsi="Arial"/>
          <w:sz w:val="14"/>
          <w:szCs w:val="14"/>
          <w:color w:val="auto"/>
        </w:rPr>
        <w:t>In August 2018, the Financial Accounting Standards Board (</w:t>
      </w:r>
      <w:r>
        <w:rPr>
          <w:rFonts w:ascii="Arial" w:cs="Arial" w:eastAsia="Arial" w:hAnsi="Arial"/>
          <w:sz w:val="14"/>
          <w:szCs w:val="14"/>
          <w:b w:val="1"/>
          <w:bCs w:val="1"/>
          <w:color w:val="auto"/>
        </w:rPr>
        <w:t>FASB</w:t>
      </w:r>
      <w:r>
        <w:rPr>
          <w:rFonts w:ascii="Arial" w:cs="Arial" w:eastAsia="Arial" w:hAnsi="Arial"/>
          <w:sz w:val="14"/>
          <w:szCs w:val="14"/>
          <w:color w:val="auto"/>
        </w:rPr>
        <w:t>) issued Accounting Standards Update (</w:t>
      </w:r>
      <w:r>
        <w:rPr>
          <w:rFonts w:ascii="Arial" w:cs="Arial" w:eastAsia="Arial" w:hAnsi="Arial"/>
          <w:sz w:val="14"/>
          <w:szCs w:val="14"/>
          <w:b w:val="1"/>
          <w:bCs w:val="1"/>
          <w:color w:val="auto"/>
        </w:rPr>
        <w:t>ASU</w:t>
      </w:r>
      <w:r>
        <w:rPr>
          <w:rFonts w:ascii="Arial" w:cs="Arial" w:eastAsia="Arial" w:hAnsi="Arial"/>
          <w:sz w:val="14"/>
          <w:szCs w:val="14"/>
          <w:color w:val="auto"/>
        </w:rPr>
        <w:t xml:space="preserve">) No. 2018-15, </w:t>
      </w:r>
      <w:r>
        <w:rPr>
          <w:rFonts w:ascii="Arial" w:cs="Arial" w:eastAsia="Arial" w:hAnsi="Arial"/>
          <w:sz w:val="14"/>
          <w:szCs w:val="14"/>
          <w:i w:val="1"/>
          <w:iCs w:val="1"/>
          <w:color w:val="auto"/>
        </w:rPr>
        <w:t>Customer’s Accounting for Implementation Costs</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Incurred in a Cloud Computing Arrangement that is a Service Contract </w:t>
      </w:r>
      <w:r>
        <w:rPr>
          <w:rFonts w:ascii="Arial" w:cs="Arial" w:eastAsia="Arial" w:hAnsi="Arial"/>
          <w:sz w:val="14"/>
          <w:szCs w:val="14"/>
          <w:color w:val="auto"/>
        </w:rPr>
        <w:t>(</w:t>
      </w:r>
      <w:r>
        <w:rPr>
          <w:rFonts w:ascii="Arial" w:cs="Arial" w:eastAsia="Arial" w:hAnsi="Arial"/>
          <w:sz w:val="14"/>
          <w:szCs w:val="14"/>
          <w:b w:val="1"/>
          <w:bCs w:val="1"/>
          <w:color w:val="auto"/>
        </w:rPr>
        <w:t>ASU 2018-15</w:t>
      </w:r>
      <w:r>
        <w:rPr>
          <w:rFonts w:ascii="Arial" w:cs="Arial" w:eastAsia="Arial" w:hAnsi="Arial"/>
          <w:sz w:val="14"/>
          <w:szCs w:val="14"/>
          <w:color w:val="auto"/>
        </w:rPr>
        <w:t>), which requires entities to defer implementation costs incurred that are related to the</w:t>
      </w:r>
      <w:r>
        <w:rPr>
          <w:rFonts w:ascii="Arial" w:cs="Arial" w:eastAsia="Arial" w:hAnsi="Arial"/>
          <w:sz w:val="14"/>
          <w:szCs w:val="14"/>
          <w:i w:val="1"/>
          <w:iCs w:val="1"/>
          <w:color w:val="auto"/>
        </w:rPr>
        <w:t xml:space="preserve"> </w:t>
      </w:r>
      <w:r>
        <w:rPr>
          <w:rFonts w:ascii="Arial" w:cs="Arial" w:eastAsia="Arial" w:hAnsi="Arial"/>
          <w:sz w:val="14"/>
          <w:szCs w:val="14"/>
          <w:color w:val="auto"/>
        </w:rPr>
        <w:t>application development stage in a cloud computing arrangement that is a service contract. ASU 2018-15 requires deferred implementation costs to be amortized over the term of the cloud computing arrangement and presented in the same expense line item as the cloud computing arrangement. All other implementation costs are generally expensed as incurred. We adopted ASU 2018-15 on January 1, 2020 on a prospective basis. As a result of the adoption of ASU 2018-15, (i) certain implementation costs that were previously expensed as incurred are now deferred as prepaid expenses and amortized over the term of the cloud computing arrangement and (ii) certain costs associated with developing interfaces between a cloud computing arrangement and internal-use software that were previously capitalized as property and equipment are now deferred as prepaid expenses and amortized over the term of the cloud computing arrangement. The adoption of ASU 2018-15 did not have a significant impact on our consolidated financial statements.</w:t>
      </w:r>
    </w:p>
    <w:p>
      <w:pPr>
        <w:spacing w:after="0" w:line="147" w:lineRule="exact"/>
        <w:rPr>
          <w:sz w:val="20"/>
          <w:szCs w:val="20"/>
          <w:color w:val="auto"/>
        </w:rPr>
      </w:pPr>
    </w:p>
    <w:p>
      <w:pPr>
        <w:ind w:left="287"/>
        <w:spacing w:after="0"/>
        <w:rPr>
          <w:sz w:val="20"/>
          <w:szCs w:val="20"/>
          <w:color w:val="auto"/>
        </w:rPr>
      </w:pPr>
      <w:r>
        <w:rPr>
          <w:rFonts w:ascii="Arial" w:cs="Arial" w:eastAsia="Arial" w:hAnsi="Arial"/>
          <w:sz w:val="16"/>
          <w:szCs w:val="16"/>
          <w:i w:val="1"/>
          <w:iCs w:val="1"/>
          <w:color w:val="auto"/>
        </w:rPr>
        <w:t>ASU 2019-02</w:t>
      </w:r>
    </w:p>
    <w:p>
      <w:pPr>
        <w:spacing w:after="0" w:line="182" w:lineRule="exact"/>
        <w:rPr>
          <w:sz w:val="20"/>
          <w:szCs w:val="20"/>
          <w:color w:val="auto"/>
        </w:rPr>
      </w:pPr>
    </w:p>
    <w:p>
      <w:pPr>
        <w:jc w:val="both"/>
        <w:ind w:left="7" w:firstLine="279"/>
        <w:spacing w:after="0" w:line="292" w:lineRule="auto"/>
        <w:rPr>
          <w:sz w:val="20"/>
          <w:szCs w:val="20"/>
          <w:color w:val="auto"/>
        </w:rPr>
      </w:pPr>
      <w:r>
        <w:rPr>
          <w:rFonts w:ascii="Arial" w:cs="Arial" w:eastAsia="Arial" w:hAnsi="Arial"/>
          <w:sz w:val="14"/>
          <w:szCs w:val="14"/>
          <w:color w:val="auto"/>
        </w:rPr>
        <w:t xml:space="preserve">In March 2019, the FASB issued ASU No. 2019-02, </w:t>
      </w:r>
      <w:r>
        <w:rPr>
          <w:rFonts w:ascii="Arial" w:cs="Arial" w:eastAsia="Arial" w:hAnsi="Arial"/>
          <w:sz w:val="14"/>
          <w:szCs w:val="14"/>
          <w:i w:val="1"/>
          <w:iCs w:val="1"/>
          <w:color w:val="auto"/>
        </w:rPr>
        <w:t>Improvements to Accounting for Costs of Films and License Agreements for Program Materials</w:t>
      </w:r>
      <w:r>
        <w:rPr>
          <w:rFonts w:ascii="Arial" w:cs="Arial" w:eastAsia="Arial" w:hAnsi="Arial"/>
          <w:sz w:val="14"/>
          <w:szCs w:val="14"/>
          <w:color w:val="auto"/>
        </w:rPr>
        <w:t xml:space="preserve"> (</w:t>
      </w:r>
      <w:r>
        <w:rPr>
          <w:rFonts w:ascii="Arial" w:cs="Arial" w:eastAsia="Arial" w:hAnsi="Arial"/>
          <w:sz w:val="14"/>
          <w:szCs w:val="14"/>
          <w:b w:val="1"/>
          <w:bCs w:val="1"/>
          <w:color w:val="auto"/>
        </w:rPr>
        <w:t>ASU 2019-02</w:t>
      </w:r>
      <w:r>
        <w:rPr>
          <w:rFonts w:ascii="Arial" w:cs="Arial" w:eastAsia="Arial" w:hAnsi="Arial"/>
          <w:sz w:val="14"/>
          <w:szCs w:val="14"/>
          <w:color w:val="auto"/>
        </w:rPr>
        <w:t>), which aligns the accounting for production costs of an episodic television series with the accounting for production costs of films. ASU 2019-02 removes the existing constraint that restricts capitalization of production costs to contracted revenue for episodic television series. The amended guidance also permits entities to test a film or license agreement for impairment at the film group level, addresses cash flow classification and provides new disclosure requirements. We adopted ASU 2019-02 on January 1, 2020 on a prospective basis. The adoption of ASU 2019-02 did not have a significant impact on our consolidated financial statements.</w:t>
      </w:r>
    </w:p>
    <w:p>
      <w:pPr>
        <w:spacing w:after="0" w:line="144" w:lineRule="exact"/>
        <w:rPr>
          <w:sz w:val="20"/>
          <w:szCs w:val="20"/>
          <w:color w:val="auto"/>
        </w:rPr>
      </w:pPr>
    </w:p>
    <w:p>
      <w:pPr>
        <w:ind w:left="287"/>
        <w:spacing w:after="0"/>
        <w:rPr>
          <w:sz w:val="20"/>
          <w:szCs w:val="20"/>
          <w:color w:val="auto"/>
        </w:rPr>
      </w:pPr>
      <w:r>
        <w:rPr>
          <w:rFonts w:ascii="Arial" w:cs="Arial" w:eastAsia="Arial" w:hAnsi="Arial"/>
          <w:sz w:val="16"/>
          <w:szCs w:val="16"/>
          <w:i w:val="1"/>
          <w:iCs w:val="1"/>
          <w:color w:val="auto"/>
        </w:rPr>
        <w:t>ASU 2016-13</w:t>
      </w:r>
    </w:p>
    <w:p>
      <w:pPr>
        <w:spacing w:after="0" w:line="182" w:lineRule="exact"/>
        <w:rPr>
          <w:sz w:val="20"/>
          <w:szCs w:val="20"/>
          <w:color w:val="auto"/>
        </w:rPr>
      </w:pPr>
    </w:p>
    <w:p>
      <w:pPr>
        <w:jc w:val="both"/>
        <w:ind w:left="7" w:firstLine="279"/>
        <w:spacing w:after="0" w:line="297" w:lineRule="auto"/>
        <w:rPr>
          <w:sz w:val="20"/>
          <w:szCs w:val="20"/>
          <w:color w:val="auto"/>
        </w:rPr>
      </w:pPr>
      <w:r>
        <w:rPr>
          <w:rFonts w:ascii="Arial" w:cs="Arial" w:eastAsia="Arial" w:hAnsi="Arial"/>
          <w:sz w:val="14"/>
          <w:szCs w:val="14"/>
          <w:color w:val="auto"/>
        </w:rPr>
        <w:t xml:space="preserve">In June 2016, the FASB issued ASU No. 2016-13, </w:t>
      </w:r>
      <w:r>
        <w:rPr>
          <w:rFonts w:ascii="Arial" w:cs="Arial" w:eastAsia="Arial" w:hAnsi="Arial"/>
          <w:sz w:val="14"/>
          <w:szCs w:val="14"/>
          <w:i w:val="1"/>
          <w:iCs w:val="1"/>
          <w:color w:val="auto"/>
        </w:rPr>
        <w:t>Measurement of Credit Losses on Financial Statements</w:t>
      </w:r>
      <w:r>
        <w:rPr>
          <w:rFonts w:ascii="Arial" w:cs="Arial" w:eastAsia="Arial" w:hAnsi="Arial"/>
          <w:sz w:val="14"/>
          <w:szCs w:val="14"/>
          <w:color w:val="auto"/>
        </w:rPr>
        <w:t xml:space="preserve"> (</w:t>
      </w:r>
      <w:r>
        <w:rPr>
          <w:rFonts w:ascii="Arial" w:cs="Arial" w:eastAsia="Arial" w:hAnsi="Arial"/>
          <w:sz w:val="14"/>
          <w:szCs w:val="14"/>
          <w:b w:val="1"/>
          <w:bCs w:val="1"/>
          <w:color w:val="auto"/>
        </w:rPr>
        <w:t>ASU 2016-13</w:t>
      </w:r>
      <w:r>
        <w:rPr>
          <w:rFonts w:ascii="Arial" w:cs="Arial" w:eastAsia="Arial" w:hAnsi="Arial"/>
          <w:sz w:val="14"/>
          <w:szCs w:val="14"/>
          <w:color w:val="auto"/>
        </w:rPr>
        <w:t>), which changes the recognition model for credit losses related to assets held at amortized cost. ASU 2016-13 eliminates the threshold that a loss must be considered probable to recognize a credit loss and instead requires an entity to reflect its current estimate of lifetime expected credit losses. We adopted ASU 2016-13 on January 1, 2020 on a modified retrospective basis by recording a cumulative effect adjustment of $30.3 million to our accumulated earnings related to increases to our allowances for certain trade and notes receivable.</w:t>
      </w:r>
    </w:p>
    <w:p>
      <w:pPr>
        <w:spacing w:after="0" w:line="140" w:lineRule="exact"/>
        <w:rPr>
          <w:sz w:val="20"/>
          <w:szCs w:val="20"/>
          <w:color w:val="auto"/>
        </w:rPr>
      </w:pPr>
    </w:p>
    <w:p>
      <w:pPr>
        <w:ind w:left="147"/>
        <w:spacing w:after="0"/>
        <w:rPr>
          <w:sz w:val="20"/>
          <w:szCs w:val="20"/>
          <w:color w:val="auto"/>
        </w:rPr>
      </w:pPr>
      <w:r>
        <w:rPr>
          <w:rFonts w:ascii="Arial" w:cs="Arial" w:eastAsia="Arial" w:hAnsi="Arial"/>
          <w:sz w:val="16"/>
          <w:szCs w:val="16"/>
          <w:b w:val="1"/>
          <w:bCs w:val="1"/>
          <w:i w:val="1"/>
          <w:iCs w:val="1"/>
          <w:color w:val="auto"/>
        </w:rPr>
        <w:t>Recent Accounting Pronouncements</w:t>
      </w:r>
    </w:p>
    <w:p>
      <w:pPr>
        <w:spacing w:after="0" w:line="188" w:lineRule="exact"/>
        <w:rPr>
          <w:sz w:val="20"/>
          <w:szCs w:val="20"/>
          <w:color w:val="auto"/>
        </w:rPr>
      </w:pPr>
    </w:p>
    <w:p>
      <w:pPr>
        <w:ind w:left="287"/>
        <w:spacing w:after="0"/>
        <w:rPr>
          <w:sz w:val="20"/>
          <w:szCs w:val="20"/>
          <w:color w:val="auto"/>
        </w:rPr>
      </w:pPr>
      <w:r>
        <w:rPr>
          <w:rFonts w:ascii="Arial" w:cs="Arial" w:eastAsia="Arial" w:hAnsi="Arial"/>
          <w:sz w:val="16"/>
          <w:szCs w:val="16"/>
          <w:i w:val="1"/>
          <w:iCs w:val="1"/>
          <w:color w:val="auto"/>
        </w:rPr>
        <w:t>ASU 2019-12</w:t>
      </w:r>
    </w:p>
    <w:p>
      <w:pPr>
        <w:spacing w:after="0" w:line="182" w:lineRule="exact"/>
        <w:rPr>
          <w:sz w:val="20"/>
          <w:szCs w:val="20"/>
          <w:color w:val="auto"/>
        </w:rPr>
      </w:pPr>
    </w:p>
    <w:p>
      <w:pPr>
        <w:jc w:val="both"/>
        <w:ind w:left="7" w:firstLine="279"/>
        <w:spacing w:after="0" w:line="292" w:lineRule="auto"/>
        <w:rPr>
          <w:sz w:val="20"/>
          <w:szCs w:val="20"/>
          <w:color w:val="auto"/>
        </w:rPr>
      </w:pPr>
      <w:r>
        <w:rPr>
          <w:rFonts w:ascii="Arial" w:cs="Arial" w:eastAsia="Arial" w:hAnsi="Arial"/>
          <w:sz w:val="14"/>
          <w:szCs w:val="14"/>
          <w:color w:val="auto"/>
        </w:rPr>
        <w:t xml:space="preserve">In December 2019, the FASB issued ASU No. 2019-12, </w:t>
      </w:r>
      <w:r>
        <w:rPr>
          <w:rFonts w:ascii="Arial" w:cs="Arial" w:eastAsia="Arial" w:hAnsi="Arial"/>
          <w:sz w:val="14"/>
          <w:szCs w:val="14"/>
          <w:i w:val="1"/>
          <w:iCs w:val="1"/>
          <w:color w:val="auto"/>
        </w:rPr>
        <w:t>Simplifying the Accounting for Income Taxes (</w:t>
      </w:r>
      <w:r>
        <w:rPr>
          <w:rFonts w:ascii="Arial" w:cs="Arial" w:eastAsia="Arial" w:hAnsi="Arial"/>
          <w:sz w:val="14"/>
          <w:szCs w:val="14"/>
          <w:b w:val="1"/>
          <w:bCs w:val="1"/>
          <w:color w:val="auto"/>
        </w:rPr>
        <w:t>ASU 2019-12</w:t>
      </w:r>
      <w:r>
        <w:rPr>
          <w:rFonts w:ascii="Arial" w:cs="Arial" w:eastAsia="Arial" w:hAnsi="Arial"/>
          <w:sz w:val="14"/>
          <w:szCs w:val="14"/>
          <w:color w:val="auto"/>
        </w:rPr>
        <w:t>), which is intended to improve consistency and simplify several areas of existing guidance. ASU 2019-12 removes certain exceptions to the general principles related to the approach for intraperiod tax allocation, the methodology for calculating income taxes in an interim period and the recognition of deferred tax liabilities for outside basis differences. The new guidance also clarifies the accounting for transactions that result in a step-up in the tax basis of goodwill. ASU 2019-12 is effective for annual reporting periods beginning after December 15, 2020, including interim periods within those fiscal years, with early adoption permitted. We are currently evaluating the effect that ASU 2019-12 will have on our consolidated financial statements.</w:t>
      </w:r>
    </w:p>
    <w:p>
      <w:pPr>
        <w:spacing w:after="0" w:line="330"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67"/>
          </w:cols>
          <w:pgMar w:left="313" w:top="263" w:right="319" w:bottom="1440" w:gutter="0" w:footer="0" w:header="0"/>
        </w:sectPr>
      </w:pPr>
    </w:p>
    <w:bookmarkStart w:id="12" w:name="page13"/>
    <w:bookmarkEnd w:id="12"/>
    <w:p>
      <w:pPr>
        <w:jc w:val="center"/>
        <w:ind w:right="-6"/>
        <w:spacing w:after="0"/>
        <w:rPr>
          <w:sz w:val="20"/>
          <w:szCs w:val="20"/>
          <w:color w:val="auto"/>
        </w:rPr>
      </w:pPr>
      <w:r>
        <w:rPr>
          <w:rFonts w:ascii="Arial" w:cs="Arial" w:eastAsia="Arial" w:hAnsi="Arial"/>
          <w:sz w:val="16"/>
          <w:szCs w:val="16"/>
          <w:b w:val="1"/>
          <w:bCs w:val="1"/>
          <w:color w:val="auto"/>
        </w:rPr>
        <w:t>LIBERTY GLOBAL PLC</w:t>
      </w:r>
    </w:p>
    <w:p>
      <w:pPr>
        <w:spacing w:after="0" w:line="18"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Notes to Condensed Consolidated Financial Statements — (Continued)</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June 30, 2020</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98" w:lineRule="exact"/>
        <w:rPr>
          <w:sz w:val="20"/>
          <w:szCs w:val="20"/>
          <w:color w:val="auto"/>
        </w:rPr>
      </w:pPr>
    </w:p>
    <w:p>
      <w:pPr>
        <w:ind w:left="327" w:hanging="327"/>
        <w:spacing w:after="0"/>
        <w:tabs>
          <w:tab w:leader="none" w:pos="327"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Revenue Recognition and Related Costs</w:t>
      </w:r>
    </w:p>
    <w:p>
      <w:pPr>
        <w:spacing w:after="0" w:line="194" w:lineRule="exact"/>
        <w:rPr>
          <w:sz w:val="20"/>
          <w:szCs w:val="20"/>
          <w:color w:val="auto"/>
        </w:rPr>
      </w:pPr>
    </w:p>
    <w:p>
      <w:pPr>
        <w:ind w:left="147"/>
        <w:spacing w:after="0"/>
        <w:rPr>
          <w:sz w:val="20"/>
          <w:szCs w:val="20"/>
          <w:color w:val="auto"/>
        </w:rPr>
      </w:pPr>
      <w:r>
        <w:rPr>
          <w:rFonts w:ascii="Arial" w:cs="Arial" w:eastAsia="Arial" w:hAnsi="Arial"/>
          <w:sz w:val="16"/>
          <w:szCs w:val="16"/>
          <w:b w:val="1"/>
          <w:bCs w:val="1"/>
          <w:i w:val="1"/>
          <w:iCs w:val="1"/>
          <w:color w:val="auto"/>
        </w:rPr>
        <w:t>Contract Balances</w:t>
      </w:r>
    </w:p>
    <w:p>
      <w:pPr>
        <w:spacing w:after="0" w:line="188" w:lineRule="exact"/>
        <w:rPr>
          <w:sz w:val="20"/>
          <w:szCs w:val="20"/>
          <w:color w:val="auto"/>
        </w:rPr>
      </w:pPr>
    </w:p>
    <w:p>
      <w:pPr>
        <w:jc w:val="both"/>
        <w:ind w:left="7" w:right="20" w:firstLine="279"/>
        <w:spacing w:after="0" w:line="250" w:lineRule="auto"/>
        <w:rPr>
          <w:sz w:val="20"/>
          <w:szCs w:val="20"/>
          <w:color w:val="auto"/>
        </w:rPr>
      </w:pPr>
      <w:r>
        <w:rPr>
          <w:rFonts w:ascii="Arial" w:cs="Arial" w:eastAsia="Arial" w:hAnsi="Arial"/>
          <w:sz w:val="16"/>
          <w:szCs w:val="16"/>
          <w:color w:val="auto"/>
        </w:rPr>
        <w:t>The timing of our recognition of revenue may differ from the timing of invoicing our customers. We record a trade receivable when we have transferred goods or services to a customer but have not yet received payment. Our trade receivables are reported net of an allowance for doubtful accounts. Such allowance aggregated $21.4 million and $42.8 million at June 30, 2020 and December 31, 2019, respectively.</w:t>
      </w:r>
    </w:p>
    <w:p>
      <w:pPr>
        <w:spacing w:after="0" w:line="170" w:lineRule="exact"/>
        <w:rPr>
          <w:sz w:val="20"/>
          <w:szCs w:val="20"/>
          <w:color w:val="auto"/>
        </w:rPr>
      </w:pPr>
    </w:p>
    <w:p>
      <w:pPr>
        <w:jc w:val="both"/>
        <w:ind w:left="7" w:firstLine="279"/>
        <w:spacing w:after="0" w:line="248" w:lineRule="auto"/>
        <w:rPr>
          <w:sz w:val="20"/>
          <w:szCs w:val="20"/>
          <w:color w:val="auto"/>
        </w:rPr>
      </w:pPr>
      <w:r>
        <w:rPr>
          <w:rFonts w:ascii="Arial" w:cs="Arial" w:eastAsia="Arial" w:hAnsi="Arial"/>
          <w:sz w:val="16"/>
          <w:szCs w:val="16"/>
          <w:color w:val="auto"/>
        </w:rPr>
        <w:t>If we transfer goods or services to a customer but do not have an unconditional right to payment, we record a contract asset. Contract assets typically arise from the uniform recognition of introductory promotional discounts over the contract period and accrued revenue for handset sales. Our contract assets were $13.7 million and $30.6 million as of June 30, 2020 and December 31, 2019, respectively. The current and long-term portions of our contract asset balances are included within other current assets and other assets, net, respectively, on our condensed consolidated balance sheets.</w:t>
      </w:r>
    </w:p>
    <w:p>
      <w:pPr>
        <w:spacing w:after="0" w:line="170" w:lineRule="exact"/>
        <w:rPr>
          <w:sz w:val="20"/>
          <w:szCs w:val="20"/>
          <w:color w:val="auto"/>
        </w:rPr>
      </w:pPr>
    </w:p>
    <w:p>
      <w:pPr>
        <w:jc w:val="both"/>
        <w:ind w:left="7" w:firstLine="279"/>
        <w:spacing w:after="0" w:line="287" w:lineRule="auto"/>
        <w:rPr>
          <w:sz w:val="20"/>
          <w:szCs w:val="20"/>
          <w:color w:val="auto"/>
        </w:rPr>
      </w:pPr>
      <w:r>
        <w:rPr>
          <w:rFonts w:ascii="Arial" w:cs="Arial" w:eastAsia="Arial" w:hAnsi="Arial"/>
          <w:sz w:val="14"/>
          <w:szCs w:val="14"/>
          <w:color w:val="auto"/>
        </w:rPr>
        <w:t>We record deferred revenue when we receive payment prior to transferring goods or services to a customer. We primarily defer revenue for (i) installation and other upfront services and (ii) other services that are invoiced prior to when services are provided. Our deferred revenue balances were $332.8 million and $867.1 million as of June 30, 2020 and December 31, 2019, respectively. The decrease in deferred revenue for the six months ended June 30, 2020 is primarily due to the net effect of (a) the recognition of $587.0 million of revenue that was included in our deferred revenue balance at December 31, 2019, (b) $459.6 million of deferred revenue related to the U.K. JV Entities that was reclassified to liabilities associated with assets held for sale and (c) advanced billings in certain markets. The long-term portions of our deferred revenue balances are included within other long-term liabilities on our condensed consolidated balance sheets.</w:t>
      </w:r>
    </w:p>
    <w:p>
      <w:pPr>
        <w:spacing w:after="0" w:line="148" w:lineRule="exact"/>
        <w:rPr>
          <w:sz w:val="20"/>
          <w:szCs w:val="20"/>
          <w:color w:val="auto"/>
        </w:rPr>
      </w:pPr>
    </w:p>
    <w:p>
      <w:pPr>
        <w:ind w:left="147"/>
        <w:spacing w:after="0"/>
        <w:rPr>
          <w:sz w:val="20"/>
          <w:szCs w:val="20"/>
          <w:color w:val="auto"/>
        </w:rPr>
      </w:pPr>
      <w:r>
        <w:rPr>
          <w:rFonts w:ascii="Arial" w:cs="Arial" w:eastAsia="Arial" w:hAnsi="Arial"/>
          <w:sz w:val="16"/>
          <w:szCs w:val="16"/>
          <w:b w:val="1"/>
          <w:bCs w:val="1"/>
          <w:i w:val="1"/>
          <w:iCs w:val="1"/>
          <w:color w:val="auto"/>
        </w:rPr>
        <w:t>Contract Costs</w:t>
      </w:r>
    </w:p>
    <w:p>
      <w:pPr>
        <w:spacing w:after="0" w:line="188" w:lineRule="exact"/>
        <w:rPr>
          <w:sz w:val="20"/>
          <w:szCs w:val="20"/>
          <w:color w:val="auto"/>
        </w:rPr>
      </w:pPr>
    </w:p>
    <w:p>
      <w:pPr>
        <w:jc w:val="both"/>
        <w:ind w:left="7" w:firstLine="279"/>
        <w:spacing w:after="0" w:line="294" w:lineRule="auto"/>
        <w:rPr>
          <w:sz w:val="20"/>
          <w:szCs w:val="20"/>
          <w:color w:val="auto"/>
        </w:rPr>
      </w:pPr>
      <w:r>
        <w:rPr>
          <w:rFonts w:ascii="Arial" w:cs="Arial" w:eastAsia="Arial" w:hAnsi="Arial"/>
          <w:sz w:val="14"/>
          <w:szCs w:val="14"/>
          <w:color w:val="auto"/>
        </w:rPr>
        <w:t>Our aggregate assets associated with incremental costs to obtain and fulfill our contracts were $22.3 million and $92.6 million at June 30, 2020 and December 31, 2019, respectively. The current and long-term portions of our assets related to contract costs are included within other current assets and other assets, net, respectively, on our condensed consolidated balance sheets. We amortized $31.9 million and $69.6 million during the three and six months ended June 30, 2020, respectively, and $24.3 million and $48.7 million during the three and six months ended June 30, 2019, respectively, to operating costs and expenses related to these assets.</w:t>
      </w:r>
    </w:p>
    <w:p>
      <w:pPr>
        <w:spacing w:after="0" w:line="142" w:lineRule="exact"/>
        <w:rPr>
          <w:sz w:val="20"/>
          <w:szCs w:val="20"/>
          <w:color w:val="auto"/>
        </w:rPr>
      </w:pPr>
    </w:p>
    <w:p>
      <w:pPr>
        <w:ind w:left="147"/>
        <w:spacing w:after="0"/>
        <w:rPr>
          <w:sz w:val="20"/>
          <w:szCs w:val="20"/>
          <w:color w:val="auto"/>
        </w:rPr>
      </w:pPr>
      <w:r>
        <w:rPr>
          <w:rFonts w:ascii="Arial" w:cs="Arial" w:eastAsia="Arial" w:hAnsi="Arial"/>
          <w:sz w:val="16"/>
          <w:szCs w:val="16"/>
          <w:b w:val="1"/>
          <w:bCs w:val="1"/>
          <w:i w:val="1"/>
          <w:iCs w:val="1"/>
          <w:color w:val="auto"/>
        </w:rPr>
        <w:t>Unsatisfied Performance Obligations</w:t>
      </w:r>
    </w:p>
    <w:p>
      <w:pPr>
        <w:spacing w:after="0" w:line="188" w:lineRule="exact"/>
        <w:rPr>
          <w:sz w:val="20"/>
          <w:szCs w:val="20"/>
          <w:color w:val="auto"/>
        </w:rPr>
      </w:pPr>
    </w:p>
    <w:p>
      <w:pPr>
        <w:jc w:val="both"/>
        <w:ind w:left="7" w:right="20" w:firstLine="279"/>
        <w:spacing w:after="0" w:line="250" w:lineRule="auto"/>
        <w:rPr>
          <w:sz w:val="20"/>
          <w:szCs w:val="20"/>
          <w:color w:val="auto"/>
        </w:rPr>
      </w:pPr>
      <w:r>
        <w:rPr>
          <w:rFonts w:ascii="Arial" w:cs="Arial" w:eastAsia="Arial" w:hAnsi="Arial"/>
          <w:sz w:val="16"/>
          <w:szCs w:val="16"/>
          <w:color w:val="auto"/>
        </w:rPr>
        <w:t>A large portion of our revenue is derived from customers who are not subject to contracts. Revenue from customers who are subject to contracts is generally recognized over the term of such contracts, which is typically 12 months for our residential service contracts, one to three years for our mobile service contracts and one to five years for our B2B service contracts.</w:t>
      </w:r>
    </w:p>
    <w:p>
      <w:pPr>
        <w:spacing w:after="0" w:line="164" w:lineRule="exact"/>
        <w:rPr>
          <w:sz w:val="20"/>
          <w:szCs w:val="20"/>
          <w:color w:val="auto"/>
        </w:rPr>
      </w:pPr>
    </w:p>
    <w:p>
      <w:pPr>
        <w:ind w:left="327" w:hanging="327"/>
        <w:spacing w:after="0"/>
        <w:tabs>
          <w:tab w:leader="none" w:pos="327"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Acquisitions and Dispositions</w:t>
      </w:r>
    </w:p>
    <w:p>
      <w:pPr>
        <w:spacing w:after="0" w:line="194" w:lineRule="exact"/>
        <w:rPr>
          <w:sz w:val="20"/>
          <w:szCs w:val="20"/>
          <w:color w:val="auto"/>
        </w:rPr>
      </w:pPr>
    </w:p>
    <w:p>
      <w:pPr>
        <w:ind w:left="147"/>
        <w:spacing w:after="0"/>
        <w:rPr>
          <w:sz w:val="20"/>
          <w:szCs w:val="20"/>
          <w:color w:val="auto"/>
        </w:rPr>
      </w:pPr>
      <w:r>
        <w:rPr>
          <w:rFonts w:ascii="Arial" w:cs="Arial" w:eastAsia="Arial" w:hAnsi="Arial"/>
          <w:sz w:val="16"/>
          <w:szCs w:val="16"/>
          <w:b w:val="1"/>
          <w:bCs w:val="1"/>
          <w:i w:val="1"/>
          <w:iCs w:val="1"/>
          <w:color w:val="auto"/>
        </w:rPr>
        <w:t>Pending Joint Venture Transaction</w:t>
      </w:r>
    </w:p>
    <w:p>
      <w:pPr>
        <w:spacing w:after="0" w:line="182" w:lineRule="exact"/>
        <w:rPr>
          <w:sz w:val="20"/>
          <w:szCs w:val="20"/>
          <w:color w:val="auto"/>
        </w:rPr>
      </w:pPr>
    </w:p>
    <w:p>
      <w:pPr>
        <w:jc w:val="both"/>
        <w:ind w:left="7" w:firstLine="279"/>
        <w:spacing w:after="0" w:line="250" w:lineRule="auto"/>
        <w:rPr>
          <w:sz w:val="20"/>
          <w:szCs w:val="20"/>
          <w:color w:val="auto"/>
        </w:rPr>
      </w:pPr>
      <w:r>
        <w:rPr>
          <w:rFonts w:ascii="Arial" w:cs="Arial" w:eastAsia="Arial" w:hAnsi="Arial"/>
          <w:sz w:val="16"/>
          <w:szCs w:val="16"/>
          <w:color w:val="auto"/>
        </w:rPr>
        <w:t xml:space="preserve">On May 7, 2020, we entered into a Contribution Agreement (the </w:t>
      </w:r>
      <w:r>
        <w:rPr>
          <w:rFonts w:ascii="Arial" w:cs="Arial" w:eastAsia="Arial" w:hAnsi="Arial"/>
          <w:sz w:val="16"/>
          <w:szCs w:val="16"/>
          <w:b w:val="1"/>
          <w:bCs w:val="1"/>
          <w:color w:val="auto"/>
        </w:rPr>
        <w:t>Contribution Agreement</w:t>
      </w:r>
      <w:r>
        <w:rPr>
          <w:rFonts w:ascii="Arial" w:cs="Arial" w:eastAsia="Arial" w:hAnsi="Arial"/>
          <w:sz w:val="16"/>
          <w:szCs w:val="16"/>
          <w:color w:val="auto"/>
        </w:rPr>
        <w:t>) with, among others, Telefonica SA (</w:t>
      </w:r>
      <w:r>
        <w:rPr>
          <w:rFonts w:ascii="Arial" w:cs="Arial" w:eastAsia="Arial" w:hAnsi="Arial"/>
          <w:sz w:val="16"/>
          <w:szCs w:val="16"/>
          <w:b w:val="1"/>
          <w:bCs w:val="1"/>
          <w:color w:val="auto"/>
        </w:rPr>
        <w:t>Telefonica</w:t>
      </w:r>
      <w:r>
        <w:rPr>
          <w:rFonts w:ascii="Arial" w:cs="Arial" w:eastAsia="Arial" w:hAnsi="Arial"/>
          <w:sz w:val="16"/>
          <w:szCs w:val="16"/>
          <w:color w:val="auto"/>
        </w:rPr>
        <w:t xml:space="preserve">). Pursuant to the Contribution Agreement, Liberty Global and Telefonica agreed to form a 50:50 joint venture (the </w:t>
      </w:r>
      <w:r>
        <w:rPr>
          <w:rFonts w:ascii="Arial" w:cs="Arial" w:eastAsia="Arial" w:hAnsi="Arial"/>
          <w:sz w:val="16"/>
          <w:szCs w:val="16"/>
          <w:b w:val="1"/>
          <w:bCs w:val="1"/>
          <w:color w:val="auto"/>
        </w:rPr>
        <w:t>U.K. JV</w:t>
      </w:r>
      <w:r>
        <w:rPr>
          <w:rFonts w:ascii="Arial" w:cs="Arial" w:eastAsia="Arial" w:hAnsi="Arial"/>
          <w:sz w:val="16"/>
          <w:szCs w:val="16"/>
          <w:color w:val="auto"/>
        </w:rPr>
        <w:t xml:space="preserve">), which will combine Virgin Media’s operations in the U.K. (the </w:t>
      </w:r>
      <w:r>
        <w:rPr>
          <w:rFonts w:ascii="Arial" w:cs="Arial" w:eastAsia="Arial" w:hAnsi="Arial"/>
          <w:sz w:val="16"/>
          <w:szCs w:val="16"/>
          <w:b w:val="1"/>
          <w:bCs w:val="1"/>
          <w:color w:val="auto"/>
        </w:rPr>
        <w:t>U.K. JV Entities</w:t>
      </w:r>
      <w:r>
        <w:rPr>
          <w:rFonts w:ascii="Arial" w:cs="Arial" w:eastAsia="Arial" w:hAnsi="Arial"/>
          <w:sz w:val="16"/>
          <w:szCs w:val="16"/>
          <w:color w:val="auto"/>
        </w:rPr>
        <w:t>) with Telefonica’s mobile business in the U.K. to create a nationwide integrated communications provider. In our segment presentation, the U.K. JV Entities are included in our U.K./Ireland segment.</w:t>
      </w:r>
    </w:p>
    <w:p>
      <w:pPr>
        <w:spacing w:after="0" w:line="170" w:lineRule="exact"/>
        <w:rPr>
          <w:sz w:val="20"/>
          <w:szCs w:val="20"/>
          <w:color w:val="auto"/>
        </w:rPr>
      </w:pPr>
    </w:p>
    <w:p>
      <w:pPr>
        <w:jc w:val="both"/>
        <w:ind w:left="7" w:firstLine="279"/>
        <w:spacing w:after="0" w:line="250" w:lineRule="auto"/>
        <w:rPr>
          <w:sz w:val="20"/>
          <w:szCs w:val="20"/>
          <w:color w:val="auto"/>
        </w:rPr>
      </w:pPr>
      <w:r>
        <w:rPr>
          <w:rFonts w:ascii="Arial" w:cs="Arial" w:eastAsia="Arial" w:hAnsi="Arial"/>
          <w:sz w:val="16"/>
          <w:szCs w:val="16"/>
          <w:color w:val="auto"/>
        </w:rPr>
        <w:t>In connection with the transaction, we expect to complete certain recapitalization financings prior to closing. The outstanding third-party debt associated with the U.K. JV Entities will be contributed in full to the U.K. JV, and Telefonica’s business in the U.K. will be contributed on a debt-free basis. The transaction will not trigger a change of control under Virgin Media’s debt agreements.</w:t>
      </w:r>
    </w:p>
    <w:p>
      <w:pPr>
        <w:spacing w:after="0" w:line="356"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67"/>
          </w:cols>
          <w:pgMar w:left="313" w:top="263" w:right="319" w:bottom="1440" w:gutter="0" w:footer="0" w:header="0"/>
        </w:sectPr>
      </w:pPr>
    </w:p>
    <w:bookmarkStart w:id="13" w:name="page14"/>
    <w:bookmarkEnd w:id="13"/>
    <w:p>
      <w:pPr>
        <w:jc w:val="center"/>
        <w:ind w:right="-6"/>
        <w:spacing w:after="0"/>
        <w:rPr>
          <w:sz w:val="20"/>
          <w:szCs w:val="20"/>
          <w:color w:val="auto"/>
        </w:rPr>
      </w:pPr>
      <w:r>
        <w:rPr>
          <w:rFonts w:ascii="Arial" w:cs="Arial" w:eastAsia="Arial" w:hAnsi="Arial"/>
          <w:sz w:val="16"/>
          <w:szCs w:val="16"/>
          <w:b w:val="1"/>
          <w:bCs w:val="1"/>
          <w:color w:val="auto"/>
        </w:rPr>
        <w:t>LIBERTY GLOBAL PLC</w:t>
      </w:r>
    </w:p>
    <w:p>
      <w:pPr>
        <w:spacing w:after="0" w:line="18"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Notes to Condensed Consolidated Financial Statements — (Continued)</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June 30, 2020</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jc w:val="both"/>
        <w:ind w:left="7" w:right="20" w:firstLine="279"/>
        <w:spacing w:after="0" w:line="258" w:lineRule="auto"/>
        <w:rPr>
          <w:sz w:val="20"/>
          <w:szCs w:val="20"/>
          <w:color w:val="auto"/>
        </w:rPr>
      </w:pPr>
      <w:r>
        <w:rPr>
          <w:rFonts w:ascii="Arial" w:cs="Arial" w:eastAsia="Arial" w:hAnsi="Arial"/>
          <w:sz w:val="16"/>
          <w:szCs w:val="16"/>
          <w:color w:val="auto"/>
        </w:rPr>
        <w:t>Effectively all of Liberty Global’s U.K. tax capital allowances and tax loss carryforwards, which primarily resulted from prior infrastructure investments, reside in the U.K. JV Entities and, therefore, will be available for use solely within the U.K. JV upon the closing of the transaction.</w:t>
      </w:r>
    </w:p>
    <w:p>
      <w:pPr>
        <w:spacing w:after="0" w:line="163" w:lineRule="exact"/>
        <w:rPr>
          <w:sz w:val="20"/>
          <w:szCs w:val="20"/>
          <w:color w:val="auto"/>
        </w:rPr>
      </w:pPr>
    </w:p>
    <w:p>
      <w:pPr>
        <w:jc w:val="both"/>
        <w:ind w:left="7" w:firstLine="279"/>
        <w:spacing w:after="0" w:line="303" w:lineRule="auto"/>
        <w:rPr>
          <w:sz w:val="20"/>
          <w:szCs w:val="20"/>
          <w:color w:val="auto"/>
        </w:rPr>
      </w:pPr>
      <w:r>
        <w:rPr>
          <w:rFonts w:ascii="Arial" w:cs="Arial" w:eastAsia="Arial" w:hAnsi="Arial"/>
          <w:sz w:val="14"/>
          <w:szCs w:val="14"/>
          <w:color w:val="auto"/>
        </w:rPr>
        <w:t>At closing, we expect to pay Telefonica an equalization payment estimated to be approximately £2.5 billion ($3.1 billion), as adjusted for debt and debt-like items and certain working capital and other adjustments. After taking into account the recapitalizations and the equalization payment, Liberty Global is expected to receive an estimated £1.4 billion ($1.7 billion) in total, including approximately £800 million ($1.0 billion) from the recapitalization of Virgin Media’s retained and 100.0% owned Ireland business.</w:t>
      </w:r>
    </w:p>
    <w:p>
      <w:pPr>
        <w:spacing w:after="0" w:line="135" w:lineRule="exact"/>
        <w:rPr>
          <w:sz w:val="20"/>
          <w:szCs w:val="20"/>
          <w:color w:val="auto"/>
        </w:rPr>
      </w:pPr>
    </w:p>
    <w:p>
      <w:pPr>
        <w:jc w:val="both"/>
        <w:ind w:left="7" w:right="20" w:firstLine="279"/>
        <w:spacing w:after="0" w:line="258" w:lineRule="auto"/>
        <w:rPr>
          <w:sz w:val="20"/>
          <w:szCs w:val="20"/>
          <w:color w:val="auto"/>
        </w:rPr>
      </w:pPr>
      <w:r>
        <w:rPr>
          <w:rFonts w:ascii="Arial" w:cs="Arial" w:eastAsia="Arial" w:hAnsi="Arial"/>
          <w:sz w:val="16"/>
          <w:szCs w:val="16"/>
          <w:color w:val="auto"/>
        </w:rPr>
        <w:t>Pursuant to the framework agreement that we expect to enter into in connection with the closing of the U.K. JV, our company and Telefonica will provide certain services to the U.K. JV. The annual charges to the U.K. JV will ultimately depend on the actual level of services required by the U.K. JV.</w:t>
      </w:r>
    </w:p>
    <w:p>
      <w:pPr>
        <w:spacing w:after="0" w:line="163" w:lineRule="exact"/>
        <w:rPr>
          <w:sz w:val="20"/>
          <w:szCs w:val="20"/>
          <w:color w:val="auto"/>
        </w:rPr>
      </w:pPr>
    </w:p>
    <w:p>
      <w:pPr>
        <w:jc w:val="both"/>
        <w:ind w:left="7" w:firstLine="279"/>
        <w:spacing w:after="0" w:line="248" w:lineRule="auto"/>
        <w:rPr>
          <w:sz w:val="20"/>
          <w:szCs w:val="20"/>
          <w:color w:val="auto"/>
        </w:rPr>
      </w:pPr>
      <w:r>
        <w:rPr>
          <w:rFonts w:ascii="Arial" w:cs="Arial" w:eastAsia="Arial" w:hAnsi="Arial"/>
          <w:sz w:val="16"/>
          <w:szCs w:val="16"/>
          <w:color w:val="auto"/>
        </w:rPr>
        <w:t>The U.K. JV intends to distribute available cash to the shareholders periodically and is expected to undertake periodic further recapitalizations, subject to market and operating conditions, to maintain a target net leverage ratio ranging between 4.0 and 5.0 times EBITDA (as defined in the applicable shareholders’ agreement). Our company will retain the cash generated by the operations of the U.K. JV Entities through the closing date and is required to fund any deficit in the associated defined pension plans that arise from the next triennial actuarial valuation.</w:t>
      </w:r>
    </w:p>
    <w:p>
      <w:pPr>
        <w:spacing w:after="0" w:line="170" w:lineRule="exact"/>
        <w:rPr>
          <w:sz w:val="20"/>
          <w:szCs w:val="20"/>
          <w:color w:val="auto"/>
        </w:rPr>
      </w:pPr>
    </w:p>
    <w:p>
      <w:pPr>
        <w:jc w:val="both"/>
        <w:ind w:left="7" w:firstLine="279"/>
        <w:spacing w:after="0" w:line="248" w:lineRule="auto"/>
        <w:rPr>
          <w:sz w:val="20"/>
          <w:szCs w:val="20"/>
          <w:color w:val="auto"/>
        </w:rPr>
      </w:pPr>
      <w:r>
        <w:rPr>
          <w:rFonts w:ascii="Arial" w:cs="Arial" w:eastAsia="Arial" w:hAnsi="Arial"/>
          <w:sz w:val="16"/>
          <w:szCs w:val="16"/>
          <w:color w:val="auto"/>
        </w:rPr>
        <w:t>The consummation of the transaction contemplated by the Contribution Agreement is subject to certain conditions, including competition clearance by the applicable regulatory authorities. The Contribution Agreement also includes customary termination rights, including a right of the parties to terminate the agreement if the transaction has not closed within 24 months following the date of the Contribution Agreement, which may be extended by six months under certain circumstances. Following completion of the transaction, we expect to account for our 50% interest in the U.K. JV as an equity method investment.</w:t>
      </w:r>
    </w:p>
    <w:p>
      <w:pPr>
        <w:spacing w:after="0" w:line="170" w:lineRule="exact"/>
        <w:rPr>
          <w:sz w:val="20"/>
          <w:szCs w:val="20"/>
          <w:color w:val="auto"/>
        </w:rPr>
      </w:pPr>
    </w:p>
    <w:p>
      <w:pPr>
        <w:jc w:val="both"/>
        <w:ind w:left="7" w:firstLine="279"/>
        <w:spacing w:after="0" w:line="248" w:lineRule="auto"/>
        <w:rPr>
          <w:sz w:val="20"/>
          <w:szCs w:val="20"/>
          <w:color w:val="auto"/>
        </w:rPr>
      </w:pPr>
      <w:r>
        <w:rPr>
          <w:rFonts w:ascii="Arial" w:cs="Arial" w:eastAsia="Arial" w:hAnsi="Arial"/>
          <w:sz w:val="16"/>
          <w:szCs w:val="16"/>
          <w:color w:val="auto"/>
        </w:rPr>
        <w:t>Effective with the signing of the Contribution Agreement, we began accounting for the U.K. JV Entities as held for sale. Accordingly, we ceased to depreciate or amortize the long-lived assets of the U.K. JV Entities. We have not presented the U.K. JV Entities as a discontinued operation as this transaction does not represent a strategic shift that will have a major effect on our financial results or operations. The carrying amounts of the major classes of assets and liabilities that are classified as held for sale at June 30, 2020 are summarized below (in millions):</w:t>
      </w:r>
    </w:p>
    <w:p>
      <w:pPr>
        <w:spacing w:after="0" w:line="124" w:lineRule="exact"/>
        <w:rPr>
          <w:sz w:val="20"/>
          <w:szCs w:val="20"/>
          <w:color w:val="auto"/>
        </w:rPr>
      </w:pPr>
    </w:p>
    <w:tbl>
      <w:tblPr>
        <w:tblLayout w:type="fixed"/>
        <w:tblInd w:w="67" w:type="dxa"/>
        <w:tblCellMar>
          <w:top w:w="0" w:type="dxa"/>
          <w:left w:w="0" w:type="dxa"/>
          <w:bottom w:w="0" w:type="dxa"/>
          <w:right w:w="0" w:type="dxa"/>
        </w:tblCellMar>
      </w:tblPr>
      <w:tr>
        <w:trPr>
          <w:trHeight w:val="196"/>
        </w:trPr>
        <w:tc>
          <w:tcPr>
            <w:tcW w:w="9480" w:type="dxa"/>
            <w:vAlign w:val="bottom"/>
          </w:tcPr>
          <w:p>
            <w:pPr>
              <w:ind w:left="20"/>
              <w:spacing w:after="0"/>
              <w:rPr>
                <w:sz w:val="20"/>
                <w:szCs w:val="20"/>
                <w:color w:val="auto"/>
              </w:rPr>
            </w:pPr>
            <w:r>
              <w:rPr>
                <w:rFonts w:ascii="Arial" w:cs="Arial" w:eastAsia="Arial" w:hAnsi="Arial"/>
                <w:sz w:val="16"/>
                <w:szCs w:val="16"/>
                <w:color w:val="auto"/>
              </w:rPr>
              <w:t>Assets:</w:t>
            </w:r>
          </w:p>
        </w:tc>
        <w:tc>
          <w:tcPr>
            <w:tcW w:w="5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4"/>
        </w:trPr>
        <w:tc>
          <w:tcPr>
            <w:tcW w:w="9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3"/>
        </w:trPr>
        <w:tc>
          <w:tcPr>
            <w:tcW w:w="9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Current assets (a)</w:t>
            </w:r>
          </w:p>
        </w:tc>
        <w:tc>
          <w:tcPr>
            <w:tcW w:w="560" w:type="dxa"/>
            <w:vAlign w:val="bottom"/>
            <w:tcBorders>
              <w:bottom w:val="single" w:sz="8" w:color="CCEEFF"/>
            </w:tcBorders>
            <w:shd w:val="clear" w:color="auto" w:fill="CCEEFF"/>
          </w:tcPr>
          <w:p>
            <w:pPr>
              <w:jc w:val="right"/>
              <w:ind w:right="382"/>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1,194.3</w:t>
            </w:r>
          </w:p>
        </w:tc>
      </w:tr>
      <w:tr>
        <w:trPr>
          <w:trHeight w:val="209"/>
        </w:trPr>
        <w:tc>
          <w:tcPr>
            <w:tcW w:w="9480" w:type="dxa"/>
            <w:vAlign w:val="bottom"/>
          </w:tcPr>
          <w:p>
            <w:pPr>
              <w:ind w:left="160"/>
              <w:spacing w:after="0"/>
              <w:rPr>
                <w:sz w:val="20"/>
                <w:szCs w:val="20"/>
                <w:color w:val="auto"/>
              </w:rPr>
            </w:pPr>
            <w:r>
              <w:rPr>
                <w:rFonts w:ascii="Arial" w:cs="Arial" w:eastAsia="Arial" w:hAnsi="Arial"/>
                <w:sz w:val="16"/>
                <w:szCs w:val="16"/>
                <w:color w:val="auto"/>
              </w:rPr>
              <w:t>Property and equipment, net</w:t>
            </w:r>
          </w:p>
        </w:tc>
        <w:tc>
          <w:tcPr>
            <w:tcW w:w="560" w:type="dxa"/>
            <w:vAlign w:val="bottom"/>
          </w:tcPr>
          <w:p>
            <w:pPr>
              <w:spacing w:after="0"/>
              <w:rPr>
                <w:sz w:val="18"/>
                <w:szCs w:val="18"/>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7,143.3</w:t>
            </w:r>
          </w:p>
        </w:tc>
      </w:tr>
      <w:tr>
        <w:trPr>
          <w:trHeight w:val="24"/>
        </w:trPr>
        <w:tc>
          <w:tcPr>
            <w:tcW w:w="9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3"/>
        </w:trPr>
        <w:tc>
          <w:tcPr>
            <w:tcW w:w="9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Goodwill</w:t>
            </w:r>
          </w:p>
        </w:tc>
        <w:tc>
          <w:tcPr>
            <w:tcW w:w="5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7,180.9</w:t>
            </w:r>
          </w:p>
        </w:tc>
      </w:tr>
      <w:tr>
        <w:trPr>
          <w:trHeight w:val="209"/>
        </w:trPr>
        <w:tc>
          <w:tcPr>
            <w:tcW w:w="9480" w:type="dxa"/>
            <w:vAlign w:val="bottom"/>
          </w:tcPr>
          <w:p>
            <w:pPr>
              <w:ind w:left="160"/>
              <w:spacing w:after="0"/>
              <w:rPr>
                <w:sz w:val="20"/>
                <w:szCs w:val="20"/>
                <w:color w:val="auto"/>
              </w:rPr>
            </w:pPr>
            <w:r>
              <w:rPr>
                <w:rFonts w:ascii="Arial" w:cs="Arial" w:eastAsia="Arial" w:hAnsi="Arial"/>
                <w:sz w:val="16"/>
                <w:szCs w:val="16"/>
                <w:color w:val="auto"/>
              </w:rPr>
              <w:t>Other assets, net</w:t>
            </w:r>
          </w:p>
        </w:tc>
        <w:tc>
          <w:tcPr>
            <w:tcW w:w="560" w:type="dxa"/>
            <w:vAlign w:val="bottom"/>
          </w:tcPr>
          <w:p>
            <w:pPr>
              <w:spacing w:after="0"/>
              <w:rPr>
                <w:sz w:val="18"/>
                <w:szCs w:val="18"/>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3,512.0</w:t>
            </w:r>
          </w:p>
        </w:tc>
      </w:tr>
      <w:tr>
        <w:trPr>
          <w:trHeight w:val="24"/>
        </w:trPr>
        <w:tc>
          <w:tcPr>
            <w:tcW w:w="94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8"/>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assets</w:t>
            </w:r>
          </w:p>
        </w:tc>
        <w:tc>
          <w:tcPr>
            <w:tcW w:w="560" w:type="dxa"/>
            <w:vAlign w:val="bottom"/>
            <w:tcBorders>
              <w:bottom w:val="single" w:sz="8" w:color="auto"/>
            </w:tcBorders>
            <w:shd w:val="clear" w:color="auto" w:fill="CCEEFF"/>
          </w:tcPr>
          <w:p>
            <w:pPr>
              <w:jc w:val="right"/>
              <w:ind w:right="382"/>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19,030.5</w:t>
            </w:r>
          </w:p>
        </w:tc>
      </w:tr>
      <w:tr>
        <w:trPr>
          <w:trHeight w:val="20"/>
        </w:trPr>
        <w:tc>
          <w:tcPr>
            <w:tcW w:w="94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60"/>
        </w:trPr>
        <w:tc>
          <w:tcPr>
            <w:tcW w:w="94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13"/>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5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r>
      <w:tr>
        <w:trPr>
          <w:trHeight w:val="209"/>
        </w:trPr>
        <w:tc>
          <w:tcPr>
            <w:tcW w:w="9480" w:type="dxa"/>
            <w:vAlign w:val="bottom"/>
          </w:tcPr>
          <w:p>
            <w:pPr>
              <w:ind w:left="160"/>
              <w:spacing w:after="0"/>
              <w:rPr>
                <w:sz w:val="20"/>
                <w:szCs w:val="20"/>
                <w:color w:val="auto"/>
              </w:rPr>
            </w:pPr>
            <w:r>
              <w:rPr>
                <w:rFonts w:ascii="Arial" w:cs="Arial" w:eastAsia="Arial" w:hAnsi="Arial"/>
                <w:sz w:val="16"/>
                <w:szCs w:val="16"/>
                <w:color w:val="auto"/>
              </w:rPr>
              <w:t>Current portion of debt and finance lease obligations</w:t>
            </w:r>
          </w:p>
        </w:tc>
        <w:tc>
          <w:tcPr>
            <w:tcW w:w="560" w:type="dxa"/>
            <w:vAlign w:val="bottom"/>
          </w:tcPr>
          <w:p>
            <w:pPr>
              <w:jc w:val="right"/>
              <w:ind w:right="382"/>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2,318.6</w:t>
            </w:r>
          </w:p>
        </w:tc>
      </w:tr>
      <w:tr>
        <w:trPr>
          <w:trHeight w:val="24"/>
        </w:trPr>
        <w:tc>
          <w:tcPr>
            <w:tcW w:w="9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3"/>
        </w:trPr>
        <w:tc>
          <w:tcPr>
            <w:tcW w:w="9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Other accrued and current liabilities</w:t>
            </w:r>
          </w:p>
        </w:tc>
        <w:tc>
          <w:tcPr>
            <w:tcW w:w="5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1,775.5</w:t>
            </w:r>
          </w:p>
        </w:tc>
      </w:tr>
      <w:tr>
        <w:trPr>
          <w:trHeight w:val="209"/>
        </w:trPr>
        <w:tc>
          <w:tcPr>
            <w:tcW w:w="9480" w:type="dxa"/>
            <w:vAlign w:val="bottom"/>
          </w:tcPr>
          <w:p>
            <w:pPr>
              <w:ind w:left="160"/>
              <w:spacing w:after="0"/>
              <w:rPr>
                <w:sz w:val="20"/>
                <w:szCs w:val="20"/>
                <w:color w:val="auto"/>
              </w:rPr>
            </w:pPr>
            <w:r>
              <w:rPr>
                <w:rFonts w:ascii="Arial" w:cs="Arial" w:eastAsia="Arial" w:hAnsi="Arial"/>
                <w:sz w:val="16"/>
                <w:szCs w:val="16"/>
                <w:color w:val="auto"/>
              </w:rPr>
              <w:t>Long-term debt and finance lease obligations</w:t>
            </w:r>
          </w:p>
        </w:tc>
        <w:tc>
          <w:tcPr>
            <w:tcW w:w="560" w:type="dxa"/>
            <w:vAlign w:val="bottom"/>
          </w:tcPr>
          <w:p>
            <w:pPr>
              <w:spacing w:after="0"/>
              <w:rPr>
                <w:sz w:val="18"/>
                <w:szCs w:val="18"/>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13,108.6</w:t>
            </w:r>
          </w:p>
        </w:tc>
      </w:tr>
      <w:tr>
        <w:trPr>
          <w:trHeight w:val="24"/>
        </w:trPr>
        <w:tc>
          <w:tcPr>
            <w:tcW w:w="9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3"/>
        </w:trPr>
        <w:tc>
          <w:tcPr>
            <w:tcW w:w="9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Other long-term liabilities</w:t>
            </w:r>
          </w:p>
        </w:tc>
        <w:tc>
          <w:tcPr>
            <w:tcW w:w="5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930.6</w:t>
            </w:r>
          </w:p>
        </w:tc>
      </w:tr>
      <w:tr>
        <w:trPr>
          <w:trHeight w:val="212"/>
        </w:trPr>
        <w:tc>
          <w:tcPr>
            <w:tcW w:w="9480" w:type="dxa"/>
            <w:vAlign w:val="bottom"/>
          </w:tcPr>
          <w:p>
            <w:pPr>
              <w:ind w:left="280"/>
              <w:spacing w:after="0"/>
              <w:rPr>
                <w:sz w:val="20"/>
                <w:szCs w:val="20"/>
                <w:color w:val="auto"/>
              </w:rPr>
            </w:pPr>
            <w:r>
              <w:rPr>
                <w:rFonts w:ascii="Arial" w:cs="Arial" w:eastAsia="Arial" w:hAnsi="Arial"/>
                <w:sz w:val="16"/>
                <w:szCs w:val="16"/>
                <w:color w:val="auto"/>
              </w:rPr>
              <w:t>Total liabilities</w:t>
            </w:r>
          </w:p>
        </w:tc>
        <w:tc>
          <w:tcPr>
            <w:tcW w:w="560" w:type="dxa"/>
            <w:vAlign w:val="bottom"/>
            <w:tcBorders>
              <w:top w:val="single" w:sz="8" w:color="auto"/>
            </w:tcBorders>
          </w:tcPr>
          <w:p>
            <w:pPr>
              <w:jc w:val="right"/>
              <w:ind w:right="382"/>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18,133.3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6057900</wp:posOffset>
            </wp:positionH>
            <wp:positionV relativeFrom="paragraph">
              <wp:posOffset>7620</wp:posOffset>
            </wp:positionV>
            <wp:extent cx="105664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56640" cy="7620"/>
                    </a:xfrm>
                    <a:prstGeom prst="rect">
                      <a:avLst/>
                    </a:prstGeom>
                    <a:noFill/>
                  </pic:spPr>
                </pic:pic>
              </a:graphicData>
            </a:graphic>
          </wp:anchor>
        </w:drawing>
        <w:drawing>
          <wp:anchor simplePos="0" relativeHeight="251657728" behindDoc="1" locked="0" layoutInCell="0" allowOverlap="1">
            <wp:simplePos x="0" y="0"/>
            <wp:positionH relativeFrom="column">
              <wp:posOffset>6057900</wp:posOffset>
            </wp:positionH>
            <wp:positionV relativeFrom="paragraph">
              <wp:posOffset>22225</wp:posOffset>
            </wp:positionV>
            <wp:extent cx="105664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56640" cy="7620"/>
                    </a:xfrm>
                    <a:prstGeom prst="rect">
                      <a:avLst/>
                    </a:prstGeom>
                    <a:noFill/>
                  </pic:spPr>
                </pic:pic>
              </a:graphicData>
            </a:graphic>
          </wp:anchor>
        </w:drawing>
      </w:r>
    </w:p>
    <w:p>
      <w:pPr>
        <w:spacing w:after="0" w:line="17" w:lineRule="exact"/>
        <w:rPr>
          <w:sz w:val="20"/>
          <w:szCs w:val="20"/>
          <w:color w:val="auto"/>
        </w:rPr>
      </w:pPr>
    </w:p>
    <w:p>
      <w:pPr>
        <w:ind w:left="7"/>
        <w:spacing w:after="0"/>
        <w:rPr>
          <w:sz w:val="20"/>
          <w:szCs w:val="20"/>
          <w:color w:val="auto"/>
        </w:rPr>
      </w:pPr>
      <w:r>
        <w:rPr>
          <w:rFonts w:ascii="Arial" w:cs="Arial" w:eastAsia="Arial" w:hAnsi="Arial"/>
          <w:sz w:val="16"/>
          <w:szCs w:val="16"/>
          <w:color w:val="auto"/>
        </w:rPr>
        <w:t>_______________</w:t>
      </w:r>
    </w:p>
    <w:p>
      <w:pPr>
        <w:spacing w:after="0" w:line="188" w:lineRule="exact"/>
        <w:rPr>
          <w:sz w:val="20"/>
          <w:szCs w:val="20"/>
          <w:color w:val="auto"/>
        </w:rPr>
      </w:pPr>
    </w:p>
    <w:p>
      <w:pPr>
        <w:ind w:left="427" w:hanging="427"/>
        <w:spacing w:after="0" w:line="258" w:lineRule="auto"/>
        <w:tabs>
          <w:tab w:leader="none" w:pos="427" w:val="left"/>
        </w:tabs>
        <w:numPr>
          <w:ilvl w:val="0"/>
          <w:numId w:val="7"/>
        </w:numPr>
        <w:rPr>
          <w:rFonts w:ascii="Arial" w:cs="Arial" w:eastAsia="Arial" w:hAnsi="Arial"/>
          <w:sz w:val="16"/>
          <w:szCs w:val="16"/>
          <w:color w:val="auto"/>
        </w:rPr>
      </w:pPr>
      <w:r>
        <w:rPr>
          <w:rFonts w:ascii="Arial" w:cs="Arial" w:eastAsia="Arial" w:hAnsi="Arial"/>
          <w:sz w:val="16"/>
          <w:szCs w:val="16"/>
          <w:color w:val="auto"/>
        </w:rPr>
        <w:t>Amount does not include the cash and cash equivalents of the U.K. JV Entities, as such cash and cash equivalents will be retained by Liberty Global upon the formation of the U.K. JV and are therefore not classified as held for sale.</w:t>
      </w:r>
    </w:p>
    <w:p>
      <w:pPr>
        <w:spacing w:after="0" w:line="349"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67"/>
          </w:cols>
          <w:pgMar w:left="313" w:top="263" w:right="319" w:bottom="1440" w:gutter="0" w:footer="0" w:header="0"/>
        </w:sectPr>
      </w:pPr>
    </w:p>
    <w:bookmarkStart w:id="14" w:name="page15"/>
    <w:bookmarkEnd w:id="14"/>
    <w:p>
      <w:pPr>
        <w:jc w:val="center"/>
        <w:spacing w:after="0"/>
        <w:rPr>
          <w:sz w:val="20"/>
          <w:szCs w:val="20"/>
          <w:color w:val="auto"/>
        </w:rPr>
      </w:pPr>
      <w:r>
        <w:rPr>
          <w:rFonts w:ascii="Arial" w:cs="Arial" w:eastAsia="Arial" w:hAnsi="Arial"/>
          <w:sz w:val="16"/>
          <w:szCs w:val="16"/>
          <w:b w:val="1"/>
          <w:bCs w:val="1"/>
          <w:color w:val="auto"/>
        </w:rPr>
        <w:t>LIBERTY GLOBAL PLC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June 30, 2020</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Acquisition</w:t>
      </w:r>
    </w:p>
    <w:p>
      <w:pPr>
        <w:spacing w:after="0" w:line="182" w:lineRule="exact"/>
        <w:rPr>
          <w:sz w:val="20"/>
          <w:szCs w:val="20"/>
          <w:color w:val="auto"/>
        </w:rPr>
      </w:pPr>
    </w:p>
    <w:p>
      <w:pPr>
        <w:jc w:val="both"/>
        <w:ind w:firstLine="279"/>
        <w:spacing w:after="0" w:line="254" w:lineRule="auto"/>
        <w:rPr>
          <w:sz w:val="20"/>
          <w:szCs w:val="20"/>
          <w:color w:val="auto"/>
        </w:rPr>
      </w:pPr>
      <w:r>
        <w:rPr>
          <w:rFonts w:ascii="Arial" w:cs="Arial" w:eastAsia="Arial" w:hAnsi="Arial"/>
          <w:sz w:val="16"/>
          <w:szCs w:val="16"/>
          <w:i w:val="1"/>
          <w:iCs w:val="1"/>
          <w:color w:val="auto"/>
        </w:rPr>
        <w:t xml:space="preserve">De Vijver Media. </w:t>
      </w:r>
      <w:r>
        <w:rPr>
          <w:rFonts w:ascii="Arial" w:cs="Arial" w:eastAsia="Arial" w:hAnsi="Arial"/>
          <w:sz w:val="16"/>
          <w:szCs w:val="16"/>
          <w:color w:val="auto"/>
        </w:rPr>
        <w:t>Prior to June 3, 2019, Telenet owned a 50.0% equity method investment in De Vijver Media NV (</w:t>
      </w:r>
      <w:r>
        <w:rPr>
          <w:rFonts w:ascii="Arial" w:cs="Arial" w:eastAsia="Arial" w:hAnsi="Arial"/>
          <w:sz w:val="16"/>
          <w:szCs w:val="16"/>
          <w:b w:val="1"/>
          <w:bCs w:val="1"/>
          <w:color w:val="auto"/>
        </w:rPr>
        <w:t>De Vijver Media</w:t>
      </w:r>
      <w:r>
        <w:rPr>
          <w:rFonts w:ascii="Arial" w:cs="Arial" w:eastAsia="Arial" w:hAnsi="Arial"/>
          <w:sz w:val="16"/>
          <w:szCs w:val="16"/>
          <w:color w:val="auto"/>
        </w:rPr>
        <w:t>), which provides content production,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broadcasting and advertising services in Belgium. On June 3, 2019, Telenet acquired the remaining 50.0% ownership interest in De Vijver Media (the </w:t>
      </w:r>
      <w:r>
        <w:rPr>
          <w:rFonts w:ascii="Arial" w:cs="Arial" w:eastAsia="Arial" w:hAnsi="Arial"/>
          <w:sz w:val="16"/>
          <w:szCs w:val="16"/>
          <w:b w:val="1"/>
          <w:bCs w:val="1"/>
          <w:color w:val="auto"/>
        </w:rPr>
        <w:t>De Vijver Media</w:t>
      </w:r>
      <w:r>
        <w:rPr>
          <w:rFonts w:ascii="Arial" w:cs="Arial" w:eastAsia="Arial" w:hAnsi="Arial"/>
          <w:sz w:val="16"/>
          <w:szCs w:val="16"/>
          <w:color w:val="auto"/>
        </w:rPr>
        <w:t xml:space="preserve"> </w:t>
      </w:r>
      <w:r>
        <w:rPr>
          <w:rFonts w:ascii="Arial" w:cs="Arial" w:eastAsia="Arial" w:hAnsi="Arial"/>
          <w:sz w:val="16"/>
          <w:szCs w:val="16"/>
          <w:b w:val="1"/>
          <w:bCs w:val="1"/>
          <w:color w:val="auto"/>
        </w:rPr>
        <w:t>Acquisition</w:t>
      </w:r>
      <w:r>
        <w:rPr>
          <w:rFonts w:ascii="Arial" w:cs="Arial" w:eastAsia="Arial" w:hAnsi="Arial"/>
          <w:sz w:val="16"/>
          <w:szCs w:val="16"/>
          <w:color w:val="auto"/>
        </w:rPr>
        <w:t>) for cash consideration of €52.5 million ($58.9 million at the transaction date) after post-closing adjustments.</w:t>
      </w:r>
    </w:p>
    <w:p>
      <w:pPr>
        <w:spacing w:after="0" w:line="166"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Dispositions</w:t>
      </w:r>
    </w:p>
    <w:p>
      <w:pPr>
        <w:spacing w:after="0" w:line="188" w:lineRule="exact"/>
        <w:rPr>
          <w:sz w:val="20"/>
          <w:szCs w:val="20"/>
          <w:color w:val="auto"/>
        </w:rPr>
      </w:pPr>
    </w:p>
    <w:p>
      <w:pPr>
        <w:jc w:val="both"/>
        <w:ind w:firstLine="279"/>
        <w:spacing w:after="0" w:line="284" w:lineRule="auto"/>
        <w:rPr>
          <w:sz w:val="20"/>
          <w:szCs w:val="20"/>
          <w:color w:val="auto"/>
        </w:rPr>
      </w:pPr>
      <w:r>
        <w:rPr>
          <w:rFonts w:ascii="Arial" w:cs="Arial" w:eastAsia="Arial" w:hAnsi="Arial"/>
          <w:sz w:val="14"/>
          <w:szCs w:val="14"/>
          <w:i w:val="1"/>
          <w:iCs w:val="1"/>
          <w:color w:val="auto"/>
        </w:rPr>
        <w:t xml:space="preserve">Vodafone Disposal Group. </w:t>
      </w:r>
      <w:r>
        <w:rPr>
          <w:rFonts w:ascii="Arial" w:cs="Arial" w:eastAsia="Arial" w:hAnsi="Arial"/>
          <w:sz w:val="14"/>
          <w:szCs w:val="14"/>
          <w:color w:val="auto"/>
        </w:rPr>
        <w:t>On July 31, 2019, we completed the sale of our operations in Germany, Romania, Hungary and the Czech Republic to Vodafone. The operations of</w:t>
      </w:r>
      <w:r>
        <w:rPr>
          <w:rFonts w:ascii="Arial" w:cs="Arial" w:eastAsia="Arial" w:hAnsi="Arial"/>
          <w:sz w:val="14"/>
          <w:szCs w:val="14"/>
          <w:i w:val="1"/>
          <w:iCs w:val="1"/>
          <w:color w:val="auto"/>
        </w:rPr>
        <w:t xml:space="preserve"> </w:t>
      </w:r>
      <w:r>
        <w:rPr>
          <w:rFonts w:ascii="Arial" w:cs="Arial" w:eastAsia="Arial" w:hAnsi="Arial"/>
          <w:sz w:val="14"/>
          <w:szCs w:val="14"/>
          <w:color w:val="auto"/>
        </w:rPr>
        <w:t>Germany, Romania, Hungary and the Czech Republic are collectively referred to herein as the “</w:t>
      </w:r>
      <w:r>
        <w:rPr>
          <w:rFonts w:ascii="Arial" w:cs="Arial" w:eastAsia="Arial" w:hAnsi="Arial"/>
          <w:sz w:val="14"/>
          <w:szCs w:val="14"/>
          <w:b w:val="1"/>
          <w:bCs w:val="1"/>
          <w:color w:val="auto"/>
        </w:rPr>
        <w:t>Vodafone Disposal Group</w:t>
      </w:r>
      <w:r>
        <w:rPr>
          <w:rFonts w:ascii="Arial" w:cs="Arial" w:eastAsia="Arial" w:hAnsi="Arial"/>
          <w:sz w:val="14"/>
          <w:szCs w:val="14"/>
          <w:color w:val="auto"/>
        </w:rPr>
        <w:t xml:space="preserve">.” After considering debt and working capital adjustments (including cash disposed) and €183.7 million ($205.8 million at the transaction date) of cash paid by our company to settle centrally-held vendor financing obligations associated with the Vodafone Disposal Group, we received net cash proceeds of €10.0 billion ($11.1 billion at the applicable rates). Pursuant to the agreement underlying the sale of the Vodafone Disposal Group, we transferred cash to fund certain third-party escrow accounts (the </w:t>
      </w:r>
      <w:r>
        <w:rPr>
          <w:rFonts w:ascii="Arial" w:cs="Arial" w:eastAsia="Arial" w:hAnsi="Arial"/>
          <w:sz w:val="14"/>
          <w:szCs w:val="14"/>
          <w:b w:val="1"/>
          <w:bCs w:val="1"/>
          <w:color w:val="auto"/>
        </w:rPr>
        <w:t>Vodafone Escrow Accounts</w:t>
      </w:r>
      <w:r>
        <w:rPr>
          <w:rFonts w:ascii="Arial" w:cs="Arial" w:eastAsia="Arial" w:hAnsi="Arial"/>
          <w:sz w:val="14"/>
          <w:szCs w:val="14"/>
          <w:color w:val="auto"/>
        </w:rPr>
        <w:t>) pending the fulfillment by our company of certain terms of the agreement. The current and long-term portions of the receivables associated with the Vodafone Escrow Accounts are included in “other current assets” and “other assets, net”, respectively, on our condensed consolidated balance sheets. At June 30, 2020 and December 31, 2019, the aggregate balance of the Vodafone Escrow Accounts was $295.2 million.</w:t>
      </w:r>
    </w:p>
    <w:p>
      <w:pPr>
        <w:spacing w:after="0" w:line="151" w:lineRule="exact"/>
        <w:rPr>
          <w:sz w:val="20"/>
          <w:szCs w:val="20"/>
          <w:color w:val="auto"/>
        </w:rPr>
      </w:pPr>
    </w:p>
    <w:p>
      <w:pPr>
        <w:jc w:val="both"/>
        <w:ind w:right="20" w:firstLine="279"/>
        <w:spacing w:after="0" w:line="250" w:lineRule="auto"/>
        <w:rPr>
          <w:sz w:val="20"/>
          <w:szCs w:val="20"/>
          <w:color w:val="auto"/>
        </w:rPr>
      </w:pPr>
      <w:r>
        <w:rPr>
          <w:rFonts w:ascii="Arial" w:cs="Arial" w:eastAsia="Arial" w:hAnsi="Arial"/>
          <w:sz w:val="16"/>
          <w:szCs w:val="16"/>
          <w:color w:val="auto"/>
        </w:rPr>
        <w:t>In connection with the sale of the Vodafone Disposal Group, we have agreed to provide certain transitional services to Vodafone for a period of up to four years. These services principally comprise network and information technology-related functions. During the six months ended June 30, 2020, we recorded revenue of $76.8 million associated with these transitional services.</w:t>
      </w:r>
    </w:p>
    <w:p>
      <w:pPr>
        <w:spacing w:after="0" w:line="17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For information regarding certain tax indemnities we provided in connection with the sale of the Vodafone Disposal Group, see note 16.</w:t>
      </w:r>
    </w:p>
    <w:p>
      <w:pPr>
        <w:spacing w:after="0" w:line="182" w:lineRule="exact"/>
        <w:rPr>
          <w:sz w:val="20"/>
          <w:szCs w:val="20"/>
          <w:color w:val="auto"/>
        </w:rPr>
      </w:pPr>
    </w:p>
    <w:p>
      <w:pPr>
        <w:jc w:val="both"/>
        <w:ind w:firstLine="279"/>
        <w:spacing w:after="0" w:line="266" w:lineRule="auto"/>
        <w:rPr>
          <w:sz w:val="20"/>
          <w:szCs w:val="20"/>
          <w:color w:val="auto"/>
        </w:rPr>
      </w:pPr>
      <w:r>
        <w:rPr>
          <w:rFonts w:ascii="Arial" w:cs="Arial" w:eastAsia="Arial" w:hAnsi="Arial"/>
          <w:sz w:val="16"/>
          <w:szCs w:val="16"/>
          <w:i w:val="1"/>
          <w:iCs w:val="1"/>
          <w:color w:val="auto"/>
        </w:rPr>
        <w:t xml:space="preserve">UPC DTH. </w:t>
      </w:r>
      <w:r>
        <w:rPr>
          <w:rFonts w:ascii="Arial" w:cs="Arial" w:eastAsia="Arial" w:hAnsi="Arial"/>
          <w:sz w:val="16"/>
          <w:szCs w:val="16"/>
          <w:color w:val="auto"/>
        </w:rPr>
        <w:t>On May 2, 2019, we completed the sale of UPC DTH to M7 Group (</w:t>
      </w:r>
      <w:r>
        <w:rPr>
          <w:rFonts w:ascii="Arial" w:cs="Arial" w:eastAsia="Arial" w:hAnsi="Arial"/>
          <w:sz w:val="16"/>
          <w:szCs w:val="16"/>
          <w:b w:val="1"/>
          <w:bCs w:val="1"/>
          <w:color w:val="auto"/>
        </w:rPr>
        <w:t>M7</w:t>
      </w:r>
      <w:r>
        <w:rPr>
          <w:rFonts w:ascii="Arial" w:cs="Arial" w:eastAsia="Arial" w:hAnsi="Arial"/>
          <w:sz w:val="16"/>
          <w:szCs w:val="16"/>
          <w:color w:val="auto"/>
        </w:rPr>
        <w:t>). After considering debt and working capital adjustments (including cash disposed), we</w:t>
      </w:r>
      <w:r>
        <w:rPr>
          <w:rFonts w:ascii="Arial" w:cs="Arial" w:eastAsia="Arial" w:hAnsi="Arial"/>
          <w:sz w:val="16"/>
          <w:szCs w:val="16"/>
          <w:i w:val="1"/>
          <w:iCs w:val="1"/>
          <w:color w:val="auto"/>
        </w:rPr>
        <w:t xml:space="preserve"> </w:t>
      </w:r>
      <w:r>
        <w:rPr>
          <w:rFonts w:ascii="Arial" w:cs="Arial" w:eastAsia="Arial" w:hAnsi="Arial"/>
          <w:sz w:val="16"/>
          <w:szCs w:val="16"/>
          <w:color w:val="auto"/>
        </w:rPr>
        <w:t>received net cash proceeds of €128.9 million ($144.1 million at the applicable dates).</w:t>
      </w:r>
    </w:p>
    <w:p>
      <w:pPr>
        <w:spacing w:after="0" w:line="157" w:lineRule="exact"/>
        <w:rPr>
          <w:sz w:val="20"/>
          <w:szCs w:val="20"/>
          <w:color w:val="auto"/>
        </w:rPr>
      </w:pPr>
    </w:p>
    <w:p>
      <w:pPr>
        <w:jc w:val="both"/>
        <w:ind w:firstLine="279"/>
        <w:spacing w:after="0" w:line="250" w:lineRule="auto"/>
        <w:rPr>
          <w:sz w:val="20"/>
          <w:szCs w:val="20"/>
          <w:color w:val="auto"/>
        </w:rPr>
      </w:pPr>
      <w:r>
        <w:rPr>
          <w:rFonts w:ascii="Arial" w:cs="Arial" w:eastAsia="Arial" w:hAnsi="Arial"/>
          <w:sz w:val="16"/>
          <w:szCs w:val="16"/>
          <w:color w:val="auto"/>
        </w:rPr>
        <w:t>In connection with the sale of UPC DTH, we have agreed to provide certain transitional services to M7 for a period of up to two years. These services principally comprise network and information technology-related functions. During the six months ended June 30, 2020 and 2019, we recorded revenue of $1.0 million and $0.4 million, respectively, associated with these transitional services.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60"/>
          </w:cols>
          <w:pgMar w:left="320" w:top="263" w:right="319" w:bottom="1440" w:gutter="0" w:footer="0" w:header="0"/>
        </w:sectPr>
      </w:pPr>
    </w:p>
    <w:bookmarkStart w:id="15" w:name="page16"/>
    <w:bookmarkEnd w:id="15"/>
    <w:p>
      <w:pPr>
        <w:jc w:val="center"/>
        <w:spacing w:after="0"/>
        <w:rPr>
          <w:sz w:val="20"/>
          <w:szCs w:val="20"/>
          <w:color w:val="auto"/>
        </w:rPr>
      </w:pPr>
      <w:r>
        <w:rPr>
          <w:rFonts w:ascii="Arial" w:cs="Arial" w:eastAsia="Arial" w:hAnsi="Arial"/>
          <w:sz w:val="16"/>
          <w:szCs w:val="16"/>
          <w:b w:val="1"/>
          <w:bCs w:val="1"/>
          <w:color w:val="auto"/>
        </w:rPr>
        <w:t>LIBERTY GLOBAL PLC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June 30, 2020</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Presentation of Discontinued Operations</w:t>
      </w:r>
    </w:p>
    <w:p>
      <w:pPr>
        <w:spacing w:after="0" w:line="188" w:lineRule="exact"/>
        <w:rPr>
          <w:sz w:val="20"/>
          <w:szCs w:val="20"/>
          <w:color w:val="auto"/>
        </w:rPr>
      </w:pPr>
    </w:p>
    <w:p>
      <w:pPr>
        <w:jc w:val="both"/>
        <w:ind w:firstLine="279"/>
        <w:spacing w:after="0" w:line="303" w:lineRule="auto"/>
        <w:rPr>
          <w:sz w:val="20"/>
          <w:szCs w:val="20"/>
          <w:color w:val="auto"/>
        </w:rPr>
      </w:pPr>
      <w:r>
        <w:rPr>
          <w:rFonts w:ascii="Arial" w:cs="Arial" w:eastAsia="Arial" w:hAnsi="Arial"/>
          <w:sz w:val="14"/>
          <w:szCs w:val="14"/>
          <w:color w:val="auto"/>
        </w:rPr>
        <w:t>The operations of the Vodafone Disposal Group and UPC DTH are presented as discontinued operations in our condensed consolidated statements of operations and cash flows for the three and six months ended June 30, 2019 and are summarized in the following table. These amounts exclude intercompany revenue and expenses that are eliminated within our condensed consolidated statement of operations. For information regarding our basic and diluted weighted average ordinary shares outstanding, see note 15.</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Vodafone Disposal</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Group</w:t>
            </w:r>
          </w:p>
        </w:tc>
        <w:tc>
          <w:tcPr>
            <w:tcW w:w="200" w:type="dxa"/>
            <w:vAlign w:val="bottom"/>
          </w:tcPr>
          <w:p>
            <w:pPr>
              <w:spacing w:after="0"/>
              <w:rPr>
                <w:sz w:val="15"/>
                <w:szCs w:val="15"/>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UPC DTH (a)</w:t>
            </w:r>
          </w:p>
        </w:tc>
        <w:tc>
          <w:tcPr>
            <w:tcW w:w="420" w:type="dxa"/>
            <w:vAlign w:val="bottom"/>
          </w:tcPr>
          <w:p>
            <w:pPr>
              <w:spacing w:after="0"/>
              <w:rPr>
                <w:sz w:val="15"/>
                <w:szCs w:val="15"/>
                <w:color w:val="auto"/>
              </w:rPr>
            </w:pPr>
          </w:p>
        </w:tc>
        <w:tc>
          <w:tcPr>
            <w:tcW w:w="1020" w:type="dxa"/>
            <w:vAlign w:val="bottom"/>
          </w:tcPr>
          <w:p>
            <w:pPr>
              <w:jc w:val="right"/>
              <w:ind w:right="48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8"/>
        </w:trPr>
        <w:tc>
          <w:tcPr>
            <w:tcW w:w="65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gridSpan w:val="6"/>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6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0" w:type="dxa"/>
            <w:vAlign w:val="bottom"/>
            <w:gridSpan w:val="6"/>
          </w:tcPr>
          <w:p>
            <w:pPr>
              <w:jc w:val="center"/>
              <w:ind w:left="824"/>
              <w:spacing w:after="0"/>
              <w:rPr>
                <w:sz w:val="20"/>
                <w:szCs w:val="20"/>
                <w:color w:val="auto"/>
              </w:rPr>
            </w:pPr>
            <w:r>
              <w:rPr>
                <w:rFonts w:ascii="Arial" w:cs="Arial" w:eastAsia="Arial" w:hAnsi="Arial"/>
                <w:sz w:val="14"/>
                <w:szCs w:val="14"/>
                <w:b w:val="1"/>
                <w:bCs w:val="1"/>
                <w:color w:val="auto"/>
                <w:w w:val="88"/>
              </w:rPr>
              <w:t>in millions, except per share amounts</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6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i w:val="1"/>
                <w:iCs w:val="1"/>
                <w:color w:val="auto"/>
              </w:rPr>
              <w:t>Three months ended June 30, 2019</w:t>
            </w:r>
          </w:p>
        </w:tc>
        <w:tc>
          <w:tcPr>
            <w:tcW w:w="14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Revenue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868.9</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9.0</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877.9</w:t>
            </w:r>
          </w:p>
        </w:tc>
        <w:tc>
          <w:tcPr>
            <w:tcW w:w="0" w:type="dxa"/>
            <w:vAlign w:val="bottom"/>
          </w:tcPr>
          <w:p>
            <w:pPr>
              <w:spacing w:after="0"/>
              <w:rPr>
                <w:sz w:val="1"/>
                <w:szCs w:val="1"/>
                <w:color w:val="auto"/>
              </w:rPr>
            </w:pPr>
          </w:p>
        </w:tc>
      </w:tr>
      <w:tr>
        <w:trPr>
          <w:trHeight w:val="208"/>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514.0</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516.1</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580" w:type="dxa"/>
            <w:vAlign w:val="bottom"/>
          </w:tcPr>
          <w:p>
            <w:pPr>
              <w:ind w:left="20"/>
              <w:spacing w:after="0"/>
              <w:rPr>
                <w:sz w:val="20"/>
                <w:szCs w:val="20"/>
                <w:color w:val="auto"/>
              </w:rPr>
            </w:pPr>
            <w:r>
              <w:rPr>
                <w:rFonts w:ascii="Arial" w:cs="Arial" w:eastAsia="Arial" w:hAnsi="Arial"/>
                <w:sz w:val="16"/>
                <w:szCs w:val="16"/>
                <w:color w:val="auto"/>
              </w:rPr>
              <w:t>Earnings before income taxes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44"/>
              <w:spacing w:after="0"/>
              <w:rPr>
                <w:sz w:val="20"/>
                <w:szCs w:val="20"/>
                <w:color w:val="auto"/>
              </w:rPr>
            </w:pPr>
            <w:r>
              <w:rPr>
                <w:rFonts w:ascii="Arial" w:cs="Arial" w:eastAsia="Arial" w:hAnsi="Arial"/>
                <w:sz w:val="16"/>
                <w:szCs w:val="16"/>
                <w:color w:val="auto"/>
              </w:rPr>
              <w:t>435.2</w:t>
            </w:r>
          </w:p>
        </w:tc>
        <w:tc>
          <w:tcPr>
            <w:tcW w:w="120" w:type="dxa"/>
            <w:vAlign w:val="bottom"/>
          </w:tcPr>
          <w:p>
            <w:pPr>
              <w:spacing w:after="0"/>
              <w:rPr>
                <w:sz w:val="16"/>
                <w:szCs w:val="16"/>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23"/>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6"/>
                <w:szCs w:val="16"/>
                <w:color w:val="auto"/>
              </w:rPr>
            </w:pPr>
          </w:p>
        </w:tc>
        <w:tc>
          <w:tcPr>
            <w:tcW w:w="420" w:type="dxa"/>
            <w:vAlign w:val="bottom"/>
          </w:tcPr>
          <w:p>
            <w:pPr>
              <w:jc w:val="right"/>
              <w:ind w:right="242"/>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23"/>
              <w:spacing w:after="0"/>
              <w:rPr>
                <w:sz w:val="20"/>
                <w:szCs w:val="20"/>
                <w:color w:val="auto"/>
              </w:rPr>
            </w:pPr>
            <w:r>
              <w:rPr>
                <w:rFonts w:ascii="Arial" w:cs="Arial" w:eastAsia="Arial" w:hAnsi="Arial"/>
                <w:sz w:val="16"/>
                <w:szCs w:val="16"/>
                <w:color w:val="auto"/>
              </w:rPr>
              <w:t>437.4</w:t>
            </w:r>
          </w:p>
        </w:tc>
        <w:tc>
          <w:tcPr>
            <w:tcW w:w="0" w:type="dxa"/>
            <w:vAlign w:val="bottom"/>
          </w:tcPr>
          <w:p>
            <w:pPr>
              <w:spacing w:after="0"/>
              <w:rPr>
                <w:sz w:val="1"/>
                <w:szCs w:val="1"/>
                <w:color w:val="auto"/>
              </w:rPr>
            </w:pPr>
          </w:p>
        </w:tc>
      </w:tr>
      <w:tr>
        <w:trPr>
          <w:trHeight w:val="24"/>
        </w:trPr>
        <w:tc>
          <w:tcPr>
            <w:tcW w:w="6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(121.9)</w:t>
            </w:r>
          </w:p>
        </w:tc>
        <w:tc>
          <w:tcPr>
            <w:tcW w:w="0" w:type="dxa"/>
            <w:vAlign w:val="bottom"/>
          </w:tcPr>
          <w:p>
            <w:pPr>
              <w:spacing w:after="0"/>
              <w:rPr>
                <w:sz w:val="1"/>
                <w:szCs w:val="1"/>
                <w:color w:val="auto"/>
              </w:rPr>
            </w:pPr>
          </w:p>
        </w:tc>
      </w:tr>
      <w:tr>
        <w:trPr>
          <w:trHeight w:val="258"/>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earnings attributable to Liberty Global shareholders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6"/>
                <w:szCs w:val="16"/>
                <w:color w:val="auto"/>
              </w:rPr>
              <w:t>313.3</w:t>
            </w:r>
          </w:p>
        </w:tc>
        <w:tc>
          <w:tcPr>
            <w:tcW w:w="1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242"/>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315.5</w:t>
            </w:r>
          </w:p>
        </w:tc>
        <w:tc>
          <w:tcPr>
            <w:tcW w:w="0" w:type="dxa"/>
            <w:vAlign w:val="bottom"/>
          </w:tcPr>
          <w:p>
            <w:pPr>
              <w:spacing w:after="0"/>
              <w:rPr>
                <w:sz w:val="1"/>
                <w:szCs w:val="1"/>
                <w:color w:val="auto"/>
              </w:rPr>
            </w:pPr>
          </w:p>
        </w:tc>
      </w:tr>
      <w:tr>
        <w:trPr>
          <w:trHeight w:val="157"/>
        </w:trPr>
        <w:tc>
          <w:tcPr>
            <w:tcW w:w="6580" w:type="dxa"/>
            <w:vAlign w:val="bottom"/>
            <w:shd w:val="clear" w:color="auto" w:fill="CCEEFF"/>
          </w:tcPr>
          <w:p>
            <w:pPr>
              <w:ind w:left="20"/>
              <w:spacing w:after="0" w:line="157" w:lineRule="exact"/>
              <w:rPr>
                <w:sz w:val="20"/>
                <w:szCs w:val="20"/>
                <w:color w:val="auto"/>
              </w:rPr>
            </w:pPr>
            <w:r>
              <w:rPr>
                <w:rFonts w:ascii="Arial" w:cs="Arial" w:eastAsia="Arial" w:hAnsi="Arial"/>
                <w:sz w:val="16"/>
                <w:szCs w:val="16"/>
                <w:color w:val="auto"/>
                <w:w w:val="90"/>
              </w:rPr>
              <w:t>Basic and diluted earnings from discontinued operations attributable to Liberty Global shareholders per</w:t>
            </w:r>
          </w:p>
        </w:tc>
        <w:tc>
          <w:tcPr>
            <w:tcW w:w="1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vMerge w:val="restart"/>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1020" w:type="dxa"/>
            <w:vAlign w:val="bottom"/>
            <w:vMerge w:val="restart"/>
            <w:shd w:val="clear" w:color="auto" w:fill="CCEEFF"/>
          </w:tcPr>
          <w:p>
            <w:pPr>
              <w:jc w:val="right"/>
              <w:ind w:right="23"/>
              <w:spacing w:after="0"/>
              <w:rPr>
                <w:sz w:val="20"/>
                <w:szCs w:val="20"/>
                <w:color w:val="auto"/>
              </w:rPr>
            </w:pPr>
            <w:r>
              <w:rPr>
                <w:rFonts w:ascii="Arial" w:cs="Arial" w:eastAsia="Arial" w:hAnsi="Arial"/>
                <w:sz w:val="16"/>
                <w:szCs w:val="16"/>
                <w:color w:val="auto"/>
              </w:rPr>
              <w:t>0.43</w:t>
            </w:r>
          </w:p>
        </w:tc>
        <w:tc>
          <w:tcPr>
            <w:tcW w:w="0" w:type="dxa"/>
            <w:vAlign w:val="bottom"/>
          </w:tcPr>
          <w:p>
            <w:pPr>
              <w:spacing w:after="0"/>
              <w:rPr>
                <w:sz w:val="1"/>
                <w:szCs w:val="1"/>
                <w:color w:val="auto"/>
              </w:rPr>
            </w:pPr>
          </w:p>
        </w:tc>
      </w:tr>
      <w:tr>
        <w:trPr>
          <w:trHeight w:val="202"/>
        </w:trPr>
        <w:tc>
          <w:tcPr>
            <w:tcW w:w="6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share</w:t>
            </w:r>
          </w:p>
        </w:tc>
        <w:tc>
          <w:tcPr>
            <w:tcW w:w="14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vMerge w:val="continue"/>
            <w:shd w:val="clear" w:color="auto" w:fill="CCEEFF"/>
          </w:tcPr>
          <w:p>
            <w:pPr>
              <w:spacing w:after="0"/>
              <w:rPr>
                <w:sz w:val="17"/>
                <w:szCs w:val="17"/>
                <w:color w:val="auto"/>
              </w:rPr>
            </w:pPr>
          </w:p>
        </w:tc>
        <w:tc>
          <w:tcPr>
            <w:tcW w:w="10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i w:val="1"/>
                <w:iCs w:val="1"/>
                <w:color w:val="auto"/>
              </w:rPr>
              <w:t>Six months ended June 30, 2019</w:t>
            </w:r>
          </w:p>
        </w:tc>
        <w:tc>
          <w:tcPr>
            <w:tcW w:w="14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Revenue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1,727.6</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36.7</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1,764.3</w:t>
            </w:r>
          </w:p>
        </w:tc>
        <w:tc>
          <w:tcPr>
            <w:tcW w:w="0" w:type="dxa"/>
            <w:vAlign w:val="bottom"/>
          </w:tcPr>
          <w:p>
            <w:pPr>
              <w:spacing w:after="0"/>
              <w:rPr>
                <w:sz w:val="1"/>
                <w:szCs w:val="1"/>
                <w:color w:val="auto"/>
              </w:rPr>
            </w:pPr>
          </w:p>
        </w:tc>
      </w:tr>
      <w:tr>
        <w:trPr>
          <w:trHeight w:val="208"/>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1,009.5</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1,020.2</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580" w:type="dxa"/>
            <w:vAlign w:val="bottom"/>
          </w:tcPr>
          <w:p>
            <w:pPr>
              <w:ind w:left="20"/>
              <w:spacing w:after="0"/>
              <w:rPr>
                <w:sz w:val="20"/>
                <w:szCs w:val="20"/>
                <w:color w:val="auto"/>
              </w:rPr>
            </w:pPr>
            <w:r>
              <w:rPr>
                <w:rFonts w:ascii="Arial" w:cs="Arial" w:eastAsia="Arial" w:hAnsi="Arial"/>
                <w:sz w:val="16"/>
                <w:szCs w:val="16"/>
                <w:color w:val="auto"/>
              </w:rPr>
              <w:t>Earnings before income taxes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44"/>
              <w:spacing w:after="0"/>
              <w:rPr>
                <w:sz w:val="20"/>
                <w:szCs w:val="20"/>
                <w:color w:val="auto"/>
              </w:rPr>
            </w:pPr>
            <w:r>
              <w:rPr>
                <w:rFonts w:ascii="Arial" w:cs="Arial" w:eastAsia="Arial" w:hAnsi="Arial"/>
                <w:sz w:val="16"/>
                <w:szCs w:val="16"/>
                <w:color w:val="auto"/>
              </w:rPr>
              <w:t>867.3</w:t>
            </w:r>
          </w:p>
        </w:tc>
        <w:tc>
          <w:tcPr>
            <w:tcW w:w="120" w:type="dxa"/>
            <w:vAlign w:val="bottom"/>
          </w:tcPr>
          <w:p>
            <w:pPr>
              <w:spacing w:after="0"/>
              <w:rPr>
                <w:sz w:val="16"/>
                <w:szCs w:val="16"/>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23"/>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6"/>
                <w:szCs w:val="16"/>
                <w:color w:val="auto"/>
              </w:rPr>
            </w:pPr>
          </w:p>
        </w:tc>
        <w:tc>
          <w:tcPr>
            <w:tcW w:w="420" w:type="dxa"/>
            <w:vAlign w:val="bottom"/>
          </w:tcPr>
          <w:p>
            <w:pPr>
              <w:jc w:val="right"/>
              <w:ind w:right="242"/>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23"/>
              <w:spacing w:after="0"/>
              <w:rPr>
                <w:sz w:val="20"/>
                <w:szCs w:val="20"/>
                <w:color w:val="auto"/>
              </w:rPr>
            </w:pPr>
            <w:r>
              <w:rPr>
                <w:rFonts w:ascii="Arial" w:cs="Arial" w:eastAsia="Arial" w:hAnsi="Arial"/>
                <w:sz w:val="16"/>
                <w:szCs w:val="16"/>
                <w:color w:val="auto"/>
              </w:rPr>
              <w:t>876.8</w:t>
            </w:r>
          </w:p>
        </w:tc>
        <w:tc>
          <w:tcPr>
            <w:tcW w:w="0" w:type="dxa"/>
            <w:vAlign w:val="bottom"/>
          </w:tcPr>
          <w:p>
            <w:pPr>
              <w:spacing w:after="0"/>
              <w:rPr>
                <w:sz w:val="1"/>
                <w:szCs w:val="1"/>
                <w:color w:val="auto"/>
              </w:rPr>
            </w:pPr>
          </w:p>
        </w:tc>
      </w:tr>
      <w:tr>
        <w:trPr>
          <w:trHeight w:val="24"/>
        </w:trPr>
        <w:tc>
          <w:tcPr>
            <w:tcW w:w="6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(238.7)</w:t>
            </w:r>
          </w:p>
        </w:tc>
        <w:tc>
          <w:tcPr>
            <w:tcW w:w="0" w:type="dxa"/>
            <w:vAlign w:val="bottom"/>
          </w:tcPr>
          <w:p>
            <w:pPr>
              <w:spacing w:after="0"/>
              <w:rPr>
                <w:sz w:val="1"/>
                <w:szCs w:val="1"/>
                <w:color w:val="auto"/>
              </w:rPr>
            </w:pPr>
          </w:p>
        </w:tc>
      </w:tr>
      <w:tr>
        <w:trPr>
          <w:trHeight w:val="258"/>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earnings attributable to Liberty Global shareholders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6"/>
                <w:szCs w:val="16"/>
                <w:color w:val="auto"/>
              </w:rPr>
              <w:t>628.6</w:t>
            </w:r>
          </w:p>
        </w:tc>
        <w:tc>
          <w:tcPr>
            <w:tcW w:w="1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9.5</w:t>
            </w:r>
          </w:p>
        </w:tc>
        <w:tc>
          <w:tcPr>
            <w:tcW w:w="100" w:type="dxa"/>
            <w:vAlign w:val="bottom"/>
            <w:tcBorders>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242"/>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638.1</w:t>
            </w:r>
          </w:p>
        </w:tc>
        <w:tc>
          <w:tcPr>
            <w:tcW w:w="0" w:type="dxa"/>
            <w:vAlign w:val="bottom"/>
          </w:tcPr>
          <w:p>
            <w:pPr>
              <w:spacing w:after="0"/>
              <w:rPr>
                <w:sz w:val="1"/>
                <w:szCs w:val="1"/>
                <w:color w:val="auto"/>
              </w:rPr>
            </w:pPr>
          </w:p>
        </w:tc>
      </w:tr>
      <w:tr>
        <w:trPr>
          <w:trHeight w:val="157"/>
        </w:trPr>
        <w:tc>
          <w:tcPr>
            <w:tcW w:w="6580" w:type="dxa"/>
            <w:vAlign w:val="bottom"/>
            <w:shd w:val="clear" w:color="auto" w:fill="CCEEFF"/>
          </w:tcPr>
          <w:p>
            <w:pPr>
              <w:ind w:left="20"/>
              <w:spacing w:after="0" w:line="157" w:lineRule="exact"/>
              <w:rPr>
                <w:sz w:val="20"/>
                <w:szCs w:val="20"/>
                <w:color w:val="auto"/>
              </w:rPr>
            </w:pPr>
            <w:r>
              <w:rPr>
                <w:rFonts w:ascii="Arial" w:cs="Arial" w:eastAsia="Arial" w:hAnsi="Arial"/>
                <w:sz w:val="16"/>
                <w:szCs w:val="16"/>
                <w:color w:val="auto"/>
                <w:w w:val="90"/>
              </w:rPr>
              <w:t>Basic and diluted earnings from discontinued operations attributable to Liberty Global shareholders per</w:t>
            </w:r>
          </w:p>
        </w:tc>
        <w:tc>
          <w:tcPr>
            <w:tcW w:w="1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vMerge w:val="restart"/>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1020" w:type="dxa"/>
            <w:vAlign w:val="bottom"/>
            <w:vMerge w:val="restart"/>
            <w:shd w:val="clear" w:color="auto" w:fill="CCEEFF"/>
          </w:tcPr>
          <w:p>
            <w:pPr>
              <w:jc w:val="right"/>
              <w:ind w:right="23"/>
              <w:spacing w:after="0"/>
              <w:rPr>
                <w:sz w:val="20"/>
                <w:szCs w:val="20"/>
                <w:color w:val="auto"/>
              </w:rPr>
            </w:pPr>
            <w:r>
              <w:rPr>
                <w:rFonts w:ascii="Arial" w:cs="Arial" w:eastAsia="Arial" w:hAnsi="Arial"/>
                <w:sz w:val="16"/>
                <w:szCs w:val="16"/>
                <w:color w:val="auto"/>
              </w:rPr>
              <w:t>0.86</w:t>
            </w:r>
          </w:p>
        </w:tc>
        <w:tc>
          <w:tcPr>
            <w:tcW w:w="0" w:type="dxa"/>
            <w:vAlign w:val="bottom"/>
          </w:tcPr>
          <w:p>
            <w:pPr>
              <w:spacing w:after="0"/>
              <w:rPr>
                <w:sz w:val="1"/>
                <w:szCs w:val="1"/>
                <w:color w:val="auto"/>
              </w:rPr>
            </w:pPr>
          </w:p>
        </w:tc>
      </w:tr>
      <w:tr>
        <w:trPr>
          <w:trHeight w:val="202"/>
        </w:trPr>
        <w:tc>
          <w:tcPr>
            <w:tcW w:w="6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share</w:t>
            </w:r>
          </w:p>
        </w:tc>
        <w:tc>
          <w:tcPr>
            <w:tcW w:w="14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vMerge w:val="continue"/>
            <w:shd w:val="clear" w:color="auto" w:fill="CCEEFF"/>
          </w:tcPr>
          <w:p>
            <w:pPr>
              <w:spacing w:after="0"/>
              <w:rPr>
                <w:sz w:val="17"/>
                <w:szCs w:val="17"/>
                <w:color w:val="auto"/>
              </w:rPr>
            </w:pPr>
          </w:p>
        </w:tc>
        <w:tc>
          <w:tcPr>
            <w:tcW w:w="10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color w:val="auto"/>
        </w:rPr>
        <w:t>_______________</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(a)  Includes the operating results of UPC DTH through May 2, 2019, the date UPC DTH was sold.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60"/>
          </w:cols>
          <w:pgMar w:left="320" w:top="263" w:right="319" w:bottom="1440" w:gutter="0" w:footer="0" w:header="0"/>
        </w:sectPr>
      </w:pPr>
    </w:p>
    <w:bookmarkStart w:id="16" w:name="page17"/>
    <w:bookmarkEnd w:id="16"/>
    <w:p>
      <w:pPr>
        <w:jc w:val="center"/>
        <w:ind w:right="-6"/>
        <w:spacing w:after="0"/>
        <w:rPr>
          <w:sz w:val="20"/>
          <w:szCs w:val="20"/>
          <w:color w:val="auto"/>
        </w:rPr>
      </w:pPr>
      <w:r>
        <w:rPr>
          <w:rFonts w:ascii="Arial" w:cs="Arial" w:eastAsia="Arial" w:hAnsi="Arial"/>
          <w:sz w:val="16"/>
          <w:szCs w:val="16"/>
          <w:b w:val="1"/>
          <w:bCs w:val="1"/>
          <w:color w:val="auto"/>
        </w:rPr>
        <w:t>LIBERTY GLOBAL PLC</w:t>
      </w:r>
    </w:p>
    <w:p>
      <w:pPr>
        <w:spacing w:after="0" w:line="18"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Notes to Condensed Consolidated Financial Statements — (Continued)</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June 30, 2020</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98" w:lineRule="exact"/>
        <w:rPr>
          <w:sz w:val="20"/>
          <w:szCs w:val="20"/>
          <w:color w:val="auto"/>
        </w:rPr>
      </w:pPr>
    </w:p>
    <w:p>
      <w:pPr>
        <w:ind w:left="7"/>
        <w:spacing w:after="0"/>
        <w:tabs>
          <w:tab w:leader="none" w:pos="307" w:val="left"/>
        </w:tabs>
        <w:rPr>
          <w:sz w:val="20"/>
          <w:szCs w:val="20"/>
          <w:color w:val="auto"/>
        </w:rPr>
      </w:pPr>
      <w:r>
        <w:rPr>
          <w:rFonts w:ascii="Arial" w:cs="Arial" w:eastAsia="Arial" w:hAnsi="Arial"/>
          <w:sz w:val="16"/>
          <w:szCs w:val="16"/>
          <w:b w:val="1"/>
          <w:bCs w:val="1"/>
          <w:color w:val="auto"/>
        </w:rPr>
        <w:t>(5)</w:t>
      </w:r>
      <w:r>
        <w:rPr>
          <w:sz w:val="20"/>
          <w:szCs w:val="20"/>
          <w:color w:val="auto"/>
        </w:rPr>
        <w:tab/>
      </w:r>
      <w:r>
        <w:rPr>
          <w:rFonts w:ascii="Arial" w:cs="Arial" w:eastAsia="Arial" w:hAnsi="Arial"/>
          <w:sz w:val="14"/>
          <w:szCs w:val="14"/>
          <w:b w:val="1"/>
          <w:bCs w:val="1"/>
          <w:u w:val="single" w:color="auto"/>
          <w:color w:val="auto"/>
        </w:rPr>
        <w:t>Investments</w:t>
      </w:r>
    </w:p>
    <w:p>
      <w:pPr>
        <w:spacing w:after="0" w:line="194" w:lineRule="exact"/>
        <w:rPr>
          <w:sz w:val="20"/>
          <w:szCs w:val="20"/>
          <w:color w:val="auto"/>
        </w:rPr>
      </w:pPr>
    </w:p>
    <w:p>
      <w:pPr>
        <w:ind w:left="287"/>
        <w:spacing w:after="0"/>
        <w:rPr>
          <w:sz w:val="20"/>
          <w:szCs w:val="20"/>
          <w:color w:val="auto"/>
        </w:rPr>
      </w:pPr>
      <w:r>
        <w:rPr>
          <w:rFonts w:ascii="Arial" w:cs="Arial" w:eastAsia="Arial" w:hAnsi="Arial"/>
          <w:sz w:val="16"/>
          <w:szCs w:val="16"/>
          <w:color w:val="auto"/>
        </w:rPr>
        <w:t>The details of our investments are set forth below:</w:t>
      </w:r>
    </w:p>
    <w:p>
      <w:pPr>
        <w:spacing w:after="0" w:line="140"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8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5"/>
                <w:szCs w:val="15"/>
                <w:color w:val="auto"/>
              </w:rPr>
            </w:pPr>
          </w:p>
        </w:tc>
        <w:tc>
          <w:tcPr>
            <w:tcW w:w="1160" w:type="dxa"/>
            <w:vAlign w:val="bottom"/>
          </w:tcPr>
          <w:p>
            <w:pPr>
              <w:jc w:val="right"/>
              <w:ind w:right="203"/>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82"/>
        </w:trPr>
        <w:tc>
          <w:tcPr>
            <w:tcW w:w="8460" w:type="dxa"/>
            <w:vAlign w:val="bottom"/>
          </w:tcPr>
          <w:p>
            <w:pPr>
              <w:ind w:left="20"/>
              <w:spacing w:after="0"/>
              <w:rPr>
                <w:sz w:val="20"/>
                <w:szCs w:val="20"/>
                <w:color w:val="auto"/>
              </w:rPr>
            </w:pPr>
            <w:r>
              <w:rPr>
                <w:rFonts w:ascii="Arial" w:cs="Arial" w:eastAsia="Arial" w:hAnsi="Arial"/>
                <w:sz w:val="14"/>
                <w:szCs w:val="14"/>
                <w:b w:val="1"/>
                <w:bCs w:val="1"/>
                <w:color w:val="auto"/>
              </w:rPr>
              <w:t>Accounting Method</w:t>
            </w:r>
          </w:p>
        </w:tc>
        <w:tc>
          <w:tcPr>
            <w:tcW w:w="240" w:type="dxa"/>
            <w:vAlign w:val="bottom"/>
          </w:tcPr>
          <w:p>
            <w:pPr>
              <w:spacing w:after="0"/>
              <w:rPr>
                <w:sz w:val="15"/>
                <w:szCs w:val="15"/>
                <w:color w:val="auto"/>
              </w:rPr>
            </w:pPr>
          </w:p>
        </w:tc>
        <w:tc>
          <w:tcPr>
            <w:tcW w:w="1120" w:type="dxa"/>
            <w:vAlign w:val="bottom"/>
          </w:tcPr>
          <w:p>
            <w:pPr>
              <w:jc w:val="right"/>
              <w:ind w:right="46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ind w:right="44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8"/>
        </w:trPr>
        <w:tc>
          <w:tcPr>
            <w:tcW w:w="8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8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60" w:type="dxa"/>
            <w:vAlign w:val="bottom"/>
            <w:gridSpan w:val="4"/>
          </w:tcPr>
          <w:p>
            <w:pPr>
              <w:jc w:val="right"/>
              <w:ind w:right="1003"/>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37"/>
        </w:trPr>
        <w:tc>
          <w:tcPr>
            <w:tcW w:w="8460" w:type="dxa"/>
            <w:vAlign w:val="bottom"/>
          </w:tcPr>
          <w:p>
            <w:pPr>
              <w:ind w:left="20"/>
              <w:spacing w:after="0"/>
              <w:rPr>
                <w:sz w:val="20"/>
                <w:szCs w:val="20"/>
                <w:color w:val="auto"/>
              </w:rPr>
            </w:pPr>
            <w:r>
              <w:rPr>
                <w:rFonts w:ascii="Arial" w:cs="Arial" w:eastAsia="Arial" w:hAnsi="Arial"/>
                <w:sz w:val="16"/>
                <w:szCs w:val="16"/>
                <w:color w:val="auto"/>
              </w:rPr>
              <w:t>Equity (a):</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8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8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Long-term:</w:t>
            </w: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460" w:type="dxa"/>
            <w:vAlign w:val="bottom"/>
          </w:tcPr>
          <w:p>
            <w:pPr>
              <w:ind w:left="280"/>
              <w:spacing w:after="0"/>
              <w:rPr>
                <w:sz w:val="20"/>
                <w:szCs w:val="20"/>
                <w:color w:val="auto"/>
              </w:rPr>
            </w:pPr>
            <w:r>
              <w:rPr>
                <w:rFonts w:ascii="Arial" w:cs="Arial" w:eastAsia="Arial" w:hAnsi="Arial"/>
                <w:sz w:val="16"/>
                <w:szCs w:val="16"/>
                <w:color w:val="auto"/>
              </w:rPr>
              <w:t>VodafoneZiggo JV (b)</w:t>
            </w: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44"/>
              <w:spacing w:after="0"/>
              <w:rPr>
                <w:sz w:val="20"/>
                <w:szCs w:val="20"/>
                <w:color w:val="auto"/>
              </w:rPr>
            </w:pPr>
            <w:r>
              <w:rPr>
                <w:rFonts w:ascii="Arial" w:cs="Arial" w:eastAsia="Arial" w:hAnsi="Arial"/>
                <w:sz w:val="16"/>
                <w:szCs w:val="16"/>
                <w:color w:val="auto"/>
              </w:rPr>
              <w:t>3,109.6</w:t>
            </w:r>
          </w:p>
        </w:tc>
        <w:tc>
          <w:tcPr>
            <w:tcW w:w="100" w:type="dxa"/>
            <w:vAlign w:val="bottom"/>
          </w:tcPr>
          <w:p>
            <w:pPr>
              <w:spacing w:after="0"/>
              <w:rPr>
                <w:sz w:val="18"/>
                <w:szCs w:val="18"/>
                <w:color w:val="auto"/>
              </w:rPr>
            </w:pP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23"/>
              <w:spacing w:after="0"/>
              <w:rPr>
                <w:sz w:val="20"/>
                <w:szCs w:val="20"/>
                <w:color w:val="auto"/>
              </w:rPr>
            </w:pPr>
            <w:r>
              <w:rPr>
                <w:rFonts w:ascii="Arial" w:cs="Arial" w:eastAsia="Arial" w:hAnsi="Arial"/>
                <w:sz w:val="16"/>
                <w:szCs w:val="16"/>
                <w:color w:val="auto"/>
              </w:rPr>
              <w:t>3,174.1</w:t>
            </w:r>
          </w:p>
        </w:tc>
        <w:tc>
          <w:tcPr>
            <w:tcW w:w="0" w:type="dxa"/>
            <w:vAlign w:val="bottom"/>
          </w:tcPr>
          <w:p>
            <w:pPr>
              <w:spacing w:after="0"/>
              <w:rPr>
                <w:sz w:val="1"/>
                <w:szCs w:val="1"/>
                <w:color w:val="auto"/>
              </w:rPr>
            </w:pPr>
          </w:p>
        </w:tc>
      </w:tr>
      <w:tr>
        <w:trPr>
          <w:trHeight w:val="24"/>
        </w:trPr>
        <w:tc>
          <w:tcPr>
            <w:tcW w:w="8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All3Media Group (</w:t>
            </w:r>
            <w:r>
              <w:rPr>
                <w:rFonts w:ascii="Arial" w:cs="Arial" w:eastAsia="Arial" w:hAnsi="Arial"/>
                <w:sz w:val="16"/>
                <w:szCs w:val="16"/>
                <w:b w:val="1"/>
                <w:bCs w:val="1"/>
                <w:color w:val="auto"/>
              </w:rPr>
              <w:t>All3Media</w:t>
            </w: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121.7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172.8</w:t>
            </w:r>
          </w:p>
        </w:tc>
        <w:tc>
          <w:tcPr>
            <w:tcW w:w="0" w:type="dxa"/>
            <w:vAlign w:val="bottom"/>
          </w:tcPr>
          <w:p>
            <w:pPr>
              <w:spacing w:after="0"/>
              <w:rPr>
                <w:sz w:val="1"/>
                <w:szCs w:val="1"/>
                <w:color w:val="auto"/>
              </w:rPr>
            </w:pPr>
          </w:p>
        </w:tc>
      </w:tr>
      <w:tr>
        <w:trPr>
          <w:trHeight w:val="209"/>
        </w:trPr>
        <w:tc>
          <w:tcPr>
            <w:tcW w:w="8460" w:type="dxa"/>
            <w:vAlign w:val="bottom"/>
          </w:tcPr>
          <w:p>
            <w:pPr>
              <w:ind w:left="280"/>
              <w:spacing w:after="0"/>
              <w:rPr>
                <w:sz w:val="20"/>
                <w:szCs w:val="20"/>
                <w:color w:val="auto"/>
              </w:rPr>
            </w:pPr>
            <w:r>
              <w:rPr>
                <w:rFonts w:ascii="Arial" w:cs="Arial" w:eastAsia="Arial" w:hAnsi="Arial"/>
                <w:sz w:val="16"/>
                <w:szCs w:val="16"/>
                <w:color w:val="auto"/>
              </w:rPr>
              <w:t>Formula E Holdings Ltd (</w:t>
            </w:r>
            <w:r>
              <w:rPr>
                <w:rFonts w:ascii="Arial" w:cs="Arial" w:eastAsia="Arial" w:hAnsi="Arial"/>
                <w:sz w:val="16"/>
                <w:szCs w:val="16"/>
                <w:b w:val="1"/>
                <w:bCs w:val="1"/>
                <w:color w:val="auto"/>
              </w:rPr>
              <w:t>Formula E</w:t>
            </w: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20" w:type="dxa"/>
            <w:vAlign w:val="bottom"/>
          </w:tcPr>
          <w:p>
            <w:pPr>
              <w:jc w:val="right"/>
              <w:ind w:right="44"/>
              <w:spacing w:after="0"/>
              <w:rPr>
                <w:sz w:val="20"/>
                <w:szCs w:val="20"/>
                <w:color w:val="auto"/>
              </w:rPr>
            </w:pPr>
            <w:r>
              <w:rPr>
                <w:rFonts w:ascii="Arial" w:cs="Arial" w:eastAsia="Arial" w:hAnsi="Arial"/>
                <w:sz w:val="16"/>
                <w:szCs w:val="16"/>
                <w:color w:val="auto"/>
              </w:rPr>
              <w:t>106.3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23"/>
              <w:spacing w:after="0"/>
              <w:rPr>
                <w:sz w:val="20"/>
                <w:szCs w:val="20"/>
                <w:color w:val="auto"/>
              </w:rPr>
            </w:pPr>
            <w:r>
              <w:rPr>
                <w:rFonts w:ascii="Arial" w:cs="Arial" w:eastAsia="Arial" w:hAnsi="Arial"/>
                <w:sz w:val="16"/>
                <w:szCs w:val="16"/>
                <w:color w:val="auto"/>
              </w:rPr>
              <w:t>105.2</w:t>
            </w:r>
          </w:p>
        </w:tc>
        <w:tc>
          <w:tcPr>
            <w:tcW w:w="0" w:type="dxa"/>
            <w:vAlign w:val="bottom"/>
          </w:tcPr>
          <w:p>
            <w:pPr>
              <w:spacing w:after="0"/>
              <w:rPr>
                <w:sz w:val="1"/>
                <w:szCs w:val="1"/>
                <w:color w:val="auto"/>
              </w:rPr>
            </w:pPr>
          </w:p>
        </w:tc>
      </w:tr>
      <w:tr>
        <w:trPr>
          <w:trHeight w:val="24"/>
        </w:trPr>
        <w:tc>
          <w:tcPr>
            <w:tcW w:w="8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123.9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40.7</w:t>
            </w:r>
          </w:p>
        </w:tc>
        <w:tc>
          <w:tcPr>
            <w:tcW w:w="0" w:type="dxa"/>
            <w:vAlign w:val="bottom"/>
          </w:tcPr>
          <w:p>
            <w:pPr>
              <w:spacing w:after="0"/>
              <w:rPr>
                <w:sz w:val="1"/>
                <w:szCs w:val="1"/>
                <w:color w:val="auto"/>
              </w:rPr>
            </w:pPr>
          </w:p>
        </w:tc>
      </w:tr>
      <w:tr>
        <w:trPr>
          <w:trHeight w:val="201"/>
        </w:trPr>
        <w:tc>
          <w:tcPr>
            <w:tcW w:w="8460" w:type="dxa"/>
            <w:vAlign w:val="bottom"/>
          </w:tcPr>
          <w:p>
            <w:pPr>
              <w:ind w:left="340"/>
              <w:spacing w:after="0"/>
              <w:rPr>
                <w:sz w:val="20"/>
                <w:szCs w:val="20"/>
                <w:color w:val="auto"/>
              </w:rPr>
            </w:pPr>
            <w:r>
              <w:rPr>
                <w:rFonts w:ascii="Arial" w:cs="Arial" w:eastAsia="Arial" w:hAnsi="Arial"/>
                <w:sz w:val="16"/>
                <w:szCs w:val="16"/>
                <w:color w:val="auto"/>
              </w:rPr>
              <w:t>Total — equity</w:t>
            </w: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3,461.5</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3,492.8</w:t>
            </w:r>
          </w:p>
        </w:tc>
        <w:tc>
          <w:tcPr>
            <w:tcW w:w="0" w:type="dxa"/>
            <w:vAlign w:val="bottom"/>
          </w:tcPr>
          <w:p>
            <w:pPr>
              <w:spacing w:after="0"/>
              <w:rPr>
                <w:sz w:val="1"/>
                <w:szCs w:val="1"/>
                <w:color w:val="auto"/>
              </w:rPr>
            </w:pPr>
          </w:p>
        </w:tc>
      </w:tr>
      <w:tr>
        <w:trPr>
          <w:trHeight w:val="24"/>
        </w:trPr>
        <w:tc>
          <w:tcPr>
            <w:tcW w:w="8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Fair value:</w:t>
            </w:r>
          </w:p>
        </w:tc>
        <w:tc>
          <w:tcPr>
            <w:tcW w:w="2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460" w:type="dxa"/>
            <w:vAlign w:val="bottom"/>
          </w:tcPr>
          <w:p>
            <w:pPr>
              <w:ind w:left="160"/>
              <w:spacing w:after="0"/>
              <w:rPr>
                <w:sz w:val="20"/>
                <w:szCs w:val="20"/>
                <w:color w:val="auto"/>
              </w:rPr>
            </w:pPr>
            <w:r>
              <w:rPr>
                <w:rFonts w:ascii="Arial" w:cs="Arial" w:eastAsia="Arial" w:hAnsi="Arial"/>
                <w:sz w:val="16"/>
                <w:szCs w:val="16"/>
                <w:color w:val="auto"/>
              </w:rPr>
              <w:t>Short-term:</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8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Separately-managed accounts (</w:t>
            </w:r>
            <w:r>
              <w:rPr>
                <w:rFonts w:ascii="Arial" w:cs="Arial" w:eastAsia="Arial" w:hAnsi="Arial"/>
                <w:sz w:val="16"/>
                <w:szCs w:val="16"/>
                <w:b w:val="1"/>
                <w:bCs w:val="1"/>
                <w:color w:val="auto"/>
              </w:rPr>
              <w:t>SMAs</w:t>
            </w:r>
            <w:r>
              <w:rPr>
                <w:rFonts w:ascii="Arial" w:cs="Arial" w:eastAsia="Arial" w:hAnsi="Arial"/>
                <w:sz w:val="16"/>
                <w:szCs w:val="16"/>
                <w:color w:val="auto"/>
              </w:rPr>
              <w:t>) (c)</w:t>
            </w: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2,650.8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8460" w:type="dxa"/>
            <w:vAlign w:val="bottom"/>
          </w:tcPr>
          <w:p>
            <w:pPr>
              <w:ind w:left="160"/>
              <w:spacing w:after="0"/>
              <w:rPr>
                <w:sz w:val="20"/>
                <w:szCs w:val="20"/>
                <w:color w:val="auto"/>
              </w:rPr>
            </w:pPr>
            <w:r>
              <w:rPr>
                <w:rFonts w:ascii="Arial" w:cs="Arial" w:eastAsia="Arial" w:hAnsi="Arial"/>
                <w:sz w:val="16"/>
                <w:szCs w:val="16"/>
                <w:color w:val="auto"/>
              </w:rPr>
              <w:t>Long-term:</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8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ITV plc (</w:t>
            </w:r>
            <w:r>
              <w:rPr>
                <w:rFonts w:ascii="Arial" w:cs="Arial" w:eastAsia="Arial" w:hAnsi="Arial"/>
                <w:sz w:val="16"/>
                <w:szCs w:val="16"/>
                <w:b w:val="1"/>
                <w:bCs w:val="1"/>
                <w:color w:val="auto"/>
              </w:rPr>
              <w:t>ITV</w:t>
            </w:r>
            <w:r>
              <w:rPr>
                <w:rFonts w:ascii="Arial" w:cs="Arial" w:eastAsia="Arial" w:hAnsi="Arial"/>
                <w:sz w:val="16"/>
                <w:szCs w:val="16"/>
                <w:color w:val="auto"/>
              </w:rPr>
              <w:t>) — subject to re-use rights (d)</w:t>
            </w: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368.4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798.1</w:t>
            </w:r>
          </w:p>
        </w:tc>
        <w:tc>
          <w:tcPr>
            <w:tcW w:w="0" w:type="dxa"/>
            <w:vAlign w:val="bottom"/>
          </w:tcPr>
          <w:p>
            <w:pPr>
              <w:spacing w:after="0"/>
              <w:rPr>
                <w:sz w:val="1"/>
                <w:szCs w:val="1"/>
                <w:color w:val="auto"/>
              </w:rPr>
            </w:pPr>
          </w:p>
        </w:tc>
      </w:tr>
      <w:tr>
        <w:trPr>
          <w:trHeight w:val="209"/>
        </w:trPr>
        <w:tc>
          <w:tcPr>
            <w:tcW w:w="8460" w:type="dxa"/>
            <w:vAlign w:val="bottom"/>
          </w:tcPr>
          <w:p>
            <w:pPr>
              <w:ind w:left="280"/>
              <w:spacing w:after="0"/>
              <w:rPr>
                <w:sz w:val="20"/>
                <w:szCs w:val="20"/>
                <w:color w:val="auto"/>
              </w:rPr>
            </w:pPr>
            <w:r>
              <w:rPr>
                <w:rFonts w:ascii="Arial" w:cs="Arial" w:eastAsia="Arial" w:hAnsi="Arial"/>
                <w:sz w:val="16"/>
                <w:szCs w:val="16"/>
                <w:color w:val="auto"/>
              </w:rPr>
              <w:t>SMAs (c)</w:t>
            </w:r>
          </w:p>
        </w:tc>
        <w:tc>
          <w:tcPr>
            <w:tcW w:w="240" w:type="dxa"/>
            <w:vAlign w:val="bottom"/>
          </w:tcPr>
          <w:p>
            <w:pPr>
              <w:spacing w:after="0"/>
              <w:rPr>
                <w:sz w:val="18"/>
                <w:szCs w:val="18"/>
                <w:color w:val="auto"/>
              </w:rPr>
            </w:pPr>
          </w:p>
        </w:tc>
        <w:tc>
          <w:tcPr>
            <w:tcW w:w="1120" w:type="dxa"/>
            <w:vAlign w:val="bottom"/>
          </w:tcPr>
          <w:p>
            <w:pPr>
              <w:jc w:val="right"/>
              <w:ind w:right="44"/>
              <w:spacing w:after="0"/>
              <w:rPr>
                <w:sz w:val="20"/>
                <w:szCs w:val="20"/>
                <w:color w:val="auto"/>
              </w:rPr>
            </w:pPr>
            <w:r>
              <w:rPr>
                <w:rFonts w:ascii="Arial" w:cs="Arial" w:eastAsia="Arial" w:hAnsi="Arial"/>
                <w:sz w:val="16"/>
                <w:szCs w:val="16"/>
                <w:color w:val="auto"/>
              </w:rPr>
              <w:t>335.7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
        </w:trPr>
        <w:tc>
          <w:tcPr>
            <w:tcW w:w="8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 xml:space="preserve">ITI Neovision S.A. </w:t>
            </w:r>
            <w:r>
              <w:rPr>
                <w:rFonts w:ascii="Arial" w:cs="Arial" w:eastAsia="Arial" w:hAnsi="Arial"/>
                <w:sz w:val="16"/>
                <w:szCs w:val="16"/>
                <w:b w:val="1"/>
                <w:bCs w:val="1"/>
                <w:color w:val="auto"/>
              </w:rPr>
              <w:t>(ITI Neovision)</w:t>
            </w: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115.5</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122.4</w:t>
            </w:r>
          </w:p>
        </w:tc>
        <w:tc>
          <w:tcPr>
            <w:tcW w:w="0" w:type="dxa"/>
            <w:vAlign w:val="bottom"/>
          </w:tcPr>
          <w:p>
            <w:pPr>
              <w:spacing w:after="0"/>
              <w:rPr>
                <w:sz w:val="1"/>
                <w:szCs w:val="1"/>
                <w:color w:val="auto"/>
              </w:rPr>
            </w:pPr>
          </w:p>
        </w:tc>
      </w:tr>
      <w:tr>
        <w:trPr>
          <w:trHeight w:val="209"/>
        </w:trPr>
        <w:tc>
          <w:tcPr>
            <w:tcW w:w="8460" w:type="dxa"/>
            <w:vAlign w:val="bottom"/>
          </w:tcPr>
          <w:p>
            <w:pPr>
              <w:ind w:left="280"/>
              <w:spacing w:after="0"/>
              <w:rPr>
                <w:sz w:val="20"/>
                <w:szCs w:val="20"/>
                <w:color w:val="auto"/>
              </w:rPr>
            </w:pPr>
            <w:r>
              <w:rPr>
                <w:rFonts w:ascii="Arial" w:cs="Arial" w:eastAsia="Arial" w:hAnsi="Arial"/>
                <w:sz w:val="16"/>
                <w:szCs w:val="16"/>
                <w:color w:val="auto"/>
              </w:rPr>
              <w:t>Lions Gate Entertainment Corp (</w:t>
            </w:r>
            <w:r>
              <w:rPr>
                <w:rFonts w:ascii="Arial" w:cs="Arial" w:eastAsia="Arial" w:hAnsi="Arial"/>
                <w:sz w:val="16"/>
                <w:szCs w:val="16"/>
                <w:b w:val="1"/>
                <w:bCs w:val="1"/>
                <w:color w:val="auto"/>
              </w:rPr>
              <w:t>Lionsgate</w:t>
            </w:r>
            <w:r>
              <w:rPr>
                <w:rFonts w:ascii="Arial" w:cs="Arial" w:eastAsia="Arial" w:hAnsi="Arial"/>
                <w:sz w:val="16"/>
                <w:szCs w:val="16"/>
                <w:color w:val="auto"/>
              </w:rPr>
              <w:t>) (e)</w:t>
            </w:r>
          </w:p>
        </w:tc>
        <w:tc>
          <w:tcPr>
            <w:tcW w:w="240" w:type="dxa"/>
            <w:vAlign w:val="bottom"/>
          </w:tcPr>
          <w:p>
            <w:pPr>
              <w:spacing w:after="0"/>
              <w:rPr>
                <w:sz w:val="18"/>
                <w:szCs w:val="18"/>
                <w:color w:val="auto"/>
              </w:rPr>
            </w:pPr>
          </w:p>
        </w:tc>
        <w:tc>
          <w:tcPr>
            <w:tcW w:w="1120" w:type="dxa"/>
            <w:vAlign w:val="bottom"/>
          </w:tcPr>
          <w:p>
            <w:pPr>
              <w:jc w:val="right"/>
              <w:ind w:right="44"/>
              <w:spacing w:after="0"/>
              <w:rPr>
                <w:sz w:val="20"/>
                <w:szCs w:val="20"/>
                <w:color w:val="auto"/>
              </w:rPr>
            </w:pPr>
            <w:r>
              <w:rPr>
                <w:rFonts w:ascii="Arial" w:cs="Arial" w:eastAsia="Arial" w:hAnsi="Arial"/>
                <w:sz w:val="16"/>
                <w:szCs w:val="16"/>
                <w:color w:val="auto"/>
              </w:rPr>
              <w:t>47.1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23"/>
              <w:spacing w:after="0"/>
              <w:rPr>
                <w:sz w:val="20"/>
                <w:szCs w:val="20"/>
                <w:color w:val="auto"/>
              </w:rPr>
            </w:pPr>
            <w:r>
              <w:rPr>
                <w:rFonts w:ascii="Arial" w:cs="Arial" w:eastAsia="Arial" w:hAnsi="Arial"/>
                <w:sz w:val="16"/>
                <w:szCs w:val="16"/>
                <w:color w:val="auto"/>
              </w:rPr>
              <w:t>68.0</w:t>
            </w:r>
          </w:p>
        </w:tc>
        <w:tc>
          <w:tcPr>
            <w:tcW w:w="0" w:type="dxa"/>
            <w:vAlign w:val="bottom"/>
          </w:tcPr>
          <w:p>
            <w:pPr>
              <w:spacing w:after="0"/>
              <w:rPr>
                <w:sz w:val="1"/>
                <w:szCs w:val="1"/>
                <w:color w:val="auto"/>
              </w:rPr>
            </w:pPr>
          </w:p>
        </w:tc>
      </w:tr>
      <w:tr>
        <w:trPr>
          <w:trHeight w:val="24"/>
        </w:trPr>
        <w:tc>
          <w:tcPr>
            <w:tcW w:w="8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403.2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300.7</w:t>
            </w:r>
          </w:p>
        </w:tc>
        <w:tc>
          <w:tcPr>
            <w:tcW w:w="0" w:type="dxa"/>
            <w:vAlign w:val="bottom"/>
          </w:tcPr>
          <w:p>
            <w:pPr>
              <w:spacing w:after="0"/>
              <w:rPr>
                <w:sz w:val="1"/>
                <w:szCs w:val="1"/>
                <w:color w:val="auto"/>
              </w:rPr>
            </w:pPr>
          </w:p>
        </w:tc>
      </w:tr>
      <w:tr>
        <w:trPr>
          <w:trHeight w:val="201"/>
        </w:trPr>
        <w:tc>
          <w:tcPr>
            <w:tcW w:w="8460" w:type="dxa"/>
            <w:vAlign w:val="bottom"/>
          </w:tcPr>
          <w:p>
            <w:pPr>
              <w:ind w:left="340"/>
              <w:spacing w:after="0"/>
              <w:rPr>
                <w:sz w:val="20"/>
                <w:szCs w:val="20"/>
                <w:color w:val="auto"/>
              </w:rPr>
            </w:pPr>
            <w:r>
              <w:rPr>
                <w:rFonts w:ascii="Arial" w:cs="Arial" w:eastAsia="Arial" w:hAnsi="Arial"/>
                <w:sz w:val="16"/>
                <w:szCs w:val="16"/>
                <w:color w:val="auto"/>
              </w:rPr>
              <w:t>Total — fair value</w:t>
            </w: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3,920.7</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1,289.2</w:t>
            </w:r>
          </w:p>
        </w:tc>
        <w:tc>
          <w:tcPr>
            <w:tcW w:w="0" w:type="dxa"/>
            <w:vAlign w:val="bottom"/>
          </w:tcPr>
          <w:p>
            <w:pPr>
              <w:spacing w:after="0"/>
              <w:rPr>
                <w:sz w:val="1"/>
                <w:szCs w:val="1"/>
                <w:color w:val="auto"/>
              </w:rPr>
            </w:pPr>
          </w:p>
        </w:tc>
      </w:tr>
      <w:tr>
        <w:trPr>
          <w:trHeight w:val="24"/>
        </w:trPr>
        <w:tc>
          <w:tcPr>
            <w:tcW w:w="8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84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Total investments (f)</w:t>
            </w:r>
          </w:p>
        </w:tc>
        <w:tc>
          <w:tcPr>
            <w:tcW w:w="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7,382.2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4,782.0</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Short-term investments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8460" w:type="dxa"/>
            <w:vAlign w:val="bottom"/>
            <w:vMerge w:val="continue"/>
          </w:tcPr>
          <w:p>
            <w:pPr>
              <w:spacing w:after="0"/>
              <w:rPr>
                <w:sz w:val="15"/>
                <w:szCs w:val="15"/>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44"/>
              <w:spacing w:after="0"/>
              <w:rPr>
                <w:sz w:val="20"/>
                <w:szCs w:val="20"/>
                <w:color w:val="auto"/>
              </w:rPr>
            </w:pPr>
            <w:r>
              <w:rPr>
                <w:rFonts w:ascii="Arial" w:cs="Arial" w:eastAsia="Arial" w:hAnsi="Arial"/>
                <w:sz w:val="16"/>
                <w:szCs w:val="16"/>
                <w:color w:val="auto"/>
              </w:rPr>
              <w:t>2,650.8</w:t>
            </w:r>
          </w:p>
        </w:tc>
        <w:tc>
          <w:tcPr>
            <w:tcW w:w="100" w:type="dxa"/>
            <w:vAlign w:val="bottom"/>
          </w:tcPr>
          <w:p>
            <w:pPr>
              <w:spacing w:after="0"/>
              <w:rPr>
                <w:sz w:val="15"/>
                <w:szCs w:val="15"/>
                <w:color w:val="auto"/>
              </w:rPr>
            </w:pP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4"/>
        </w:trPr>
        <w:tc>
          <w:tcPr>
            <w:tcW w:w="846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8460" w:type="dxa"/>
            <w:vAlign w:val="bottom"/>
            <w:tcBorders>
              <w:bottom w:val="single" w:sz="8" w:color="CCEEFF"/>
            </w:tcBorders>
            <w:shd w:val="clear" w:color="auto" w:fill="CCEEFF"/>
          </w:tcPr>
          <w:p>
            <w:pPr>
              <w:ind w:left="20"/>
              <w:spacing w:after="0" w:line="161" w:lineRule="exact"/>
              <w:rPr>
                <w:sz w:val="20"/>
                <w:szCs w:val="20"/>
                <w:color w:val="auto"/>
              </w:rPr>
            </w:pPr>
            <w:r>
              <w:rPr>
                <w:rFonts w:ascii="Arial" w:cs="Arial" w:eastAsia="Arial" w:hAnsi="Arial"/>
                <w:sz w:val="16"/>
                <w:szCs w:val="16"/>
                <w:color w:val="auto"/>
              </w:rPr>
              <w:t>Long-term investments</w:t>
            </w:r>
          </w:p>
        </w:tc>
        <w:tc>
          <w:tcPr>
            <w:tcW w:w="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4,731.4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4,782.0</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84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jc w:val="both"/>
        <w:ind w:left="427" w:hanging="427"/>
        <w:spacing w:after="0" w:line="290" w:lineRule="auto"/>
        <w:tabs>
          <w:tab w:leader="none" w:pos="427" w:val="left"/>
        </w:tabs>
        <w:numPr>
          <w:ilvl w:val="0"/>
          <w:numId w:val="8"/>
        </w:numPr>
        <w:rPr>
          <w:rFonts w:ascii="Arial" w:cs="Arial" w:eastAsia="Arial" w:hAnsi="Arial"/>
          <w:sz w:val="14"/>
          <w:szCs w:val="14"/>
          <w:color w:val="auto"/>
        </w:rPr>
      </w:pPr>
      <w:r>
        <w:rPr>
          <w:rFonts w:ascii="Arial" w:cs="Arial" w:eastAsia="Arial" w:hAnsi="Arial"/>
          <w:sz w:val="14"/>
          <w:szCs w:val="14"/>
          <w:color w:val="auto"/>
        </w:rPr>
        <w:t>Our equity method investments are originally recorded at cost and are adjusted to recognize our share of net earnings or losses of the affiliates as they occur rather than as dividends or other distributions are received, with our recognition of losses generally limited to the extent of our investment in, and advances and commitments to, the investee. At June 30, 2020 and December 31, 2019, the aggregate carrying amounts of our equity method investments exceeded our proportionate share of the respective investee’s net assets by $968.2 million and $1,041.0 million, respectively, which include amounts associated with the VodafoneZiggo JV Receivable, as defined below, and amounts we are owed under a long-term note receivable from All3Media.</w:t>
      </w:r>
    </w:p>
    <w:p>
      <w:pPr>
        <w:spacing w:after="0" w:line="138" w:lineRule="exact"/>
        <w:rPr>
          <w:rFonts w:ascii="Arial" w:cs="Arial" w:eastAsia="Arial" w:hAnsi="Arial"/>
          <w:sz w:val="14"/>
          <w:szCs w:val="14"/>
          <w:color w:val="auto"/>
        </w:rPr>
      </w:pPr>
    </w:p>
    <w:p>
      <w:pPr>
        <w:jc w:val="both"/>
        <w:ind w:left="427" w:hanging="427"/>
        <w:spacing w:after="0" w:line="250" w:lineRule="auto"/>
        <w:tabs>
          <w:tab w:leader="none" w:pos="427"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Amounts include a euro-denominated note receivable (the </w:t>
      </w:r>
      <w:r>
        <w:rPr>
          <w:rFonts w:ascii="Arial" w:cs="Arial" w:eastAsia="Arial" w:hAnsi="Arial"/>
          <w:sz w:val="16"/>
          <w:szCs w:val="16"/>
          <w:b w:val="1"/>
          <w:bCs w:val="1"/>
          <w:color w:val="auto"/>
        </w:rPr>
        <w:t>VodafoneZiggo JV Receivable</w:t>
      </w:r>
      <w:r>
        <w:rPr>
          <w:rFonts w:ascii="Arial" w:cs="Arial" w:eastAsia="Arial" w:hAnsi="Arial"/>
          <w:sz w:val="16"/>
          <w:szCs w:val="16"/>
          <w:color w:val="auto"/>
        </w:rPr>
        <w:t>) with a principal amount of $787.0 million and $786.1 million, respectively, due from a subsidiary of the VodafoneZiggo JV to a subsidiary of Liberty Global. The VodafoneZiggo JV Receivable bears interest at 5.55% and was amended in June 2020 to extend the final maturity date from January 16, 2028 to December 31, 2030. During the six months ended June 30, 2020, interest accrued on the VodafoneZiggo JV Receivable was $21.6 million, all of which has been cash settled.</w:t>
      </w:r>
    </w:p>
    <w:p>
      <w:pPr>
        <w:spacing w:after="0" w:line="170" w:lineRule="exact"/>
        <w:rPr>
          <w:rFonts w:ascii="Arial" w:cs="Arial" w:eastAsia="Arial" w:hAnsi="Arial"/>
          <w:sz w:val="16"/>
          <w:szCs w:val="16"/>
          <w:color w:val="auto"/>
        </w:rPr>
      </w:pPr>
    </w:p>
    <w:p>
      <w:pPr>
        <w:jc w:val="both"/>
        <w:ind w:left="427" w:right="20" w:hanging="427"/>
        <w:spacing w:after="0" w:line="303" w:lineRule="auto"/>
        <w:tabs>
          <w:tab w:leader="none" w:pos="427" w:val="left"/>
        </w:tabs>
        <w:numPr>
          <w:ilvl w:val="0"/>
          <w:numId w:val="8"/>
        </w:numPr>
        <w:rPr>
          <w:rFonts w:ascii="Arial" w:cs="Arial" w:eastAsia="Arial" w:hAnsi="Arial"/>
          <w:sz w:val="14"/>
          <w:szCs w:val="14"/>
          <w:color w:val="auto"/>
        </w:rPr>
      </w:pPr>
      <w:r>
        <w:rPr>
          <w:rFonts w:ascii="Arial" w:cs="Arial" w:eastAsia="Arial" w:hAnsi="Arial"/>
          <w:sz w:val="14"/>
          <w:szCs w:val="14"/>
          <w:color w:val="auto"/>
        </w:rPr>
        <w:t xml:space="preserve">Represents investments held under SMAs, which are maintained by investment managers acting as agents on our behalf. We classify, measure and report these investments, the composition of which may change from time to time, based on the underlying nature and characteristics of each security held under the SMAs. As of June 30, 2020, all of our investments held under SMAs were classified as available-for-sale debt securities, as further described under </w:t>
      </w:r>
      <w:r>
        <w:rPr>
          <w:rFonts w:ascii="Arial" w:cs="Arial" w:eastAsia="Arial" w:hAnsi="Arial"/>
          <w:sz w:val="14"/>
          <w:szCs w:val="14"/>
          <w:i w:val="1"/>
          <w:iCs w:val="1"/>
          <w:color w:val="auto"/>
        </w:rPr>
        <w:t>Fair Value Investments — Debt Securities</w:t>
      </w:r>
      <w:r>
        <w:rPr>
          <w:rFonts w:ascii="Arial" w:cs="Arial" w:eastAsia="Arial" w:hAnsi="Arial"/>
          <w:sz w:val="14"/>
          <w:szCs w:val="14"/>
          <w:color w:val="auto"/>
        </w:rPr>
        <w:t xml:space="preserve"> below.</w:t>
      </w:r>
    </w:p>
    <w:p>
      <w:pPr>
        <w:spacing w:after="0" w:line="321"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67"/>
          </w:cols>
          <w:pgMar w:left="313" w:top="263" w:right="319" w:bottom="1440" w:gutter="0" w:footer="0" w:header="0"/>
        </w:sectPr>
      </w:pPr>
    </w:p>
    <w:bookmarkStart w:id="17" w:name="page18"/>
    <w:bookmarkEnd w:id="17"/>
    <w:p>
      <w:pPr>
        <w:jc w:val="center"/>
        <w:ind w:right="-6"/>
        <w:spacing w:after="0"/>
        <w:rPr>
          <w:sz w:val="20"/>
          <w:szCs w:val="20"/>
          <w:color w:val="auto"/>
        </w:rPr>
      </w:pPr>
      <w:r>
        <w:rPr>
          <w:rFonts w:ascii="Arial" w:cs="Arial" w:eastAsia="Arial" w:hAnsi="Arial"/>
          <w:sz w:val="16"/>
          <w:szCs w:val="16"/>
          <w:b w:val="1"/>
          <w:bCs w:val="1"/>
          <w:color w:val="auto"/>
        </w:rPr>
        <w:t>LIBERTY GLOBAL PLC</w:t>
      </w:r>
    </w:p>
    <w:p>
      <w:pPr>
        <w:spacing w:after="0" w:line="18"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Notes to Condensed Consolidated Financial Statements — (Continued)</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June 30, 2020</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98" w:lineRule="exact"/>
        <w:rPr>
          <w:sz w:val="20"/>
          <w:szCs w:val="20"/>
          <w:color w:val="auto"/>
        </w:rPr>
      </w:pPr>
    </w:p>
    <w:p>
      <w:pPr>
        <w:jc w:val="both"/>
        <w:ind w:left="427" w:hanging="427"/>
        <w:spacing w:after="0" w:line="308" w:lineRule="auto"/>
        <w:tabs>
          <w:tab w:leader="none" w:pos="427" w:val="left"/>
        </w:tabs>
        <w:numPr>
          <w:ilvl w:val="0"/>
          <w:numId w:val="9"/>
        </w:numPr>
        <w:rPr>
          <w:rFonts w:ascii="Arial" w:cs="Arial" w:eastAsia="Arial" w:hAnsi="Arial"/>
          <w:sz w:val="14"/>
          <w:szCs w:val="14"/>
          <w:color w:val="auto"/>
        </w:rPr>
      </w:pPr>
      <w:r>
        <w:rPr>
          <w:rFonts w:ascii="Arial" w:cs="Arial" w:eastAsia="Arial" w:hAnsi="Arial"/>
          <w:sz w:val="14"/>
          <w:szCs w:val="14"/>
          <w:color w:val="auto"/>
        </w:rPr>
        <w:t xml:space="preserve">The aggregate purchase price paid to acquire our investment in ITV was financed through borrowings under secured borrowing agreements (the </w:t>
      </w:r>
      <w:r>
        <w:rPr>
          <w:rFonts w:ascii="Arial" w:cs="Arial" w:eastAsia="Arial" w:hAnsi="Arial"/>
          <w:sz w:val="14"/>
          <w:szCs w:val="14"/>
          <w:b w:val="1"/>
          <w:bCs w:val="1"/>
          <w:color w:val="auto"/>
        </w:rPr>
        <w:t>ITV Collar Loan</w:t>
      </w:r>
      <w:r>
        <w:rPr>
          <w:rFonts w:ascii="Arial" w:cs="Arial" w:eastAsia="Arial" w:hAnsi="Arial"/>
          <w:sz w:val="14"/>
          <w:szCs w:val="14"/>
          <w:color w:val="auto"/>
        </w:rPr>
        <w:t>). All of the ITV shares we hold are subject to the ITV Collar (as defined in note 6) and pledged as collateral under the ITV Collar Loan. As of June 30, 2020, the fair value of the ITV Collar was a net asset of $969.9 million and principal borrowings outstanding under the ITV Collar Loan were $1,339.9 million.</w:t>
      </w:r>
    </w:p>
    <w:p>
      <w:pPr>
        <w:spacing w:after="0" w:line="124" w:lineRule="exact"/>
        <w:rPr>
          <w:rFonts w:ascii="Arial" w:cs="Arial" w:eastAsia="Arial" w:hAnsi="Arial"/>
          <w:sz w:val="14"/>
          <w:szCs w:val="14"/>
          <w:color w:val="auto"/>
        </w:rPr>
      </w:pPr>
    </w:p>
    <w:p>
      <w:pPr>
        <w:jc w:val="both"/>
        <w:ind w:left="427" w:hanging="427"/>
        <w:spacing w:after="0" w:line="254" w:lineRule="auto"/>
        <w:tabs>
          <w:tab w:leader="none" w:pos="427"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In connection with our investment in Lionsgate, we have entered into (i) the Lionsgate Forward (as defined in note 6) and (ii) a related borrowing agreement (the </w:t>
      </w:r>
      <w:r>
        <w:rPr>
          <w:rFonts w:ascii="Arial" w:cs="Arial" w:eastAsia="Arial" w:hAnsi="Arial"/>
          <w:sz w:val="16"/>
          <w:szCs w:val="16"/>
          <w:b w:val="1"/>
          <w:bCs w:val="1"/>
          <w:color w:val="auto"/>
        </w:rPr>
        <w:t>Lionsgate</w:t>
      </w:r>
      <w:r>
        <w:rPr>
          <w:rFonts w:ascii="Arial" w:cs="Arial" w:eastAsia="Arial" w:hAnsi="Arial"/>
          <w:sz w:val="16"/>
          <w:szCs w:val="16"/>
          <w:color w:val="auto"/>
        </w:rPr>
        <w:t xml:space="preserve"> </w:t>
      </w:r>
      <w:r>
        <w:rPr>
          <w:rFonts w:ascii="Arial" w:cs="Arial" w:eastAsia="Arial" w:hAnsi="Arial"/>
          <w:sz w:val="16"/>
          <w:szCs w:val="16"/>
          <w:b w:val="1"/>
          <w:bCs w:val="1"/>
          <w:color w:val="auto"/>
        </w:rPr>
        <w:t>Loan</w:t>
      </w:r>
      <w:r>
        <w:rPr>
          <w:rFonts w:ascii="Arial" w:cs="Arial" w:eastAsia="Arial" w:hAnsi="Arial"/>
          <w:sz w:val="16"/>
          <w:szCs w:val="16"/>
          <w:color w:val="auto"/>
        </w:rPr>
        <w:t>). As of June 30, 2020, the fair value of the Lionsgate Forward was a net asset of $43.7 million and principal borrowings outstanding under the Lionsgate Loan were</w:t>
      </w:r>
      <w:r>
        <w:rPr>
          <w:rFonts w:ascii="Arial" w:cs="Arial" w:eastAsia="Arial" w:hAnsi="Arial"/>
          <w:sz w:val="16"/>
          <w:szCs w:val="16"/>
          <w:b w:val="1"/>
          <w:bCs w:val="1"/>
          <w:color w:val="auto"/>
        </w:rPr>
        <w:t xml:space="preserve"> </w:t>
      </w:r>
      <w:r>
        <w:rPr>
          <w:rFonts w:ascii="Arial" w:cs="Arial" w:eastAsia="Arial" w:hAnsi="Arial"/>
          <w:sz w:val="16"/>
          <w:szCs w:val="16"/>
          <w:color w:val="auto"/>
        </w:rPr>
        <w:t>$55.3 million.</w:t>
      </w:r>
    </w:p>
    <w:p>
      <w:pPr>
        <w:spacing w:after="0" w:line="166" w:lineRule="exact"/>
        <w:rPr>
          <w:rFonts w:ascii="Arial" w:cs="Arial" w:eastAsia="Arial" w:hAnsi="Arial"/>
          <w:sz w:val="16"/>
          <w:szCs w:val="16"/>
          <w:color w:val="auto"/>
        </w:rPr>
      </w:pPr>
    </w:p>
    <w:p>
      <w:pPr>
        <w:ind w:left="427" w:right="20" w:hanging="427"/>
        <w:spacing w:after="0" w:line="258" w:lineRule="auto"/>
        <w:tabs>
          <w:tab w:leader="none" w:pos="427"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purchase and sale of investments are presented on a gross basis in our statement of cash flows, including those made by investment managers acting as agents on our behalf.</w:t>
      </w:r>
    </w:p>
    <w:p>
      <w:pPr>
        <w:spacing w:after="0" w:line="163" w:lineRule="exact"/>
        <w:rPr>
          <w:sz w:val="20"/>
          <w:szCs w:val="20"/>
          <w:color w:val="auto"/>
        </w:rPr>
      </w:pPr>
    </w:p>
    <w:p>
      <w:pPr>
        <w:ind w:left="147"/>
        <w:spacing w:after="0"/>
        <w:rPr>
          <w:sz w:val="20"/>
          <w:szCs w:val="20"/>
          <w:color w:val="auto"/>
        </w:rPr>
      </w:pPr>
      <w:r>
        <w:rPr>
          <w:rFonts w:ascii="Arial" w:cs="Arial" w:eastAsia="Arial" w:hAnsi="Arial"/>
          <w:sz w:val="16"/>
          <w:szCs w:val="16"/>
          <w:b w:val="1"/>
          <w:bCs w:val="1"/>
          <w:i w:val="1"/>
          <w:iCs w:val="1"/>
          <w:color w:val="auto"/>
        </w:rPr>
        <w:t>Fair Value Investments</w:t>
      </w:r>
    </w:p>
    <w:p>
      <w:pPr>
        <w:spacing w:after="0" w:line="188" w:lineRule="exact"/>
        <w:rPr>
          <w:sz w:val="20"/>
          <w:szCs w:val="20"/>
          <w:color w:val="auto"/>
        </w:rPr>
      </w:pPr>
    </w:p>
    <w:p>
      <w:pPr>
        <w:ind w:left="287"/>
        <w:spacing w:after="0"/>
        <w:rPr>
          <w:sz w:val="20"/>
          <w:szCs w:val="20"/>
          <w:color w:val="auto"/>
        </w:rPr>
      </w:pPr>
      <w:r>
        <w:rPr>
          <w:rFonts w:ascii="Arial" w:cs="Arial" w:eastAsia="Arial" w:hAnsi="Arial"/>
          <w:sz w:val="16"/>
          <w:szCs w:val="16"/>
          <w:color w:val="auto"/>
        </w:rPr>
        <w:t>The following table sets forth the details of our realized and unrealized gains (losses) due to changes in fair values of certain investments, net:</w:t>
      </w:r>
    </w:p>
    <w:p>
      <w:pPr>
        <w:spacing w:after="0" w:line="152" w:lineRule="exact"/>
        <w:rPr>
          <w:sz w:val="20"/>
          <w:szCs w:val="20"/>
          <w:color w:val="auto"/>
        </w:rPr>
      </w:pPr>
    </w:p>
    <w:tbl>
      <w:tblPr>
        <w:tblLayout w:type="fixed"/>
        <w:tblInd w:w="7" w:type="dxa"/>
        <w:tblCellMar>
          <w:top w:w="0" w:type="dxa"/>
          <w:left w:w="0" w:type="dxa"/>
          <w:bottom w:w="0" w:type="dxa"/>
          <w:right w:w="0" w:type="dxa"/>
        </w:tblCellMar>
      </w:tblPr>
      <w:tr>
        <w:trPr>
          <w:trHeight w:val="182"/>
        </w:trPr>
        <w:tc>
          <w:tcPr>
            <w:tcW w:w="6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2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5"/>
                <w:szCs w:val="15"/>
                <w:color w:val="auto"/>
              </w:rPr>
            </w:pPr>
          </w:p>
        </w:tc>
        <w:tc>
          <w:tcPr>
            <w:tcW w:w="1860" w:type="dxa"/>
            <w:vAlign w:val="bottom"/>
            <w:gridSpan w:val="4"/>
          </w:tcPr>
          <w:p>
            <w:pPr>
              <w:jc w:val="right"/>
              <w:ind w:right="184"/>
              <w:spacing w:after="0"/>
              <w:rPr>
                <w:sz w:val="20"/>
                <w:szCs w:val="20"/>
                <w:color w:val="auto"/>
              </w:rPr>
            </w:pPr>
            <w:r>
              <w:rPr>
                <w:rFonts w:ascii="Arial" w:cs="Arial" w:eastAsia="Arial" w:hAnsi="Arial"/>
                <w:sz w:val="14"/>
                <w:szCs w:val="14"/>
                <w:b w:val="1"/>
                <w:bCs w:val="1"/>
                <w:color w:val="auto"/>
                <w:w w:val="87"/>
              </w:rPr>
              <w:t>Six months ended June 30,</w:t>
            </w:r>
          </w:p>
        </w:tc>
      </w:tr>
      <w:tr>
        <w:trPr>
          <w:trHeight w:val="28"/>
        </w:trPr>
        <w:tc>
          <w:tcPr>
            <w:tcW w:w="68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97"/>
        </w:trPr>
        <w:tc>
          <w:tcPr>
            <w:tcW w:w="6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30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30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jc w:val="right"/>
              <w:ind w:right="28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ind w:right="284"/>
              <w:spacing w:after="0"/>
              <w:rPr>
                <w:sz w:val="20"/>
                <w:szCs w:val="20"/>
                <w:color w:val="auto"/>
              </w:rPr>
            </w:pPr>
            <w:r>
              <w:rPr>
                <w:rFonts w:ascii="Arial" w:cs="Arial" w:eastAsia="Arial" w:hAnsi="Arial"/>
                <w:sz w:val="14"/>
                <w:szCs w:val="14"/>
                <w:b w:val="1"/>
                <w:bCs w:val="1"/>
                <w:color w:val="auto"/>
              </w:rPr>
              <w:t>2019</w:t>
            </w:r>
          </w:p>
        </w:tc>
      </w:tr>
      <w:tr>
        <w:trPr>
          <w:trHeight w:val="28"/>
        </w:trPr>
        <w:tc>
          <w:tcPr>
            <w:tcW w:w="68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85"/>
        </w:trPr>
        <w:tc>
          <w:tcPr>
            <w:tcW w:w="6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26"/>
        </w:trPr>
        <w:tc>
          <w:tcPr>
            <w:tcW w:w="6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13"/>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ITV</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42.2</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(111.8)</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(429.7)</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(87.8)</w:t>
            </w:r>
          </w:p>
        </w:tc>
      </w:tr>
      <w:tr>
        <w:trPr>
          <w:trHeight w:val="209"/>
        </w:trPr>
        <w:tc>
          <w:tcPr>
            <w:tcW w:w="6860" w:type="dxa"/>
            <w:vAlign w:val="bottom"/>
          </w:tcPr>
          <w:p>
            <w:pPr>
              <w:ind w:left="20"/>
              <w:spacing w:after="0"/>
              <w:rPr>
                <w:sz w:val="20"/>
                <w:szCs w:val="20"/>
                <w:color w:val="auto"/>
              </w:rPr>
            </w:pPr>
            <w:r>
              <w:rPr>
                <w:rFonts w:ascii="Arial" w:cs="Arial" w:eastAsia="Arial" w:hAnsi="Arial"/>
                <w:sz w:val="16"/>
                <w:szCs w:val="16"/>
                <w:color w:val="auto"/>
              </w:rPr>
              <w:t>Lionsgate</w:t>
            </w:r>
          </w:p>
        </w:tc>
        <w:tc>
          <w:tcPr>
            <w:tcW w:w="160" w:type="dxa"/>
            <w:vAlign w:val="bottom"/>
          </w:tcPr>
          <w:p>
            <w:pPr>
              <w:spacing w:after="0"/>
              <w:rPr>
                <w:sz w:val="18"/>
                <w:szCs w:val="18"/>
                <w:color w:val="auto"/>
              </w:rPr>
            </w:pPr>
          </w:p>
        </w:tc>
        <w:tc>
          <w:tcPr>
            <w:tcW w:w="880" w:type="dxa"/>
            <w:vAlign w:val="bottom"/>
          </w:tcPr>
          <w:p>
            <w:pPr>
              <w:jc w:val="right"/>
              <w:ind w:right="44"/>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4"/>
              <w:spacing w:after="0"/>
              <w:rPr>
                <w:sz w:val="20"/>
                <w:szCs w:val="20"/>
                <w:color w:val="auto"/>
              </w:rPr>
            </w:pPr>
            <w:r>
              <w:rPr>
                <w:rFonts w:ascii="Arial" w:cs="Arial" w:eastAsia="Arial" w:hAnsi="Arial"/>
                <w:sz w:val="16"/>
                <w:szCs w:val="16"/>
                <w:color w:val="auto"/>
              </w:rPr>
              <w:t>(17.2)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(17.8)</w:t>
            </w:r>
          </w:p>
        </w:tc>
      </w:tr>
      <w:tr>
        <w:trPr>
          <w:trHeight w:val="24"/>
        </w:trPr>
        <w:tc>
          <w:tcPr>
            <w:tcW w:w="6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13"/>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SMAs</w:t>
            </w: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16.6</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w:t>
            </w:r>
          </w:p>
        </w:tc>
      </w:tr>
      <w:tr>
        <w:trPr>
          <w:trHeight w:val="209"/>
        </w:trPr>
        <w:tc>
          <w:tcPr>
            <w:tcW w:w="6860" w:type="dxa"/>
            <w:vAlign w:val="bottom"/>
          </w:tcPr>
          <w:p>
            <w:pPr>
              <w:ind w:left="20"/>
              <w:spacing w:after="0"/>
              <w:rPr>
                <w:sz w:val="20"/>
                <w:szCs w:val="20"/>
                <w:color w:val="auto"/>
              </w:rPr>
            </w:pPr>
            <w:r>
              <w:rPr>
                <w:rFonts w:ascii="Arial" w:cs="Arial" w:eastAsia="Arial" w:hAnsi="Arial"/>
                <w:sz w:val="16"/>
                <w:szCs w:val="16"/>
                <w:color w:val="auto"/>
              </w:rPr>
              <w:t>ITI Neovision</w:t>
            </w:r>
          </w:p>
        </w:tc>
        <w:tc>
          <w:tcPr>
            <w:tcW w:w="160" w:type="dxa"/>
            <w:vAlign w:val="bottom"/>
          </w:tcPr>
          <w:p>
            <w:pPr>
              <w:spacing w:after="0"/>
              <w:rPr>
                <w:sz w:val="18"/>
                <w:szCs w:val="18"/>
                <w:color w:val="auto"/>
              </w:rPr>
            </w:pPr>
          </w:p>
        </w:tc>
        <w:tc>
          <w:tcPr>
            <w:tcW w:w="880" w:type="dxa"/>
            <w:vAlign w:val="bottom"/>
          </w:tcPr>
          <w:p>
            <w:pPr>
              <w:jc w:val="right"/>
              <w:ind w:right="44"/>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44"/>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24"/>
              <w:spacing w:after="0"/>
              <w:rPr>
                <w:sz w:val="20"/>
                <w:szCs w:val="20"/>
                <w:color w:val="auto"/>
              </w:rPr>
            </w:pPr>
            <w:r>
              <w:rPr>
                <w:rFonts w:ascii="Arial" w:cs="Arial" w:eastAsia="Arial" w:hAnsi="Arial"/>
                <w:sz w:val="16"/>
                <w:szCs w:val="16"/>
                <w:color w:val="auto"/>
              </w:rPr>
              <w:t>0.5</w:t>
            </w:r>
          </w:p>
        </w:tc>
      </w:tr>
      <w:tr>
        <w:trPr>
          <w:trHeight w:val="24"/>
        </w:trPr>
        <w:tc>
          <w:tcPr>
            <w:tcW w:w="6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3"/>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68.2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60.2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(19.1)</w:t>
            </w:r>
          </w:p>
        </w:tc>
      </w:tr>
      <w:tr>
        <w:trPr>
          <w:trHeight w:val="201"/>
        </w:trPr>
        <w:tc>
          <w:tcPr>
            <w:tcW w:w="6860" w:type="dxa"/>
            <w:vAlign w:val="bottom"/>
          </w:tcPr>
          <w:p>
            <w:pPr>
              <w:ind w:left="14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141.6</w:t>
            </w:r>
          </w:p>
        </w:tc>
        <w:tc>
          <w:tcPr>
            <w:tcW w:w="100" w:type="dxa"/>
            <w:vAlign w:val="bottom"/>
          </w:tcPr>
          <w:p>
            <w:pPr>
              <w:spacing w:after="0"/>
              <w:rPr>
                <w:sz w:val="17"/>
                <w:szCs w:val="17"/>
                <w:color w:val="auto"/>
              </w:rPr>
            </w:pPr>
          </w:p>
        </w:tc>
        <w:tc>
          <w:tcPr>
            <w:tcW w:w="240" w:type="dxa"/>
            <w:vAlign w:val="bottom"/>
            <w:tcBorders>
              <w:top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ind w:right="4"/>
              <w:spacing w:after="0"/>
              <w:rPr>
                <w:sz w:val="20"/>
                <w:szCs w:val="20"/>
                <w:color w:val="auto"/>
              </w:rPr>
            </w:pPr>
            <w:r>
              <w:rPr>
                <w:rFonts w:ascii="Arial" w:cs="Arial" w:eastAsia="Arial" w:hAnsi="Arial"/>
                <w:sz w:val="16"/>
                <w:szCs w:val="16"/>
                <w:color w:val="auto"/>
              </w:rPr>
              <w:t>(128.3)</w:t>
            </w:r>
          </w:p>
        </w:tc>
        <w:tc>
          <w:tcPr>
            <w:tcW w:w="100" w:type="dxa"/>
            <w:vAlign w:val="bottom"/>
          </w:tcPr>
          <w:p>
            <w:pPr>
              <w:spacing w:after="0"/>
              <w:rPr>
                <w:sz w:val="17"/>
                <w:szCs w:val="17"/>
                <w:color w:val="auto"/>
              </w:rPr>
            </w:pPr>
          </w:p>
        </w:tc>
        <w:tc>
          <w:tcPr>
            <w:tcW w:w="260" w:type="dxa"/>
            <w:vAlign w:val="bottom"/>
            <w:tcBorders>
              <w:top w:val="single" w:sz="8" w:color="auto"/>
            </w:tcBorders>
          </w:tcPr>
          <w:p>
            <w:pPr>
              <w:jc w:val="right"/>
              <w:ind w:right="62"/>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(386.4)</w:t>
            </w:r>
          </w:p>
        </w:tc>
        <w:tc>
          <w:tcPr>
            <w:tcW w:w="100" w:type="dxa"/>
            <w:vAlign w:val="bottom"/>
          </w:tcPr>
          <w:p>
            <w:pPr>
              <w:spacing w:after="0"/>
              <w:rPr>
                <w:sz w:val="17"/>
                <w:szCs w:val="17"/>
                <w:color w:val="auto"/>
              </w:rPr>
            </w:pPr>
          </w:p>
        </w:tc>
        <w:tc>
          <w:tcPr>
            <w:tcW w:w="240" w:type="dxa"/>
            <w:vAlign w:val="bottom"/>
            <w:tcBorders>
              <w:top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(124.2)</w:t>
            </w:r>
          </w:p>
        </w:tc>
      </w:tr>
      <w:tr>
        <w:trPr>
          <w:trHeight w:val="24"/>
        </w:trPr>
        <w:tc>
          <w:tcPr>
            <w:tcW w:w="68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
        </w:trPr>
        <w:tc>
          <w:tcPr>
            <w:tcW w:w="6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362" w:lineRule="exact"/>
        <w:rPr>
          <w:sz w:val="20"/>
          <w:szCs w:val="20"/>
          <w:color w:val="auto"/>
        </w:rPr>
      </w:pPr>
    </w:p>
    <w:p>
      <w:pPr>
        <w:ind w:left="287"/>
        <w:spacing w:after="0"/>
        <w:rPr>
          <w:sz w:val="20"/>
          <w:szCs w:val="20"/>
          <w:color w:val="auto"/>
        </w:rPr>
      </w:pPr>
      <w:r>
        <w:rPr>
          <w:rFonts w:ascii="Arial" w:cs="Arial" w:eastAsia="Arial" w:hAnsi="Arial"/>
          <w:sz w:val="16"/>
          <w:szCs w:val="16"/>
          <w:i w:val="1"/>
          <w:iCs w:val="1"/>
          <w:color w:val="auto"/>
        </w:rPr>
        <w:t>Debt Securities</w:t>
      </w:r>
    </w:p>
    <w:p>
      <w:pPr>
        <w:spacing w:after="0" w:line="188" w:lineRule="exact"/>
        <w:rPr>
          <w:sz w:val="20"/>
          <w:szCs w:val="20"/>
          <w:color w:val="auto"/>
        </w:rPr>
      </w:pPr>
    </w:p>
    <w:p>
      <w:pPr>
        <w:jc w:val="both"/>
        <w:ind w:left="7" w:firstLine="279"/>
        <w:spacing w:after="0" w:line="287" w:lineRule="auto"/>
        <w:rPr>
          <w:sz w:val="20"/>
          <w:szCs w:val="20"/>
          <w:color w:val="auto"/>
        </w:rPr>
      </w:pPr>
      <w:r>
        <w:rPr>
          <w:rFonts w:ascii="Arial" w:cs="Arial" w:eastAsia="Arial" w:hAnsi="Arial"/>
          <w:sz w:val="14"/>
          <w:szCs w:val="14"/>
          <w:color w:val="auto"/>
        </w:rPr>
        <w:t>We determine the appropriate classification of our investments in debt securities at the time of purchase, and reevaluate such determinations at each balance sheet date. All of our debt securities are classified as available for sale and are reported at fair value, and any changes in fair value are reported in realized and unrealized gains or losses due to changes in fair value of certain investments and debt, net, in our consolidated statement of operations. In addition, any interest received on our debt securities is reported as interest income in our consolidated statement of operations. All costs directly associated with the acquisition of debt securities are expensed as incurred. We classify our government bonds within Level 1 of the fair value hierarchy and our corporate debt securities, commercial paper and certificates of deposit within Level 2 of the fair value hierarchy. For further information regarding our fair value measurements, see note 7.</w:t>
      </w:r>
    </w:p>
    <w:p>
      <w:pPr>
        <w:spacing w:after="0" w:line="148" w:lineRule="exact"/>
        <w:rPr>
          <w:sz w:val="20"/>
          <w:szCs w:val="20"/>
          <w:color w:val="auto"/>
        </w:rPr>
      </w:pPr>
    </w:p>
    <w:p>
      <w:pPr>
        <w:ind w:left="287"/>
        <w:spacing w:after="0"/>
        <w:rPr>
          <w:sz w:val="20"/>
          <w:szCs w:val="20"/>
          <w:color w:val="auto"/>
        </w:rPr>
      </w:pPr>
      <w:r>
        <w:rPr>
          <w:rFonts w:ascii="Arial" w:cs="Arial" w:eastAsia="Arial" w:hAnsi="Arial"/>
          <w:sz w:val="16"/>
          <w:szCs w:val="16"/>
          <w:color w:val="auto"/>
        </w:rPr>
        <w:t>The following table sets forth the details of our debt securities as of and for the six months ended June 30, 2020:</w:t>
      </w:r>
    </w:p>
    <w:p>
      <w:pPr>
        <w:spacing w:after="0" w:line="140"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35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Amortized cost</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5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basis</w:t>
            </w:r>
          </w:p>
        </w:tc>
        <w:tc>
          <w:tcPr>
            <w:tcW w:w="100" w:type="dxa"/>
            <w:vAlign w:val="bottom"/>
          </w:tcPr>
          <w:p>
            <w:pPr>
              <w:spacing w:after="0"/>
              <w:rPr>
                <w:sz w:val="15"/>
                <w:szCs w:val="15"/>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Unrealized gains</w:t>
            </w:r>
          </w:p>
        </w:tc>
        <w:tc>
          <w:tcPr>
            <w:tcW w:w="200" w:type="dxa"/>
            <w:vAlign w:val="bottom"/>
          </w:tcPr>
          <w:p>
            <w:pPr>
              <w:spacing w:after="0"/>
              <w:rPr>
                <w:sz w:val="15"/>
                <w:szCs w:val="15"/>
                <w:color w:val="auto"/>
              </w:rPr>
            </w:pPr>
          </w:p>
        </w:tc>
        <w:tc>
          <w:tcPr>
            <w:tcW w:w="1020" w:type="dxa"/>
            <w:vAlign w:val="bottom"/>
          </w:tcPr>
          <w:p>
            <w:pPr>
              <w:jc w:val="right"/>
              <w:ind w:right="24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8"/>
        </w:trPr>
        <w:tc>
          <w:tcPr>
            <w:tcW w:w="35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356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in millions</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5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Commercial paper</w:t>
            </w:r>
          </w:p>
        </w:tc>
        <w:tc>
          <w:tcPr>
            <w:tcW w:w="3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986.8</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988.0</w:t>
            </w:r>
          </w:p>
        </w:tc>
        <w:tc>
          <w:tcPr>
            <w:tcW w:w="0" w:type="dxa"/>
            <w:vAlign w:val="bottom"/>
          </w:tcPr>
          <w:p>
            <w:pPr>
              <w:spacing w:after="0"/>
              <w:rPr>
                <w:sz w:val="1"/>
                <w:szCs w:val="1"/>
                <w:color w:val="auto"/>
              </w:rPr>
            </w:pPr>
          </w:p>
        </w:tc>
      </w:tr>
      <w:tr>
        <w:trPr>
          <w:trHeight w:val="209"/>
        </w:trPr>
        <w:tc>
          <w:tcPr>
            <w:tcW w:w="3560" w:type="dxa"/>
            <w:vAlign w:val="bottom"/>
          </w:tcPr>
          <w:p>
            <w:pPr>
              <w:ind w:left="20"/>
              <w:spacing w:after="0"/>
              <w:rPr>
                <w:sz w:val="20"/>
                <w:szCs w:val="20"/>
                <w:color w:val="auto"/>
              </w:rPr>
            </w:pPr>
            <w:r>
              <w:rPr>
                <w:rFonts w:ascii="Arial" w:cs="Arial" w:eastAsia="Arial" w:hAnsi="Arial"/>
                <w:sz w:val="16"/>
                <w:szCs w:val="16"/>
                <w:color w:val="auto"/>
              </w:rPr>
              <w:t>Government bonds</w:t>
            </w:r>
          </w:p>
        </w:tc>
        <w:tc>
          <w:tcPr>
            <w:tcW w:w="3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44"/>
              <w:spacing w:after="0"/>
              <w:rPr>
                <w:sz w:val="20"/>
                <w:szCs w:val="20"/>
                <w:color w:val="auto"/>
              </w:rPr>
            </w:pPr>
            <w:r>
              <w:rPr>
                <w:rFonts w:ascii="Arial" w:cs="Arial" w:eastAsia="Arial" w:hAnsi="Arial"/>
                <w:sz w:val="16"/>
                <w:szCs w:val="16"/>
                <w:color w:val="auto"/>
              </w:rPr>
              <w:t>900.0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24"/>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24"/>
              <w:spacing w:after="0"/>
              <w:rPr>
                <w:sz w:val="20"/>
                <w:szCs w:val="20"/>
                <w:color w:val="auto"/>
              </w:rPr>
            </w:pPr>
            <w:r>
              <w:rPr>
                <w:rFonts w:ascii="Arial" w:cs="Arial" w:eastAsia="Arial" w:hAnsi="Arial"/>
                <w:sz w:val="16"/>
                <w:szCs w:val="16"/>
                <w:color w:val="auto"/>
              </w:rPr>
              <w:t>900.3</w:t>
            </w:r>
          </w:p>
        </w:tc>
        <w:tc>
          <w:tcPr>
            <w:tcW w:w="0" w:type="dxa"/>
            <w:vAlign w:val="bottom"/>
          </w:tcPr>
          <w:p>
            <w:pPr>
              <w:spacing w:after="0"/>
              <w:rPr>
                <w:sz w:val="1"/>
                <w:szCs w:val="1"/>
                <w:color w:val="auto"/>
              </w:rPr>
            </w:pPr>
          </w:p>
        </w:tc>
      </w:tr>
      <w:tr>
        <w:trPr>
          <w:trHeight w:val="24"/>
        </w:trPr>
        <w:tc>
          <w:tcPr>
            <w:tcW w:w="35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Corporate debt securities</w:t>
            </w:r>
          </w:p>
        </w:tc>
        <w:tc>
          <w:tcPr>
            <w:tcW w:w="37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730.5</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734.1</w:t>
            </w:r>
          </w:p>
        </w:tc>
        <w:tc>
          <w:tcPr>
            <w:tcW w:w="0" w:type="dxa"/>
            <w:vAlign w:val="bottom"/>
          </w:tcPr>
          <w:p>
            <w:pPr>
              <w:spacing w:after="0"/>
              <w:rPr>
                <w:sz w:val="1"/>
                <w:szCs w:val="1"/>
                <w:color w:val="auto"/>
              </w:rPr>
            </w:pPr>
          </w:p>
        </w:tc>
      </w:tr>
      <w:tr>
        <w:trPr>
          <w:trHeight w:val="209"/>
        </w:trPr>
        <w:tc>
          <w:tcPr>
            <w:tcW w:w="3560" w:type="dxa"/>
            <w:vAlign w:val="bottom"/>
          </w:tcPr>
          <w:p>
            <w:pPr>
              <w:ind w:left="20"/>
              <w:spacing w:after="0"/>
              <w:rPr>
                <w:sz w:val="20"/>
                <w:szCs w:val="20"/>
                <w:color w:val="auto"/>
              </w:rPr>
            </w:pPr>
            <w:r>
              <w:rPr>
                <w:rFonts w:ascii="Arial" w:cs="Arial" w:eastAsia="Arial" w:hAnsi="Arial"/>
                <w:sz w:val="16"/>
                <w:szCs w:val="16"/>
                <w:color w:val="auto"/>
              </w:rPr>
              <w:t>Certificates of deposit</w:t>
            </w:r>
          </w:p>
        </w:tc>
        <w:tc>
          <w:tcPr>
            <w:tcW w:w="3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44"/>
              <w:spacing w:after="0"/>
              <w:rPr>
                <w:sz w:val="20"/>
                <w:szCs w:val="20"/>
                <w:color w:val="auto"/>
              </w:rPr>
            </w:pPr>
            <w:r>
              <w:rPr>
                <w:rFonts w:ascii="Arial" w:cs="Arial" w:eastAsia="Arial" w:hAnsi="Arial"/>
                <w:sz w:val="16"/>
                <w:szCs w:val="16"/>
                <w:color w:val="auto"/>
              </w:rPr>
              <w:t>332.9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24"/>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24"/>
              <w:spacing w:after="0"/>
              <w:rPr>
                <w:sz w:val="20"/>
                <w:szCs w:val="20"/>
                <w:color w:val="auto"/>
              </w:rPr>
            </w:pPr>
            <w:r>
              <w:rPr>
                <w:rFonts w:ascii="Arial" w:cs="Arial" w:eastAsia="Arial" w:hAnsi="Arial"/>
                <w:sz w:val="16"/>
                <w:szCs w:val="16"/>
                <w:color w:val="auto"/>
              </w:rPr>
              <w:t>333.0</w:t>
            </w:r>
          </w:p>
        </w:tc>
        <w:tc>
          <w:tcPr>
            <w:tcW w:w="0" w:type="dxa"/>
            <w:vAlign w:val="bottom"/>
          </w:tcPr>
          <w:p>
            <w:pPr>
              <w:spacing w:after="0"/>
              <w:rPr>
                <w:sz w:val="1"/>
                <w:szCs w:val="1"/>
                <w:color w:val="auto"/>
              </w:rPr>
            </w:pPr>
          </w:p>
        </w:tc>
      </w:tr>
      <w:tr>
        <w:trPr>
          <w:trHeight w:val="24"/>
        </w:trPr>
        <w:tc>
          <w:tcPr>
            <w:tcW w:w="35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debt securities</w:t>
            </w:r>
          </w:p>
        </w:tc>
        <w:tc>
          <w:tcPr>
            <w:tcW w:w="37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31.1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31.1</w:t>
            </w:r>
          </w:p>
        </w:tc>
        <w:tc>
          <w:tcPr>
            <w:tcW w:w="0" w:type="dxa"/>
            <w:vAlign w:val="bottom"/>
          </w:tcPr>
          <w:p>
            <w:pPr>
              <w:spacing w:after="0"/>
              <w:rPr>
                <w:sz w:val="1"/>
                <w:szCs w:val="1"/>
                <w:color w:val="auto"/>
              </w:rPr>
            </w:pPr>
          </w:p>
        </w:tc>
      </w:tr>
      <w:tr>
        <w:trPr>
          <w:trHeight w:val="201"/>
        </w:trPr>
        <w:tc>
          <w:tcPr>
            <w:tcW w:w="3560" w:type="dxa"/>
            <w:vAlign w:val="bottom"/>
          </w:tcPr>
          <w:p>
            <w:pPr>
              <w:ind w:left="140"/>
              <w:spacing w:after="0"/>
              <w:rPr>
                <w:sz w:val="20"/>
                <w:szCs w:val="20"/>
                <w:color w:val="auto"/>
              </w:rPr>
            </w:pPr>
            <w:r>
              <w:rPr>
                <w:rFonts w:ascii="Arial" w:cs="Arial" w:eastAsia="Arial" w:hAnsi="Arial"/>
                <w:sz w:val="16"/>
                <w:szCs w:val="16"/>
                <w:color w:val="auto"/>
              </w:rPr>
              <w:t>Total debt securities</w:t>
            </w:r>
          </w:p>
        </w:tc>
        <w:tc>
          <w:tcPr>
            <w:tcW w:w="376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2,981.3</w:t>
            </w:r>
          </w:p>
        </w:tc>
        <w:tc>
          <w:tcPr>
            <w:tcW w:w="1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24"/>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7"/>
                <w:szCs w:val="17"/>
                <w:color w:val="auto"/>
              </w:rPr>
            </w:pPr>
          </w:p>
        </w:tc>
        <w:tc>
          <w:tcPr>
            <w:tcW w:w="20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ind w:right="24"/>
              <w:spacing w:after="0"/>
              <w:rPr>
                <w:sz w:val="20"/>
                <w:szCs w:val="20"/>
                <w:color w:val="auto"/>
              </w:rPr>
            </w:pPr>
            <w:r>
              <w:rPr>
                <w:rFonts w:ascii="Arial" w:cs="Arial" w:eastAsia="Arial" w:hAnsi="Arial"/>
                <w:sz w:val="16"/>
                <w:szCs w:val="16"/>
                <w:color w:val="auto"/>
              </w:rPr>
              <w:t>2,986.5</w:t>
            </w:r>
          </w:p>
        </w:tc>
        <w:tc>
          <w:tcPr>
            <w:tcW w:w="0" w:type="dxa"/>
            <w:vAlign w:val="bottom"/>
          </w:tcPr>
          <w:p>
            <w:pPr>
              <w:spacing w:after="0"/>
              <w:rPr>
                <w:sz w:val="1"/>
                <w:szCs w:val="1"/>
                <w:color w:val="auto"/>
              </w:rPr>
            </w:pPr>
          </w:p>
        </w:tc>
      </w:tr>
      <w:tr>
        <w:trPr>
          <w:trHeight w:val="24"/>
        </w:trPr>
        <w:tc>
          <w:tcPr>
            <w:tcW w:w="3560" w:type="dxa"/>
            <w:vAlign w:val="bottom"/>
          </w:tcPr>
          <w:p>
            <w:pPr>
              <w:spacing w:after="0"/>
              <w:rPr>
                <w:sz w:val="2"/>
                <w:szCs w:val="2"/>
                <w:color w:val="auto"/>
              </w:rPr>
            </w:pPr>
          </w:p>
        </w:tc>
        <w:tc>
          <w:tcPr>
            <w:tcW w:w="3760" w:type="dxa"/>
            <w:vAlign w:val="bottom"/>
            <w:vMerge w:val="restart"/>
          </w:tcPr>
          <w:p>
            <w:pPr>
              <w:jc w:val="right"/>
              <w:ind w:right="1542"/>
              <w:spacing w:after="0"/>
              <w:rPr>
                <w:sz w:val="20"/>
                <w:szCs w:val="20"/>
                <w:color w:val="auto"/>
              </w:rPr>
            </w:pPr>
            <w:r>
              <w:rPr>
                <w:rFonts w:ascii="Arial" w:cs="Arial" w:eastAsia="Arial" w:hAnsi="Arial"/>
                <w:sz w:val="16"/>
                <w:szCs w:val="16"/>
                <w:color w:val="auto"/>
              </w:rPr>
              <w:t>16</w:t>
            </w: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376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3560" w:type="dxa"/>
            <w:vAlign w:val="bottom"/>
          </w:tcPr>
          <w:p>
            <w:pPr>
              <w:spacing w:after="0"/>
              <w:rPr>
                <w:sz w:val="24"/>
                <w:szCs w:val="24"/>
                <w:color w:val="auto"/>
              </w:rPr>
            </w:pPr>
          </w:p>
        </w:tc>
        <w:tc>
          <w:tcPr>
            <w:tcW w:w="37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7"/>
          </w:cols>
          <w:pgMar w:left="313" w:top="263" w:right="319" w:bottom="1440" w:gutter="0" w:footer="0" w:header="0"/>
        </w:sectPr>
      </w:pPr>
    </w:p>
    <w:bookmarkStart w:id="18" w:name="page19"/>
    <w:bookmarkEnd w:id="18"/>
    <w:p>
      <w:pPr>
        <w:jc w:val="center"/>
        <w:ind w:right="-6"/>
        <w:spacing w:after="0"/>
        <w:rPr>
          <w:sz w:val="20"/>
          <w:szCs w:val="20"/>
          <w:color w:val="auto"/>
        </w:rPr>
      </w:pPr>
      <w:r>
        <w:rPr>
          <w:rFonts w:ascii="Arial" w:cs="Arial" w:eastAsia="Arial" w:hAnsi="Arial"/>
          <w:sz w:val="16"/>
          <w:szCs w:val="16"/>
          <w:b w:val="1"/>
          <w:bCs w:val="1"/>
          <w:color w:val="auto"/>
        </w:rPr>
        <w:t>LIBERTY GLOBAL PLC</w:t>
      </w:r>
    </w:p>
    <w:p>
      <w:pPr>
        <w:spacing w:after="0" w:line="18"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Notes to Condensed Consolidated Financial Statements — (Continued)</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June 30, 2020</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ind w:left="7" w:right="20" w:firstLine="279"/>
        <w:spacing w:after="0" w:line="258" w:lineRule="auto"/>
        <w:rPr>
          <w:sz w:val="20"/>
          <w:szCs w:val="20"/>
          <w:color w:val="auto"/>
        </w:rPr>
      </w:pPr>
      <w:r>
        <w:rPr>
          <w:rFonts w:ascii="Arial" w:cs="Arial" w:eastAsia="Arial" w:hAnsi="Arial"/>
          <w:sz w:val="16"/>
          <w:szCs w:val="16"/>
          <w:color w:val="auto"/>
        </w:rPr>
        <w:t>During the second quarter of 2020, we received proceeds from the sale of debt securities of $2.5 billion, the majority of which were reinvested in new debt securities held under SMAs. The sale of debt securities during the second quarter of 2020 resulted in a realized net gain of $0.7 million.</w:t>
      </w:r>
    </w:p>
    <w:p>
      <w:pPr>
        <w:spacing w:after="0" w:line="163" w:lineRule="exact"/>
        <w:rPr>
          <w:sz w:val="20"/>
          <w:szCs w:val="20"/>
          <w:color w:val="auto"/>
        </w:rPr>
      </w:pPr>
    </w:p>
    <w:tbl>
      <w:tblPr>
        <w:tblLayout w:type="fixed"/>
        <w:tblInd w:w="7" w:type="dxa"/>
        <w:tblCellMar>
          <w:top w:w="0" w:type="dxa"/>
          <w:left w:w="0" w:type="dxa"/>
          <w:bottom w:w="0" w:type="dxa"/>
          <w:right w:w="0" w:type="dxa"/>
        </w:tblCellMar>
      </w:tblPr>
      <w:tr>
        <w:trPr>
          <w:trHeight w:val="196"/>
        </w:trPr>
        <w:tc>
          <w:tcPr>
            <w:tcW w:w="220" w:type="dxa"/>
            <w:vAlign w:val="bottom"/>
          </w:tcPr>
          <w:p>
            <w:pPr>
              <w:spacing w:after="0"/>
              <w:rPr>
                <w:sz w:val="17"/>
                <w:szCs w:val="17"/>
                <w:color w:val="auto"/>
              </w:rPr>
            </w:pPr>
          </w:p>
        </w:tc>
        <w:tc>
          <w:tcPr>
            <w:tcW w:w="7780" w:type="dxa"/>
            <w:vAlign w:val="bottom"/>
            <w:gridSpan w:val="4"/>
          </w:tcPr>
          <w:p>
            <w:pPr>
              <w:ind w:left="60"/>
              <w:spacing w:after="0"/>
              <w:rPr>
                <w:sz w:val="20"/>
                <w:szCs w:val="20"/>
                <w:color w:val="auto"/>
              </w:rPr>
            </w:pPr>
            <w:r>
              <w:rPr>
                <w:rFonts w:ascii="Arial" w:cs="Arial" w:eastAsia="Arial" w:hAnsi="Arial"/>
                <w:sz w:val="16"/>
                <w:szCs w:val="16"/>
                <w:color w:val="auto"/>
                <w:w w:val="99"/>
              </w:rPr>
              <w:t>The fair value of our debt securities as of June 30, 2020 by contractual maturity are shown below (in millions):</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7"/>
        </w:trPr>
        <w:tc>
          <w:tcPr>
            <w:tcW w:w="6860" w:type="dxa"/>
            <w:vAlign w:val="bottom"/>
            <w:gridSpan w:val="2"/>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6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Due in one year or less</w:t>
            </w: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2"/>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2,650.8</w:t>
            </w:r>
          </w:p>
        </w:tc>
        <w:tc>
          <w:tcPr>
            <w:tcW w:w="0" w:type="dxa"/>
            <w:vAlign w:val="bottom"/>
          </w:tcPr>
          <w:p>
            <w:pPr>
              <w:spacing w:after="0"/>
              <w:rPr>
                <w:sz w:val="1"/>
                <w:szCs w:val="1"/>
                <w:color w:val="auto"/>
              </w:rPr>
            </w:pPr>
          </w:p>
        </w:tc>
      </w:tr>
      <w:tr>
        <w:trPr>
          <w:trHeight w:val="209"/>
        </w:trPr>
        <w:tc>
          <w:tcPr>
            <w:tcW w:w="6860" w:type="dxa"/>
            <w:vAlign w:val="bottom"/>
            <w:gridSpan w:val="2"/>
          </w:tcPr>
          <w:p>
            <w:pPr>
              <w:ind w:left="20"/>
              <w:spacing w:after="0"/>
              <w:rPr>
                <w:sz w:val="20"/>
                <w:szCs w:val="20"/>
                <w:color w:val="auto"/>
              </w:rPr>
            </w:pPr>
            <w:r>
              <w:rPr>
                <w:rFonts w:ascii="Arial" w:cs="Arial" w:eastAsia="Arial" w:hAnsi="Arial"/>
                <w:sz w:val="16"/>
                <w:szCs w:val="16"/>
                <w:color w:val="auto"/>
              </w:rPr>
              <w:t>Due in one to five years</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328.0</w:t>
            </w:r>
          </w:p>
        </w:tc>
        <w:tc>
          <w:tcPr>
            <w:tcW w:w="0" w:type="dxa"/>
            <w:vAlign w:val="bottom"/>
          </w:tcPr>
          <w:p>
            <w:pPr>
              <w:spacing w:after="0"/>
              <w:rPr>
                <w:sz w:val="1"/>
                <w:szCs w:val="1"/>
                <w:color w:val="auto"/>
              </w:rPr>
            </w:pPr>
          </w:p>
        </w:tc>
      </w:tr>
      <w:tr>
        <w:trPr>
          <w:trHeight w:val="24"/>
        </w:trPr>
        <w:tc>
          <w:tcPr>
            <w:tcW w:w="68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6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Due in five to ten years</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01"/>
        </w:trPr>
        <w:tc>
          <w:tcPr>
            <w:tcW w:w="6860" w:type="dxa"/>
            <w:vAlign w:val="bottom"/>
            <w:gridSpan w:val="2"/>
          </w:tcPr>
          <w:p>
            <w:pPr>
              <w:ind w:left="140"/>
              <w:spacing w:after="0"/>
              <w:rPr>
                <w:sz w:val="20"/>
                <w:szCs w:val="20"/>
                <w:color w:val="auto"/>
              </w:rPr>
            </w:pPr>
            <w:r>
              <w:rPr>
                <w:rFonts w:ascii="Arial" w:cs="Arial" w:eastAsia="Arial" w:hAnsi="Arial"/>
                <w:sz w:val="16"/>
                <w:szCs w:val="16"/>
                <w:color w:val="auto"/>
              </w:rPr>
              <w:t>Total (a)</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Borders>
              <w:top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2,986.5</w:t>
            </w:r>
          </w:p>
        </w:tc>
        <w:tc>
          <w:tcPr>
            <w:tcW w:w="0" w:type="dxa"/>
            <w:vAlign w:val="bottom"/>
          </w:tcPr>
          <w:p>
            <w:pPr>
              <w:spacing w:after="0"/>
              <w:rPr>
                <w:sz w:val="1"/>
                <w:szCs w:val="1"/>
                <w:color w:val="auto"/>
              </w:rPr>
            </w:pPr>
          </w:p>
        </w:tc>
      </w:tr>
      <w:tr>
        <w:trPr>
          <w:trHeight w:val="24"/>
        </w:trPr>
        <w:tc>
          <w:tcPr>
            <w:tcW w:w="6860" w:type="dxa"/>
            <w:vAlign w:val="bottom"/>
            <w:gridSpan w:val="2"/>
            <w:vMerge w:val="restart"/>
          </w:tcPr>
          <w:p>
            <w:pPr>
              <w:spacing w:after="0"/>
              <w:rPr>
                <w:sz w:val="20"/>
                <w:szCs w:val="20"/>
                <w:color w:val="auto"/>
              </w:rPr>
            </w:pPr>
            <w:r>
              <w:rPr>
                <w:rFonts w:ascii="Arial" w:cs="Arial" w:eastAsia="Arial" w:hAnsi="Arial"/>
                <w:sz w:val="16"/>
                <w:szCs w:val="16"/>
                <w:color w:val="auto"/>
              </w:rPr>
              <w:t>_______________</w:t>
            </w: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86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8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220" w:type="dxa"/>
            <w:vAlign w:val="bottom"/>
          </w:tcPr>
          <w:p>
            <w:pPr>
              <w:spacing w:after="0"/>
              <w:rPr>
                <w:sz w:val="20"/>
                <w:szCs w:val="20"/>
                <w:color w:val="auto"/>
              </w:rPr>
            </w:pPr>
            <w:r>
              <w:rPr>
                <w:rFonts w:ascii="Arial" w:cs="Arial" w:eastAsia="Arial" w:hAnsi="Arial"/>
                <w:sz w:val="16"/>
                <w:szCs w:val="16"/>
                <w:color w:val="auto"/>
              </w:rPr>
              <w:t>(a)</w:t>
            </w:r>
          </w:p>
        </w:tc>
        <w:tc>
          <w:tcPr>
            <w:tcW w:w="6640" w:type="dxa"/>
            <w:vAlign w:val="bottom"/>
          </w:tcPr>
          <w:p>
            <w:pPr>
              <w:ind w:left="200"/>
              <w:spacing w:after="0"/>
              <w:rPr>
                <w:sz w:val="20"/>
                <w:szCs w:val="20"/>
                <w:color w:val="auto"/>
              </w:rPr>
            </w:pPr>
            <w:r>
              <w:rPr>
                <w:rFonts w:ascii="Arial" w:cs="Arial" w:eastAsia="Arial" w:hAnsi="Arial"/>
                <w:sz w:val="16"/>
                <w:szCs w:val="16"/>
                <w:color w:val="auto"/>
              </w:rPr>
              <w:t>The weighted average life of our total debt securities was 0.6 years as of June 30, 2020.</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6860" w:type="dxa"/>
            <w:vAlign w:val="bottom"/>
            <w:gridSpan w:val="2"/>
          </w:tcPr>
          <w:p>
            <w:pPr>
              <w:ind w:left="140"/>
              <w:spacing w:after="0"/>
              <w:rPr>
                <w:sz w:val="20"/>
                <w:szCs w:val="20"/>
                <w:color w:val="auto"/>
              </w:rPr>
            </w:pPr>
            <w:r>
              <w:rPr>
                <w:rFonts w:ascii="Arial" w:cs="Arial" w:eastAsia="Arial" w:hAnsi="Arial"/>
                <w:sz w:val="16"/>
                <w:szCs w:val="16"/>
                <w:b w:val="1"/>
                <w:bCs w:val="1"/>
                <w:i w:val="1"/>
                <w:iCs w:val="1"/>
                <w:color w:val="auto"/>
              </w:rPr>
              <w:t>Equity Method Investments</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20" w:type="dxa"/>
            <w:vAlign w:val="bottom"/>
          </w:tcPr>
          <w:p>
            <w:pPr>
              <w:spacing w:after="0"/>
              <w:rPr>
                <w:sz w:val="24"/>
                <w:szCs w:val="24"/>
                <w:color w:val="auto"/>
              </w:rPr>
            </w:pPr>
          </w:p>
        </w:tc>
        <w:tc>
          <w:tcPr>
            <w:tcW w:w="6640" w:type="dxa"/>
            <w:vAlign w:val="bottom"/>
          </w:tcPr>
          <w:p>
            <w:pPr>
              <w:ind w:left="60"/>
              <w:spacing w:after="0"/>
              <w:rPr>
                <w:sz w:val="20"/>
                <w:szCs w:val="20"/>
                <w:color w:val="auto"/>
              </w:rPr>
            </w:pPr>
            <w:r>
              <w:rPr>
                <w:rFonts w:ascii="Arial" w:cs="Arial" w:eastAsia="Arial" w:hAnsi="Arial"/>
                <w:sz w:val="16"/>
                <w:szCs w:val="16"/>
                <w:color w:val="auto"/>
              </w:rPr>
              <w:t>The following table sets forth the details of our share of results of affiliates, net:</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2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24"/>
                <w:szCs w:val="24"/>
                <w:color w:val="auto"/>
              </w:rPr>
            </w:pPr>
          </w:p>
        </w:tc>
        <w:tc>
          <w:tcPr>
            <w:tcW w:w="1860" w:type="dxa"/>
            <w:vAlign w:val="bottom"/>
            <w:gridSpan w:val="5"/>
          </w:tcPr>
          <w:p>
            <w:pPr>
              <w:jc w:val="right"/>
              <w:ind w:right="183"/>
              <w:spacing w:after="0"/>
              <w:rPr>
                <w:sz w:val="20"/>
                <w:szCs w:val="20"/>
                <w:color w:val="auto"/>
              </w:rPr>
            </w:pPr>
            <w:r>
              <w:rPr>
                <w:rFonts w:ascii="Arial" w:cs="Arial" w:eastAsia="Arial" w:hAnsi="Arial"/>
                <w:sz w:val="14"/>
                <w:szCs w:val="14"/>
                <w:b w:val="1"/>
                <w:bCs w:val="1"/>
                <w:color w:val="auto"/>
                <w:w w:val="87"/>
              </w:rPr>
              <w:t>Six months ended June 30,</w:t>
            </w:r>
          </w:p>
        </w:tc>
        <w:tc>
          <w:tcPr>
            <w:tcW w:w="0" w:type="dxa"/>
            <w:vAlign w:val="bottom"/>
          </w:tcPr>
          <w:p>
            <w:pPr>
              <w:spacing w:after="0"/>
              <w:rPr>
                <w:sz w:val="1"/>
                <w:szCs w:val="1"/>
                <w:color w:val="auto"/>
              </w:rPr>
            </w:pPr>
          </w:p>
        </w:tc>
      </w:tr>
      <w:tr>
        <w:trPr>
          <w:trHeight w:val="28"/>
        </w:trPr>
        <w:tc>
          <w:tcPr>
            <w:tcW w:w="220" w:type="dxa"/>
            <w:vAlign w:val="bottom"/>
          </w:tcPr>
          <w:p>
            <w:pPr>
              <w:spacing w:after="0"/>
              <w:rPr>
                <w:sz w:val="2"/>
                <w:szCs w:val="2"/>
                <w:color w:val="auto"/>
              </w:rPr>
            </w:pPr>
          </w:p>
        </w:tc>
        <w:tc>
          <w:tcPr>
            <w:tcW w:w="66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220" w:type="dxa"/>
            <w:vAlign w:val="bottom"/>
          </w:tcPr>
          <w:p>
            <w:pPr>
              <w:spacing w:after="0"/>
              <w:rPr>
                <w:sz w:val="17"/>
                <w:szCs w:val="17"/>
                <w:color w:val="auto"/>
              </w:rPr>
            </w:pPr>
          </w:p>
        </w:tc>
        <w:tc>
          <w:tcPr>
            <w:tcW w:w="6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30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30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jc w:val="right"/>
              <w:ind w:right="24"/>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ind w:right="28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8"/>
        </w:trPr>
        <w:tc>
          <w:tcPr>
            <w:tcW w:w="220" w:type="dxa"/>
            <w:vAlign w:val="bottom"/>
          </w:tcPr>
          <w:p>
            <w:pPr>
              <w:spacing w:after="0"/>
              <w:rPr>
                <w:sz w:val="2"/>
                <w:szCs w:val="2"/>
                <w:color w:val="auto"/>
              </w:rPr>
            </w:pPr>
          </w:p>
        </w:tc>
        <w:tc>
          <w:tcPr>
            <w:tcW w:w="66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220" w:type="dxa"/>
            <w:vAlign w:val="bottom"/>
          </w:tcPr>
          <w:p>
            <w:pPr>
              <w:spacing w:after="0"/>
              <w:rPr>
                <w:sz w:val="16"/>
                <w:szCs w:val="16"/>
                <w:color w:val="auto"/>
              </w:rPr>
            </w:pPr>
          </w:p>
        </w:tc>
        <w:tc>
          <w:tcPr>
            <w:tcW w:w="6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6860" w:type="dxa"/>
            <w:vAlign w:val="bottom"/>
            <w:gridSpan w:val="2"/>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gridSpan w:val="2"/>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6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All3Media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6"/>
                <w:szCs w:val="16"/>
                <w:color w:val="auto"/>
              </w:rPr>
              <w:t>(14.9)</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6"/>
                <w:szCs w:val="16"/>
                <w:color w:val="auto"/>
              </w:rPr>
              <w:t>(19.0)</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(39.8)</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209"/>
        </w:trPr>
        <w:tc>
          <w:tcPr>
            <w:tcW w:w="6860" w:type="dxa"/>
            <w:vAlign w:val="bottom"/>
            <w:gridSpan w:val="2"/>
          </w:tcPr>
          <w:p>
            <w:pPr>
              <w:ind w:left="20"/>
              <w:spacing w:after="0"/>
              <w:rPr>
                <w:sz w:val="20"/>
                <w:szCs w:val="20"/>
                <w:color w:val="auto"/>
              </w:rPr>
            </w:pPr>
            <w:r>
              <w:rPr>
                <w:rFonts w:ascii="Arial" w:cs="Arial" w:eastAsia="Arial" w:hAnsi="Arial"/>
                <w:sz w:val="16"/>
                <w:szCs w:val="16"/>
                <w:color w:val="auto"/>
              </w:rPr>
              <w:t>VodafoneZiggo JV (a)</w:t>
            </w:r>
          </w:p>
        </w:tc>
        <w:tc>
          <w:tcPr>
            <w:tcW w:w="160" w:type="dxa"/>
            <w:vAlign w:val="bottom"/>
          </w:tcPr>
          <w:p>
            <w:pPr>
              <w:spacing w:after="0"/>
              <w:rPr>
                <w:sz w:val="18"/>
                <w:szCs w:val="18"/>
                <w:color w:val="auto"/>
              </w:rPr>
            </w:pPr>
          </w:p>
        </w:tc>
        <w:tc>
          <w:tcPr>
            <w:tcW w:w="880" w:type="dxa"/>
            <w:vAlign w:val="bottom"/>
          </w:tcPr>
          <w:p>
            <w:pPr>
              <w:jc w:val="right"/>
              <w:ind w:right="5"/>
              <w:spacing w:after="0"/>
              <w:rPr>
                <w:sz w:val="20"/>
                <w:szCs w:val="20"/>
                <w:color w:val="auto"/>
              </w:rPr>
            </w:pPr>
            <w:r>
              <w:rPr>
                <w:rFonts w:ascii="Arial" w:cs="Arial" w:eastAsia="Arial" w:hAnsi="Arial"/>
                <w:sz w:val="16"/>
                <w:szCs w:val="16"/>
                <w:color w:val="auto"/>
              </w:rPr>
              <w:t>(89.2)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5"/>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(28.1)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(102.3)</w:t>
            </w:r>
          </w:p>
        </w:tc>
        <w:tc>
          <w:tcPr>
            <w:tcW w:w="0" w:type="dxa"/>
            <w:vAlign w:val="bottom"/>
          </w:tcPr>
          <w:p>
            <w:pPr>
              <w:spacing w:after="0"/>
              <w:rPr>
                <w:sz w:val="1"/>
                <w:szCs w:val="1"/>
                <w:color w:val="auto"/>
              </w:rPr>
            </w:pPr>
          </w:p>
        </w:tc>
      </w:tr>
      <w:tr>
        <w:trPr>
          <w:trHeight w:val="24"/>
        </w:trPr>
        <w:tc>
          <w:tcPr>
            <w:tcW w:w="68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6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Formula E</w:t>
            </w: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6"/>
                <w:szCs w:val="16"/>
                <w:color w:val="auto"/>
              </w:rPr>
              <w:t>(9.5)</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2"/>
            <w:shd w:val="clear" w:color="auto" w:fill="CCEEFF"/>
          </w:tcPr>
          <w:p>
            <w:pPr>
              <w:jc w:val="right"/>
              <w:ind w:right="22"/>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09"/>
        </w:trPr>
        <w:tc>
          <w:tcPr>
            <w:tcW w:w="6860" w:type="dxa"/>
            <w:vAlign w:val="bottom"/>
            <w:gridSpan w:val="2"/>
          </w:tcPr>
          <w:p>
            <w:pPr>
              <w:ind w:left="20"/>
              <w:spacing w:after="0"/>
              <w:rPr>
                <w:sz w:val="20"/>
                <w:szCs w:val="20"/>
                <w:color w:val="auto"/>
              </w:rPr>
            </w:pPr>
            <w:r>
              <w:rPr>
                <w:rFonts w:ascii="Arial" w:cs="Arial" w:eastAsia="Arial" w:hAnsi="Arial"/>
                <w:sz w:val="16"/>
                <w:szCs w:val="16"/>
                <w:color w:val="auto"/>
              </w:rPr>
              <w:t>Other</w:t>
            </w:r>
          </w:p>
        </w:tc>
        <w:tc>
          <w:tcPr>
            <w:tcW w:w="160" w:type="dxa"/>
            <w:vAlign w:val="bottom"/>
          </w:tcPr>
          <w:p>
            <w:pPr>
              <w:spacing w:after="0"/>
              <w:rPr>
                <w:sz w:val="18"/>
                <w:szCs w:val="18"/>
                <w:color w:val="auto"/>
              </w:rPr>
            </w:pPr>
          </w:p>
        </w:tc>
        <w:tc>
          <w:tcPr>
            <w:tcW w:w="880" w:type="dxa"/>
            <w:vAlign w:val="bottom"/>
          </w:tcPr>
          <w:p>
            <w:pPr>
              <w:jc w:val="right"/>
              <w:ind w:right="5"/>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5"/>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4"/>
        </w:trPr>
        <w:tc>
          <w:tcPr>
            <w:tcW w:w="686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68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6"/>
                <w:szCs w:val="16"/>
                <w:color w:val="auto"/>
              </w:rPr>
              <w:t>(105.4)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6"/>
                <w:szCs w:val="16"/>
                <w:color w:val="auto"/>
              </w:rPr>
              <w:t>(69.3)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(72.0)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(140.2)</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color w:val="auto"/>
              </w:rPr>
              <w:t>_______________</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8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427" w:hanging="427"/>
        <w:spacing w:after="0" w:line="258" w:lineRule="auto"/>
        <w:tabs>
          <w:tab w:leader="none" w:pos="427" w:val="left"/>
        </w:tabs>
        <w:numPr>
          <w:ilvl w:val="0"/>
          <w:numId w:val="10"/>
        </w:numPr>
        <w:rPr>
          <w:rFonts w:ascii="Arial" w:cs="Arial" w:eastAsia="Arial" w:hAnsi="Arial"/>
          <w:sz w:val="16"/>
          <w:szCs w:val="16"/>
          <w:color w:val="auto"/>
        </w:rPr>
      </w:pPr>
      <w:r>
        <w:rPr>
          <w:rFonts w:ascii="Arial" w:cs="Arial" w:eastAsia="Arial" w:hAnsi="Arial"/>
          <w:sz w:val="16"/>
          <w:szCs w:val="16"/>
          <w:color w:val="auto"/>
        </w:rPr>
        <w:t>Amounts include the net effect of (i) 100% of the interest income earned on the VodafoneZiggo JV Receivable and (ii) our 50% share of the results of operations of the VodafoneZiggo JV.</w:t>
      </w:r>
    </w:p>
    <w:p>
      <w:pPr>
        <w:spacing w:after="0" w:line="157" w:lineRule="exact"/>
        <w:rPr>
          <w:sz w:val="20"/>
          <w:szCs w:val="20"/>
          <w:color w:val="auto"/>
        </w:rPr>
      </w:pPr>
    </w:p>
    <w:p>
      <w:pPr>
        <w:jc w:val="both"/>
        <w:ind w:left="7" w:firstLine="279"/>
        <w:spacing w:after="0" w:line="286" w:lineRule="auto"/>
        <w:rPr>
          <w:sz w:val="20"/>
          <w:szCs w:val="20"/>
          <w:color w:val="auto"/>
        </w:rPr>
      </w:pPr>
      <w:r>
        <w:rPr>
          <w:rFonts w:ascii="Arial" w:cs="Arial" w:eastAsia="Arial" w:hAnsi="Arial"/>
          <w:sz w:val="14"/>
          <w:szCs w:val="14"/>
          <w:i w:val="1"/>
          <w:iCs w:val="1"/>
          <w:color w:val="auto"/>
        </w:rPr>
        <w:t xml:space="preserve">VodafoneZiggo JV. </w:t>
      </w:r>
      <w:r>
        <w:rPr>
          <w:rFonts w:ascii="Arial" w:cs="Arial" w:eastAsia="Arial" w:hAnsi="Arial"/>
          <w:sz w:val="14"/>
          <w:szCs w:val="14"/>
          <w:color w:val="auto"/>
        </w:rPr>
        <w:t>Pursuant to an agreement (the</w:t>
      </w:r>
      <w:r>
        <w:rPr>
          <w:rFonts w:ascii="Arial" w:cs="Arial" w:eastAsia="Arial" w:hAnsi="Arial"/>
          <w:sz w:val="14"/>
          <w:szCs w:val="14"/>
          <w:i w:val="1"/>
          <w:iCs w:val="1"/>
          <w:color w:val="auto"/>
        </w:rPr>
        <w:t xml:space="preserve"> </w:t>
      </w:r>
      <w:r>
        <w:rPr>
          <w:rFonts w:ascii="Arial" w:cs="Arial" w:eastAsia="Arial" w:hAnsi="Arial"/>
          <w:sz w:val="14"/>
          <w:szCs w:val="14"/>
          <w:b w:val="1"/>
          <w:bCs w:val="1"/>
          <w:color w:val="auto"/>
        </w:rPr>
        <w:t>Framework Agreement</w:t>
      </w:r>
      <w:r>
        <w:rPr>
          <w:rFonts w:ascii="Arial" w:cs="Arial" w:eastAsia="Arial" w:hAnsi="Arial"/>
          <w:sz w:val="14"/>
          <w:szCs w:val="14"/>
          <w:color w:val="auto"/>
        </w:rPr>
        <w:t>), Liberty Global provides certain services to the VodafoneZiggo JV (collectively, the</w:t>
      </w:r>
      <w:r>
        <w:rPr>
          <w:rFonts w:ascii="Arial" w:cs="Arial" w:eastAsia="Arial" w:hAnsi="Arial"/>
          <w:sz w:val="14"/>
          <w:szCs w:val="14"/>
          <w:i w:val="1"/>
          <w:iCs w:val="1"/>
          <w:color w:val="auto"/>
        </w:rPr>
        <w:t xml:space="preserve"> </w:t>
      </w:r>
      <w:r>
        <w:rPr>
          <w:rFonts w:ascii="Arial" w:cs="Arial" w:eastAsia="Arial" w:hAnsi="Arial"/>
          <w:sz w:val="14"/>
          <w:szCs w:val="14"/>
          <w:b w:val="1"/>
          <w:bCs w:val="1"/>
          <w:color w:val="auto"/>
        </w:rPr>
        <w:t>JV Services</w:t>
      </w:r>
      <w:r>
        <w:rPr>
          <w:rFonts w:ascii="Arial" w:cs="Arial" w:eastAsia="Arial" w:hAnsi="Arial"/>
          <w:sz w:val="14"/>
          <w:szCs w:val="14"/>
          <w:color w:val="auto"/>
        </w:rPr>
        <w:t>).</w:t>
      </w:r>
      <w:r>
        <w:rPr>
          <w:rFonts w:ascii="Arial" w:cs="Arial" w:eastAsia="Arial" w:hAnsi="Arial"/>
          <w:sz w:val="14"/>
          <w:szCs w:val="14"/>
          <w:i w:val="1"/>
          <w:iCs w:val="1"/>
          <w:color w:val="auto"/>
        </w:rPr>
        <w:t xml:space="preserve"> </w:t>
      </w:r>
      <w:r>
        <w:rPr>
          <w:rFonts w:ascii="Arial" w:cs="Arial" w:eastAsia="Arial" w:hAnsi="Arial"/>
          <w:sz w:val="14"/>
          <w:szCs w:val="14"/>
          <w:color w:val="auto"/>
        </w:rPr>
        <w:t>The JV Services provided by Liberty Global consist primarily of (i) technology and other services and (ii) capital-related expenditures for assets that will be used by, or will otherwise benefit, the VodafoneZiggo JV. Liberty Global charges both fixed and usage-based fees to the VodafoneZiggo JV for the JV Services provided during the term of the Framework Agreement. We recorded revenue from the VodafoneZiggo JV of $41.4 million and $45.7 million during the three months ended June 30, 2020 and 2019, respectively, and $88.1 million and $90.0 million during the six months ended June 30, 2020 and 2019, respectively, primarily related to (a) the JV Services and (b) sales of customer premises equipment at a mark-up. In addition, during the six months ended June 30, 2019, we purchased certain assets on the VodafoneZiggo JV’s behalf with an aggregate cost of $9.2 million. At June 30, 2020 and December 31, 2019, $50.3 million and $19.3 million, respectively, were due from the VodafoneZiggo JV related to the aforementioned transactions. The amounts due from the VodafoneZiggo JV, which are periodically cash settled, are included in other current assets on our condensed consolidated balance sheets.</w:t>
      </w:r>
    </w:p>
    <w:p>
      <w:pPr>
        <w:spacing w:after="0" w:line="333"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267"/>
          </w:cols>
          <w:pgMar w:left="313" w:top="263" w:right="319" w:bottom="1440" w:gutter="0" w:footer="0" w:header="0"/>
        </w:sectPr>
      </w:pPr>
    </w:p>
    <w:bookmarkStart w:id="19" w:name="page20"/>
    <w:bookmarkEnd w:id="19"/>
    <w:p>
      <w:pPr>
        <w:jc w:val="center"/>
        <w:ind w:right="-6"/>
        <w:spacing w:after="0"/>
        <w:rPr>
          <w:sz w:val="20"/>
          <w:szCs w:val="20"/>
          <w:color w:val="auto"/>
        </w:rPr>
      </w:pPr>
      <w:r>
        <w:rPr>
          <w:rFonts w:ascii="Arial" w:cs="Arial" w:eastAsia="Arial" w:hAnsi="Arial"/>
          <w:sz w:val="16"/>
          <w:szCs w:val="16"/>
          <w:b w:val="1"/>
          <w:bCs w:val="1"/>
          <w:color w:val="auto"/>
        </w:rPr>
        <w:t>LIBERTY GLOBAL PLC</w:t>
      </w:r>
    </w:p>
    <w:p>
      <w:pPr>
        <w:spacing w:after="0" w:line="18"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Notes to Condensed Consolidated Financial Statements — (Continued)</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June 30, 2020</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ind w:left="287"/>
        <w:spacing w:after="0"/>
        <w:rPr>
          <w:sz w:val="20"/>
          <w:szCs w:val="20"/>
          <w:color w:val="auto"/>
        </w:rPr>
      </w:pPr>
      <w:r>
        <w:rPr>
          <w:rFonts w:ascii="Arial" w:cs="Arial" w:eastAsia="Arial" w:hAnsi="Arial"/>
          <w:sz w:val="16"/>
          <w:szCs w:val="16"/>
          <w:color w:val="auto"/>
        </w:rPr>
        <w:t>The summarized results of operations of the VodafoneZiggo JV are set forth below:</w:t>
      </w:r>
    </w:p>
    <w:p>
      <w:pPr>
        <w:spacing w:after="0" w:line="152" w:lineRule="exact"/>
        <w:rPr>
          <w:sz w:val="20"/>
          <w:szCs w:val="20"/>
          <w:color w:val="auto"/>
        </w:rPr>
      </w:pPr>
    </w:p>
    <w:tbl>
      <w:tblPr>
        <w:tblLayout w:type="fixed"/>
        <w:tblInd w:w="7" w:type="dxa"/>
        <w:tblCellMar>
          <w:top w:w="0" w:type="dxa"/>
          <w:left w:w="0" w:type="dxa"/>
          <w:bottom w:w="0" w:type="dxa"/>
          <w:right w:w="0" w:type="dxa"/>
        </w:tblCellMar>
      </w:tblPr>
      <w:tr>
        <w:trPr>
          <w:trHeight w:val="182"/>
        </w:trPr>
        <w:tc>
          <w:tcPr>
            <w:tcW w:w="6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2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5"/>
                <w:szCs w:val="15"/>
                <w:color w:val="auto"/>
              </w:rPr>
            </w:pPr>
          </w:p>
        </w:tc>
        <w:tc>
          <w:tcPr>
            <w:tcW w:w="1860" w:type="dxa"/>
            <w:vAlign w:val="bottom"/>
            <w:gridSpan w:val="4"/>
          </w:tcPr>
          <w:p>
            <w:pPr>
              <w:jc w:val="right"/>
              <w:ind w:right="184"/>
              <w:spacing w:after="0"/>
              <w:rPr>
                <w:sz w:val="20"/>
                <w:szCs w:val="20"/>
                <w:color w:val="auto"/>
              </w:rPr>
            </w:pPr>
            <w:r>
              <w:rPr>
                <w:rFonts w:ascii="Arial" w:cs="Arial" w:eastAsia="Arial" w:hAnsi="Arial"/>
                <w:sz w:val="14"/>
                <w:szCs w:val="14"/>
                <w:b w:val="1"/>
                <w:bCs w:val="1"/>
                <w:color w:val="auto"/>
                <w:w w:val="87"/>
              </w:rPr>
              <w:t>Six months ended June 30,</w:t>
            </w:r>
          </w:p>
        </w:tc>
        <w:tc>
          <w:tcPr>
            <w:tcW w:w="0" w:type="dxa"/>
            <w:vAlign w:val="bottom"/>
          </w:tcPr>
          <w:p>
            <w:pPr>
              <w:spacing w:after="0"/>
              <w:rPr>
                <w:sz w:val="1"/>
                <w:szCs w:val="1"/>
                <w:color w:val="auto"/>
              </w:rPr>
            </w:pPr>
          </w:p>
        </w:tc>
      </w:tr>
      <w:tr>
        <w:trPr>
          <w:trHeight w:val="28"/>
        </w:trPr>
        <w:tc>
          <w:tcPr>
            <w:tcW w:w="68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6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30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306"/>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jc w:val="right"/>
              <w:ind w:right="28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ind w:right="28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8"/>
        </w:trPr>
        <w:tc>
          <w:tcPr>
            <w:tcW w:w="68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6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6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6"/>
                <w:szCs w:val="16"/>
                <w:color w:val="auto"/>
              </w:rPr>
              <w:t>1,081.6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6"/>
                <w:szCs w:val="16"/>
                <w:color w:val="auto"/>
              </w:rPr>
              <w:t>1,084.5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color w:val="auto"/>
              </w:rPr>
              <w:t>2,178.7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2,178.4</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Loss before income taxes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860" w:type="dxa"/>
            <w:vAlign w:val="bottom"/>
            <w:vMerge w:val="continue"/>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6"/>
              <w:spacing w:after="0"/>
              <w:rPr>
                <w:sz w:val="20"/>
                <w:szCs w:val="20"/>
                <w:color w:val="auto"/>
              </w:rPr>
            </w:pPr>
            <w:r>
              <w:rPr>
                <w:rFonts w:ascii="Arial" w:cs="Arial" w:eastAsia="Arial" w:hAnsi="Arial"/>
                <w:sz w:val="16"/>
                <w:szCs w:val="16"/>
                <w:color w:val="auto"/>
              </w:rPr>
              <w:t>(151.8)</w:t>
            </w:r>
          </w:p>
        </w:tc>
        <w:tc>
          <w:tcPr>
            <w:tcW w:w="100" w:type="dxa"/>
            <w:vAlign w:val="bottom"/>
          </w:tcPr>
          <w:p>
            <w:pPr>
              <w:spacing w:after="0"/>
              <w:rPr>
                <w:sz w:val="15"/>
                <w:szCs w:val="15"/>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6"/>
              <w:spacing w:after="0"/>
              <w:rPr>
                <w:sz w:val="20"/>
                <w:szCs w:val="20"/>
                <w:color w:val="auto"/>
              </w:rPr>
            </w:pPr>
            <w:r>
              <w:rPr>
                <w:rFonts w:ascii="Arial" w:cs="Arial" w:eastAsia="Arial" w:hAnsi="Arial"/>
                <w:sz w:val="16"/>
                <w:szCs w:val="16"/>
                <w:color w:val="auto"/>
              </w:rPr>
              <w:t>(134.5)</w:t>
            </w:r>
          </w:p>
        </w:tc>
        <w:tc>
          <w:tcPr>
            <w:tcW w:w="100" w:type="dxa"/>
            <w:vAlign w:val="bottom"/>
          </w:tcPr>
          <w:p>
            <w:pPr>
              <w:spacing w:after="0"/>
              <w:rPr>
                <w:sz w:val="15"/>
                <w:szCs w:val="15"/>
                <w:color w:val="auto"/>
              </w:rPr>
            </w:pPr>
          </w:p>
        </w:tc>
        <w:tc>
          <w:tcPr>
            <w:tcW w:w="2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(26.9)</w:t>
            </w:r>
          </w:p>
        </w:tc>
        <w:tc>
          <w:tcPr>
            <w:tcW w:w="100" w:type="dxa"/>
            <w:vAlign w:val="bottom"/>
          </w:tcPr>
          <w:p>
            <w:pPr>
              <w:spacing w:after="0"/>
              <w:rPr>
                <w:sz w:val="15"/>
                <w:szCs w:val="15"/>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(323.3)</w:t>
            </w:r>
          </w:p>
        </w:tc>
        <w:tc>
          <w:tcPr>
            <w:tcW w:w="0" w:type="dxa"/>
            <w:vAlign w:val="bottom"/>
          </w:tcPr>
          <w:p>
            <w:pPr>
              <w:spacing w:after="0"/>
              <w:rPr>
                <w:sz w:val="1"/>
                <w:szCs w:val="1"/>
                <w:color w:val="auto"/>
              </w:rPr>
            </w:pPr>
          </w:p>
        </w:tc>
      </w:tr>
      <w:tr>
        <w:trPr>
          <w:trHeight w:val="64"/>
        </w:trPr>
        <w:tc>
          <w:tcPr>
            <w:tcW w:w="686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6860" w:type="dxa"/>
            <w:vAlign w:val="bottom"/>
            <w:tcBorders>
              <w:bottom w:val="single" w:sz="8" w:color="CCEEFF"/>
            </w:tcBorders>
            <w:shd w:val="clear" w:color="auto" w:fill="CCEEFF"/>
          </w:tcPr>
          <w:p>
            <w:pPr>
              <w:ind w:left="20"/>
              <w:spacing w:after="0" w:line="161" w:lineRule="exact"/>
              <w:rPr>
                <w:sz w:val="20"/>
                <w:szCs w:val="20"/>
                <w:color w:val="auto"/>
              </w:rPr>
            </w:pPr>
            <w:r>
              <w:rPr>
                <w:rFonts w:ascii="Arial" w:cs="Arial" w:eastAsia="Arial" w:hAnsi="Arial"/>
                <w:sz w:val="16"/>
                <w:szCs w:val="16"/>
                <w:color w:val="auto"/>
              </w:rPr>
              <w:t>Net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6"/>
                <w:szCs w:val="16"/>
                <w:color w:val="auto"/>
              </w:rPr>
              <w:t>(185.4)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6"/>
                <w:szCs w:val="16"/>
                <w:color w:val="auto"/>
              </w:rPr>
              <w:t>(104.0)</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(85.7)</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(254.3)</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ind w:left="327" w:hanging="327"/>
        <w:spacing w:after="0"/>
        <w:tabs>
          <w:tab w:leader="none" w:pos="327"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Derivative Instruments</w:t>
      </w:r>
    </w:p>
    <w:p>
      <w:pPr>
        <w:spacing w:after="0" w:line="194" w:lineRule="exact"/>
        <w:rPr>
          <w:sz w:val="20"/>
          <w:szCs w:val="20"/>
          <w:color w:val="auto"/>
        </w:rPr>
      </w:pPr>
    </w:p>
    <w:p>
      <w:pPr>
        <w:jc w:val="both"/>
        <w:ind w:left="7" w:firstLine="279"/>
        <w:spacing w:after="0" w:line="287" w:lineRule="auto"/>
        <w:rPr>
          <w:sz w:val="20"/>
          <w:szCs w:val="20"/>
          <w:color w:val="auto"/>
        </w:rPr>
      </w:pPr>
      <w:r>
        <w:rPr>
          <w:rFonts w:ascii="Arial" w:cs="Arial" w:eastAsia="Arial" w:hAnsi="Arial"/>
          <w:sz w:val="14"/>
          <w:szCs w:val="14"/>
          <w:color w:val="auto"/>
        </w:rPr>
        <w:t>In general, we enter into derivative instruments to protect against (i) increases in the interest rates on our variable-rate debt, (ii) foreign currency movements, particularly with respect to borrowings that are denominated in a currency other than the functional currency of the borrowing entity, and (iii) decreases in the market prices of certain publicly traded securities that we own. In this regard, through our subsidiaries, we have entered into various derivative instruments to manage interest rate exposure and foreign currency exposure primarily with respect to the U.S. dollar (</w:t>
      </w:r>
      <w:r>
        <w:rPr>
          <w:rFonts w:ascii="Arial" w:cs="Arial" w:eastAsia="Arial" w:hAnsi="Arial"/>
          <w:sz w:val="14"/>
          <w:szCs w:val="14"/>
          <w:b w:val="1"/>
          <w:bCs w:val="1"/>
          <w:color w:val="auto"/>
        </w:rPr>
        <w:t>$</w:t>
      </w:r>
      <w:r>
        <w:rPr>
          <w:rFonts w:ascii="Arial" w:cs="Arial" w:eastAsia="Arial" w:hAnsi="Arial"/>
          <w:sz w:val="14"/>
          <w:szCs w:val="14"/>
          <w:color w:val="auto"/>
        </w:rPr>
        <w:t>), the euro (</w:t>
      </w:r>
      <w:r>
        <w:rPr>
          <w:rFonts w:ascii="Arial" w:cs="Arial" w:eastAsia="Arial" w:hAnsi="Arial"/>
          <w:sz w:val="14"/>
          <w:szCs w:val="14"/>
          <w:b w:val="1"/>
          <w:bCs w:val="1"/>
          <w:color w:val="auto"/>
        </w:rPr>
        <w:t>€</w:t>
      </w:r>
      <w:r>
        <w:rPr>
          <w:rFonts w:ascii="Arial" w:cs="Arial" w:eastAsia="Arial" w:hAnsi="Arial"/>
          <w:sz w:val="14"/>
          <w:szCs w:val="14"/>
          <w:color w:val="auto"/>
        </w:rPr>
        <w:t>), the British pound sterling (</w:t>
      </w:r>
      <w:r>
        <w:rPr>
          <w:rFonts w:ascii="Arial" w:cs="Arial" w:eastAsia="Arial" w:hAnsi="Arial"/>
          <w:sz w:val="14"/>
          <w:szCs w:val="14"/>
          <w:b w:val="1"/>
          <w:bCs w:val="1"/>
          <w:color w:val="auto"/>
        </w:rPr>
        <w:t>£</w:t>
      </w:r>
      <w:r>
        <w:rPr>
          <w:rFonts w:ascii="Arial" w:cs="Arial" w:eastAsia="Arial" w:hAnsi="Arial"/>
          <w:sz w:val="14"/>
          <w:szCs w:val="14"/>
          <w:color w:val="auto"/>
        </w:rPr>
        <w:t>), the Swiss franc (</w:t>
      </w:r>
      <w:r>
        <w:rPr>
          <w:rFonts w:ascii="Arial" w:cs="Arial" w:eastAsia="Arial" w:hAnsi="Arial"/>
          <w:sz w:val="14"/>
          <w:szCs w:val="14"/>
          <w:b w:val="1"/>
          <w:bCs w:val="1"/>
          <w:color w:val="auto"/>
        </w:rPr>
        <w:t>CHF</w:t>
      </w:r>
      <w:r>
        <w:rPr>
          <w:rFonts w:ascii="Arial" w:cs="Arial" w:eastAsia="Arial" w:hAnsi="Arial"/>
          <w:sz w:val="14"/>
          <w:szCs w:val="14"/>
          <w:color w:val="auto"/>
        </w:rPr>
        <w:t>) and the Polish zloty (</w:t>
      </w:r>
      <w:r>
        <w:rPr>
          <w:rFonts w:ascii="Arial" w:cs="Arial" w:eastAsia="Arial" w:hAnsi="Arial"/>
          <w:sz w:val="14"/>
          <w:szCs w:val="14"/>
          <w:b w:val="1"/>
          <w:bCs w:val="1"/>
          <w:color w:val="auto"/>
        </w:rPr>
        <w:t>PLN</w:t>
      </w:r>
      <w:r>
        <w:rPr>
          <w:rFonts w:ascii="Arial" w:cs="Arial" w:eastAsia="Arial" w:hAnsi="Arial"/>
          <w:sz w:val="14"/>
          <w:szCs w:val="14"/>
          <w:color w:val="auto"/>
        </w:rPr>
        <w:t>). We do not apply hedge accounting to our derivative instruments. Accordingly, changes in the fair values of most of our derivative instruments are recorded in realized and unrealized gains or losses on derivative instruments, net, in our condensed consolidated statements of operations.</w:t>
      </w:r>
    </w:p>
    <w:p>
      <w:pPr>
        <w:spacing w:after="0" w:line="148" w:lineRule="exact"/>
        <w:rPr>
          <w:sz w:val="20"/>
          <w:szCs w:val="20"/>
          <w:color w:val="auto"/>
        </w:rPr>
      </w:pPr>
    </w:p>
    <w:p>
      <w:pPr>
        <w:ind w:left="287"/>
        <w:spacing w:after="0"/>
        <w:rPr>
          <w:sz w:val="20"/>
          <w:szCs w:val="20"/>
          <w:color w:val="auto"/>
        </w:rPr>
      </w:pPr>
      <w:r>
        <w:rPr>
          <w:rFonts w:ascii="Arial" w:cs="Arial" w:eastAsia="Arial" w:hAnsi="Arial"/>
          <w:sz w:val="16"/>
          <w:szCs w:val="16"/>
          <w:color w:val="auto"/>
        </w:rPr>
        <w:t>The following table provides details of the fair values of our derivative instrument assets and liabilities:</w:t>
      </w:r>
    </w:p>
    <w:p>
      <w:pPr>
        <w:spacing w:after="0" w:line="152" w:lineRule="exact"/>
        <w:rPr>
          <w:sz w:val="20"/>
          <w:szCs w:val="20"/>
          <w:color w:val="auto"/>
        </w:rPr>
      </w:pPr>
    </w:p>
    <w:tbl>
      <w:tblPr>
        <w:tblLayout w:type="fixed"/>
        <w:tblInd w:w="7" w:type="dxa"/>
        <w:tblCellMar>
          <w:top w:w="0" w:type="dxa"/>
          <w:left w:w="0" w:type="dxa"/>
          <w:bottom w:w="0" w:type="dxa"/>
          <w:right w:w="0" w:type="dxa"/>
        </w:tblCellMar>
      </w:tblPr>
      <w:tr>
        <w:trPr>
          <w:trHeight w:val="182"/>
        </w:trPr>
        <w:tc>
          <w:tcPr>
            <w:tcW w:w="3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June 30, 2020</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December 31, 2019</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39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3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Current</w:t>
            </w:r>
          </w:p>
        </w:tc>
        <w:tc>
          <w:tcPr>
            <w:tcW w:w="14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Long-term</w:t>
            </w:r>
          </w:p>
        </w:tc>
        <w:tc>
          <w:tcPr>
            <w:tcW w:w="240" w:type="dxa"/>
            <w:vAlign w:val="bottom"/>
          </w:tcPr>
          <w:p>
            <w:pPr>
              <w:spacing w:after="0"/>
              <w:rPr>
                <w:sz w:val="17"/>
                <w:szCs w:val="17"/>
                <w:color w:val="auto"/>
              </w:rPr>
            </w:pP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7"/>
                <w:szCs w:val="17"/>
                <w:color w:val="auto"/>
              </w:rPr>
            </w:pPr>
          </w:p>
        </w:tc>
        <w:tc>
          <w:tcPr>
            <w:tcW w:w="860" w:type="dxa"/>
            <w:vAlign w:val="bottom"/>
          </w:tcPr>
          <w:p>
            <w:pPr>
              <w:jc w:val="right"/>
              <w:ind w:right="243"/>
              <w:spacing w:after="0"/>
              <w:rPr>
                <w:sz w:val="20"/>
                <w:szCs w:val="20"/>
                <w:color w:val="auto"/>
              </w:rPr>
            </w:pPr>
            <w:r>
              <w:rPr>
                <w:rFonts w:ascii="Arial" w:cs="Arial" w:eastAsia="Arial" w:hAnsi="Arial"/>
                <w:sz w:val="14"/>
                <w:szCs w:val="14"/>
                <w:b w:val="1"/>
                <w:bCs w:val="1"/>
                <w:color w:val="auto"/>
              </w:rPr>
              <w:t>Current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Long-term</w:t>
            </w:r>
          </w:p>
        </w:tc>
        <w:tc>
          <w:tcPr>
            <w:tcW w:w="260" w:type="dxa"/>
            <w:vAlign w:val="bottom"/>
          </w:tcPr>
          <w:p>
            <w:pPr>
              <w:spacing w:after="0"/>
              <w:rPr>
                <w:sz w:val="17"/>
                <w:szCs w:val="17"/>
                <w:color w:val="auto"/>
              </w:rPr>
            </w:pPr>
          </w:p>
        </w:tc>
        <w:tc>
          <w:tcPr>
            <w:tcW w:w="860" w:type="dxa"/>
            <w:vAlign w:val="bottom"/>
          </w:tcPr>
          <w:p>
            <w:pPr>
              <w:jc w:val="right"/>
              <w:ind w:right="32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8"/>
        </w:trPr>
        <w:tc>
          <w:tcPr>
            <w:tcW w:w="39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3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 (a):</w:t>
            </w: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40" w:type="dxa"/>
            <w:vAlign w:val="bottom"/>
          </w:tcPr>
          <w:p>
            <w:pPr>
              <w:ind w:left="140"/>
              <w:spacing w:after="0"/>
              <w:rPr>
                <w:sz w:val="20"/>
                <w:szCs w:val="20"/>
                <w:color w:val="auto"/>
              </w:rPr>
            </w:pPr>
            <w:r>
              <w:rPr>
                <w:rFonts w:ascii="Arial" w:cs="Arial" w:eastAsia="Arial" w:hAnsi="Arial"/>
                <w:sz w:val="16"/>
                <w:szCs w:val="16"/>
                <w:color w:val="auto"/>
                <w:w w:val="95"/>
              </w:rPr>
              <w:t>Cross-currency and interest rate derivative contracts (b)</w:t>
            </w: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3"/>
              <w:spacing w:after="0"/>
              <w:rPr>
                <w:sz w:val="20"/>
                <w:szCs w:val="20"/>
                <w:color w:val="auto"/>
              </w:rPr>
            </w:pPr>
            <w:r>
              <w:rPr>
                <w:rFonts w:ascii="Arial" w:cs="Arial" w:eastAsia="Arial" w:hAnsi="Arial"/>
                <w:sz w:val="16"/>
                <w:szCs w:val="16"/>
                <w:color w:val="auto"/>
              </w:rPr>
              <w:t>127.8</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44"/>
              <w:spacing w:after="0"/>
              <w:rPr>
                <w:sz w:val="20"/>
                <w:szCs w:val="20"/>
                <w:color w:val="auto"/>
              </w:rPr>
            </w:pPr>
            <w:r>
              <w:rPr>
                <w:rFonts w:ascii="Arial" w:cs="Arial" w:eastAsia="Arial" w:hAnsi="Arial"/>
                <w:sz w:val="16"/>
                <w:szCs w:val="16"/>
                <w:color w:val="auto"/>
              </w:rPr>
              <w:t>428.9</w:t>
            </w:r>
          </w:p>
        </w:tc>
        <w:tc>
          <w:tcPr>
            <w:tcW w:w="120" w:type="dxa"/>
            <w:vAlign w:val="bottom"/>
          </w:tcPr>
          <w:p>
            <w:pPr>
              <w:spacing w:after="0"/>
              <w:rPr>
                <w:sz w:val="18"/>
                <w:szCs w:val="18"/>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4"/>
              <w:spacing w:after="0"/>
              <w:rPr>
                <w:sz w:val="20"/>
                <w:szCs w:val="20"/>
                <w:color w:val="auto"/>
              </w:rPr>
            </w:pPr>
            <w:r>
              <w:rPr>
                <w:rFonts w:ascii="Arial" w:cs="Arial" w:eastAsia="Arial" w:hAnsi="Arial"/>
                <w:sz w:val="16"/>
                <w:szCs w:val="16"/>
                <w:color w:val="auto"/>
              </w:rPr>
              <w:t>556.7</w:t>
            </w:r>
          </w:p>
        </w:tc>
        <w:tc>
          <w:tcPr>
            <w:tcW w:w="100" w:type="dxa"/>
            <w:vAlign w:val="bottom"/>
          </w:tcPr>
          <w:p>
            <w:pPr>
              <w:spacing w:after="0"/>
              <w:rPr>
                <w:sz w:val="18"/>
                <w:szCs w:val="18"/>
                <w:color w:val="auto"/>
              </w:rPr>
            </w:pP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270.8</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3"/>
              <w:spacing w:after="0"/>
              <w:rPr>
                <w:sz w:val="20"/>
                <w:szCs w:val="20"/>
                <w:color w:val="auto"/>
              </w:rPr>
            </w:pPr>
            <w:r>
              <w:rPr>
                <w:rFonts w:ascii="Arial" w:cs="Arial" w:eastAsia="Arial" w:hAnsi="Arial"/>
                <w:sz w:val="16"/>
                <w:szCs w:val="16"/>
                <w:color w:val="auto"/>
              </w:rPr>
              <w:t>886.4</w:t>
            </w:r>
          </w:p>
        </w:tc>
        <w:tc>
          <w:tcPr>
            <w:tcW w:w="100" w:type="dxa"/>
            <w:vAlign w:val="bottom"/>
          </w:tcPr>
          <w:p>
            <w:pPr>
              <w:spacing w:after="0"/>
              <w:rPr>
                <w:sz w:val="18"/>
                <w:szCs w:val="18"/>
                <w:color w:val="auto"/>
              </w:rPr>
            </w:pPr>
          </w:p>
        </w:tc>
        <w:tc>
          <w:tcPr>
            <w:tcW w:w="2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1,157.2</w:t>
            </w:r>
          </w:p>
        </w:tc>
        <w:tc>
          <w:tcPr>
            <w:tcW w:w="0" w:type="dxa"/>
            <w:vAlign w:val="bottom"/>
          </w:tcPr>
          <w:p>
            <w:pPr>
              <w:spacing w:after="0"/>
              <w:rPr>
                <w:sz w:val="1"/>
                <w:szCs w:val="1"/>
                <w:color w:val="auto"/>
              </w:rPr>
            </w:pPr>
          </w:p>
        </w:tc>
      </w:tr>
      <w:tr>
        <w:trPr>
          <w:trHeight w:val="24"/>
        </w:trPr>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3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Equity-related derivative instruments (c)</w:t>
            </w: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446.2</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594.8</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1,041.0</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55.2</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608.2</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663.4</w:t>
            </w:r>
          </w:p>
        </w:tc>
        <w:tc>
          <w:tcPr>
            <w:tcW w:w="0" w:type="dxa"/>
            <w:vAlign w:val="bottom"/>
          </w:tcPr>
          <w:p>
            <w:pPr>
              <w:spacing w:after="0"/>
              <w:rPr>
                <w:sz w:val="1"/>
                <w:szCs w:val="1"/>
                <w:color w:val="auto"/>
              </w:rPr>
            </w:pPr>
          </w:p>
        </w:tc>
      </w:tr>
      <w:tr>
        <w:trPr>
          <w:trHeight w:val="209"/>
        </w:trPr>
        <w:tc>
          <w:tcPr>
            <w:tcW w:w="3940" w:type="dxa"/>
            <w:vAlign w:val="bottom"/>
          </w:tcPr>
          <w:p>
            <w:pPr>
              <w:ind w:left="140"/>
              <w:spacing w:after="0"/>
              <w:rPr>
                <w:sz w:val="20"/>
                <w:szCs w:val="20"/>
                <w:color w:val="auto"/>
              </w:rPr>
            </w:pPr>
            <w:r>
              <w:rPr>
                <w:rFonts w:ascii="Arial" w:cs="Arial" w:eastAsia="Arial" w:hAnsi="Arial"/>
                <w:sz w:val="16"/>
                <w:szCs w:val="16"/>
                <w:color w:val="auto"/>
              </w:rPr>
              <w:t>Foreign currency forward and option contracts</w:t>
            </w:r>
          </w:p>
        </w:tc>
        <w:tc>
          <w:tcPr>
            <w:tcW w:w="220" w:type="dxa"/>
            <w:vAlign w:val="bottom"/>
          </w:tcPr>
          <w:p>
            <w:pPr>
              <w:spacing w:after="0"/>
              <w:rPr>
                <w:sz w:val="18"/>
                <w:szCs w:val="18"/>
                <w:color w:val="auto"/>
              </w:rPr>
            </w:pPr>
          </w:p>
        </w:tc>
        <w:tc>
          <w:tcPr>
            <w:tcW w:w="920" w:type="dxa"/>
            <w:vAlign w:val="bottom"/>
          </w:tcPr>
          <w:p>
            <w:pPr>
              <w:jc w:val="right"/>
              <w:ind w:right="43"/>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44"/>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23"/>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4"/>
        </w:trPr>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3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01"/>
        </w:trPr>
        <w:tc>
          <w:tcPr>
            <w:tcW w:w="3940" w:type="dxa"/>
            <w:vAlign w:val="bottom"/>
          </w:tcPr>
          <w:p>
            <w:pPr>
              <w:ind w:left="22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576.0</w:t>
            </w:r>
          </w:p>
        </w:tc>
        <w:tc>
          <w:tcPr>
            <w:tcW w:w="1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1,024.5</w:t>
            </w:r>
          </w:p>
        </w:tc>
        <w:tc>
          <w:tcPr>
            <w:tcW w:w="120" w:type="dxa"/>
            <w:vAlign w:val="bottom"/>
          </w:tcPr>
          <w:p>
            <w:pPr>
              <w:spacing w:after="0"/>
              <w:rPr>
                <w:sz w:val="17"/>
                <w:szCs w:val="17"/>
                <w:color w:val="auto"/>
              </w:rPr>
            </w:pPr>
          </w:p>
        </w:tc>
        <w:tc>
          <w:tcPr>
            <w:tcW w:w="240" w:type="dxa"/>
            <w:vAlign w:val="bottom"/>
            <w:tcBorders>
              <w:top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1,600.5</w:t>
            </w:r>
          </w:p>
        </w:tc>
        <w:tc>
          <w:tcPr>
            <w:tcW w:w="100" w:type="dxa"/>
            <w:vAlign w:val="bottom"/>
          </w:tcPr>
          <w:p>
            <w:pPr>
              <w:spacing w:after="0"/>
              <w:rPr>
                <w:sz w:val="17"/>
                <w:szCs w:val="17"/>
                <w:color w:val="auto"/>
              </w:rPr>
            </w:pPr>
          </w:p>
        </w:tc>
        <w:tc>
          <w:tcPr>
            <w:tcW w:w="280" w:type="dxa"/>
            <w:vAlign w:val="bottom"/>
            <w:tcBorders>
              <w:top w:val="single" w:sz="8" w:color="auto"/>
            </w:tcBorders>
          </w:tcPr>
          <w:p>
            <w:pPr>
              <w:jc w:val="right"/>
              <w:ind w:right="102"/>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331.1</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1,496.4</w:t>
            </w:r>
          </w:p>
        </w:tc>
        <w:tc>
          <w:tcPr>
            <w:tcW w:w="100" w:type="dxa"/>
            <w:vAlign w:val="bottom"/>
          </w:tcPr>
          <w:p>
            <w:pPr>
              <w:spacing w:after="0"/>
              <w:rPr>
                <w:sz w:val="17"/>
                <w:szCs w:val="17"/>
                <w:color w:val="auto"/>
              </w:rPr>
            </w:pPr>
          </w:p>
        </w:tc>
        <w:tc>
          <w:tcPr>
            <w:tcW w:w="260" w:type="dxa"/>
            <w:vAlign w:val="bottom"/>
            <w:tcBorders>
              <w:top w:val="single" w:sz="8" w:color="auto"/>
            </w:tcBorders>
          </w:tcPr>
          <w:p>
            <w:pPr>
              <w:jc w:val="right"/>
              <w:ind w:right="62"/>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1,827.5</w:t>
            </w:r>
          </w:p>
        </w:tc>
        <w:tc>
          <w:tcPr>
            <w:tcW w:w="0" w:type="dxa"/>
            <w:vAlign w:val="bottom"/>
          </w:tcPr>
          <w:p>
            <w:pPr>
              <w:spacing w:after="0"/>
              <w:rPr>
                <w:sz w:val="1"/>
                <w:szCs w:val="1"/>
                <w:color w:val="auto"/>
              </w:rPr>
            </w:pPr>
          </w:p>
        </w:tc>
      </w:tr>
      <w:tr>
        <w:trPr>
          <w:trHeight w:val="64"/>
        </w:trPr>
        <w:tc>
          <w:tcPr>
            <w:tcW w:w="394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3940" w:type="dxa"/>
            <w:vAlign w:val="bottom"/>
            <w:tcBorders>
              <w:bottom w:val="single" w:sz="8" w:color="CCEEFF"/>
            </w:tcBorders>
            <w:shd w:val="clear" w:color="auto" w:fill="CCEEFF"/>
          </w:tcPr>
          <w:p>
            <w:pPr>
              <w:ind w:left="20"/>
              <w:spacing w:after="0" w:line="161" w:lineRule="exact"/>
              <w:rPr>
                <w:sz w:val="20"/>
                <w:szCs w:val="20"/>
                <w:color w:val="auto"/>
              </w:rPr>
            </w:pPr>
            <w:r>
              <w:rPr>
                <w:rFonts w:ascii="Arial" w:cs="Arial" w:eastAsia="Arial" w:hAnsi="Arial"/>
                <w:sz w:val="16"/>
                <w:szCs w:val="16"/>
                <w:color w:val="auto"/>
              </w:rPr>
              <w:t>Liabilities (a):</w:t>
            </w:r>
          </w:p>
        </w:tc>
        <w:tc>
          <w:tcPr>
            <w:tcW w:w="2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940" w:type="dxa"/>
            <w:vAlign w:val="bottom"/>
          </w:tcPr>
          <w:p>
            <w:pPr>
              <w:ind w:left="140"/>
              <w:spacing w:after="0"/>
              <w:rPr>
                <w:sz w:val="20"/>
                <w:szCs w:val="20"/>
                <w:color w:val="auto"/>
              </w:rPr>
            </w:pPr>
            <w:r>
              <w:rPr>
                <w:rFonts w:ascii="Arial" w:cs="Arial" w:eastAsia="Arial" w:hAnsi="Arial"/>
                <w:sz w:val="16"/>
                <w:szCs w:val="16"/>
                <w:color w:val="auto"/>
                <w:w w:val="95"/>
              </w:rPr>
              <w:t>Cross-currency and interest rate derivative contracts (b)</w:t>
            </w: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3"/>
              <w:spacing w:after="0"/>
              <w:rPr>
                <w:sz w:val="20"/>
                <w:szCs w:val="20"/>
                <w:color w:val="auto"/>
              </w:rPr>
            </w:pPr>
            <w:r>
              <w:rPr>
                <w:rFonts w:ascii="Arial" w:cs="Arial" w:eastAsia="Arial" w:hAnsi="Arial"/>
                <w:sz w:val="16"/>
                <w:szCs w:val="16"/>
                <w:color w:val="auto"/>
              </w:rPr>
              <w:t>161.5</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44"/>
              <w:spacing w:after="0"/>
              <w:rPr>
                <w:sz w:val="20"/>
                <w:szCs w:val="20"/>
                <w:color w:val="auto"/>
              </w:rPr>
            </w:pPr>
            <w:r>
              <w:rPr>
                <w:rFonts w:ascii="Arial" w:cs="Arial" w:eastAsia="Arial" w:hAnsi="Arial"/>
                <w:sz w:val="16"/>
                <w:szCs w:val="16"/>
                <w:color w:val="auto"/>
              </w:rPr>
              <w:t>709.2</w:t>
            </w:r>
          </w:p>
        </w:tc>
        <w:tc>
          <w:tcPr>
            <w:tcW w:w="120" w:type="dxa"/>
            <w:vAlign w:val="bottom"/>
          </w:tcPr>
          <w:p>
            <w:pPr>
              <w:spacing w:after="0"/>
              <w:rPr>
                <w:sz w:val="18"/>
                <w:szCs w:val="18"/>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4"/>
              <w:spacing w:after="0"/>
              <w:rPr>
                <w:sz w:val="20"/>
                <w:szCs w:val="20"/>
                <w:color w:val="auto"/>
              </w:rPr>
            </w:pPr>
            <w:r>
              <w:rPr>
                <w:rFonts w:ascii="Arial" w:cs="Arial" w:eastAsia="Arial" w:hAnsi="Arial"/>
                <w:sz w:val="16"/>
                <w:szCs w:val="16"/>
                <w:color w:val="auto"/>
              </w:rPr>
              <w:t>870.7</w:t>
            </w:r>
          </w:p>
        </w:tc>
        <w:tc>
          <w:tcPr>
            <w:tcW w:w="100" w:type="dxa"/>
            <w:vAlign w:val="bottom"/>
          </w:tcPr>
          <w:p>
            <w:pPr>
              <w:spacing w:after="0"/>
              <w:rPr>
                <w:sz w:val="18"/>
                <w:szCs w:val="18"/>
                <w:color w:val="auto"/>
              </w:rPr>
            </w:pP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389.2</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3"/>
              <w:spacing w:after="0"/>
              <w:rPr>
                <w:sz w:val="20"/>
                <w:szCs w:val="20"/>
                <w:color w:val="auto"/>
              </w:rPr>
            </w:pPr>
            <w:r>
              <w:rPr>
                <w:rFonts w:ascii="Arial" w:cs="Arial" w:eastAsia="Arial" w:hAnsi="Arial"/>
                <w:sz w:val="16"/>
                <w:szCs w:val="16"/>
                <w:color w:val="auto"/>
              </w:rPr>
              <w:t>1,192.3</w:t>
            </w:r>
          </w:p>
        </w:tc>
        <w:tc>
          <w:tcPr>
            <w:tcW w:w="100" w:type="dxa"/>
            <w:vAlign w:val="bottom"/>
          </w:tcPr>
          <w:p>
            <w:pPr>
              <w:spacing w:after="0"/>
              <w:rPr>
                <w:sz w:val="18"/>
                <w:szCs w:val="18"/>
                <w:color w:val="auto"/>
              </w:rPr>
            </w:pPr>
          </w:p>
        </w:tc>
        <w:tc>
          <w:tcPr>
            <w:tcW w:w="2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1,581.5</w:t>
            </w:r>
          </w:p>
        </w:tc>
        <w:tc>
          <w:tcPr>
            <w:tcW w:w="0" w:type="dxa"/>
            <w:vAlign w:val="bottom"/>
          </w:tcPr>
          <w:p>
            <w:pPr>
              <w:spacing w:after="0"/>
              <w:rPr>
                <w:sz w:val="1"/>
                <w:szCs w:val="1"/>
                <w:color w:val="auto"/>
              </w:rPr>
            </w:pPr>
          </w:p>
        </w:tc>
      </w:tr>
      <w:tr>
        <w:trPr>
          <w:trHeight w:val="24"/>
        </w:trPr>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3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Foreign currency forward and option contracts</w:t>
            </w: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9"/>
        </w:trPr>
        <w:tc>
          <w:tcPr>
            <w:tcW w:w="3940" w:type="dxa"/>
            <w:vAlign w:val="bottom"/>
          </w:tcPr>
          <w:p>
            <w:pPr>
              <w:ind w:left="140"/>
              <w:spacing w:after="0"/>
              <w:rPr>
                <w:sz w:val="20"/>
                <w:szCs w:val="20"/>
                <w:color w:val="auto"/>
              </w:rPr>
            </w:pPr>
            <w:r>
              <w:rPr>
                <w:rFonts w:ascii="Arial" w:cs="Arial" w:eastAsia="Arial" w:hAnsi="Arial"/>
                <w:sz w:val="16"/>
                <w:szCs w:val="16"/>
                <w:color w:val="auto"/>
              </w:rPr>
              <w:t>Other</w:t>
            </w:r>
          </w:p>
        </w:tc>
        <w:tc>
          <w:tcPr>
            <w:tcW w:w="220" w:type="dxa"/>
            <w:vAlign w:val="bottom"/>
          </w:tcPr>
          <w:p>
            <w:pPr>
              <w:spacing w:after="0"/>
              <w:rPr>
                <w:sz w:val="18"/>
                <w:szCs w:val="18"/>
                <w:color w:val="auto"/>
              </w:rPr>
            </w:pPr>
          </w:p>
        </w:tc>
        <w:tc>
          <w:tcPr>
            <w:tcW w:w="920" w:type="dxa"/>
            <w:vAlign w:val="bottom"/>
          </w:tcPr>
          <w:p>
            <w:pPr>
              <w:jc w:val="right"/>
              <w:ind w:right="43"/>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
        </w:trPr>
        <w:tc>
          <w:tcPr>
            <w:tcW w:w="3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3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164.1</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709.2</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873.3</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390.4</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1,192.3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1,582.7</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39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427" w:right="20" w:hanging="427"/>
        <w:spacing w:after="0" w:line="258" w:lineRule="auto"/>
        <w:tabs>
          <w:tab w:leader="none" w:pos="427"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current derivative liabilities, long-term derivative assets and long-term derivative liabilities are included in other current and accrued liabilities, other assets, net, and other long-term liabilities, respectively, on our condensed consolidated balance sheets.</w:t>
      </w:r>
    </w:p>
    <w:p>
      <w:pPr>
        <w:spacing w:after="0" w:line="162" w:lineRule="exact"/>
        <w:rPr>
          <w:rFonts w:ascii="Arial" w:cs="Arial" w:eastAsia="Arial" w:hAnsi="Arial"/>
          <w:sz w:val="16"/>
          <w:szCs w:val="16"/>
          <w:color w:val="auto"/>
        </w:rPr>
      </w:pPr>
    </w:p>
    <w:p>
      <w:pPr>
        <w:jc w:val="both"/>
        <w:ind w:left="427" w:right="20" w:hanging="427"/>
        <w:spacing w:after="0" w:line="303" w:lineRule="auto"/>
        <w:tabs>
          <w:tab w:leader="none" w:pos="427" w:val="left"/>
        </w:tabs>
        <w:numPr>
          <w:ilvl w:val="0"/>
          <w:numId w:val="12"/>
        </w:numPr>
        <w:rPr>
          <w:rFonts w:ascii="Arial" w:cs="Arial" w:eastAsia="Arial" w:hAnsi="Arial"/>
          <w:sz w:val="14"/>
          <w:szCs w:val="14"/>
          <w:color w:val="auto"/>
        </w:rPr>
      </w:pPr>
      <w:r>
        <w:rPr>
          <w:rFonts w:ascii="Arial" w:cs="Arial" w:eastAsia="Arial" w:hAnsi="Arial"/>
          <w:sz w:val="14"/>
          <w:szCs w:val="14"/>
          <w:color w:val="auto"/>
        </w:rPr>
        <w:t>We consider credit risk relating to our and our counterparties’ nonperformance in the fair value assessment of our derivative instruments. In all cases, the adjustments take into account offsetting liability or asset positions within each of our subsidiary borrowing groups (as defined and described in note 9). The changes in the credit risk valuation adjustments associated with our cross-currency and interest rate derivative contracts resulted in a net gain (loss) of $5.4 million and ($12.6 million)</w:t>
      </w:r>
    </w:p>
    <w:p>
      <w:pPr>
        <w:spacing w:after="0" w:line="135"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267"/>
          </w:cols>
          <w:pgMar w:left="313" w:top="263" w:right="319" w:bottom="1440" w:gutter="0" w:footer="0" w:header="0"/>
        </w:sectPr>
      </w:pPr>
    </w:p>
    <w:bookmarkStart w:id="20" w:name="page21"/>
    <w:bookmarkEnd w:id="20"/>
    <w:p>
      <w:pPr>
        <w:jc w:val="center"/>
        <w:ind w:right="-6"/>
        <w:spacing w:after="0"/>
        <w:rPr>
          <w:sz w:val="20"/>
          <w:szCs w:val="20"/>
          <w:color w:val="auto"/>
        </w:rPr>
      </w:pPr>
      <w:r>
        <w:rPr>
          <w:rFonts w:ascii="Arial" w:cs="Arial" w:eastAsia="Arial" w:hAnsi="Arial"/>
          <w:sz w:val="16"/>
          <w:szCs w:val="16"/>
          <w:b w:val="1"/>
          <w:bCs w:val="1"/>
          <w:color w:val="auto"/>
        </w:rPr>
        <w:t>LIBERTY GLOBAL PLC</w:t>
      </w:r>
    </w:p>
    <w:p>
      <w:pPr>
        <w:spacing w:after="0" w:line="18"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Notes to Condensed Consolidated Financial Statements — (Continued)</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June 30, 2020</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jc w:val="both"/>
        <w:ind w:left="427"/>
        <w:spacing w:after="0" w:line="250" w:lineRule="auto"/>
        <w:rPr>
          <w:sz w:val="20"/>
          <w:szCs w:val="20"/>
          <w:color w:val="auto"/>
        </w:rPr>
      </w:pPr>
      <w:r>
        <w:rPr>
          <w:rFonts w:ascii="Arial" w:cs="Arial" w:eastAsia="Arial" w:hAnsi="Arial"/>
          <w:sz w:val="16"/>
          <w:szCs w:val="16"/>
          <w:color w:val="auto"/>
        </w:rPr>
        <w:t>during the three months ended June 30, 2020 and 2019, respectively, and a net gain (loss) of $71.7 million and ($70.7 million) during the six months ended June 30, 2020 and 2019, respectively. These amounts are included in realized and unrealized gains (losses) on derivative instruments, net, in our condensed consolidated statements of operations. For further information regarding our fair value measurements, see note 7.</w:t>
      </w:r>
    </w:p>
    <w:p>
      <w:pPr>
        <w:spacing w:after="0" w:line="164" w:lineRule="exact"/>
        <w:rPr>
          <w:sz w:val="20"/>
          <w:szCs w:val="20"/>
          <w:color w:val="auto"/>
        </w:rPr>
      </w:pPr>
    </w:p>
    <w:p>
      <w:pPr>
        <w:jc w:val="both"/>
        <w:ind w:left="427" w:hanging="427"/>
        <w:spacing w:after="0" w:line="248" w:lineRule="auto"/>
        <w:tabs>
          <w:tab w:leader="none" w:pos="427"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Our equity-related derivative instruments primarily include the fair value of (i) the share collar (the </w:t>
      </w:r>
      <w:r>
        <w:rPr>
          <w:rFonts w:ascii="Arial" w:cs="Arial" w:eastAsia="Arial" w:hAnsi="Arial"/>
          <w:sz w:val="16"/>
          <w:szCs w:val="16"/>
          <w:b w:val="1"/>
          <w:bCs w:val="1"/>
          <w:color w:val="auto"/>
        </w:rPr>
        <w:t>ITV Collar</w:t>
      </w:r>
      <w:r>
        <w:rPr>
          <w:rFonts w:ascii="Arial" w:cs="Arial" w:eastAsia="Arial" w:hAnsi="Arial"/>
          <w:sz w:val="16"/>
          <w:szCs w:val="16"/>
          <w:color w:val="auto"/>
        </w:rPr>
        <w:t xml:space="preserve">) with respect to ITV shares held by our company and (ii) the variable prepaid forward transaction (the </w:t>
      </w:r>
      <w:r>
        <w:rPr>
          <w:rFonts w:ascii="Arial" w:cs="Arial" w:eastAsia="Arial" w:hAnsi="Arial"/>
          <w:sz w:val="16"/>
          <w:szCs w:val="16"/>
          <w:b w:val="1"/>
          <w:bCs w:val="1"/>
          <w:color w:val="auto"/>
        </w:rPr>
        <w:t>Lionsgate Forward</w:t>
      </w:r>
      <w:r>
        <w:rPr>
          <w:rFonts w:ascii="Arial" w:cs="Arial" w:eastAsia="Arial" w:hAnsi="Arial"/>
          <w:sz w:val="16"/>
          <w:szCs w:val="16"/>
          <w:color w:val="auto"/>
        </w:rPr>
        <w:t>) with respect to 833,333 of our voting and 833,334 of our non-voting Lionsgate shares. The fair values of the ITV Collar and the Lionsgate Forward do not include credit risk valuation adjustments as we assume that any losses incurred by our company in the event of nonperformance by the respective counterparty would be, subject to relevant insolvency laws, fully offset against amounts we owe to such counterparty pursuant to the related secured borrowing arrangements.</w:t>
      </w:r>
    </w:p>
    <w:p>
      <w:pPr>
        <w:spacing w:after="0" w:line="172" w:lineRule="exact"/>
        <w:rPr>
          <w:sz w:val="20"/>
          <w:szCs w:val="20"/>
          <w:color w:val="auto"/>
        </w:rPr>
      </w:pPr>
    </w:p>
    <w:p>
      <w:pPr>
        <w:ind w:left="287"/>
        <w:spacing w:after="0"/>
        <w:rPr>
          <w:sz w:val="20"/>
          <w:szCs w:val="20"/>
          <w:color w:val="auto"/>
        </w:rPr>
      </w:pPr>
      <w:r>
        <w:rPr>
          <w:rFonts w:ascii="Arial" w:cs="Arial" w:eastAsia="Arial" w:hAnsi="Arial"/>
          <w:sz w:val="16"/>
          <w:szCs w:val="16"/>
          <w:color w:val="auto"/>
        </w:rPr>
        <w:t>The details of our realized and unrealized gains (losses) on derivative instruments, net, are as follows:</w:t>
      </w:r>
    </w:p>
    <w:p>
      <w:pPr>
        <w:spacing w:after="0" w:line="152" w:lineRule="exact"/>
        <w:rPr>
          <w:sz w:val="20"/>
          <w:szCs w:val="20"/>
          <w:color w:val="auto"/>
        </w:rPr>
      </w:pPr>
    </w:p>
    <w:tbl>
      <w:tblPr>
        <w:tblLayout w:type="fixed"/>
        <w:tblInd w:w="7" w:type="dxa"/>
        <w:tblCellMar>
          <w:top w:w="0" w:type="dxa"/>
          <w:left w:w="0" w:type="dxa"/>
          <w:bottom w:w="0" w:type="dxa"/>
          <w:right w:w="0" w:type="dxa"/>
        </w:tblCellMar>
      </w:tblPr>
      <w:tr>
        <w:trPr>
          <w:trHeight w:val="182"/>
        </w:trPr>
        <w:tc>
          <w:tcPr>
            <w:tcW w:w="6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2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5"/>
                <w:szCs w:val="15"/>
                <w:color w:val="auto"/>
              </w:rPr>
            </w:pPr>
          </w:p>
        </w:tc>
        <w:tc>
          <w:tcPr>
            <w:tcW w:w="1860" w:type="dxa"/>
            <w:vAlign w:val="bottom"/>
            <w:gridSpan w:val="4"/>
          </w:tcPr>
          <w:p>
            <w:pPr>
              <w:jc w:val="right"/>
              <w:ind w:right="183"/>
              <w:spacing w:after="0"/>
              <w:rPr>
                <w:sz w:val="20"/>
                <w:szCs w:val="20"/>
                <w:color w:val="auto"/>
              </w:rPr>
            </w:pPr>
            <w:r>
              <w:rPr>
                <w:rFonts w:ascii="Arial" w:cs="Arial" w:eastAsia="Arial" w:hAnsi="Arial"/>
                <w:sz w:val="14"/>
                <w:szCs w:val="14"/>
                <w:b w:val="1"/>
                <w:bCs w:val="1"/>
                <w:color w:val="auto"/>
                <w:w w:val="87"/>
              </w:rPr>
              <w:t>Six months ended June 30,</w:t>
            </w:r>
          </w:p>
        </w:tc>
      </w:tr>
      <w:tr>
        <w:trPr>
          <w:trHeight w:val="28"/>
        </w:trPr>
        <w:tc>
          <w:tcPr>
            <w:tcW w:w="68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97"/>
        </w:trPr>
        <w:tc>
          <w:tcPr>
            <w:tcW w:w="6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30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30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jc w:val="right"/>
              <w:ind w:right="28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ind w:right="283"/>
              <w:spacing w:after="0"/>
              <w:rPr>
                <w:sz w:val="20"/>
                <w:szCs w:val="20"/>
                <w:color w:val="auto"/>
              </w:rPr>
            </w:pPr>
            <w:r>
              <w:rPr>
                <w:rFonts w:ascii="Arial" w:cs="Arial" w:eastAsia="Arial" w:hAnsi="Arial"/>
                <w:sz w:val="14"/>
                <w:szCs w:val="14"/>
                <w:b w:val="1"/>
                <w:bCs w:val="1"/>
                <w:color w:val="auto"/>
              </w:rPr>
              <w:t>2019</w:t>
            </w:r>
          </w:p>
        </w:tc>
      </w:tr>
      <w:tr>
        <w:trPr>
          <w:trHeight w:val="28"/>
        </w:trPr>
        <w:tc>
          <w:tcPr>
            <w:tcW w:w="68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85"/>
        </w:trPr>
        <w:tc>
          <w:tcPr>
            <w:tcW w:w="6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26"/>
        </w:trPr>
        <w:tc>
          <w:tcPr>
            <w:tcW w:w="6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3"/>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Cross-currency and interest rate derivative contracts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(309.4)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69.1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532.9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w:t>
            </w:r>
          </w:p>
        </w:tc>
      </w:tr>
      <w:tr>
        <w:trPr>
          <w:trHeight w:val="189"/>
        </w:trPr>
        <w:tc>
          <w:tcPr>
            <w:tcW w:w="6860" w:type="dxa"/>
            <w:vAlign w:val="bottom"/>
          </w:tcPr>
          <w:p>
            <w:pPr>
              <w:ind w:left="20"/>
              <w:spacing w:after="0"/>
              <w:rPr>
                <w:sz w:val="20"/>
                <w:szCs w:val="20"/>
                <w:color w:val="auto"/>
              </w:rPr>
            </w:pPr>
            <w:r>
              <w:rPr>
                <w:rFonts w:ascii="Arial" w:cs="Arial" w:eastAsia="Arial" w:hAnsi="Arial"/>
                <w:sz w:val="16"/>
                <w:szCs w:val="16"/>
                <w:color w:val="auto"/>
              </w:rPr>
              <w:t>Equity-related derivative instruments:</w:t>
            </w: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r>
      <w:tr>
        <w:trPr>
          <w:trHeight w:val="35"/>
        </w:trPr>
        <w:tc>
          <w:tcPr>
            <w:tcW w:w="6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13"/>
        </w:trPr>
        <w:tc>
          <w:tcPr>
            <w:tcW w:w="6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ITV Collar</w:t>
            </w: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(33.1)</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86.0</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350.3</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99.8</w:t>
            </w:r>
          </w:p>
        </w:tc>
      </w:tr>
      <w:tr>
        <w:trPr>
          <w:trHeight w:val="209"/>
        </w:trPr>
        <w:tc>
          <w:tcPr>
            <w:tcW w:w="6860" w:type="dxa"/>
            <w:vAlign w:val="bottom"/>
          </w:tcPr>
          <w:p>
            <w:pPr>
              <w:ind w:left="140"/>
              <w:spacing w:after="0"/>
              <w:rPr>
                <w:sz w:val="20"/>
                <w:szCs w:val="20"/>
                <w:color w:val="auto"/>
              </w:rPr>
            </w:pPr>
            <w:r>
              <w:rPr>
                <w:rFonts w:ascii="Arial" w:cs="Arial" w:eastAsia="Arial" w:hAnsi="Arial"/>
                <w:sz w:val="16"/>
                <w:szCs w:val="16"/>
                <w:color w:val="auto"/>
              </w:rPr>
              <w:t>Lionsgate Forward</w:t>
            </w:r>
          </w:p>
        </w:tc>
        <w:tc>
          <w:tcPr>
            <w:tcW w:w="160" w:type="dxa"/>
            <w:vAlign w:val="bottom"/>
          </w:tcPr>
          <w:p>
            <w:pPr>
              <w:spacing w:after="0"/>
              <w:rPr>
                <w:sz w:val="18"/>
                <w:szCs w:val="18"/>
                <w:color w:val="auto"/>
              </w:rPr>
            </w:pPr>
          </w:p>
        </w:tc>
        <w:tc>
          <w:tcPr>
            <w:tcW w:w="880" w:type="dxa"/>
            <w:vAlign w:val="bottom"/>
          </w:tcPr>
          <w:p>
            <w:pPr>
              <w:jc w:val="right"/>
              <w:ind w:right="4"/>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44"/>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ind w:right="24"/>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9.6</w:t>
            </w:r>
          </w:p>
        </w:tc>
      </w:tr>
      <w:tr>
        <w:trPr>
          <w:trHeight w:val="24"/>
        </w:trPr>
        <w:tc>
          <w:tcPr>
            <w:tcW w:w="6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3"/>
        </w:trPr>
        <w:tc>
          <w:tcPr>
            <w:tcW w:w="6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22.1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20.8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0.4</w:t>
            </w:r>
          </w:p>
        </w:tc>
      </w:tr>
      <w:tr>
        <w:trPr>
          <w:trHeight w:val="201"/>
        </w:trPr>
        <w:tc>
          <w:tcPr>
            <w:tcW w:w="6860" w:type="dxa"/>
            <w:vAlign w:val="bottom"/>
          </w:tcPr>
          <w:p>
            <w:pPr>
              <w:ind w:left="220"/>
              <w:spacing w:after="0"/>
              <w:rPr>
                <w:sz w:val="20"/>
                <w:szCs w:val="20"/>
                <w:color w:val="auto"/>
              </w:rPr>
            </w:pPr>
            <w:r>
              <w:rPr>
                <w:rFonts w:ascii="Arial" w:cs="Arial" w:eastAsia="Arial" w:hAnsi="Arial"/>
                <w:sz w:val="16"/>
                <w:szCs w:val="16"/>
                <w:color w:val="auto"/>
              </w:rPr>
              <w:t>Total equity-related derivative instruments</w:t>
            </w: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4"/>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95.0</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ind w:right="24"/>
              <w:spacing w:after="0"/>
              <w:rPr>
                <w:sz w:val="20"/>
                <w:szCs w:val="20"/>
                <w:color w:val="auto"/>
              </w:rPr>
            </w:pPr>
            <w:r>
              <w:rPr>
                <w:rFonts w:ascii="Arial" w:cs="Arial" w:eastAsia="Arial" w:hAnsi="Arial"/>
                <w:sz w:val="16"/>
                <w:szCs w:val="16"/>
                <w:color w:val="auto"/>
              </w:rPr>
              <w:t>377.6</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109.8</w:t>
            </w:r>
          </w:p>
        </w:tc>
      </w:tr>
      <w:tr>
        <w:trPr>
          <w:trHeight w:val="24"/>
        </w:trPr>
        <w:tc>
          <w:tcPr>
            <w:tcW w:w="6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24"/>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Foreign currency forward and option contracts</w:t>
            </w: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(11.6)</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(22.2)</w:t>
            </w:r>
          </w:p>
        </w:tc>
      </w:tr>
      <w:tr>
        <w:trPr>
          <w:trHeight w:val="201"/>
        </w:trPr>
        <w:tc>
          <w:tcPr>
            <w:tcW w:w="6860" w:type="dxa"/>
            <w:vAlign w:val="bottom"/>
          </w:tcPr>
          <w:p>
            <w:pPr>
              <w:ind w:left="20"/>
              <w:spacing w:after="0"/>
              <w:rPr>
                <w:sz w:val="20"/>
                <w:szCs w:val="20"/>
                <w:color w:val="auto"/>
              </w:rPr>
            </w:pPr>
            <w:r>
              <w:rPr>
                <w:rFonts w:ascii="Arial" w:cs="Arial" w:eastAsia="Arial" w:hAnsi="Arial"/>
                <w:sz w:val="16"/>
                <w:szCs w:val="16"/>
                <w:color w:val="auto"/>
              </w:rPr>
              <w:t>Other</w:t>
            </w: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0.7</w:t>
            </w:r>
          </w:p>
        </w:tc>
      </w:tr>
      <w:tr>
        <w:trPr>
          <w:trHeight w:val="24"/>
        </w:trPr>
        <w:tc>
          <w:tcPr>
            <w:tcW w:w="6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29"/>
        </w:trPr>
        <w:tc>
          <w:tcPr>
            <w:tcW w:w="68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(319.7)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152.9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917.6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70.1</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jc w:val="both"/>
        <w:ind w:left="7" w:firstLine="279"/>
        <w:spacing w:after="0" w:line="248" w:lineRule="auto"/>
        <w:rPr>
          <w:sz w:val="20"/>
          <w:szCs w:val="20"/>
          <w:color w:val="auto"/>
        </w:rPr>
      </w:pPr>
      <w:r>
        <w:rPr>
          <w:rFonts w:ascii="Arial" w:cs="Arial" w:eastAsia="Arial" w:hAnsi="Arial"/>
          <w:sz w:val="16"/>
          <w:szCs w:val="16"/>
          <w:color w:val="auto"/>
        </w:rPr>
        <w:t>The net cash received or paid related to our derivative instruments is classified as an operating, investing or financing activity in our condensed consolidated statements of cash flows based on the objective of the derivative instrument and the classification of the applicable underlying cash flows. For derivative contracts that are terminated prior to maturity, the cash paid or received upon termination that relates to future periods is classified as a financing activity. The following table sets forth the classification of the net cash outflows of our derivative instruments:</w:t>
      </w:r>
    </w:p>
    <w:p>
      <w:pPr>
        <w:spacing w:after="0" w:line="122"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Six months ended</w:t>
      </w:r>
    </w:p>
    <w:p>
      <w:pPr>
        <w:spacing w:after="0" w:line="21"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5511165</wp:posOffset>
            </wp:positionH>
            <wp:positionV relativeFrom="paragraph">
              <wp:posOffset>26035</wp:posOffset>
            </wp:positionV>
            <wp:extent cx="164020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40205" cy="7620"/>
                    </a:xfrm>
                    <a:prstGeom prst="rect">
                      <a:avLst/>
                    </a:prstGeom>
                    <a:noFill/>
                  </pic:spPr>
                </pic:pic>
              </a:graphicData>
            </a:graphic>
          </wp:anchor>
        </w:drawing>
      </w:r>
    </w:p>
    <w:p>
      <w:pPr>
        <w:spacing w:after="0" w:line="55" w:lineRule="exact"/>
        <w:rPr>
          <w:sz w:val="20"/>
          <w:szCs w:val="20"/>
          <w:color w:val="auto"/>
        </w:rPr>
      </w:pPr>
    </w:p>
    <w:tbl>
      <w:tblPr>
        <w:tblLayout w:type="fixed"/>
        <w:tblInd w:w="7" w:type="dxa"/>
        <w:tblCellMar>
          <w:top w:w="0" w:type="dxa"/>
          <w:left w:w="0" w:type="dxa"/>
          <w:bottom w:w="0" w:type="dxa"/>
          <w:right w:w="0" w:type="dxa"/>
        </w:tblCellMar>
      </w:tblPr>
      <w:tr>
        <w:trPr>
          <w:trHeight w:val="182"/>
        </w:trPr>
        <w:tc>
          <w:tcPr>
            <w:tcW w:w="3400" w:type="dxa"/>
            <w:vAlign w:val="bottom"/>
          </w:tcPr>
          <w:p>
            <w:pPr>
              <w:spacing w:after="0"/>
              <w:rPr>
                <w:sz w:val="15"/>
                <w:szCs w:val="15"/>
                <w:color w:val="auto"/>
              </w:rPr>
            </w:pPr>
          </w:p>
        </w:tc>
        <w:tc>
          <w:tcPr>
            <w:tcW w:w="61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jc w:val="right"/>
              <w:ind w:right="40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8"/>
        </w:trPr>
        <w:tc>
          <w:tcPr>
            <w:tcW w:w="3400" w:type="dxa"/>
            <w:vAlign w:val="bottom"/>
          </w:tcPr>
          <w:p>
            <w:pPr>
              <w:spacing w:after="0"/>
              <w:rPr>
                <w:sz w:val="2"/>
                <w:szCs w:val="2"/>
                <w:color w:val="auto"/>
              </w:rPr>
            </w:pPr>
          </w:p>
        </w:tc>
        <w:tc>
          <w:tcPr>
            <w:tcW w:w="52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340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00" w:type="dxa"/>
            <w:vAlign w:val="bottom"/>
            <w:gridSpan w:val="3"/>
          </w:tcPr>
          <w:p>
            <w:pPr>
              <w:jc w:val="right"/>
              <w:ind w:right="42"/>
              <w:spacing w:after="0"/>
              <w:rPr>
                <w:sz w:val="20"/>
                <w:szCs w:val="20"/>
                <w:color w:val="auto"/>
              </w:rPr>
            </w:pPr>
            <w:r>
              <w:rPr>
                <w:rFonts w:ascii="Arial" w:cs="Arial" w:eastAsia="Arial" w:hAnsi="Arial"/>
                <w:sz w:val="14"/>
                <w:szCs w:val="14"/>
                <w:b w:val="1"/>
                <w:bCs w:val="1"/>
                <w:color w:val="auto"/>
              </w:rPr>
              <w:t>in millions</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40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activities</w:t>
            </w:r>
          </w:p>
        </w:tc>
        <w:tc>
          <w:tcPr>
            <w:tcW w:w="6100" w:type="dxa"/>
            <w:vAlign w:val="bottom"/>
            <w:tcBorders>
              <w:bottom w:val="single" w:sz="8" w:color="CCEEFF"/>
            </w:tcBorders>
            <w:gridSpan w:val="2"/>
            <w:shd w:val="clear" w:color="auto" w:fill="CCEEFF"/>
          </w:tcPr>
          <w:p>
            <w:pPr>
              <w:jc w:val="right"/>
              <w:ind w:right="7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w w:val="96"/>
              </w:rPr>
              <w:t>23.1</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165.1</w:t>
            </w:r>
          </w:p>
        </w:tc>
        <w:tc>
          <w:tcPr>
            <w:tcW w:w="0" w:type="dxa"/>
            <w:vAlign w:val="bottom"/>
          </w:tcPr>
          <w:p>
            <w:pPr>
              <w:spacing w:after="0"/>
              <w:rPr>
                <w:sz w:val="1"/>
                <w:szCs w:val="1"/>
                <w:color w:val="auto"/>
              </w:rPr>
            </w:pPr>
          </w:p>
        </w:tc>
      </w:tr>
      <w:tr>
        <w:trPr>
          <w:trHeight w:val="209"/>
        </w:trPr>
        <w:tc>
          <w:tcPr>
            <w:tcW w:w="3400" w:type="dxa"/>
            <w:vAlign w:val="bottom"/>
          </w:tcPr>
          <w:p>
            <w:pPr>
              <w:ind w:left="20"/>
              <w:spacing w:after="0"/>
              <w:rPr>
                <w:sz w:val="20"/>
                <w:szCs w:val="20"/>
                <w:color w:val="auto"/>
              </w:rPr>
            </w:pPr>
            <w:r>
              <w:rPr>
                <w:rFonts w:ascii="Arial" w:cs="Arial" w:eastAsia="Arial" w:hAnsi="Arial"/>
                <w:sz w:val="16"/>
                <w:szCs w:val="16"/>
                <w:color w:val="auto"/>
              </w:rPr>
              <w:t>Financing activities</w:t>
            </w:r>
          </w:p>
        </w:tc>
        <w:tc>
          <w:tcPr>
            <w:tcW w:w="5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jc w:val="right"/>
              <w:ind w:right="24"/>
              <w:spacing w:after="0"/>
              <w:rPr>
                <w:sz w:val="20"/>
                <w:szCs w:val="20"/>
                <w:color w:val="auto"/>
              </w:rPr>
            </w:pPr>
            <w:r>
              <w:rPr>
                <w:rFonts w:ascii="Arial" w:cs="Arial" w:eastAsia="Arial" w:hAnsi="Arial"/>
                <w:sz w:val="16"/>
                <w:szCs w:val="16"/>
                <w:color w:val="auto"/>
                <w:w w:val="96"/>
              </w:rPr>
              <w:t>75.0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24"/>
              <w:spacing w:after="0"/>
              <w:rPr>
                <w:sz w:val="20"/>
                <w:szCs w:val="20"/>
                <w:color w:val="auto"/>
              </w:rPr>
            </w:pPr>
            <w:r>
              <w:rPr>
                <w:rFonts w:ascii="Arial" w:cs="Arial" w:eastAsia="Arial" w:hAnsi="Arial"/>
                <w:sz w:val="16"/>
                <w:szCs w:val="16"/>
                <w:color w:val="auto"/>
              </w:rPr>
              <w:t>93.5</w:t>
            </w:r>
          </w:p>
        </w:tc>
        <w:tc>
          <w:tcPr>
            <w:tcW w:w="0" w:type="dxa"/>
            <w:vAlign w:val="bottom"/>
          </w:tcPr>
          <w:p>
            <w:pPr>
              <w:spacing w:after="0"/>
              <w:rPr>
                <w:sz w:val="1"/>
                <w:szCs w:val="1"/>
                <w:color w:val="auto"/>
              </w:rPr>
            </w:pPr>
          </w:p>
        </w:tc>
      </w:tr>
      <w:tr>
        <w:trPr>
          <w:trHeight w:val="24"/>
        </w:trPr>
        <w:tc>
          <w:tcPr>
            <w:tcW w:w="3400" w:type="dxa"/>
            <w:vAlign w:val="bottom"/>
            <w:tcBorders>
              <w:bottom w:val="single" w:sz="8" w:color="CCEEFF"/>
            </w:tcBorders>
          </w:tcPr>
          <w:p>
            <w:pPr>
              <w:spacing w:after="0"/>
              <w:rPr>
                <w:sz w:val="2"/>
                <w:szCs w:val="2"/>
                <w:color w:val="auto"/>
              </w:rPr>
            </w:pPr>
          </w:p>
        </w:tc>
        <w:tc>
          <w:tcPr>
            <w:tcW w:w="52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3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6100" w:type="dxa"/>
            <w:vAlign w:val="bottom"/>
            <w:tcBorders>
              <w:bottom w:val="single" w:sz="8" w:color="CCEEFF"/>
            </w:tcBorders>
            <w:gridSpan w:val="2"/>
            <w:shd w:val="clear" w:color="auto" w:fill="CCEEFF"/>
          </w:tcPr>
          <w:p>
            <w:pPr>
              <w:jc w:val="right"/>
              <w:ind w:right="7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w w:val="96"/>
              </w:rPr>
              <w:t>98.1</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258.6</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5280" w:type="dxa"/>
            <w:vAlign w:val="bottom"/>
            <w:tcBorders>
              <w:top w:val="single" w:sz="8" w:color="CCEEFF"/>
              <w:bottom w:val="single" w:sz="8" w:color="CCEEFF"/>
            </w:tcBorders>
            <w:vMerge w:val="restart"/>
          </w:tcPr>
          <w:p>
            <w:pPr>
              <w:jc w:val="right"/>
              <w:ind w:right="2904"/>
              <w:spacing w:after="0"/>
              <w:rPr>
                <w:sz w:val="20"/>
                <w:szCs w:val="20"/>
                <w:color w:val="auto"/>
              </w:rPr>
            </w:pPr>
            <w:r>
              <w:rPr>
                <w:rFonts w:ascii="Arial" w:cs="Arial" w:eastAsia="Arial" w:hAnsi="Arial"/>
                <w:sz w:val="16"/>
                <w:szCs w:val="16"/>
                <w:color w:val="auto"/>
              </w:rPr>
              <w:t>19</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2"/>
        </w:trPr>
        <w:tc>
          <w:tcPr>
            <w:tcW w:w="3400" w:type="dxa"/>
            <w:vAlign w:val="bottom"/>
          </w:tcPr>
          <w:p>
            <w:pPr>
              <w:spacing w:after="0"/>
              <w:rPr>
                <w:sz w:val="24"/>
                <w:szCs w:val="24"/>
                <w:color w:val="auto"/>
              </w:rPr>
            </w:pPr>
          </w:p>
        </w:tc>
        <w:tc>
          <w:tcPr>
            <w:tcW w:w="528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7"/>
          </w:cols>
          <w:pgMar w:left="313" w:top="262" w:right="319" w:bottom="1440" w:gutter="0" w:footer="0" w:header="0"/>
        </w:sectPr>
      </w:pPr>
    </w:p>
    <w:bookmarkStart w:id="21" w:name="page22"/>
    <w:bookmarkEnd w:id="21"/>
    <w:p>
      <w:pPr>
        <w:jc w:val="center"/>
        <w:ind w:right="-6"/>
        <w:spacing w:after="0"/>
        <w:rPr>
          <w:sz w:val="20"/>
          <w:szCs w:val="20"/>
          <w:color w:val="auto"/>
        </w:rPr>
      </w:pPr>
      <w:r>
        <w:rPr>
          <w:rFonts w:ascii="Arial" w:cs="Arial" w:eastAsia="Arial" w:hAnsi="Arial"/>
          <w:sz w:val="16"/>
          <w:szCs w:val="16"/>
          <w:b w:val="1"/>
          <w:bCs w:val="1"/>
          <w:color w:val="auto"/>
        </w:rPr>
        <w:t>LIBERTY GLOBAL PLC</w:t>
      </w:r>
    </w:p>
    <w:p>
      <w:pPr>
        <w:spacing w:after="0" w:line="18"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Notes to Condensed Consolidated Financial Statements — (Continued)</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June 30, 2020</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ind w:left="147"/>
        <w:spacing w:after="0"/>
        <w:rPr>
          <w:sz w:val="20"/>
          <w:szCs w:val="20"/>
          <w:color w:val="auto"/>
        </w:rPr>
      </w:pPr>
      <w:r>
        <w:rPr>
          <w:rFonts w:ascii="Arial" w:cs="Arial" w:eastAsia="Arial" w:hAnsi="Arial"/>
          <w:sz w:val="16"/>
          <w:szCs w:val="16"/>
          <w:b w:val="1"/>
          <w:bCs w:val="1"/>
          <w:i w:val="1"/>
          <w:iCs w:val="1"/>
          <w:color w:val="auto"/>
        </w:rPr>
        <w:t>Counterparty Credit Risk</w:t>
      </w:r>
    </w:p>
    <w:p>
      <w:pPr>
        <w:spacing w:after="0" w:line="188" w:lineRule="exact"/>
        <w:rPr>
          <w:sz w:val="20"/>
          <w:szCs w:val="20"/>
          <w:color w:val="auto"/>
        </w:rPr>
      </w:pPr>
    </w:p>
    <w:p>
      <w:pPr>
        <w:jc w:val="both"/>
        <w:ind w:left="7" w:firstLine="279"/>
        <w:spacing w:after="0" w:line="290" w:lineRule="auto"/>
        <w:rPr>
          <w:sz w:val="20"/>
          <w:szCs w:val="20"/>
          <w:color w:val="auto"/>
        </w:rPr>
      </w:pPr>
      <w:r>
        <w:rPr>
          <w:rFonts w:ascii="Arial" w:cs="Arial" w:eastAsia="Arial" w:hAnsi="Arial"/>
          <w:sz w:val="14"/>
          <w:szCs w:val="14"/>
          <w:color w:val="auto"/>
        </w:rPr>
        <w:t>We are exposed to the risk that the counterparties to the derivative instruments of our subsidiary borrowing groups will default on their obligations to us. We manage these credit risks through the evaluation and monitoring of the creditworthiness of, and concentration of risk with, the respective counterparties. In this regard, credit risk associated with our derivative instruments is spread across a relatively broad counterparty base of banks and financial institutions. With the exception of a limited number of instances where we have required a counterparty to post collateral, neither party has posted collateral under the derivative instruments of our subsidiary borrowing groups. At June 30, 2020, our exposure to counterparty credit risk included derivative assets with an aggregate fair value of $103.3 million.</w:t>
      </w:r>
    </w:p>
    <w:p>
      <w:pPr>
        <w:spacing w:after="0" w:line="138"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Details of our Derivative Instruments</w:t>
      </w:r>
    </w:p>
    <w:p>
      <w:pPr>
        <w:spacing w:after="0" w:line="194" w:lineRule="exact"/>
        <w:rPr>
          <w:sz w:val="20"/>
          <w:szCs w:val="20"/>
          <w:color w:val="auto"/>
        </w:rPr>
      </w:pPr>
    </w:p>
    <w:p>
      <w:pPr>
        <w:ind w:left="287"/>
        <w:spacing w:after="0"/>
        <w:rPr>
          <w:sz w:val="20"/>
          <w:szCs w:val="20"/>
          <w:color w:val="auto"/>
        </w:rPr>
      </w:pPr>
      <w:r>
        <w:rPr>
          <w:rFonts w:ascii="Arial" w:cs="Arial" w:eastAsia="Arial" w:hAnsi="Arial"/>
          <w:sz w:val="16"/>
          <w:szCs w:val="16"/>
          <w:color w:val="auto"/>
        </w:rPr>
        <w:t>The details of our derivative contracts are presented below for the named entity and its subsidiaries, unless otherwise noted.</w:t>
      </w:r>
    </w:p>
    <w:p>
      <w:pPr>
        <w:spacing w:after="0" w:line="188" w:lineRule="exact"/>
        <w:rPr>
          <w:sz w:val="20"/>
          <w:szCs w:val="20"/>
          <w:color w:val="auto"/>
        </w:rPr>
      </w:pPr>
    </w:p>
    <w:p>
      <w:pPr>
        <w:ind w:left="147"/>
        <w:spacing w:after="0"/>
        <w:rPr>
          <w:sz w:val="20"/>
          <w:szCs w:val="20"/>
          <w:color w:val="auto"/>
        </w:rPr>
      </w:pPr>
      <w:r>
        <w:rPr>
          <w:rFonts w:ascii="Arial" w:cs="Arial" w:eastAsia="Arial" w:hAnsi="Arial"/>
          <w:sz w:val="16"/>
          <w:szCs w:val="16"/>
          <w:b w:val="1"/>
          <w:bCs w:val="1"/>
          <w:i w:val="1"/>
          <w:iCs w:val="1"/>
          <w:color w:val="auto"/>
        </w:rPr>
        <w:t>Cross-currency Derivative Contracts</w:t>
      </w:r>
    </w:p>
    <w:p>
      <w:pPr>
        <w:spacing w:after="0" w:line="188" w:lineRule="exact"/>
        <w:rPr>
          <w:sz w:val="20"/>
          <w:szCs w:val="20"/>
          <w:color w:val="auto"/>
        </w:rPr>
      </w:pPr>
    </w:p>
    <w:p>
      <w:pPr>
        <w:jc w:val="both"/>
        <w:ind w:left="7" w:firstLine="279"/>
        <w:spacing w:after="0" w:line="294" w:lineRule="auto"/>
        <w:rPr>
          <w:sz w:val="20"/>
          <w:szCs w:val="20"/>
          <w:color w:val="auto"/>
        </w:rPr>
      </w:pPr>
      <w:r>
        <w:rPr>
          <w:rFonts w:ascii="Arial" w:cs="Arial" w:eastAsia="Arial" w:hAnsi="Arial"/>
          <w:sz w:val="14"/>
          <w:szCs w:val="14"/>
          <w:color w:val="auto"/>
        </w:rPr>
        <w:t>We generally match the denomination of our subsidiaries’ borrowings with the functional currency of the supporting operations or, when it is more cost effective, we provide for an economic hedge against foreign currency exchange rate movements by using derivative instruments to synthetically convert unmatched debt into the applicable underlying currency. At June 30, 2020, substantially all of our debt was either directly or synthetically matched to the applicable functional currencies of the underlying operations. The following table sets forth the total notional amounts and the related weighted average remaining contractual lives of our cross-currency swap contracts at June 30, 2020:</w:t>
      </w:r>
    </w:p>
    <w:p>
      <w:pPr>
        <w:spacing w:after="0" w:line="93"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4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940" w:type="dxa"/>
            <w:vAlign w:val="bottom"/>
          </w:tcPr>
          <w:p>
            <w:pPr>
              <w:jc w:val="right"/>
              <w:ind w:right="645"/>
              <w:spacing w:after="0"/>
              <w:rPr>
                <w:sz w:val="20"/>
                <w:szCs w:val="20"/>
                <w:color w:val="auto"/>
              </w:rPr>
            </w:pPr>
            <w:r>
              <w:rPr>
                <w:rFonts w:ascii="Arial" w:cs="Arial" w:eastAsia="Arial" w:hAnsi="Arial"/>
                <w:sz w:val="14"/>
                <w:szCs w:val="14"/>
                <w:b w:val="1"/>
                <w:bCs w:val="1"/>
                <w:color w:val="auto"/>
              </w:rPr>
              <w:t>Notional amount</w:t>
            </w:r>
          </w:p>
        </w:tc>
        <w:tc>
          <w:tcPr>
            <w:tcW w:w="420" w:type="dxa"/>
            <w:vAlign w:val="bottom"/>
          </w:tcPr>
          <w:p>
            <w:pPr>
              <w:spacing w:after="0"/>
              <w:rPr>
                <w:sz w:val="15"/>
                <w:szCs w:val="15"/>
                <w:color w:val="auto"/>
              </w:rPr>
            </w:pPr>
          </w:p>
        </w:tc>
        <w:tc>
          <w:tcPr>
            <w:tcW w:w="1240" w:type="dxa"/>
            <w:vAlign w:val="bottom"/>
          </w:tcPr>
          <w:p>
            <w:pPr>
              <w:jc w:val="center"/>
              <w:ind w:left="144"/>
              <w:spacing w:after="0"/>
              <w:rPr>
                <w:sz w:val="20"/>
                <w:szCs w:val="20"/>
                <w:color w:val="auto"/>
              </w:rPr>
            </w:pPr>
            <w:r>
              <w:rPr>
                <w:rFonts w:ascii="Arial" w:cs="Arial" w:eastAsia="Arial" w:hAnsi="Arial"/>
                <w:sz w:val="14"/>
                <w:szCs w:val="14"/>
                <w:b w:val="1"/>
                <w:bCs w:val="1"/>
                <w:color w:val="auto"/>
                <w:w w:val="92"/>
              </w:rPr>
              <w:t>Notional amount</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 average</w:t>
            </w:r>
          </w:p>
        </w:tc>
      </w:tr>
      <w:tr>
        <w:trPr>
          <w:trHeight w:val="182"/>
        </w:trPr>
        <w:tc>
          <w:tcPr>
            <w:tcW w:w="4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940" w:type="dxa"/>
            <w:vAlign w:val="bottom"/>
          </w:tcPr>
          <w:p>
            <w:pPr>
              <w:jc w:val="right"/>
              <w:ind w:right="465"/>
              <w:spacing w:after="0"/>
              <w:rPr>
                <w:sz w:val="20"/>
                <w:szCs w:val="20"/>
                <w:color w:val="auto"/>
              </w:rPr>
            </w:pPr>
            <w:r>
              <w:rPr>
                <w:rFonts w:ascii="Arial" w:cs="Arial" w:eastAsia="Arial" w:hAnsi="Arial"/>
                <w:sz w:val="14"/>
                <w:szCs w:val="14"/>
                <w:b w:val="1"/>
                <w:bCs w:val="1"/>
                <w:color w:val="auto"/>
                <w:w w:val="92"/>
              </w:rPr>
              <w:t>due from counterparty</w:t>
            </w:r>
          </w:p>
        </w:tc>
        <w:tc>
          <w:tcPr>
            <w:tcW w:w="420" w:type="dxa"/>
            <w:vAlign w:val="bottom"/>
          </w:tcPr>
          <w:p>
            <w:pPr>
              <w:spacing w:after="0"/>
              <w:rPr>
                <w:sz w:val="15"/>
                <w:szCs w:val="15"/>
                <w:color w:val="auto"/>
              </w:rPr>
            </w:pPr>
          </w:p>
        </w:tc>
        <w:tc>
          <w:tcPr>
            <w:tcW w:w="200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89"/>
              </w:rPr>
              <w:t>due to counterparty</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0"/>
              </w:rPr>
              <w:t>remaining life</w:t>
            </w:r>
          </w:p>
        </w:tc>
      </w:tr>
      <w:tr>
        <w:trPr>
          <w:trHeight w:val="28"/>
        </w:trPr>
        <w:tc>
          <w:tcPr>
            <w:tcW w:w="48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197"/>
        </w:trPr>
        <w:tc>
          <w:tcPr>
            <w:tcW w:w="4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40" w:type="dxa"/>
            <w:vAlign w:val="bottom"/>
          </w:tcPr>
          <w:p>
            <w:pPr>
              <w:jc w:val="right"/>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6"/>
              </w:rPr>
              <w:t>in years</w:t>
            </w:r>
          </w:p>
        </w:tc>
      </w:tr>
      <w:tr>
        <w:trPr>
          <w:trHeight w:val="237"/>
        </w:trPr>
        <w:tc>
          <w:tcPr>
            <w:tcW w:w="4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13"/>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UPC Holding</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ind w:right="165"/>
              <w:spacing w:after="0"/>
              <w:rPr>
                <w:sz w:val="20"/>
                <w:szCs w:val="20"/>
                <w:color w:val="auto"/>
              </w:rPr>
            </w:pPr>
            <w:r>
              <w:rPr>
                <w:rFonts w:ascii="Arial" w:cs="Arial" w:eastAsia="Arial" w:hAnsi="Arial"/>
                <w:sz w:val="16"/>
                <w:szCs w:val="16"/>
                <w:color w:val="auto"/>
              </w:rPr>
              <w:t>360.0</w:t>
            </w:r>
          </w:p>
        </w:tc>
        <w:tc>
          <w:tcPr>
            <w:tcW w:w="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267.9</w:t>
            </w:r>
          </w:p>
        </w:tc>
        <w:tc>
          <w:tcPr>
            <w:tcW w:w="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0"/>
              </w:rPr>
              <w:t>5.3</w:t>
            </w:r>
          </w:p>
        </w:tc>
      </w:tr>
      <w:tr>
        <w:trPr>
          <w:trHeight w:val="209"/>
        </w:trPr>
        <w:tc>
          <w:tcPr>
            <w:tcW w:w="4840" w:type="dxa"/>
            <w:vAlign w:val="bottom"/>
          </w:tcPr>
          <w:p>
            <w:pPr>
              <w:spacing w:after="0"/>
              <w:rPr>
                <w:sz w:val="18"/>
                <w:szCs w:val="18"/>
                <w:color w:val="auto"/>
              </w:rPr>
            </w:pP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165"/>
              <w:spacing w:after="0"/>
              <w:rPr>
                <w:sz w:val="20"/>
                <w:szCs w:val="20"/>
                <w:color w:val="auto"/>
              </w:rPr>
            </w:pPr>
            <w:r>
              <w:rPr>
                <w:rFonts w:ascii="Arial" w:cs="Arial" w:eastAsia="Arial" w:hAnsi="Arial"/>
                <w:sz w:val="16"/>
                <w:szCs w:val="16"/>
                <w:color w:val="auto"/>
              </w:rPr>
              <w:t>1,600.0</w:t>
            </w:r>
          </w:p>
        </w:tc>
        <w:tc>
          <w:tcPr>
            <w:tcW w:w="420" w:type="dxa"/>
            <w:vAlign w:val="bottom"/>
          </w:tcPr>
          <w:p>
            <w:pPr>
              <w:spacing w:after="0"/>
              <w:rPr>
                <w:sz w:val="20"/>
                <w:szCs w:val="20"/>
                <w:color w:val="auto"/>
              </w:rPr>
            </w:pPr>
            <w:r>
              <w:rPr>
                <w:rFonts w:ascii="Arial" w:cs="Arial" w:eastAsia="Arial" w:hAnsi="Arial"/>
                <w:sz w:val="16"/>
                <w:szCs w:val="16"/>
                <w:color w:val="auto"/>
              </w:rPr>
              <w:t>CHF</w:t>
            </w:r>
          </w:p>
        </w:tc>
        <w:tc>
          <w:tcPr>
            <w:tcW w:w="1240" w:type="dxa"/>
            <w:vAlign w:val="bottom"/>
          </w:tcPr>
          <w:p>
            <w:pPr>
              <w:jc w:val="right"/>
              <w:ind w:right="44"/>
              <w:spacing w:after="0"/>
              <w:rPr>
                <w:sz w:val="20"/>
                <w:szCs w:val="20"/>
                <w:color w:val="auto"/>
              </w:rPr>
            </w:pPr>
            <w:r>
              <w:rPr>
                <w:rFonts w:ascii="Arial" w:cs="Arial" w:eastAsia="Arial" w:hAnsi="Arial"/>
                <w:sz w:val="16"/>
                <w:szCs w:val="16"/>
                <w:color w:val="auto"/>
              </w:rPr>
              <w:t>1,476.1</w:t>
            </w:r>
          </w:p>
        </w:tc>
        <w:tc>
          <w:tcPr>
            <w:tcW w:w="760" w:type="dxa"/>
            <w:vAlign w:val="bottom"/>
            <w:gridSpan w:val="2"/>
          </w:tcPr>
          <w:p>
            <w:pPr>
              <w:ind w:left="20"/>
              <w:spacing w:after="0"/>
              <w:rPr>
                <w:sz w:val="20"/>
                <w:szCs w:val="20"/>
                <w:color w:val="auto"/>
              </w:rPr>
            </w:pPr>
            <w:r>
              <w:rPr>
                <w:rFonts w:ascii="Arial" w:cs="Arial" w:eastAsia="Arial" w:hAnsi="Arial"/>
                <w:sz w:val="16"/>
                <w:szCs w:val="16"/>
                <w:color w:val="auto"/>
              </w:rPr>
              <w:t>(a)</w:t>
            </w:r>
          </w:p>
        </w:tc>
        <w:tc>
          <w:tcPr>
            <w:tcW w:w="1700" w:type="dxa"/>
            <w:vAlign w:val="bottom"/>
          </w:tcPr>
          <w:p>
            <w:pPr>
              <w:jc w:val="center"/>
              <w:spacing w:after="0"/>
              <w:rPr>
                <w:sz w:val="20"/>
                <w:szCs w:val="20"/>
                <w:color w:val="auto"/>
              </w:rPr>
            </w:pPr>
            <w:r>
              <w:rPr>
                <w:rFonts w:ascii="Arial" w:cs="Arial" w:eastAsia="Arial" w:hAnsi="Arial"/>
                <w:sz w:val="16"/>
                <w:szCs w:val="16"/>
                <w:color w:val="auto"/>
                <w:w w:val="80"/>
              </w:rPr>
              <w:t>5.9</w:t>
            </w:r>
          </w:p>
        </w:tc>
      </w:tr>
      <w:tr>
        <w:trPr>
          <w:trHeight w:val="24"/>
        </w:trPr>
        <w:tc>
          <w:tcPr>
            <w:tcW w:w="4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13"/>
        </w:trPr>
        <w:tc>
          <w:tcPr>
            <w:tcW w:w="48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ind w:right="165"/>
              <w:spacing w:after="0"/>
              <w:rPr>
                <w:sz w:val="20"/>
                <w:szCs w:val="20"/>
                <w:color w:val="auto"/>
              </w:rPr>
            </w:pPr>
            <w:r>
              <w:rPr>
                <w:rFonts w:ascii="Arial" w:cs="Arial" w:eastAsia="Arial" w:hAnsi="Arial"/>
                <w:sz w:val="16"/>
                <w:szCs w:val="16"/>
                <w:color w:val="auto"/>
              </w:rPr>
              <w:t>2,618.3</w:t>
            </w:r>
          </w:p>
        </w:tc>
        <w:tc>
          <w:tcPr>
            <w:tcW w:w="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CHF</w:t>
            </w:r>
          </w:p>
        </w:tc>
        <w:tc>
          <w:tcPr>
            <w:tcW w:w="12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2,941.4</w:t>
            </w:r>
          </w:p>
        </w:tc>
        <w:tc>
          <w:tcPr>
            <w:tcW w:w="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0"/>
              </w:rPr>
              <w:t>4.2</w:t>
            </w:r>
          </w:p>
        </w:tc>
      </w:tr>
      <w:tr>
        <w:trPr>
          <w:trHeight w:val="209"/>
        </w:trPr>
        <w:tc>
          <w:tcPr>
            <w:tcW w:w="4840" w:type="dxa"/>
            <w:vAlign w:val="bottom"/>
          </w:tcPr>
          <w:p>
            <w:pPr>
              <w:spacing w:after="0"/>
              <w:rPr>
                <w:sz w:val="18"/>
                <w:szCs w:val="18"/>
                <w:color w:val="auto"/>
              </w:rPr>
            </w:pP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165"/>
              <w:spacing w:after="0"/>
              <w:rPr>
                <w:sz w:val="20"/>
                <w:szCs w:val="20"/>
                <w:color w:val="auto"/>
              </w:rPr>
            </w:pPr>
            <w:r>
              <w:rPr>
                <w:rFonts w:ascii="Arial" w:cs="Arial" w:eastAsia="Arial" w:hAnsi="Arial"/>
                <w:sz w:val="16"/>
                <w:szCs w:val="16"/>
                <w:color w:val="auto"/>
              </w:rPr>
              <w:t>707.0</w:t>
            </w:r>
          </w:p>
        </w:tc>
        <w:tc>
          <w:tcPr>
            <w:tcW w:w="420" w:type="dxa"/>
            <w:vAlign w:val="bottom"/>
          </w:tcPr>
          <w:p>
            <w:pPr>
              <w:spacing w:after="0"/>
              <w:rPr>
                <w:sz w:val="20"/>
                <w:szCs w:val="20"/>
                <w:color w:val="auto"/>
              </w:rPr>
            </w:pPr>
            <w:r>
              <w:rPr>
                <w:rFonts w:ascii="Arial" w:cs="Arial" w:eastAsia="Arial" w:hAnsi="Arial"/>
                <w:sz w:val="16"/>
                <w:szCs w:val="16"/>
                <w:color w:val="auto"/>
              </w:rPr>
              <w:t>PLN</w:t>
            </w:r>
          </w:p>
        </w:tc>
        <w:tc>
          <w:tcPr>
            <w:tcW w:w="1240" w:type="dxa"/>
            <w:vAlign w:val="bottom"/>
          </w:tcPr>
          <w:p>
            <w:pPr>
              <w:jc w:val="right"/>
              <w:ind w:right="44"/>
              <w:spacing w:after="0"/>
              <w:rPr>
                <w:sz w:val="20"/>
                <w:szCs w:val="20"/>
                <w:color w:val="auto"/>
              </w:rPr>
            </w:pPr>
            <w:r>
              <w:rPr>
                <w:rFonts w:ascii="Arial" w:cs="Arial" w:eastAsia="Arial" w:hAnsi="Arial"/>
                <w:sz w:val="16"/>
                <w:szCs w:val="16"/>
                <w:color w:val="auto"/>
              </w:rPr>
              <w:t>2,999.5</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80"/>
              </w:rPr>
              <w:t>3.9</w:t>
            </w:r>
          </w:p>
        </w:tc>
      </w:tr>
      <w:tr>
        <w:trPr>
          <w:trHeight w:val="24"/>
        </w:trPr>
        <w:tc>
          <w:tcPr>
            <w:tcW w:w="4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13"/>
        </w:trPr>
        <w:tc>
          <w:tcPr>
            <w:tcW w:w="48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7"/>
              </w:rPr>
              <w:t>CHF</w:t>
            </w:r>
          </w:p>
        </w:tc>
        <w:tc>
          <w:tcPr>
            <w:tcW w:w="1940" w:type="dxa"/>
            <w:vAlign w:val="bottom"/>
            <w:tcBorders>
              <w:bottom w:val="single" w:sz="8" w:color="CCEEFF"/>
            </w:tcBorders>
            <w:shd w:val="clear" w:color="auto" w:fill="CCEEFF"/>
          </w:tcPr>
          <w:p>
            <w:pPr>
              <w:jc w:val="right"/>
              <w:ind w:right="165"/>
              <w:spacing w:after="0"/>
              <w:rPr>
                <w:sz w:val="20"/>
                <w:szCs w:val="20"/>
                <w:color w:val="auto"/>
              </w:rPr>
            </w:pPr>
            <w:r>
              <w:rPr>
                <w:rFonts w:ascii="Arial" w:cs="Arial" w:eastAsia="Arial" w:hAnsi="Arial"/>
                <w:sz w:val="16"/>
                <w:szCs w:val="16"/>
                <w:color w:val="auto"/>
              </w:rPr>
              <w:t>740.0</w:t>
            </w:r>
          </w:p>
        </w:tc>
        <w:tc>
          <w:tcPr>
            <w:tcW w:w="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701.1</w:t>
            </w:r>
          </w:p>
        </w:tc>
        <w:tc>
          <w:tcPr>
            <w:tcW w:w="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0"/>
              </w:rPr>
              <w:t>2.5</w:t>
            </w:r>
          </w:p>
        </w:tc>
      </w:tr>
      <w:tr>
        <w:trPr>
          <w:trHeight w:val="163"/>
        </w:trPr>
        <w:tc>
          <w:tcPr>
            <w:tcW w:w="4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213"/>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Telenet</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ind w:right="165"/>
              <w:spacing w:after="0"/>
              <w:rPr>
                <w:sz w:val="20"/>
                <w:szCs w:val="20"/>
                <w:color w:val="auto"/>
              </w:rPr>
            </w:pPr>
            <w:r>
              <w:rPr>
                <w:rFonts w:ascii="Arial" w:cs="Arial" w:eastAsia="Arial" w:hAnsi="Arial"/>
                <w:sz w:val="16"/>
                <w:szCs w:val="16"/>
                <w:color w:val="auto"/>
              </w:rPr>
              <w:t>3,940.0</w:t>
            </w:r>
          </w:p>
        </w:tc>
        <w:tc>
          <w:tcPr>
            <w:tcW w:w="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3,489.6</w:t>
            </w:r>
          </w:p>
        </w:tc>
        <w:tc>
          <w:tcPr>
            <w:tcW w:w="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0"/>
              </w:rPr>
              <w:t>6.6</w:t>
            </w:r>
          </w:p>
        </w:tc>
      </w:tr>
      <w:tr>
        <w:trPr>
          <w:trHeight w:val="209"/>
        </w:trPr>
        <w:tc>
          <w:tcPr>
            <w:tcW w:w="4840" w:type="dxa"/>
            <w:vAlign w:val="bottom"/>
          </w:tcPr>
          <w:p>
            <w:pPr>
              <w:spacing w:after="0"/>
              <w:rPr>
                <w:sz w:val="18"/>
                <w:szCs w:val="18"/>
                <w:color w:val="auto"/>
              </w:rPr>
            </w:pP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165"/>
              <w:spacing w:after="0"/>
              <w:rPr>
                <w:sz w:val="20"/>
                <w:szCs w:val="20"/>
                <w:color w:val="auto"/>
              </w:rPr>
            </w:pPr>
            <w:r>
              <w:rPr>
                <w:rFonts w:ascii="Arial" w:cs="Arial" w:eastAsia="Arial" w:hAnsi="Arial"/>
                <w:sz w:val="16"/>
                <w:szCs w:val="16"/>
                <w:color w:val="auto"/>
              </w:rPr>
              <w:t>45.2</w:t>
            </w:r>
          </w:p>
        </w:tc>
        <w:tc>
          <w:tcPr>
            <w:tcW w:w="420" w:type="dxa"/>
            <w:vAlign w:val="bottom"/>
          </w:tcPr>
          <w:p>
            <w:pPr>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4"/>
              <w:spacing w:after="0"/>
              <w:rPr>
                <w:sz w:val="20"/>
                <w:szCs w:val="20"/>
                <w:color w:val="auto"/>
              </w:rPr>
            </w:pPr>
            <w:r>
              <w:rPr>
                <w:rFonts w:ascii="Arial" w:cs="Arial" w:eastAsia="Arial" w:hAnsi="Arial"/>
                <w:sz w:val="16"/>
                <w:szCs w:val="16"/>
                <w:color w:val="auto"/>
              </w:rPr>
              <w:t>50.0</w:t>
            </w:r>
          </w:p>
        </w:tc>
        <w:tc>
          <w:tcPr>
            <w:tcW w:w="760" w:type="dxa"/>
            <w:vAlign w:val="bottom"/>
            <w:gridSpan w:val="2"/>
          </w:tcPr>
          <w:p>
            <w:pPr>
              <w:ind w:left="20"/>
              <w:spacing w:after="0"/>
              <w:rPr>
                <w:sz w:val="20"/>
                <w:szCs w:val="20"/>
                <w:color w:val="auto"/>
              </w:rPr>
            </w:pPr>
            <w:r>
              <w:rPr>
                <w:rFonts w:ascii="Arial" w:cs="Arial" w:eastAsia="Arial" w:hAnsi="Arial"/>
                <w:sz w:val="16"/>
                <w:szCs w:val="16"/>
                <w:color w:val="auto"/>
              </w:rPr>
              <w:t>(b)</w:t>
            </w:r>
          </w:p>
        </w:tc>
        <w:tc>
          <w:tcPr>
            <w:tcW w:w="1700" w:type="dxa"/>
            <w:vAlign w:val="bottom"/>
          </w:tcPr>
          <w:p>
            <w:pPr>
              <w:jc w:val="center"/>
              <w:spacing w:after="0"/>
              <w:rPr>
                <w:sz w:val="20"/>
                <w:szCs w:val="20"/>
                <w:color w:val="auto"/>
              </w:rPr>
            </w:pPr>
            <w:r>
              <w:rPr>
                <w:rFonts w:ascii="Arial" w:cs="Arial" w:eastAsia="Arial" w:hAnsi="Arial"/>
                <w:sz w:val="16"/>
                <w:szCs w:val="16"/>
                <w:color w:val="auto"/>
                <w:w w:val="80"/>
              </w:rPr>
              <w:t>4.6</w:t>
            </w:r>
          </w:p>
        </w:tc>
      </w:tr>
      <w:tr>
        <w:trPr>
          <w:trHeight w:val="209"/>
        </w:trPr>
        <w:tc>
          <w:tcPr>
            <w:tcW w:w="4840" w:type="dxa"/>
            <w:vAlign w:val="bottom"/>
          </w:tcPr>
          <w:p>
            <w:pPr>
              <w:spacing w:after="0"/>
              <w:rPr>
                <w:sz w:val="20"/>
                <w:szCs w:val="20"/>
                <w:color w:val="auto"/>
              </w:rPr>
            </w:pPr>
            <w:r>
              <w:rPr>
                <w:rFonts w:ascii="Arial" w:cs="Arial" w:eastAsia="Arial" w:hAnsi="Arial"/>
                <w:sz w:val="16"/>
                <w:szCs w:val="16"/>
                <w:color w:val="auto"/>
              </w:rPr>
              <w:t>_______________</w:t>
            </w:r>
          </w:p>
        </w:tc>
        <w:tc>
          <w:tcPr>
            <w:tcW w:w="3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r>
    </w:tbl>
    <w:p>
      <w:pPr>
        <w:spacing w:after="0" w:line="176" w:lineRule="exact"/>
        <w:rPr>
          <w:sz w:val="20"/>
          <w:szCs w:val="20"/>
          <w:color w:val="auto"/>
        </w:rPr>
      </w:pPr>
    </w:p>
    <w:p>
      <w:pPr>
        <w:ind w:left="427" w:right="20" w:hanging="427"/>
        <w:spacing w:after="0" w:line="258" w:lineRule="auto"/>
        <w:tabs>
          <w:tab w:leader="none" w:pos="427"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Includes certain derivative instruments that are “forward-starting,” such that the initial exchange occurs at a date subsequent to June 30, 2020. These instruments are typically entered into in order to extend existing hedges without the need to amend existing contracts.</w:t>
      </w:r>
    </w:p>
    <w:p>
      <w:pPr>
        <w:spacing w:after="0" w:line="162" w:lineRule="exact"/>
        <w:rPr>
          <w:rFonts w:ascii="Arial" w:cs="Arial" w:eastAsia="Arial" w:hAnsi="Arial"/>
          <w:sz w:val="16"/>
          <w:szCs w:val="16"/>
          <w:color w:val="auto"/>
        </w:rPr>
      </w:pPr>
    </w:p>
    <w:p>
      <w:pPr>
        <w:jc w:val="both"/>
        <w:ind w:left="427" w:hanging="427"/>
        <w:spacing w:after="0" w:line="250" w:lineRule="auto"/>
        <w:tabs>
          <w:tab w:leader="none" w:pos="427"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Includes certain derivative instruments that do not involve the exchange of notional amounts at the inception and maturity of the instruments. Accordingly, the only cash flows associated with these derivative instruments are coupon-related payments and receipts. At June 30, 2020, the total U.S. dollar equivalent of the notional amount of these derivative instruments was $50.8 million.</w:t>
      </w:r>
    </w:p>
    <w:p>
      <w:pPr>
        <w:spacing w:after="0" w:line="356"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267"/>
          </w:cols>
          <w:pgMar w:left="313" w:top="263" w:right="319" w:bottom="1440" w:gutter="0" w:footer="0" w:header="0"/>
        </w:sectPr>
      </w:pPr>
    </w:p>
    <w:bookmarkStart w:id="22" w:name="page23"/>
    <w:bookmarkEnd w:id="22"/>
    <w:p>
      <w:pPr>
        <w:jc w:val="center"/>
        <w:ind w:right="-6"/>
        <w:spacing w:after="0"/>
        <w:rPr>
          <w:sz w:val="20"/>
          <w:szCs w:val="20"/>
          <w:color w:val="auto"/>
        </w:rPr>
      </w:pPr>
      <w:r>
        <w:rPr>
          <w:rFonts w:ascii="Arial" w:cs="Arial" w:eastAsia="Arial" w:hAnsi="Arial"/>
          <w:sz w:val="16"/>
          <w:szCs w:val="16"/>
          <w:b w:val="1"/>
          <w:bCs w:val="1"/>
          <w:color w:val="auto"/>
        </w:rPr>
        <w:t>LIBERTY GLOBAL PLC</w:t>
      </w:r>
    </w:p>
    <w:p>
      <w:pPr>
        <w:spacing w:after="0" w:line="18"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Notes to Condensed Consolidated Financial Statements — (Continued)</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June 30, 2020</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ind w:left="147"/>
        <w:spacing w:after="0"/>
        <w:rPr>
          <w:sz w:val="20"/>
          <w:szCs w:val="20"/>
          <w:color w:val="auto"/>
        </w:rPr>
      </w:pPr>
      <w:r>
        <w:rPr>
          <w:rFonts w:ascii="Arial" w:cs="Arial" w:eastAsia="Arial" w:hAnsi="Arial"/>
          <w:sz w:val="16"/>
          <w:szCs w:val="16"/>
          <w:b w:val="1"/>
          <w:bCs w:val="1"/>
          <w:i w:val="1"/>
          <w:iCs w:val="1"/>
          <w:color w:val="auto"/>
        </w:rPr>
        <w:t>Interest Rate Swap Contracts</w:t>
      </w:r>
    </w:p>
    <w:p>
      <w:pPr>
        <w:spacing w:after="0" w:line="188" w:lineRule="exact"/>
        <w:rPr>
          <w:sz w:val="20"/>
          <w:szCs w:val="20"/>
          <w:color w:val="auto"/>
        </w:rPr>
      </w:pPr>
    </w:p>
    <w:p>
      <w:pPr>
        <w:ind w:left="7" w:firstLine="279"/>
        <w:spacing w:after="0" w:line="258" w:lineRule="auto"/>
        <w:rPr>
          <w:sz w:val="20"/>
          <w:szCs w:val="20"/>
          <w:color w:val="auto"/>
        </w:rPr>
      </w:pPr>
      <w:r>
        <w:rPr>
          <w:rFonts w:ascii="Arial" w:cs="Arial" w:eastAsia="Arial" w:hAnsi="Arial"/>
          <w:sz w:val="16"/>
          <w:szCs w:val="16"/>
          <w:color w:val="auto"/>
        </w:rPr>
        <w:t>The following table sets forth the total U.S. dollar equivalents of the notional amounts and the related weighted average remaining contractual lives of our interest rate swap contracts at June 30, 2020:</w:t>
      </w:r>
    </w:p>
    <w:p>
      <w:pPr>
        <w:spacing w:after="0" w:line="114" w:lineRule="exact"/>
        <w:rPr>
          <w:sz w:val="20"/>
          <w:szCs w:val="20"/>
          <w:color w:val="auto"/>
        </w:rPr>
      </w:pPr>
    </w:p>
    <w:tbl>
      <w:tblPr>
        <w:tblLayout w:type="fixed"/>
        <w:tblInd w:w="7"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Pays fixed rate</w:t>
            </w:r>
          </w:p>
        </w:tc>
        <w:tc>
          <w:tcPr>
            <w:tcW w:w="4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560" w:type="dxa"/>
            <w:vAlign w:val="bottom"/>
            <w:gridSpan w:val="3"/>
          </w:tcPr>
          <w:p>
            <w:pPr>
              <w:spacing w:after="0"/>
              <w:rPr>
                <w:sz w:val="20"/>
                <w:szCs w:val="20"/>
                <w:color w:val="auto"/>
              </w:rPr>
            </w:pPr>
            <w:r>
              <w:rPr>
                <w:rFonts w:ascii="Arial" w:cs="Arial" w:eastAsia="Arial" w:hAnsi="Arial"/>
                <w:sz w:val="14"/>
                <w:szCs w:val="14"/>
                <w:b w:val="1"/>
                <w:bCs w:val="1"/>
                <w:color w:val="auto"/>
              </w:rPr>
              <w:t>Receives fixed rate</w:t>
            </w:r>
          </w:p>
        </w:tc>
      </w:tr>
      <w:tr>
        <w:trPr>
          <w:trHeight w:val="39"/>
        </w:trPr>
        <w:tc>
          <w:tcPr>
            <w:tcW w:w="20" w:type="dxa"/>
            <w:vAlign w:val="bottom"/>
          </w:tcPr>
          <w:p>
            <w:pPr>
              <w:spacing w:after="0"/>
              <w:rPr>
                <w:sz w:val="3"/>
                <w:szCs w:val="3"/>
                <w:color w:val="auto"/>
              </w:rPr>
            </w:pPr>
          </w:p>
        </w:tc>
        <w:tc>
          <w:tcPr>
            <w:tcW w:w="304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r>
      <w:tr>
        <w:trPr>
          <w:trHeight w:val="177"/>
        </w:trPr>
        <w:tc>
          <w:tcPr>
            <w:tcW w:w="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jc w:val="center"/>
              <w:ind w:left="46"/>
              <w:spacing w:after="0"/>
              <w:rPr>
                <w:sz w:val="20"/>
                <w:szCs w:val="20"/>
                <w:color w:val="auto"/>
              </w:rPr>
            </w:pPr>
            <w:r>
              <w:rPr>
                <w:rFonts w:ascii="Arial" w:cs="Arial" w:eastAsia="Arial" w:hAnsi="Arial"/>
                <w:sz w:val="14"/>
                <w:szCs w:val="14"/>
                <w:b w:val="1"/>
                <w:bCs w:val="1"/>
                <w:color w:val="auto"/>
                <w:w w:val="89"/>
              </w:rPr>
              <w:t>Notional</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Weighted average remaining</w:t>
            </w:r>
          </w:p>
        </w:tc>
        <w:tc>
          <w:tcPr>
            <w:tcW w:w="400" w:type="dxa"/>
            <w:vAlign w:val="bottom"/>
          </w:tcPr>
          <w:p>
            <w:pPr>
              <w:spacing w:after="0"/>
              <w:rPr>
                <w:sz w:val="15"/>
                <w:szCs w:val="15"/>
                <w:color w:val="auto"/>
              </w:rPr>
            </w:pPr>
          </w:p>
        </w:tc>
        <w:tc>
          <w:tcPr>
            <w:tcW w:w="1060" w:type="dxa"/>
            <w:vAlign w:val="bottom"/>
          </w:tcPr>
          <w:p>
            <w:pPr>
              <w:jc w:val="center"/>
              <w:ind w:left="86"/>
              <w:spacing w:after="0"/>
              <w:rPr>
                <w:sz w:val="20"/>
                <w:szCs w:val="20"/>
                <w:color w:val="auto"/>
              </w:rPr>
            </w:pPr>
            <w:r>
              <w:rPr>
                <w:rFonts w:ascii="Arial" w:cs="Arial" w:eastAsia="Arial" w:hAnsi="Arial"/>
                <w:sz w:val="14"/>
                <w:szCs w:val="14"/>
                <w:b w:val="1"/>
                <w:bCs w:val="1"/>
                <w:color w:val="auto"/>
                <w:w w:val="89"/>
              </w:rPr>
              <w:t>Notional</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90"/>
              </w:rPr>
              <w:t>Weighted average remaining</w:t>
            </w:r>
          </w:p>
        </w:tc>
      </w:tr>
      <w:tr>
        <w:trPr>
          <w:trHeight w:val="182"/>
        </w:trPr>
        <w:tc>
          <w:tcPr>
            <w:tcW w:w="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jc w:val="center"/>
              <w:ind w:left="46"/>
              <w:spacing w:after="0"/>
              <w:rPr>
                <w:sz w:val="20"/>
                <w:szCs w:val="20"/>
                <w:color w:val="auto"/>
              </w:rPr>
            </w:pPr>
            <w:r>
              <w:rPr>
                <w:rFonts w:ascii="Arial" w:cs="Arial" w:eastAsia="Arial" w:hAnsi="Arial"/>
                <w:sz w:val="14"/>
                <w:szCs w:val="14"/>
                <w:b w:val="1"/>
                <w:bCs w:val="1"/>
                <w:color w:val="auto"/>
                <w:w w:val="90"/>
              </w:rPr>
              <w:t>amount</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life</w:t>
            </w:r>
          </w:p>
        </w:tc>
        <w:tc>
          <w:tcPr>
            <w:tcW w:w="400" w:type="dxa"/>
            <w:vAlign w:val="bottom"/>
          </w:tcPr>
          <w:p>
            <w:pPr>
              <w:spacing w:after="0"/>
              <w:rPr>
                <w:sz w:val="15"/>
                <w:szCs w:val="15"/>
                <w:color w:val="auto"/>
              </w:rPr>
            </w:pPr>
          </w:p>
        </w:tc>
        <w:tc>
          <w:tcPr>
            <w:tcW w:w="1060" w:type="dxa"/>
            <w:vAlign w:val="bottom"/>
          </w:tcPr>
          <w:p>
            <w:pPr>
              <w:jc w:val="center"/>
              <w:ind w:left="86"/>
              <w:spacing w:after="0"/>
              <w:rPr>
                <w:sz w:val="20"/>
                <w:szCs w:val="20"/>
                <w:color w:val="auto"/>
              </w:rPr>
            </w:pPr>
            <w:r>
              <w:rPr>
                <w:rFonts w:ascii="Arial" w:cs="Arial" w:eastAsia="Arial" w:hAnsi="Arial"/>
                <w:sz w:val="14"/>
                <w:szCs w:val="14"/>
                <w:b w:val="1"/>
                <w:bCs w:val="1"/>
                <w:color w:val="auto"/>
                <w:w w:val="90"/>
              </w:rPr>
              <w:t>amount</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98"/>
              </w:rPr>
              <w:t>life</w:t>
            </w:r>
          </w:p>
        </w:tc>
      </w:tr>
      <w:tr>
        <w:trPr>
          <w:trHeight w:val="28"/>
        </w:trPr>
        <w:tc>
          <w:tcPr>
            <w:tcW w:w="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185"/>
        </w:trPr>
        <w:tc>
          <w:tcPr>
            <w:tcW w:w="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jc w:val="center"/>
              <w:ind w:left="46"/>
              <w:spacing w:after="0"/>
              <w:rPr>
                <w:sz w:val="20"/>
                <w:szCs w:val="20"/>
                <w:color w:val="auto"/>
              </w:rPr>
            </w:pPr>
            <w:r>
              <w:rPr>
                <w:rFonts w:ascii="Arial" w:cs="Arial" w:eastAsia="Arial" w:hAnsi="Arial"/>
                <w:sz w:val="14"/>
                <w:szCs w:val="14"/>
                <w:b w:val="1"/>
                <w:bCs w:val="1"/>
                <w:color w:val="auto"/>
                <w:w w:val="89"/>
              </w:rPr>
              <w:t>in millions</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in years</w:t>
            </w:r>
          </w:p>
        </w:tc>
        <w:tc>
          <w:tcPr>
            <w:tcW w:w="400" w:type="dxa"/>
            <w:vAlign w:val="bottom"/>
          </w:tcPr>
          <w:p>
            <w:pPr>
              <w:spacing w:after="0"/>
              <w:rPr>
                <w:sz w:val="16"/>
                <w:szCs w:val="16"/>
                <w:color w:val="auto"/>
              </w:rPr>
            </w:pPr>
          </w:p>
        </w:tc>
        <w:tc>
          <w:tcPr>
            <w:tcW w:w="1060" w:type="dxa"/>
            <w:vAlign w:val="bottom"/>
          </w:tcPr>
          <w:p>
            <w:pPr>
              <w:jc w:val="center"/>
              <w:ind w:left="86"/>
              <w:spacing w:after="0"/>
              <w:rPr>
                <w:sz w:val="20"/>
                <w:szCs w:val="20"/>
                <w:color w:val="auto"/>
              </w:rPr>
            </w:pPr>
            <w:r>
              <w:rPr>
                <w:rFonts w:ascii="Arial" w:cs="Arial" w:eastAsia="Arial" w:hAnsi="Arial"/>
                <w:sz w:val="14"/>
                <w:szCs w:val="14"/>
                <w:b w:val="1"/>
                <w:bCs w:val="1"/>
                <w:color w:val="auto"/>
                <w:w w:val="89"/>
              </w:rPr>
              <w:t>in millions</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90"/>
              </w:rPr>
              <w:t>in years</w:t>
            </w:r>
          </w:p>
        </w:tc>
      </w:tr>
      <w:tr>
        <w:trPr>
          <w:trHeight w:val="133"/>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20" w:type="dxa"/>
            <w:vAlign w:val="bottom"/>
          </w:tcPr>
          <w:p>
            <w:pPr>
              <w:spacing w:after="0"/>
              <w:rPr>
                <w:sz w:val="11"/>
                <w:szCs w:val="11"/>
                <w:color w:val="auto"/>
              </w:rPr>
            </w:pPr>
          </w:p>
        </w:tc>
      </w:tr>
      <w:tr>
        <w:trPr>
          <w:trHeight w:val="213"/>
        </w:trPr>
        <w:tc>
          <w:tcPr>
            <w:tcW w:w="20" w:type="dxa"/>
            <w:vAlign w:val="bottom"/>
          </w:tcPr>
          <w:p>
            <w:pPr>
              <w:spacing w:after="0"/>
              <w:rPr>
                <w:sz w:val="18"/>
                <w:szCs w:val="18"/>
                <w:color w:val="auto"/>
              </w:rPr>
            </w:pPr>
          </w:p>
        </w:tc>
        <w:tc>
          <w:tcPr>
            <w:tcW w:w="3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UPC Holding</w:t>
            </w:r>
          </w:p>
        </w:tc>
        <w:tc>
          <w:tcPr>
            <w:tcW w:w="400" w:type="dxa"/>
            <w:vAlign w:val="bottom"/>
            <w:tcBorders>
              <w:bottom w:val="single" w:sz="8" w:color="CCEEFF"/>
            </w:tcBorders>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10,323.0</w:t>
            </w:r>
          </w:p>
        </w:tc>
        <w:tc>
          <w:tcPr>
            <w:tcW w:w="6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(a)</w:t>
            </w:r>
          </w:p>
        </w:tc>
        <w:tc>
          <w:tcPr>
            <w:tcW w:w="1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4.0</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4,617.6</w:t>
            </w:r>
          </w:p>
        </w:tc>
        <w:tc>
          <w:tcPr>
            <w:tcW w:w="2560" w:type="dxa"/>
            <w:vAlign w:val="bottom"/>
            <w:tcBorders>
              <w:bottom w:val="single" w:sz="8" w:color="CCEEFF"/>
            </w:tcBorders>
            <w:gridSpan w:val="3"/>
            <w:shd w:val="clear" w:color="auto" w:fill="CCEEFF"/>
          </w:tcPr>
          <w:p>
            <w:pPr>
              <w:jc w:val="center"/>
              <w:ind w:left="565"/>
              <w:spacing w:after="0"/>
              <w:rPr>
                <w:sz w:val="20"/>
                <w:szCs w:val="20"/>
                <w:color w:val="auto"/>
              </w:rPr>
            </w:pPr>
            <w:r>
              <w:rPr>
                <w:rFonts w:ascii="Arial" w:cs="Arial" w:eastAsia="Arial" w:hAnsi="Arial"/>
                <w:sz w:val="16"/>
                <w:szCs w:val="16"/>
                <w:color w:val="auto"/>
                <w:w w:val="89"/>
              </w:rPr>
              <w:t>5.4</w:t>
            </w:r>
          </w:p>
        </w:tc>
      </w:tr>
      <w:tr>
        <w:trPr>
          <w:trHeight w:val="163"/>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213"/>
        </w:trPr>
        <w:tc>
          <w:tcPr>
            <w:tcW w:w="20" w:type="dxa"/>
            <w:vAlign w:val="bottom"/>
          </w:tcPr>
          <w:p>
            <w:pPr>
              <w:spacing w:after="0"/>
              <w:rPr>
                <w:sz w:val="18"/>
                <w:szCs w:val="18"/>
                <w:color w:val="auto"/>
              </w:rPr>
            </w:pPr>
          </w:p>
        </w:tc>
        <w:tc>
          <w:tcPr>
            <w:tcW w:w="3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Telenet</w:t>
            </w:r>
          </w:p>
        </w:tc>
        <w:tc>
          <w:tcPr>
            <w:tcW w:w="400" w:type="dxa"/>
            <w:vAlign w:val="bottom"/>
            <w:tcBorders>
              <w:bottom w:val="single" w:sz="8" w:color="CCEEFF"/>
            </w:tcBorders>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3,243.4</w:t>
            </w:r>
          </w:p>
        </w:tc>
        <w:tc>
          <w:tcPr>
            <w:tcW w:w="6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(a)</w:t>
            </w:r>
          </w:p>
        </w:tc>
        <w:tc>
          <w:tcPr>
            <w:tcW w:w="1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4.7</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1,604.5</w:t>
            </w:r>
          </w:p>
        </w:tc>
        <w:tc>
          <w:tcPr>
            <w:tcW w:w="2560" w:type="dxa"/>
            <w:vAlign w:val="bottom"/>
            <w:tcBorders>
              <w:bottom w:val="single" w:sz="8" w:color="CCEEFF"/>
            </w:tcBorders>
            <w:gridSpan w:val="3"/>
            <w:shd w:val="clear" w:color="auto" w:fill="CCEEFF"/>
          </w:tcPr>
          <w:p>
            <w:pPr>
              <w:jc w:val="center"/>
              <w:ind w:left="565"/>
              <w:spacing w:after="0"/>
              <w:rPr>
                <w:sz w:val="20"/>
                <w:szCs w:val="20"/>
                <w:color w:val="auto"/>
              </w:rPr>
            </w:pPr>
            <w:r>
              <w:rPr>
                <w:rFonts w:ascii="Arial" w:cs="Arial" w:eastAsia="Arial" w:hAnsi="Arial"/>
                <w:sz w:val="16"/>
                <w:szCs w:val="16"/>
                <w:color w:val="auto"/>
                <w:w w:val="89"/>
              </w:rPr>
              <w:t>3.2</w:t>
            </w:r>
          </w:p>
        </w:tc>
      </w:tr>
      <w:tr>
        <w:trPr>
          <w:trHeight w:val="163"/>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213"/>
        </w:trPr>
        <w:tc>
          <w:tcPr>
            <w:tcW w:w="20" w:type="dxa"/>
            <w:vAlign w:val="bottom"/>
          </w:tcPr>
          <w:p>
            <w:pPr>
              <w:spacing w:after="0"/>
              <w:rPr>
                <w:sz w:val="18"/>
                <w:szCs w:val="18"/>
                <w:color w:val="auto"/>
              </w:rPr>
            </w:pPr>
          </w:p>
        </w:tc>
        <w:tc>
          <w:tcPr>
            <w:tcW w:w="3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w:t>
            </w:r>
          </w:p>
        </w:tc>
        <w:tc>
          <w:tcPr>
            <w:tcW w:w="400" w:type="dxa"/>
            <w:vAlign w:val="bottom"/>
            <w:tcBorders>
              <w:bottom w:val="single" w:sz="8" w:color="CCEEFF"/>
            </w:tcBorders>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94.7</w:t>
            </w:r>
          </w:p>
        </w:tc>
        <w:tc>
          <w:tcPr>
            <w:tcW w:w="5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3.5</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r>
      <w:tr>
        <w:trPr>
          <w:trHeight w:val="196"/>
        </w:trPr>
        <w:tc>
          <w:tcPr>
            <w:tcW w:w="20" w:type="dxa"/>
            <w:vAlign w:val="bottom"/>
          </w:tcPr>
          <w:p>
            <w:pPr>
              <w:spacing w:after="0"/>
              <w:rPr>
                <w:sz w:val="17"/>
                <w:szCs w:val="17"/>
                <w:color w:val="auto"/>
              </w:rPr>
            </w:pPr>
          </w:p>
        </w:tc>
        <w:tc>
          <w:tcPr>
            <w:tcW w:w="3040" w:type="dxa"/>
            <w:vAlign w:val="bottom"/>
          </w:tcPr>
          <w:p>
            <w:pPr>
              <w:spacing w:after="0"/>
              <w:rPr>
                <w:sz w:val="20"/>
                <w:szCs w:val="20"/>
                <w:color w:val="auto"/>
              </w:rPr>
            </w:pPr>
            <w:r>
              <w:rPr>
                <w:rFonts w:ascii="Arial" w:cs="Arial" w:eastAsia="Arial" w:hAnsi="Arial"/>
                <w:sz w:val="16"/>
                <w:szCs w:val="16"/>
                <w:color w:val="auto"/>
              </w:rPr>
              <w:t>_______________</w:t>
            </w: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r>
    </w:tbl>
    <w:p>
      <w:pPr>
        <w:spacing w:after="0" w:line="166" w:lineRule="exact"/>
        <w:rPr>
          <w:sz w:val="20"/>
          <w:szCs w:val="20"/>
          <w:color w:val="auto"/>
        </w:rPr>
      </w:pPr>
    </w:p>
    <w:p>
      <w:pPr>
        <w:ind w:left="427" w:hanging="427"/>
        <w:spacing w:after="0"/>
        <w:tabs>
          <w:tab w:leader="none" w:pos="427"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Includes forward-starting derivative instruments.</w:t>
      </w:r>
    </w:p>
    <w:p>
      <w:pPr>
        <w:spacing w:after="0" w:line="188" w:lineRule="exact"/>
        <w:rPr>
          <w:sz w:val="20"/>
          <w:szCs w:val="20"/>
          <w:color w:val="auto"/>
        </w:rPr>
      </w:pPr>
    </w:p>
    <w:p>
      <w:pPr>
        <w:ind w:left="147"/>
        <w:spacing w:after="0"/>
        <w:rPr>
          <w:sz w:val="20"/>
          <w:szCs w:val="20"/>
          <w:color w:val="auto"/>
        </w:rPr>
      </w:pPr>
      <w:r>
        <w:rPr>
          <w:rFonts w:ascii="Arial" w:cs="Arial" w:eastAsia="Arial" w:hAnsi="Arial"/>
          <w:sz w:val="16"/>
          <w:szCs w:val="16"/>
          <w:b w:val="1"/>
          <w:bCs w:val="1"/>
          <w:i w:val="1"/>
          <w:iCs w:val="1"/>
          <w:color w:val="auto"/>
        </w:rPr>
        <w:t>Interest Rate Swap Options</w:t>
      </w:r>
    </w:p>
    <w:p>
      <w:pPr>
        <w:spacing w:after="0" w:line="182" w:lineRule="exact"/>
        <w:rPr>
          <w:sz w:val="20"/>
          <w:szCs w:val="20"/>
          <w:color w:val="auto"/>
        </w:rPr>
      </w:pPr>
    </w:p>
    <w:p>
      <w:pPr>
        <w:jc w:val="both"/>
        <w:ind w:left="7" w:right="20" w:firstLine="209"/>
        <w:spacing w:after="0" w:line="338" w:lineRule="auto"/>
        <w:rPr>
          <w:sz w:val="20"/>
          <w:szCs w:val="20"/>
          <w:color w:val="auto"/>
        </w:rPr>
      </w:pPr>
      <w:r>
        <w:rPr>
          <w:rFonts w:ascii="Arial" w:cs="Arial" w:eastAsia="Arial" w:hAnsi="Arial"/>
          <w:sz w:val="14"/>
          <w:szCs w:val="14"/>
          <w:color w:val="auto"/>
        </w:rPr>
        <w:t>From time to time, we enter into interest rate swap options (</w:t>
      </w:r>
      <w:r>
        <w:rPr>
          <w:rFonts w:ascii="Arial" w:cs="Arial" w:eastAsia="Arial" w:hAnsi="Arial"/>
          <w:sz w:val="14"/>
          <w:szCs w:val="14"/>
          <w:b w:val="1"/>
          <w:bCs w:val="1"/>
          <w:color w:val="auto"/>
        </w:rPr>
        <w:t>swaptions</w:t>
      </w:r>
      <w:r>
        <w:rPr>
          <w:rFonts w:ascii="Arial" w:cs="Arial" w:eastAsia="Arial" w:hAnsi="Arial"/>
          <w:sz w:val="14"/>
          <w:szCs w:val="14"/>
          <w:color w:val="auto"/>
        </w:rPr>
        <w:t>), which give us the right, but not the obligation, to enter into certain interest rate swap contracts at set dates in the future. Such contracts typically have a life of no more than three years. At June 30, 2020, the option expiration period on each of our swaptions had expired.</w:t>
      </w:r>
    </w:p>
    <w:p>
      <w:pPr>
        <w:spacing w:after="0" w:line="111" w:lineRule="exact"/>
        <w:rPr>
          <w:sz w:val="20"/>
          <w:szCs w:val="20"/>
          <w:color w:val="auto"/>
        </w:rPr>
      </w:pPr>
    </w:p>
    <w:p>
      <w:pPr>
        <w:ind w:left="147"/>
        <w:spacing w:after="0"/>
        <w:rPr>
          <w:sz w:val="20"/>
          <w:szCs w:val="20"/>
          <w:color w:val="auto"/>
        </w:rPr>
      </w:pPr>
      <w:r>
        <w:rPr>
          <w:rFonts w:ascii="Arial" w:cs="Arial" w:eastAsia="Arial" w:hAnsi="Arial"/>
          <w:sz w:val="16"/>
          <w:szCs w:val="16"/>
          <w:b w:val="1"/>
          <w:bCs w:val="1"/>
          <w:i w:val="1"/>
          <w:iCs w:val="1"/>
          <w:color w:val="auto"/>
        </w:rPr>
        <w:t>Basis Swaps</w:t>
      </w:r>
    </w:p>
    <w:p>
      <w:pPr>
        <w:spacing w:after="0" w:line="188" w:lineRule="exact"/>
        <w:rPr>
          <w:sz w:val="20"/>
          <w:szCs w:val="20"/>
          <w:color w:val="auto"/>
        </w:rPr>
      </w:pPr>
    </w:p>
    <w:p>
      <w:pPr>
        <w:jc w:val="both"/>
        <w:ind w:left="7" w:firstLine="279"/>
        <w:spacing w:after="0" w:line="248" w:lineRule="auto"/>
        <w:rPr>
          <w:sz w:val="20"/>
          <w:szCs w:val="20"/>
          <w:color w:val="auto"/>
        </w:rPr>
      </w:pPr>
      <w:r>
        <w:rPr>
          <w:rFonts w:ascii="Arial" w:cs="Arial" w:eastAsia="Arial" w:hAnsi="Arial"/>
          <w:sz w:val="16"/>
          <w:szCs w:val="16"/>
          <w:color w:val="auto"/>
        </w:rPr>
        <w:t>Our basis swaps involve the exchange of attributes used to calculate our floating interest rates, including (i) the benchmark rate, (ii) the underlying currency and/or (iii) the borrowing period. We typically enter into these swaps to optimize our interest rate profile based on our current evaluations of yield curves, our risk management policies and other factors. The following table sets forth the total U.S. dollar equivalents of the notional amounts and related weighted average remaining contractual lives of our basis swap contracts at June 30, 2020:</w:t>
      </w:r>
    </w:p>
    <w:p>
      <w:pPr>
        <w:spacing w:after="0" w:line="122"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7880" w:type="dxa"/>
            <w:vAlign w:val="bottom"/>
          </w:tcPr>
          <w:p>
            <w:pPr>
              <w:spacing w:after="0"/>
              <w:rPr>
                <w:sz w:val="15"/>
                <w:szCs w:val="15"/>
                <w:color w:val="auto"/>
              </w:rPr>
            </w:pPr>
          </w:p>
        </w:tc>
        <w:tc>
          <w:tcPr>
            <w:tcW w:w="18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Notional amount due from</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 average</w:t>
            </w:r>
          </w:p>
        </w:tc>
      </w:tr>
      <w:tr>
        <w:trPr>
          <w:trHeight w:val="182"/>
        </w:trPr>
        <w:tc>
          <w:tcPr>
            <w:tcW w:w="7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counterparty</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0"/>
              </w:rPr>
              <w:t>remaining life</w:t>
            </w:r>
          </w:p>
        </w:tc>
      </w:tr>
      <w:tr>
        <w:trPr>
          <w:trHeight w:val="28"/>
        </w:trPr>
        <w:tc>
          <w:tcPr>
            <w:tcW w:w="78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85"/>
        </w:trPr>
        <w:tc>
          <w:tcPr>
            <w:tcW w:w="7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in millions</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6"/>
              </w:rPr>
              <w:t>in years</w:t>
            </w:r>
          </w:p>
        </w:tc>
      </w:tr>
      <w:tr>
        <w:trPr>
          <w:trHeight w:val="237"/>
        </w:trPr>
        <w:tc>
          <w:tcPr>
            <w:tcW w:w="7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13"/>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UPC Holding</w:t>
            </w:r>
          </w:p>
        </w:tc>
        <w:tc>
          <w:tcPr>
            <w:tcW w:w="280" w:type="dxa"/>
            <w:vAlign w:val="bottom"/>
            <w:tcBorders>
              <w:bottom w:val="single" w:sz="8" w:color="CCEEFF"/>
            </w:tcBorders>
            <w:shd w:val="clear" w:color="auto" w:fill="CCEEFF"/>
          </w:tcPr>
          <w:p>
            <w:pPr>
              <w:jc w:val="right"/>
              <w:ind w:right="104"/>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6"/>
                <w:szCs w:val="16"/>
                <w:color w:val="auto"/>
              </w:rPr>
              <w:t>700.0</w:t>
            </w:r>
          </w:p>
        </w:tc>
        <w:tc>
          <w:tcPr>
            <w:tcW w:w="10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0"/>
              </w:rPr>
              <w:t>0.5</w:t>
            </w:r>
          </w:p>
        </w:tc>
      </w:tr>
      <w:tr>
        <w:trPr>
          <w:trHeight w:val="140"/>
        </w:trPr>
        <w:tc>
          <w:tcPr>
            <w:tcW w:w="7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r>
      <w:tr>
        <w:trPr>
          <w:trHeight w:val="213"/>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Telenet</w:t>
            </w:r>
          </w:p>
        </w:tc>
        <w:tc>
          <w:tcPr>
            <w:tcW w:w="280" w:type="dxa"/>
            <w:vAlign w:val="bottom"/>
            <w:tcBorders>
              <w:bottom w:val="single" w:sz="8" w:color="CCEEFF"/>
            </w:tcBorders>
            <w:shd w:val="clear" w:color="auto" w:fill="CCEEFF"/>
          </w:tcPr>
          <w:p>
            <w:pPr>
              <w:jc w:val="right"/>
              <w:ind w:right="104"/>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6"/>
                <w:szCs w:val="16"/>
                <w:color w:val="auto"/>
              </w:rPr>
              <w:t>2,295.0</w:t>
            </w:r>
          </w:p>
        </w:tc>
        <w:tc>
          <w:tcPr>
            <w:tcW w:w="10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0"/>
              </w:rPr>
              <w:t>0.5</w:t>
            </w:r>
          </w:p>
        </w:tc>
      </w:tr>
      <w:tr>
        <w:trPr>
          <w:trHeight w:val="140"/>
        </w:trPr>
        <w:tc>
          <w:tcPr>
            <w:tcW w:w="7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r>
      <w:tr>
        <w:trPr>
          <w:trHeight w:val="209"/>
        </w:trPr>
        <w:tc>
          <w:tcPr>
            <w:tcW w:w="7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94.7</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0"/>
              </w:rPr>
              <w:t>0.5</w:t>
            </w:r>
          </w:p>
        </w:tc>
      </w:tr>
      <w:tr>
        <w:trPr>
          <w:trHeight w:val="24"/>
        </w:trPr>
        <w:tc>
          <w:tcPr>
            <w:tcW w:w="78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176" w:lineRule="exact"/>
        <w:rPr>
          <w:sz w:val="20"/>
          <w:szCs w:val="20"/>
          <w:color w:val="auto"/>
        </w:rPr>
      </w:pPr>
    </w:p>
    <w:p>
      <w:pPr>
        <w:ind w:left="147"/>
        <w:spacing w:after="0"/>
        <w:rPr>
          <w:sz w:val="20"/>
          <w:szCs w:val="20"/>
          <w:color w:val="auto"/>
        </w:rPr>
      </w:pPr>
      <w:r>
        <w:rPr>
          <w:rFonts w:ascii="Arial" w:cs="Arial" w:eastAsia="Arial" w:hAnsi="Arial"/>
          <w:sz w:val="16"/>
          <w:szCs w:val="16"/>
          <w:b w:val="1"/>
          <w:bCs w:val="1"/>
          <w:i w:val="1"/>
          <w:iCs w:val="1"/>
          <w:color w:val="auto"/>
        </w:rPr>
        <w:t>Interest Rate Caps, Floors and Collars</w:t>
      </w:r>
    </w:p>
    <w:p>
      <w:pPr>
        <w:spacing w:after="0" w:line="188" w:lineRule="exact"/>
        <w:rPr>
          <w:sz w:val="20"/>
          <w:szCs w:val="20"/>
          <w:color w:val="auto"/>
        </w:rPr>
      </w:pPr>
    </w:p>
    <w:p>
      <w:pPr>
        <w:jc w:val="both"/>
        <w:ind w:left="7" w:firstLine="279"/>
        <w:spacing w:after="0" w:line="294" w:lineRule="auto"/>
        <w:rPr>
          <w:sz w:val="20"/>
          <w:szCs w:val="20"/>
          <w:color w:val="auto"/>
        </w:rPr>
      </w:pPr>
      <w:r>
        <w:rPr>
          <w:rFonts w:ascii="Arial" w:cs="Arial" w:eastAsia="Arial" w:hAnsi="Arial"/>
          <w:sz w:val="14"/>
          <w:szCs w:val="14"/>
          <w:color w:val="auto"/>
        </w:rPr>
        <w:t>From time to time, we enter into interest rate cap, floor and collar agreements. Purchased interest rate caps and collars lock in a maximum interest rate if variable rates rise, but also allow our company to benefit, to a limited extent in the case of collars, from declines in market rates. Purchased interest rate floors protect us from interest rates falling below a certain level, generally to match a floating rate floor on a debt instrument. At June 30, 2020, we had no interest rate collar agreements, and the total U.S. dollar equivalents of the notional amounts of our purchased interest rate caps and floors were $449.8 million and $1,248.1 million, respectively.</w:t>
      </w:r>
    </w:p>
    <w:p>
      <w:pPr>
        <w:spacing w:after="0" w:line="328"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267"/>
          </w:cols>
          <w:pgMar w:left="313" w:top="263" w:right="319" w:bottom="1440" w:gutter="0" w:footer="0" w:header="0"/>
        </w:sectPr>
      </w:pPr>
    </w:p>
    <w:bookmarkStart w:id="23" w:name="page24"/>
    <w:bookmarkEnd w:id="23"/>
    <w:p>
      <w:pPr>
        <w:jc w:val="center"/>
        <w:ind w:right="-6"/>
        <w:spacing w:after="0"/>
        <w:rPr>
          <w:sz w:val="20"/>
          <w:szCs w:val="20"/>
          <w:color w:val="auto"/>
        </w:rPr>
      </w:pPr>
      <w:r>
        <w:rPr>
          <w:rFonts w:ascii="Arial" w:cs="Arial" w:eastAsia="Arial" w:hAnsi="Arial"/>
          <w:sz w:val="16"/>
          <w:szCs w:val="16"/>
          <w:b w:val="1"/>
          <w:bCs w:val="1"/>
          <w:color w:val="auto"/>
        </w:rPr>
        <w:t>LIBERTY GLOBAL PLC</w:t>
      </w:r>
    </w:p>
    <w:p>
      <w:pPr>
        <w:spacing w:after="0" w:line="18"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Notes to Condensed Consolidated Financial Statements — (Continued)</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June 30, 2020</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ind w:left="147"/>
        <w:spacing w:after="0"/>
        <w:rPr>
          <w:sz w:val="20"/>
          <w:szCs w:val="20"/>
          <w:color w:val="auto"/>
        </w:rPr>
      </w:pPr>
      <w:r>
        <w:rPr>
          <w:rFonts w:ascii="Arial" w:cs="Arial" w:eastAsia="Arial" w:hAnsi="Arial"/>
          <w:sz w:val="16"/>
          <w:szCs w:val="16"/>
          <w:b w:val="1"/>
          <w:bCs w:val="1"/>
          <w:i w:val="1"/>
          <w:iCs w:val="1"/>
          <w:color w:val="auto"/>
        </w:rPr>
        <w:t>Impact of Derivative Instruments on Borrowing Costs</w:t>
      </w:r>
    </w:p>
    <w:p>
      <w:pPr>
        <w:spacing w:after="0" w:line="188" w:lineRule="exact"/>
        <w:rPr>
          <w:sz w:val="20"/>
          <w:szCs w:val="20"/>
          <w:color w:val="auto"/>
        </w:rPr>
      </w:pPr>
    </w:p>
    <w:p>
      <w:pPr>
        <w:ind w:left="287"/>
        <w:spacing w:after="0"/>
        <w:rPr>
          <w:sz w:val="20"/>
          <w:szCs w:val="20"/>
          <w:color w:val="auto"/>
        </w:rPr>
      </w:pPr>
      <w:r>
        <w:rPr>
          <w:rFonts w:ascii="Arial" w:cs="Arial" w:eastAsia="Arial" w:hAnsi="Arial"/>
          <w:sz w:val="16"/>
          <w:szCs w:val="16"/>
          <w:color w:val="auto"/>
        </w:rPr>
        <w:t>The impact of the derivative instruments that mitigate our foreign currency and interest rate risk, as described above, on our borrowing costs is as follows:</w:t>
      </w:r>
    </w:p>
    <w:p>
      <w:pPr>
        <w:spacing w:after="0" w:line="140"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9520" w:type="dxa"/>
            <w:vAlign w:val="bottom"/>
          </w:tcPr>
          <w:p>
            <w:pPr>
              <w:spacing w:after="0"/>
              <w:rPr>
                <w:sz w:val="15"/>
                <w:szCs w:val="15"/>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89"/>
              </w:rPr>
              <w:t>Increase to</w:t>
            </w:r>
          </w:p>
        </w:tc>
      </w:tr>
      <w:tr>
        <w:trPr>
          <w:trHeight w:val="175"/>
        </w:trPr>
        <w:tc>
          <w:tcPr>
            <w:tcW w:w="9520" w:type="dxa"/>
            <w:vAlign w:val="bottom"/>
          </w:tcPr>
          <w:p>
            <w:pPr>
              <w:spacing w:after="0"/>
              <w:rPr>
                <w:sz w:val="15"/>
                <w:szCs w:val="15"/>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87"/>
              </w:rPr>
              <w:t>borrowing costs at</w:t>
            </w:r>
          </w:p>
        </w:tc>
      </w:tr>
      <w:tr>
        <w:trPr>
          <w:trHeight w:val="182"/>
        </w:trPr>
        <w:tc>
          <w:tcPr>
            <w:tcW w:w="9520" w:type="dxa"/>
            <w:vAlign w:val="bottom"/>
          </w:tcPr>
          <w:p>
            <w:pPr>
              <w:spacing w:after="0"/>
              <w:rPr>
                <w:sz w:val="15"/>
                <w:szCs w:val="15"/>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0"/>
              </w:rPr>
              <w:t>June 30, 2020 (a)</w:t>
            </w:r>
          </w:p>
        </w:tc>
      </w:tr>
      <w:tr>
        <w:trPr>
          <w:trHeight w:val="28"/>
        </w:trPr>
        <w:tc>
          <w:tcPr>
            <w:tcW w:w="952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24"/>
        </w:trPr>
        <w:tc>
          <w:tcPr>
            <w:tcW w:w="95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13"/>
        </w:trPr>
        <w:tc>
          <w:tcPr>
            <w:tcW w:w="9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UPC Holding</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0.25%</w:t>
            </w:r>
          </w:p>
        </w:tc>
      </w:tr>
      <w:tr>
        <w:trPr>
          <w:trHeight w:val="209"/>
        </w:trPr>
        <w:tc>
          <w:tcPr>
            <w:tcW w:w="9520" w:type="dxa"/>
            <w:vAlign w:val="bottom"/>
          </w:tcPr>
          <w:p>
            <w:pPr>
              <w:ind w:left="20"/>
              <w:spacing w:after="0"/>
              <w:rPr>
                <w:sz w:val="20"/>
                <w:szCs w:val="20"/>
                <w:color w:val="auto"/>
              </w:rPr>
            </w:pPr>
            <w:r>
              <w:rPr>
                <w:rFonts w:ascii="Arial" w:cs="Arial" w:eastAsia="Arial" w:hAnsi="Arial"/>
                <w:sz w:val="16"/>
                <w:szCs w:val="16"/>
                <w:color w:val="auto"/>
              </w:rPr>
              <w:t>Telenet</w:t>
            </w:r>
          </w:p>
        </w:tc>
        <w:tc>
          <w:tcPr>
            <w:tcW w:w="1740" w:type="dxa"/>
            <w:vAlign w:val="bottom"/>
          </w:tcPr>
          <w:p>
            <w:pPr>
              <w:jc w:val="right"/>
              <w:spacing w:after="0"/>
              <w:rPr>
                <w:sz w:val="20"/>
                <w:szCs w:val="20"/>
                <w:color w:val="auto"/>
              </w:rPr>
            </w:pPr>
            <w:r>
              <w:rPr>
                <w:rFonts w:ascii="Arial" w:cs="Arial" w:eastAsia="Arial" w:hAnsi="Arial"/>
                <w:sz w:val="16"/>
                <w:szCs w:val="16"/>
                <w:color w:val="auto"/>
              </w:rPr>
              <w:t>0.26%</w:t>
            </w:r>
          </w:p>
        </w:tc>
      </w:tr>
      <w:tr>
        <w:trPr>
          <w:trHeight w:val="24"/>
        </w:trPr>
        <w:tc>
          <w:tcPr>
            <w:tcW w:w="95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151"/>
        </w:trPr>
        <w:tc>
          <w:tcPr>
            <w:tcW w:w="952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r>
      <w:tr>
        <w:trPr>
          <w:trHeight w:val="209"/>
        </w:trPr>
        <w:tc>
          <w:tcPr>
            <w:tcW w:w="9520" w:type="dxa"/>
            <w:vAlign w:val="bottom"/>
          </w:tcPr>
          <w:p>
            <w:pPr>
              <w:ind w:left="20"/>
              <w:spacing w:after="0"/>
              <w:rPr>
                <w:sz w:val="20"/>
                <w:szCs w:val="20"/>
                <w:color w:val="auto"/>
              </w:rPr>
            </w:pPr>
            <w:r>
              <w:rPr>
                <w:rFonts w:ascii="Arial" w:cs="Arial" w:eastAsia="Arial" w:hAnsi="Arial"/>
                <w:sz w:val="16"/>
                <w:szCs w:val="16"/>
                <w:color w:val="auto"/>
              </w:rPr>
              <w:t>Total increase to borrowing costs</w:t>
            </w:r>
          </w:p>
        </w:tc>
        <w:tc>
          <w:tcPr>
            <w:tcW w:w="1740" w:type="dxa"/>
            <w:vAlign w:val="bottom"/>
          </w:tcPr>
          <w:p>
            <w:pPr>
              <w:jc w:val="right"/>
              <w:spacing w:after="0"/>
              <w:rPr>
                <w:sz w:val="20"/>
                <w:szCs w:val="20"/>
                <w:color w:val="auto"/>
              </w:rPr>
            </w:pPr>
            <w:r>
              <w:rPr>
                <w:rFonts w:ascii="Arial" w:cs="Arial" w:eastAsia="Arial" w:hAnsi="Arial"/>
                <w:sz w:val="16"/>
                <w:szCs w:val="16"/>
                <w:color w:val="auto"/>
              </w:rPr>
              <w:t>0.23%</w:t>
            </w:r>
          </w:p>
        </w:tc>
      </w:tr>
      <w:tr>
        <w:trPr>
          <w:trHeight w:val="209"/>
        </w:trPr>
        <w:tc>
          <w:tcPr>
            <w:tcW w:w="9520" w:type="dxa"/>
            <w:vAlign w:val="bottom"/>
          </w:tcPr>
          <w:p>
            <w:pPr>
              <w:spacing w:after="0"/>
              <w:rPr>
                <w:sz w:val="20"/>
                <w:szCs w:val="20"/>
                <w:color w:val="auto"/>
              </w:rPr>
            </w:pPr>
            <w:r>
              <w:rPr>
                <w:rFonts w:ascii="Arial" w:cs="Arial" w:eastAsia="Arial" w:hAnsi="Arial"/>
                <w:sz w:val="16"/>
                <w:szCs w:val="16"/>
                <w:color w:val="auto"/>
              </w:rPr>
              <w:t>_______________</w:t>
            </w:r>
          </w:p>
        </w:tc>
        <w:tc>
          <w:tcPr>
            <w:tcW w:w="1740" w:type="dxa"/>
            <w:vAlign w:val="bottom"/>
          </w:tcPr>
          <w:p>
            <w:pPr>
              <w:spacing w:after="0"/>
              <w:rPr>
                <w:sz w:val="18"/>
                <w:szCs w:val="18"/>
                <w:color w:val="auto"/>
              </w:rPr>
            </w:pPr>
          </w:p>
        </w:tc>
      </w:tr>
    </w:tbl>
    <w:p>
      <w:pPr>
        <w:spacing w:after="0" w:line="176" w:lineRule="exact"/>
        <w:rPr>
          <w:sz w:val="20"/>
          <w:szCs w:val="20"/>
          <w:color w:val="auto"/>
        </w:rPr>
      </w:pPr>
    </w:p>
    <w:p>
      <w:pPr>
        <w:ind w:left="427" w:hanging="427"/>
        <w:spacing w:after="0"/>
        <w:tabs>
          <w:tab w:leader="none" w:pos="427"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Represents the effect of derivative instruments in effect at June 30, 2020 and does not include forward-starting derivative instruments or swaptions.</w:t>
      </w:r>
    </w:p>
    <w:p>
      <w:pPr>
        <w:spacing w:after="0" w:line="188" w:lineRule="exact"/>
        <w:rPr>
          <w:sz w:val="20"/>
          <w:szCs w:val="20"/>
          <w:color w:val="auto"/>
        </w:rPr>
      </w:pPr>
    </w:p>
    <w:p>
      <w:pPr>
        <w:ind w:left="147"/>
        <w:spacing w:after="0"/>
        <w:rPr>
          <w:sz w:val="20"/>
          <w:szCs w:val="20"/>
          <w:color w:val="auto"/>
        </w:rPr>
      </w:pPr>
      <w:r>
        <w:rPr>
          <w:rFonts w:ascii="Arial" w:cs="Arial" w:eastAsia="Arial" w:hAnsi="Arial"/>
          <w:sz w:val="16"/>
          <w:szCs w:val="16"/>
          <w:b w:val="1"/>
          <w:bCs w:val="1"/>
          <w:i w:val="1"/>
          <w:iCs w:val="1"/>
          <w:color w:val="auto"/>
        </w:rPr>
        <w:t>Foreign Currency Forwards and Options</w:t>
      </w:r>
    </w:p>
    <w:p>
      <w:pPr>
        <w:spacing w:after="0" w:line="188" w:lineRule="exact"/>
        <w:rPr>
          <w:sz w:val="20"/>
          <w:szCs w:val="20"/>
          <w:color w:val="auto"/>
        </w:rPr>
      </w:pPr>
    </w:p>
    <w:p>
      <w:pPr>
        <w:ind w:left="7" w:firstLine="279"/>
        <w:spacing w:after="0" w:line="258" w:lineRule="auto"/>
        <w:rPr>
          <w:sz w:val="20"/>
          <w:szCs w:val="20"/>
          <w:color w:val="auto"/>
        </w:rPr>
      </w:pPr>
      <w:r>
        <w:rPr>
          <w:rFonts w:ascii="Arial" w:cs="Arial" w:eastAsia="Arial" w:hAnsi="Arial"/>
          <w:sz w:val="16"/>
          <w:szCs w:val="16"/>
          <w:color w:val="auto"/>
        </w:rPr>
        <w:t>Certain of our subsidiaries enter into foreign currency forward and option contracts with respect to non-functional currency exposure. As of June 30, 2020, the total U.S. dollar equivalent of the notional amounts of our foreign currency forward and option contracts was $336.0 million.</w:t>
      </w:r>
    </w:p>
    <w:p>
      <w:pPr>
        <w:spacing w:after="0" w:line="157" w:lineRule="exact"/>
        <w:rPr>
          <w:sz w:val="20"/>
          <w:szCs w:val="20"/>
          <w:color w:val="auto"/>
        </w:rPr>
      </w:pPr>
    </w:p>
    <w:p>
      <w:pPr>
        <w:ind w:left="327" w:hanging="327"/>
        <w:spacing w:after="0"/>
        <w:tabs>
          <w:tab w:leader="none" w:pos="327" w:val="left"/>
        </w:tabs>
        <w:numPr>
          <w:ilvl w:val="0"/>
          <w:numId w:val="1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Fair Value Measurements</w:t>
      </w:r>
    </w:p>
    <w:p>
      <w:pPr>
        <w:spacing w:after="0" w:line="194" w:lineRule="exact"/>
        <w:rPr>
          <w:sz w:val="20"/>
          <w:szCs w:val="20"/>
          <w:color w:val="auto"/>
        </w:rPr>
      </w:pPr>
    </w:p>
    <w:p>
      <w:pPr>
        <w:jc w:val="both"/>
        <w:ind w:left="7" w:firstLine="279"/>
        <w:spacing w:after="0" w:line="250" w:lineRule="auto"/>
        <w:rPr>
          <w:sz w:val="20"/>
          <w:szCs w:val="20"/>
          <w:color w:val="auto"/>
        </w:rPr>
      </w:pPr>
      <w:r>
        <w:rPr>
          <w:rFonts w:ascii="Arial" w:cs="Arial" w:eastAsia="Arial" w:hAnsi="Arial"/>
          <w:sz w:val="16"/>
          <w:szCs w:val="16"/>
          <w:color w:val="auto"/>
        </w:rPr>
        <w:t>We use the fair value method to account for (i) certain of our investments, (ii) our derivative instruments and (iii) certain instruments that we classify as debt. The reported fair values of these investments and instruments as of June 30, 2020 are unlikely to represent the value that will be paid or received upon the ultimate settlement or disposition of these assets and liabilities.</w:t>
      </w:r>
    </w:p>
    <w:p>
      <w:pPr>
        <w:spacing w:after="0" w:line="170" w:lineRule="exact"/>
        <w:rPr>
          <w:sz w:val="20"/>
          <w:szCs w:val="20"/>
          <w:color w:val="auto"/>
        </w:rPr>
      </w:pPr>
    </w:p>
    <w:p>
      <w:pPr>
        <w:jc w:val="both"/>
        <w:ind w:left="7" w:firstLine="279"/>
        <w:spacing w:after="0" w:line="294" w:lineRule="auto"/>
        <w:rPr>
          <w:sz w:val="20"/>
          <w:szCs w:val="20"/>
          <w:color w:val="auto"/>
        </w:rPr>
      </w:pPr>
      <w:r>
        <w:rPr>
          <w:rFonts w:ascii="Arial" w:cs="Arial" w:eastAsia="Arial" w:hAnsi="Arial"/>
          <w:sz w:val="14"/>
          <w:szCs w:val="14"/>
          <w:color w:val="auto"/>
        </w:rPr>
        <w:t>GAAP provides for a fair value hierarchy that prioritizes the inputs to valuation techniques used to measure fair value into three broad levels. Level 1 inputs are quoted market prices in active markets for identical assets or liabilities that the reporting entity has the ability to access at the measurement date. Level 2 inputs are inputs other than quoted market prices included within Level 1 that are observable for the asset or liability, either directly or indirectly. Level 3 inputs are unobservable inputs for the asset or liability. We record transfers of assets or liabilities into or out of Levels 1, 2 or 3 at the beginning of the quarter during which the transfer occurred.</w:t>
      </w:r>
    </w:p>
    <w:p>
      <w:pPr>
        <w:spacing w:after="0" w:line="142" w:lineRule="exact"/>
        <w:rPr>
          <w:sz w:val="20"/>
          <w:szCs w:val="20"/>
          <w:color w:val="auto"/>
        </w:rPr>
      </w:pPr>
    </w:p>
    <w:p>
      <w:pPr>
        <w:jc w:val="both"/>
        <w:ind w:left="7" w:firstLine="279"/>
        <w:spacing w:after="0" w:line="250" w:lineRule="auto"/>
        <w:rPr>
          <w:sz w:val="20"/>
          <w:szCs w:val="20"/>
          <w:color w:val="auto"/>
        </w:rPr>
      </w:pPr>
      <w:r>
        <w:rPr>
          <w:rFonts w:ascii="Arial" w:cs="Arial" w:eastAsia="Arial" w:hAnsi="Arial"/>
          <w:sz w:val="16"/>
          <w:szCs w:val="16"/>
          <w:color w:val="auto"/>
        </w:rPr>
        <w:t>We use a Monte Carlo based approach to incorporate a credit risk valuation adjustment in our fair value measurements to estimate the impact of both our own nonperformance risk and the nonperformance risk of our counterparties. Our credit risk valuation adjustments with respect to our cross-currency and interest rate swaps are quantified and further explained in note 6.</w:t>
      </w:r>
    </w:p>
    <w:p>
      <w:pPr>
        <w:spacing w:after="0" w:line="170" w:lineRule="exact"/>
        <w:rPr>
          <w:sz w:val="20"/>
          <w:szCs w:val="20"/>
          <w:color w:val="auto"/>
        </w:rPr>
      </w:pPr>
    </w:p>
    <w:p>
      <w:pPr>
        <w:jc w:val="both"/>
        <w:ind w:left="7" w:firstLine="279"/>
        <w:spacing w:after="0" w:line="283" w:lineRule="auto"/>
        <w:rPr>
          <w:sz w:val="20"/>
          <w:szCs w:val="20"/>
          <w:color w:val="auto"/>
        </w:rPr>
      </w:pPr>
      <w:r>
        <w:rPr>
          <w:rFonts w:ascii="Arial" w:cs="Arial" w:eastAsia="Arial" w:hAnsi="Arial"/>
          <w:sz w:val="14"/>
          <w:szCs w:val="14"/>
          <w:color w:val="auto"/>
        </w:rPr>
        <w:t>Fair value measurements are also used in connection with nonrecurring valuations performed in connection with acquisition accounting and impairment assessments. The nonrecurring valuations associated with acquisition accounting primarily include the valuation of reporting units, customer relationship and other intangible assets and property and equipment. Unless a reporting unit has a readily determinable fair value, the valuation of reporting units is based at least in part on discounted cash flow analyses. With the exception of certain inputs for our weighted average cost of capital and discount rate calculations that are derived from pricing services, the inputs used in our discounted cash flow analyses, such as forecasts of future cash flows, are based on our assumptions. The valuation of customer relationships is primarily based on an excess earnings methodology, which is a form of a discounted cash flow analysis. The excess earnings methodology requires us to estimate the specific cash flows expected from the customer relationship, considering such factors as estimated customer life, the revenue expected to be generated over the life of the customer relationship, contributory asset charges and other factors. Tangible assets are typically valued using a replacement or reproduction cost approach, considering factors such as current prices of the same or similar equipment, the age of the equipment and economic obsolescence. Most of our nonrecurring valuations use significant unobservable inputs and therefore fall under Level 3 of the fair value hierarchy. During the six months ended June 30, 2020, we did not perform any significant nonrecurring</w:t>
      </w:r>
    </w:p>
    <w:p>
      <w:pPr>
        <w:spacing w:after="0" w:line="149"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267"/>
          </w:cols>
          <w:pgMar w:left="313" w:top="263" w:right="319" w:bottom="1440" w:gutter="0" w:footer="0" w:header="0"/>
        </w:sectPr>
      </w:pPr>
    </w:p>
    <w:bookmarkStart w:id="24" w:name="page25"/>
    <w:bookmarkEnd w:id="24"/>
    <w:p>
      <w:pPr>
        <w:jc w:val="center"/>
        <w:spacing w:after="0"/>
        <w:rPr>
          <w:sz w:val="20"/>
          <w:szCs w:val="20"/>
          <w:color w:val="auto"/>
        </w:rPr>
      </w:pPr>
      <w:r>
        <w:rPr>
          <w:rFonts w:ascii="Arial" w:cs="Arial" w:eastAsia="Arial" w:hAnsi="Arial"/>
          <w:sz w:val="16"/>
          <w:szCs w:val="16"/>
          <w:b w:val="1"/>
          <w:bCs w:val="1"/>
          <w:color w:val="auto"/>
        </w:rPr>
        <w:t>LIBERTY GLOBAL PLC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June 30, 2020</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4"/>
          <w:szCs w:val="14"/>
          <w:color w:val="auto"/>
        </w:rPr>
        <w:t>fair value measurements. We performed a nonrecurring fair value measurement in connection with the De Vijver Media Acquisition during the six months ended June 30, 2019.</w:t>
      </w:r>
    </w:p>
    <w:p>
      <w:pPr>
        <w:spacing w:after="0" w:line="21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For additional information concerning our fair value measurements, see note 9 to the consolidated financial statements included in our 10-K.</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 summary of our assets and liabilities that are measured at fair value on a recurring basis is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60" w:type="dxa"/>
            <w:vAlign w:val="bottom"/>
            <w:gridSpan w:val="6"/>
          </w:tcPr>
          <w:p>
            <w:pPr>
              <w:ind w:left="20"/>
              <w:spacing w:after="0"/>
              <w:rPr>
                <w:sz w:val="20"/>
                <w:szCs w:val="20"/>
                <w:color w:val="auto"/>
              </w:rPr>
            </w:pPr>
            <w:r>
              <w:rPr>
                <w:rFonts w:ascii="Arial" w:cs="Arial" w:eastAsia="Arial" w:hAnsi="Arial"/>
                <w:sz w:val="14"/>
                <w:szCs w:val="14"/>
                <w:b w:val="1"/>
                <w:bCs w:val="1"/>
                <w:color w:val="auto"/>
                <w:w w:val="87"/>
              </w:rPr>
              <w:t>Fair value measurements at</w:t>
            </w: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2"/>
        </w:trPr>
        <w:tc>
          <w:tcPr>
            <w:tcW w:w="11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7"/>
              </w:rPr>
              <w:t>June 30, 2020 using:</w:t>
            </w: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8"/>
        </w:trPr>
        <w:tc>
          <w:tcPr>
            <w:tcW w:w="11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77"/>
        </w:trPr>
        <w:tc>
          <w:tcPr>
            <w:tcW w:w="11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center"/>
              <w:ind w:right="25"/>
              <w:spacing w:after="0"/>
              <w:rPr>
                <w:sz w:val="20"/>
                <w:szCs w:val="20"/>
                <w:color w:val="auto"/>
              </w:rPr>
            </w:pPr>
            <w:r>
              <w:rPr>
                <w:rFonts w:ascii="Arial" w:cs="Arial" w:eastAsia="Arial" w:hAnsi="Arial"/>
                <w:sz w:val="14"/>
                <w:szCs w:val="14"/>
                <w:b w:val="1"/>
                <w:bCs w:val="1"/>
                <w:color w:val="auto"/>
                <w:w w:val="89"/>
              </w:rPr>
              <w:t>Quoted prices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2"/>
              </w:rPr>
              <w:t>Significant</w:t>
            </w: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5"/>
        </w:trPr>
        <w:tc>
          <w:tcPr>
            <w:tcW w:w="11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center"/>
              <w:ind w:right="5"/>
              <w:spacing w:after="0"/>
              <w:rPr>
                <w:sz w:val="20"/>
                <w:szCs w:val="20"/>
                <w:color w:val="auto"/>
              </w:rPr>
            </w:pPr>
            <w:r>
              <w:rPr>
                <w:rFonts w:ascii="Arial" w:cs="Arial" w:eastAsia="Arial" w:hAnsi="Arial"/>
                <w:sz w:val="14"/>
                <w:szCs w:val="14"/>
                <w:b w:val="1"/>
                <w:bCs w:val="1"/>
                <w:color w:val="auto"/>
                <w:w w:val="89"/>
              </w:rPr>
              <w:t>in active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1"/>
              </w:rPr>
              <w:t>other</w:t>
            </w:r>
          </w:p>
        </w:tc>
        <w:tc>
          <w:tcPr>
            <w:tcW w:w="160" w:type="dxa"/>
            <w:vAlign w:val="bottom"/>
          </w:tcPr>
          <w:p>
            <w:pPr>
              <w:spacing w:after="0"/>
              <w:rPr>
                <w:sz w:val="15"/>
                <w:szCs w:val="15"/>
                <w:color w:val="auto"/>
              </w:rPr>
            </w:pPr>
          </w:p>
        </w:tc>
        <w:tc>
          <w:tcPr>
            <w:tcW w:w="1160" w:type="dxa"/>
            <w:vAlign w:val="bottom"/>
          </w:tcPr>
          <w:p>
            <w:pPr>
              <w:jc w:val="center"/>
              <w:ind w:right="104"/>
              <w:spacing w:after="0"/>
              <w:rPr>
                <w:sz w:val="20"/>
                <w:szCs w:val="20"/>
                <w:color w:val="auto"/>
              </w:rPr>
            </w:pPr>
            <w:r>
              <w:rPr>
                <w:rFonts w:ascii="Arial" w:cs="Arial" w:eastAsia="Arial" w:hAnsi="Arial"/>
                <w:sz w:val="14"/>
                <w:szCs w:val="14"/>
                <w:b w:val="1"/>
                <w:bCs w:val="1"/>
                <w:color w:val="auto"/>
                <w:w w:val="92"/>
              </w:rPr>
              <w:t>Significant</w:t>
            </w:r>
          </w:p>
        </w:tc>
      </w:tr>
      <w:tr>
        <w:trPr>
          <w:trHeight w:val="175"/>
        </w:trPr>
        <w:tc>
          <w:tcPr>
            <w:tcW w:w="11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center"/>
              <w:ind w:right="5"/>
              <w:spacing w:after="0"/>
              <w:rPr>
                <w:sz w:val="20"/>
                <w:szCs w:val="20"/>
                <w:color w:val="auto"/>
              </w:rPr>
            </w:pPr>
            <w:r>
              <w:rPr>
                <w:rFonts w:ascii="Arial" w:cs="Arial" w:eastAsia="Arial" w:hAnsi="Arial"/>
                <w:sz w:val="14"/>
                <w:szCs w:val="14"/>
                <w:b w:val="1"/>
                <w:bCs w:val="1"/>
                <w:color w:val="auto"/>
                <w:w w:val="91"/>
              </w:rPr>
              <w:t>markets for</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9"/>
              </w:rPr>
              <w:t>observable</w:t>
            </w:r>
          </w:p>
        </w:tc>
        <w:tc>
          <w:tcPr>
            <w:tcW w:w="160" w:type="dxa"/>
            <w:vAlign w:val="bottom"/>
          </w:tcPr>
          <w:p>
            <w:pPr>
              <w:spacing w:after="0"/>
              <w:rPr>
                <w:sz w:val="15"/>
                <w:szCs w:val="15"/>
                <w:color w:val="auto"/>
              </w:rPr>
            </w:pPr>
          </w:p>
        </w:tc>
        <w:tc>
          <w:tcPr>
            <w:tcW w:w="1160" w:type="dxa"/>
            <w:vAlign w:val="bottom"/>
          </w:tcPr>
          <w:p>
            <w:pPr>
              <w:jc w:val="center"/>
              <w:ind w:right="124"/>
              <w:spacing w:after="0"/>
              <w:rPr>
                <w:sz w:val="20"/>
                <w:szCs w:val="20"/>
                <w:color w:val="auto"/>
              </w:rPr>
            </w:pPr>
            <w:r>
              <w:rPr>
                <w:rFonts w:ascii="Arial" w:cs="Arial" w:eastAsia="Arial" w:hAnsi="Arial"/>
                <w:sz w:val="14"/>
                <w:szCs w:val="14"/>
                <w:b w:val="1"/>
                <w:bCs w:val="1"/>
                <w:color w:val="auto"/>
                <w:w w:val="87"/>
              </w:rPr>
              <w:t>unobservable</w:t>
            </w:r>
          </w:p>
        </w:tc>
      </w:tr>
      <w:tr>
        <w:trPr>
          <w:trHeight w:val="175"/>
        </w:trPr>
        <w:tc>
          <w:tcPr>
            <w:tcW w:w="11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5"/>
                <w:szCs w:val="15"/>
                <w:color w:val="auto"/>
              </w:rPr>
            </w:pPr>
          </w:p>
        </w:tc>
        <w:tc>
          <w:tcPr>
            <w:tcW w:w="1100" w:type="dxa"/>
            <w:vAlign w:val="bottom"/>
          </w:tcPr>
          <w:p>
            <w:pPr>
              <w:jc w:val="center"/>
              <w:ind w:right="25"/>
              <w:spacing w:after="0"/>
              <w:rPr>
                <w:sz w:val="20"/>
                <w:szCs w:val="20"/>
                <w:color w:val="auto"/>
              </w:rPr>
            </w:pPr>
            <w:r>
              <w:rPr>
                <w:rFonts w:ascii="Arial" w:cs="Arial" w:eastAsia="Arial" w:hAnsi="Arial"/>
                <w:sz w:val="14"/>
                <w:szCs w:val="14"/>
                <w:b w:val="1"/>
                <w:bCs w:val="1"/>
                <w:color w:val="auto"/>
                <w:w w:val="84"/>
              </w:rPr>
              <w:t>identical assets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0"/>
              </w:rPr>
              <w:t>inputs</w:t>
            </w:r>
          </w:p>
        </w:tc>
        <w:tc>
          <w:tcPr>
            <w:tcW w:w="160" w:type="dxa"/>
            <w:vAlign w:val="bottom"/>
          </w:tcPr>
          <w:p>
            <w:pPr>
              <w:spacing w:after="0"/>
              <w:rPr>
                <w:sz w:val="15"/>
                <w:szCs w:val="15"/>
                <w:color w:val="auto"/>
              </w:rPr>
            </w:pPr>
          </w:p>
        </w:tc>
        <w:tc>
          <w:tcPr>
            <w:tcW w:w="1160" w:type="dxa"/>
            <w:vAlign w:val="bottom"/>
          </w:tcPr>
          <w:p>
            <w:pPr>
              <w:jc w:val="center"/>
              <w:ind w:right="104"/>
              <w:spacing w:after="0"/>
              <w:rPr>
                <w:sz w:val="20"/>
                <w:szCs w:val="20"/>
                <w:color w:val="auto"/>
              </w:rPr>
            </w:pPr>
            <w:r>
              <w:rPr>
                <w:rFonts w:ascii="Arial" w:cs="Arial" w:eastAsia="Arial" w:hAnsi="Arial"/>
                <w:sz w:val="14"/>
                <w:szCs w:val="14"/>
                <w:b w:val="1"/>
                <w:bCs w:val="1"/>
                <w:color w:val="auto"/>
                <w:w w:val="90"/>
              </w:rPr>
              <w:t>inputs</w:t>
            </w:r>
          </w:p>
        </w:tc>
      </w:tr>
      <w:tr>
        <w:trPr>
          <w:trHeight w:val="182"/>
        </w:trPr>
        <w:tc>
          <w:tcPr>
            <w:tcW w:w="5500" w:type="dxa"/>
            <w:vAlign w:val="bottom"/>
            <w:gridSpan w:val="2"/>
          </w:tcPr>
          <w:p>
            <w:pPr>
              <w:ind w:left="20"/>
              <w:spacing w:after="0"/>
              <w:rPr>
                <w:sz w:val="20"/>
                <w:szCs w:val="20"/>
                <w:color w:val="auto"/>
              </w:rPr>
            </w:pPr>
            <w:r>
              <w:rPr>
                <w:rFonts w:ascii="Arial" w:cs="Arial" w:eastAsia="Arial" w:hAnsi="Arial"/>
                <w:sz w:val="14"/>
                <w:szCs w:val="14"/>
                <w:b w:val="1"/>
                <w:bCs w:val="1"/>
                <w:color w:val="auto"/>
              </w:rPr>
              <w:t>Description</w:t>
            </w:r>
          </w:p>
        </w:tc>
        <w:tc>
          <w:tcPr>
            <w:tcW w:w="320" w:type="dxa"/>
            <w:vAlign w:val="bottom"/>
          </w:tcPr>
          <w:p>
            <w:pPr>
              <w:spacing w:after="0"/>
              <w:rPr>
                <w:sz w:val="15"/>
                <w:szCs w:val="15"/>
                <w:color w:val="auto"/>
              </w:rPr>
            </w:pPr>
          </w:p>
        </w:tc>
        <w:tc>
          <w:tcPr>
            <w:tcW w:w="1040" w:type="dxa"/>
            <w:vAlign w:val="bottom"/>
          </w:tcPr>
          <w:p>
            <w:pPr>
              <w:jc w:val="right"/>
              <w:ind w:right="46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center"/>
              <w:ind w:right="25"/>
              <w:spacing w:after="0"/>
              <w:rPr>
                <w:sz w:val="20"/>
                <w:szCs w:val="20"/>
                <w:color w:val="auto"/>
              </w:rPr>
            </w:pPr>
            <w:r>
              <w:rPr>
                <w:rFonts w:ascii="Arial" w:cs="Arial" w:eastAsia="Arial" w:hAnsi="Arial"/>
                <w:sz w:val="14"/>
                <w:szCs w:val="14"/>
                <w:b w:val="1"/>
                <w:bCs w:val="1"/>
                <w:color w:val="auto"/>
                <w:w w:val="91"/>
              </w:rPr>
              <w:t>(Level 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1"/>
              </w:rPr>
              <w:t>(Level 2)</w:t>
            </w:r>
          </w:p>
        </w:tc>
        <w:tc>
          <w:tcPr>
            <w:tcW w:w="160" w:type="dxa"/>
            <w:vAlign w:val="bottom"/>
          </w:tcPr>
          <w:p>
            <w:pPr>
              <w:spacing w:after="0"/>
              <w:rPr>
                <w:sz w:val="15"/>
                <w:szCs w:val="15"/>
                <w:color w:val="auto"/>
              </w:rPr>
            </w:pPr>
          </w:p>
        </w:tc>
        <w:tc>
          <w:tcPr>
            <w:tcW w:w="1160" w:type="dxa"/>
            <w:vAlign w:val="bottom"/>
          </w:tcPr>
          <w:p>
            <w:pPr>
              <w:jc w:val="center"/>
              <w:ind w:right="104"/>
              <w:spacing w:after="0"/>
              <w:rPr>
                <w:sz w:val="20"/>
                <w:szCs w:val="20"/>
                <w:color w:val="auto"/>
              </w:rPr>
            </w:pPr>
            <w:r>
              <w:rPr>
                <w:rFonts w:ascii="Arial" w:cs="Arial" w:eastAsia="Arial" w:hAnsi="Arial"/>
                <w:sz w:val="14"/>
                <w:szCs w:val="14"/>
                <w:b w:val="1"/>
                <w:bCs w:val="1"/>
                <w:color w:val="auto"/>
                <w:w w:val="94"/>
              </w:rPr>
              <w:t>(Level 3)</w:t>
            </w:r>
          </w:p>
        </w:tc>
      </w:tr>
      <w:tr>
        <w:trPr>
          <w:trHeight w:val="28"/>
        </w:trPr>
        <w:tc>
          <w:tcPr>
            <w:tcW w:w="1120" w:type="dxa"/>
            <w:vAlign w:val="bottom"/>
            <w:tcBorders>
              <w:bottom w:val="single" w:sz="8" w:color="auto"/>
            </w:tcBorders>
          </w:tcPr>
          <w:p>
            <w:pPr>
              <w:spacing w:after="0"/>
              <w:rPr>
                <w:sz w:val="2"/>
                <w:szCs w:val="2"/>
                <w:color w:val="auto"/>
              </w:rPr>
            </w:pPr>
          </w:p>
        </w:tc>
        <w:tc>
          <w:tcPr>
            <w:tcW w:w="43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4"/>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7"/>
        </w:trPr>
        <w:tc>
          <w:tcPr>
            <w:tcW w:w="112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8"/>
        </w:trPr>
        <w:tc>
          <w:tcPr>
            <w:tcW w:w="11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3"/>
        </w:trPr>
        <w:tc>
          <w:tcPr>
            <w:tcW w:w="5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r>
      <w:tr>
        <w:trPr>
          <w:trHeight w:val="209"/>
        </w:trPr>
        <w:tc>
          <w:tcPr>
            <w:tcW w:w="5500" w:type="dxa"/>
            <w:vAlign w:val="bottom"/>
            <w:gridSpan w:val="2"/>
          </w:tcPr>
          <w:p>
            <w:pPr>
              <w:ind w:left="140"/>
              <w:spacing w:after="0"/>
              <w:rPr>
                <w:sz w:val="20"/>
                <w:szCs w:val="20"/>
                <w:color w:val="auto"/>
              </w:rPr>
            </w:pPr>
            <w:r>
              <w:rPr>
                <w:rFonts w:ascii="Arial" w:cs="Arial" w:eastAsia="Arial" w:hAnsi="Arial"/>
                <w:sz w:val="16"/>
                <w:szCs w:val="16"/>
                <w:color w:val="auto"/>
              </w:rPr>
              <w:t>Derivative instruments: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4"/>
        </w:trPr>
        <w:tc>
          <w:tcPr>
            <w:tcW w:w="11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3"/>
        </w:trPr>
        <w:tc>
          <w:tcPr>
            <w:tcW w:w="55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Cross-currency and interest rate derivative contracts</w:t>
            </w: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556.7</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gridSpan w:val="3"/>
            <w:shd w:val="clear" w:color="auto" w:fill="CCEEFF"/>
          </w:tcPr>
          <w:p>
            <w:pPr>
              <w:jc w:val="right"/>
              <w:ind w:right="126"/>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556.7</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w:t>
            </w:r>
          </w:p>
        </w:tc>
      </w:tr>
      <w:tr>
        <w:trPr>
          <w:trHeight w:val="209"/>
        </w:trPr>
        <w:tc>
          <w:tcPr>
            <w:tcW w:w="5500" w:type="dxa"/>
            <w:vAlign w:val="bottom"/>
            <w:gridSpan w:val="2"/>
          </w:tcPr>
          <w:p>
            <w:pPr>
              <w:ind w:left="380"/>
              <w:spacing w:after="0"/>
              <w:rPr>
                <w:sz w:val="20"/>
                <w:szCs w:val="20"/>
                <w:color w:val="auto"/>
              </w:rPr>
            </w:pPr>
            <w:r>
              <w:rPr>
                <w:rFonts w:ascii="Arial" w:cs="Arial" w:eastAsia="Arial" w:hAnsi="Arial"/>
                <w:sz w:val="16"/>
                <w:szCs w:val="16"/>
                <w:color w:val="auto"/>
              </w:rPr>
              <w:t>Equity-related derivative instruments</w:t>
            </w:r>
          </w:p>
        </w:tc>
        <w:tc>
          <w:tcPr>
            <w:tcW w:w="320" w:type="dxa"/>
            <w:vAlign w:val="bottom"/>
          </w:tcPr>
          <w:p>
            <w:pPr>
              <w:spacing w:after="0"/>
              <w:rPr>
                <w:sz w:val="18"/>
                <w:szCs w:val="18"/>
                <w:color w:val="auto"/>
              </w:rPr>
            </w:pPr>
          </w:p>
        </w:tc>
        <w:tc>
          <w:tcPr>
            <w:tcW w:w="1040" w:type="dxa"/>
            <w:vAlign w:val="bottom"/>
          </w:tcPr>
          <w:p>
            <w:pPr>
              <w:jc w:val="right"/>
              <w:ind w:right="23"/>
              <w:spacing w:after="0"/>
              <w:rPr>
                <w:sz w:val="20"/>
                <w:szCs w:val="20"/>
                <w:color w:val="auto"/>
              </w:rPr>
            </w:pPr>
            <w:r>
              <w:rPr>
                <w:rFonts w:ascii="Arial" w:cs="Arial" w:eastAsia="Arial" w:hAnsi="Arial"/>
                <w:sz w:val="16"/>
                <w:szCs w:val="16"/>
                <w:color w:val="auto"/>
              </w:rPr>
              <w:t>1,041.0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ind w:right="44"/>
              <w:spacing w:after="0"/>
              <w:rPr>
                <w:sz w:val="20"/>
                <w:szCs w:val="20"/>
                <w:color w:val="auto"/>
              </w:rPr>
            </w:pPr>
            <w:r>
              <w:rPr>
                <w:rFonts w:ascii="Arial" w:cs="Arial" w:eastAsia="Arial" w:hAnsi="Arial"/>
                <w:sz w:val="16"/>
                <w:szCs w:val="16"/>
                <w:color w:val="auto"/>
              </w:rPr>
              <w:t>1,041.0</w:t>
            </w:r>
          </w:p>
        </w:tc>
      </w:tr>
      <w:tr>
        <w:trPr>
          <w:trHeight w:val="24"/>
        </w:trPr>
        <w:tc>
          <w:tcPr>
            <w:tcW w:w="11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3"/>
        </w:trPr>
        <w:tc>
          <w:tcPr>
            <w:tcW w:w="55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Foreign currency forward and option contracts</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w:t>
            </w:r>
          </w:p>
        </w:tc>
      </w:tr>
      <w:tr>
        <w:trPr>
          <w:trHeight w:val="209"/>
        </w:trPr>
        <w:tc>
          <w:tcPr>
            <w:tcW w:w="5500" w:type="dxa"/>
            <w:vAlign w:val="bottom"/>
            <w:gridSpan w:val="2"/>
          </w:tcPr>
          <w:p>
            <w:pPr>
              <w:ind w:left="380"/>
              <w:spacing w:after="0"/>
              <w:rPr>
                <w:sz w:val="20"/>
                <w:szCs w:val="20"/>
                <w:color w:val="auto"/>
              </w:rPr>
            </w:pPr>
            <w:r>
              <w:rPr>
                <w:rFonts w:ascii="Arial" w:cs="Arial" w:eastAsia="Arial" w:hAnsi="Arial"/>
                <w:sz w:val="16"/>
                <w:szCs w:val="16"/>
                <w:color w:val="auto"/>
              </w:rPr>
              <w:t>Other</w:t>
            </w:r>
          </w:p>
        </w:tc>
        <w:tc>
          <w:tcPr>
            <w:tcW w:w="320" w:type="dxa"/>
            <w:vAlign w:val="bottom"/>
          </w:tcPr>
          <w:p>
            <w:pPr>
              <w:spacing w:after="0"/>
              <w:rPr>
                <w:sz w:val="18"/>
                <w:szCs w:val="18"/>
                <w:color w:val="auto"/>
              </w:rPr>
            </w:pPr>
          </w:p>
        </w:tc>
        <w:tc>
          <w:tcPr>
            <w:tcW w:w="1040" w:type="dxa"/>
            <w:vAlign w:val="bottom"/>
          </w:tcPr>
          <w:p>
            <w:pPr>
              <w:jc w:val="right"/>
              <w:ind w:right="23"/>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25"/>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44"/>
              <w:spacing w:after="0"/>
              <w:rPr>
                <w:sz w:val="20"/>
                <w:szCs w:val="20"/>
                <w:color w:val="auto"/>
              </w:rPr>
            </w:pPr>
            <w:r>
              <w:rPr>
                <w:rFonts w:ascii="Arial" w:cs="Arial" w:eastAsia="Arial" w:hAnsi="Arial"/>
                <w:sz w:val="16"/>
                <w:szCs w:val="16"/>
                <w:color w:val="auto"/>
              </w:rPr>
              <w:t>—</w:t>
            </w:r>
          </w:p>
        </w:tc>
      </w:tr>
      <w:tr>
        <w:trPr>
          <w:trHeight w:val="24"/>
        </w:trPr>
        <w:tc>
          <w:tcPr>
            <w:tcW w:w="1120" w:type="dxa"/>
            <w:vAlign w:val="bottom"/>
            <w:tcBorders>
              <w:bottom w:val="single" w:sz="8" w:color="CCEEFF"/>
            </w:tcBorders>
          </w:tcPr>
          <w:p>
            <w:pPr>
              <w:spacing w:after="0"/>
              <w:rPr>
                <w:sz w:val="2"/>
                <w:szCs w:val="2"/>
                <w:color w:val="auto"/>
              </w:rPr>
            </w:pPr>
          </w:p>
        </w:tc>
        <w:tc>
          <w:tcPr>
            <w:tcW w:w="43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4"/>
        </w:trPr>
        <w:tc>
          <w:tcPr>
            <w:tcW w:w="550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6"/>
                <w:szCs w:val="16"/>
                <w:color w:val="auto"/>
              </w:rPr>
              <w:t>Total derivative instruments</w:t>
            </w: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1,600.5</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559.5</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1,041.0</w:t>
            </w:r>
          </w:p>
        </w:tc>
      </w:tr>
      <w:tr>
        <w:trPr>
          <w:trHeight w:val="189"/>
        </w:trPr>
        <w:tc>
          <w:tcPr>
            <w:tcW w:w="5500" w:type="dxa"/>
            <w:vAlign w:val="bottom"/>
            <w:gridSpan w:val="2"/>
          </w:tcPr>
          <w:p>
            <w:pPr>
              <w:ind w:left="140"/>
              <w:spacing w:after="0"/>
              <w:rPr>
                <w:sz w:val="20"/>
                <w:szCs w:val="20"/>
                <w:color w:val="auto"/>
              </w:rPr>
            </w:pPr>
            <w:r>
              <w:rPr>
                <w:rFonts w:ascii="Arial" w:cs="Arial" w:eastAsia="Arial" w:hAnsi="Arial"/>
                <w:sz w:val="16"/>
                <w:szCs w:val="16"/>
                <w:color w:val="auto"/>
              </w:rPr>
              <w:t>Investments:</w:t>
            </w: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r>
      <w:tr>
        <w:trPr>
          <w:trHeight w:val="35"/>
        </w:trPr>
        <w:tc>
          <w:tcPr>
            <w:tcW w:w="1120" w:type="dxa"/>
            <w:vAlign w:val="bottom"/>
          </w:tcPr>
          <w:p>
            <w:pPr>
              <w:spacing w:after="0"/>
              <w:rPr>
                <w:sz w:val="3"/>
                <w:szCs w:val="3"/>
                <w:color w:val="auto"/>
              </w:rPr>
            </w:pPr>
          </w:p>
        </w:tc>
        <w:tc>
          <w:tcPr>
            <w:tcW w:w="4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13"/>
        </w:trPr>
        <w:tc>
          <w:tcPr>
            <w:tcW w:w="55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SMAs</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2,986.5</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878.0</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2,108.5</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w:t>
            </w:r>
          </w:p>
        </w:tc>
      </w:tr>
      <w:tr>
        <w:trPr>
          <w:trHeight w:val="209"/>
        </w:trPr>
        <w:tc>
          <w:tcPr>
            <w:tcW w:w="5500" w:type="dxa"/>
            <w:vAlign w:val="bottom"/>
            <w:gridSpan w:val="2"/>
          </w:tcPr>
          <w:p>
            <w:pPr>
              <w:ind w:left="220"/>
              <w:spacing w:after="0"/>
              <w:rPr>
                <w:sz w:val="20"/>
                <w:szCs w:val="20"/>
                <w:color w:val="auto"/>
              </w:rPr>
            </w:pPr>
            <w:r>
              <w:rPr>
                <w:rFonts w:ascii="Arial" w:cs="Arial" w:eastAsia="Arial" w:hAnsi="Arial"/>
                <w:sz w:val="16"/>
                <w:szCs w:val="16"/>
                <w:color w:val="auto"/>
              </w:rPr>
              <w:t>Other investments</w:t>
            </w:r>
          </w:p>
        </w:tc>
        <w:tc>
          <w:tcPr>
            <w:tcW w:w="320" w:type="dxa"/>
            <w:vAlign w:val="bottom"/>
          </w:tcPr>
          <w:p>
            <w:pPr>
              <w:spacing w:after="0"/>
              <w:rPr>
                <w:sz w:val="18"/>
                <w:szCs w:val="18"/>
                <w:color w:val="auto"/>
              </w:rPr>
            </w:pPr>
          </w:p>
        </w:tc>
        <w:tc>
          <w:tcPr>
            <w:tcW w:w="1040" w:type="dxa"/>
            <w:vAlign w:val="bottom"/>
          </w:tcPr>
          <w:p>
            <w:pPr>
              <w:jc w:val="right"/>
              <w:ind w:right="23"/>
              <w:spacing w:after="0"/>
              <w:rPr>
                <w:sz w:val="20"/>
                <w:szCs w:val="20"/>
                <w:color w:val="auto"/>
              </w:rPr>
            </w:pPr>
            <w:r>
              <w:rPr>
                <w:rFonts w:ascii="Arial" w:cs="Arial" w:eastAsia="Arial" w:hAnsi="Arial"/>
                <w:sz w:val="16"/>
                <w:szCs w:val="16"/>
                <w:color w:val="auto"/>
              </w:rPr>
              <w:t>934.2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415.5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ind w:right="44"/>
              <w:spacing w:after="0"/>
              <w:rPr>
                <w:sz w:val="20"/>
                <w:szCs w:val="20"/>
                <w:color w:val="auto"/>
              </w:rPr>
            </w:pPr>
            <w:r>
              <w:rPr>
                <w:rFonts w:ascii="Arial" w:cs="Arial" w:eastAsia="Arial" w:hAnsi="Arial"/>
                <w:sz w:val="16"/>
                <w:szCs w:val="16"/>
                <w:color w:val="auto"/>
              </w:rPr>
              <w:t>518.7</w:t>
            </w:r>
          </w:p>
        </w:tc>
      </w:tr>
      <w:tr>
        <w:trPr>
          <w:trHeight w:val="24"/>
        </w:trPr>
        <w:tc>
          <w:tcPr>
            <w:tcW w:w="1120" w:type="dxa"/>
            <w:vAlign w:val="bottom"/>
            <w:tcBorders>
              <w:bottom w:val="single" w:sz="8" w:color="CCEEFF"/>
            </w:tcBorders>
          </w:tcPr>
          <w:p>
            <w:pPr>
              <w:spacing w:after="0"/>
              <w:rPr>
                <w:sz w:val="2"/>
                <w:szCs w:val="2"/>
                <w:color w:val="auto"/>
              </w:rPr>
            </w:pPr>
          </w:p>
        </w:tc>
        <w:tc>
          <w:tcPr>
            <w:tcW w:w="43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4"/>
        </w:trPr>
        <w:tc>
          <w:tcPr>
            <w:tcW w:w="55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6"/>
                <w:szCs w:val="16"/>
                <w:color w:val="auto"/>
              </w:rPr>
              <w:t>Total investments</w:t>
            </w: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3,920.7</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1,293.5</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2,108.5</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518.7</w:t>
            </w:r>
          </w:p>
        </w:tc>
      </w:tr>
      <w:tr>
        <w:trPr>
          <w:trHeight w:val="201"/>
        </w:trPr>
        <w:tc>
          <w:tcPr>
            <w:tcW w:w="5500" w:type="dxa"/>
            <w:vAlign w:val="bottom"/>
            <w:gridSpan w:val="2"/>
          </w:tcPr>
          <w:p>
            <w:pPr>
              <w:ind w:left="900"/>
              <w:spacing w:after="0"/>
              <w:rPr>
                <w:sz w:val="20"/>
                <w:szCs w:val="20"/>
                <w:color w:val="auto"/>
              </w:rPr>
            </w:pPr>
            <w:r>
              <w:rPr>
                <w:rFonts w:ascii="Arial" w:cs="Arial" w:eastAsia="Arial" w:hAnsi="Arial"/>
                <w:sz w:val="16"/>
                <w:szCs w:val="16"/>
                <w:color w:val="auto"/>
              </w:rPr>
              <w:t>Total assets</w:t>
            </w:r>
          </w:p>
        </w:tc>
        <w:tc>
          <w:tcPr>
            <w:tcW w:w="3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5,521.2</w:t>
            </w:r>
          </w:p>
        </w:tc>
        <w:tc>
          <w:tcPr>
            <w:tcW w:w="120" w:type="dxa"/>
            <w:vAlign w:val="bottom"/>
          </w:tcPr>
          <w:p>
            <w:pPr>
              <w:spacing w:after="0"/>
              <w:rPr>
                <w:sz w:val="17"/>
                <w:szCs w:val="17"/>
                <w:color w:val="auto"/>
              </w:rPr>
            </w:pPr>
          </w:p>
        </w:tc>
        <w:tc>
          <w:tcPr>
            <w:tcW w:w="18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1,293.5</w:t>
            </w:r>
          </w:p>
        </w:tc>
        <w:tc>
          <w:tcPr>
            <w:tcW w:w="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jc w:val="right"/>
              <w:ind w:right="126"/>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25"/>
              <w:spacing w:after="0"/>
              <w:rPr>
                <w:sz w:val="20"/>
                <w:szCs w:val="20"/>
                <w:color w:val="auto"/>
              </w:rPr>
            </w:pPr>
            <w:r>
              <w:rPr>
                <w:rFonts w:ascii="Arial" w:cs="Arial" w:eastAsia="Arial" w:hAnsi="Arial"/>
                <w:sz w:val="16"/>
                <w:szCs w:val="16"/>
                <w:color w:val="auto"/>
              </w:rPr>
              <w:t>2,668.0</w:t>
            </w: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1,559.7</w:t>
            </w:r>
          </w:p>
        </w:tc>
      </w:tr>
      <w:tr>
        <w:trPr>
          <w:trHeight w:val="64"/>
        </w:trPr>
        <w:tc>
          <w:tcPr>
            <w:tcW w:w="1120" w:type="dxa"/>
            <w:vAlign w:val="bottom"/>
            <w:tcBorders>
              <w:bottom w:val="single" w:sz="8" w:color="CCEEFF"/>
            </w:tcBorders>
          </w:tcPr>
          <w:p>
            <w:pPr>
              <w:spacing w:after="0"/>
              <w:rPr>
                <w:sz w:val="5"/>
                <w:szCs w:val="5"/>
                <w:color w:val="auto"/>
              </w:rPr>
            </w:pPr>
          </w:p>
        </w:tc>
        <w:tc>
          <w:tcPr>
            <w:tcW w:w="438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r>
      <w:tr>
        <w:trPr>
          <w:trHeight w:val="254"/>
        </w:trPr>
        <w:tc>
          <w:tcPr>
            <w:tcW w:w="1120" w:type="dxa"/>
            <w:vAlign w:val="bottom"/>
            <w:shd w:val="clear" w:color="auto" w:fill="CCEEFF"/>
          </w:tcPr>
          <w:p>
            <w:pPr>
              <w:spacing w:after="0"/>
              <w:rPr>
                <w:sz w:val="22"/>
                <w:szCs w:val="22"/>
                <w:color w:val="auto"/>
              </w:rPr>
            </w:pPr>
          </w:p>
        </w:tc>
        <w:tc>
          <w:tcPr>
            <w:tcW w:w="43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09"/>
        </w:trPr>
        <w:tc>
          <w:tcPr>
            <w:tcW w:w="5500" w:type="dxa"/>
            <w:vAlign w:val="bottom"/>
            <w:gridSpan w:val="2"/>
          </w:tcPr>
          <w:p>
            <w:pPr>
              <w:ind w:left="20"/>
              <w:spacing w:after="0"/>
              <w:rPr>
                <w:sz w:val="20"/>
                <w:szCs w:val="20"/>
                <w:color w:val="auto"/>
              </w:rPr>
            </w:pPr>
            <w:r>
              <w:rPr>
                <w:rFonts w:ascii="Arial" w:cs="Arial" w:eastAsia="Arial" w:hAnsi="Arial"/>
                <w:sz w:val="16"/>
                <w:szCs w:val="16"/>
                <w:color w:val="auto"/>
              </w:rPr>
              <w:t>Liabilities: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4"/>
        </w:trPr>
        <w:tc>
          <w:tcPr>
            <w:tcW w:w="11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3"/>
        </w:trPr>
        <w:tc>
          <w:tcPr>
            <w:tcW w:w="55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Derivative instruments:</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r>
      <w:tr>
        <w:trPr>
          <w:trHeight w:val="209"/>
        </w:trPr>
        <w:tc>
          <w:tcPr>
            <w:tcW w:w="5500" w:type="dxa"/>
            <w:vAlign w:val="bottom"/>
            <w:gridSpan w:val="2"/>
          </w:tcPr>
          <w:p>
            <w:pPr>
              <w:ind w:left="560"/>
              <w:spacing w:after="0"/>
              <w:rPr>
                <w:sz w:val="20"/>
                <w:szCs w:val="20"/>
                <w:color w:val="auto"/>
              </w:rPr>
            </w:pPr>
            <w:r>
              <w:rPr>
                <w:rFonts w:ascii="Arial" w:cs="Arial" w:eastAsia="Arial" w:hAnsi="Arial"/>
                <w:sz w:val="16"/>
                <w:szCs w:val="16"/>
                <w:color w:val="auto"/>
              </w:rPr>
              <w:t>Cross-currency and interest rate derivative contracts</w:t>
            </w:r>
          </w:p>
        </w:tc>
        <w:tc>
          <w:tcPr>
            <w:tcW w:w="320" w:type="dxa"/>
            <w:vAlign w:val="bottom"/>
          </w:tcPr>
          <w:p>
            <w:pPr>
              <w:ind w:left="4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3"/>
              <w:spacing w:after="0"/>
              <w:rPr>
                <w:sz w:val="20"/>
                <w:szCs w:val="20"/>
                <w:color w:val="auto"/>
              </w:rPr>
            </w:pPr>
            <w:r>
              <w:rPr>
                <w:rFonts w:ascii="Arial" w:cs="Arial" w:eastAsia="Arial" w:hAnsi="Arial"/>
                <w:sz w:val="16"/>
                <w:szCs w:val="16"/>
                <w:color w:val="auto"/>
              </w:rPr>
              <w:t>870.7</w:t>
            </w:r>
          </w:p>
        </w:tc>
        <w:tc>
          <w:tcPr>
            <w:tcW w:w="120" w:type="dxa"/>
            <w:vAlign w:val="bottom"/>
          </w:tcPr>
          <w:p>
            <w:pPr>
              <w:spacing w:after="0"/>
              <w:rPr>
                <w:sz w:val="18"/>
                <w:szCs w:val="18"/>
                <w:color w:val="auto"/>
              </w:rPr>
            </w:pP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gridSpan w:val="3"/>
          </w:tcPr>
          <w:p>
            <w:pPr>
              <w:jc w:val="right"/>
              <w:ind w:right="126"/>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5"/>
              <w:spacing w:after="0"/>
              <w:rPr>
                <w:sz w:val="20"/>
                <w:szCs w:val="20"/>
                <w:color w:val="auto"/>
              </w:rPr>
            </w:pPr>
            <w:r>
              <w:rPr>
                <w:rFonts w:ascii="Arial" w:cs="Arial" w:eastAsia="Arial" w:hAnsi="Arial"/>
                <w:sz w:val="16"/>
                <w:szCs w:val="16"/>
                <w:color w:val="auto"/>
              </w:rPr>
              <w:t>870.7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44"/>
              <w:spacing w:after="0"/>
              <w:rPr>
                <w:sz w:val="20"/>
                <w:szCs w:val="20"/>
                <w:color w:val="auto"/>
              </w:rPr>
            </w:pPr>
            <w:r>
              <w:rPr>
                <w:rFonts w:ascii="Arial" w:cs="Arial" w:eastAsia="Arial" w:hAnsi="Arial"/>
                <w:sz w:val="16"/>
                <w:szCs w:val="16"/>
                <w:color w:val="auto"/>
              </w:rPr>
              <w:t>—</w:t>
            </w:r>
          </w:p>
        </w:tc>
      </w:tr>
      <w:tr>
        <w:trPr>
          <w:trHeight w:val="24"/>
        </w:trPr>
        <w:tc>
          <w:tcPr>
            <w:tcW w:w="11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3"/>
        </w:trPr>
        <w:tc>
          <w:tcPr>
            <w:tcW w:w="550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Foreign currency forward and option contracts</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w:t>
            </w:r>
          </w:p>
        </w:tc>
      </w:tr>
      <w:tr>
        <w:trPr>
          <w:trHeight w:val="209"/>
        </w:trPr>
        <w:tc>
          <w:tcPr>
            <w:tcW w:w="5500" w:type="dxa"/>
            <w:vAlign w:val="bottom"/>
            <w:gridSpan w:val="2"/>
          </w:tcPr>
          <w:p>
            <w:pPr>
              <w:ind w:left="560"/>
              <w:spacing w:after="0"/>
              <w:rPr>
                <w:sz w:val="20"/>
                <w:szCs w:val="20"/>
                <w:color w:val="auto"/>
              </w:rPr>
            </w:pPr>
            <w:r>
              <w:rPr>
                <w:rFonts w:ascii="Arial" w:cs="Arial" w:eastAsia="Arial" w:hAnsi="Arial"/>
                <w:sz w:val="16"/>
                <w:szCs w:val="16"/>
                <w:color w:val="auto"/>
              </w:rPr>
              <w:t>Other</w:t>
            </w:r>
          </w:p>
        </w:tc>
        <w:tc>
          <w:tcPr>
            <w:tcW w:w="320" w:type="dxa"/>
            <w:vAlign w:val="bottom"/>
          </w:tcPr>
          <w:p>
            <w:pPr>
              <w:spacing w:after="0"/>
              <w:rPr>
                <w:sz w:val="18"/>
                <w:szCs w:val="18"/>
                <w:color w:val="auto"/>
              </w:rPr>
            </w:pPr>
          </w:p>
        </w:tc>
        <w:tc>
          <w:tcPr>
            <w:tcW w:w="1040" w:type="dxa"/>
            <w:vAlign w:val="bottom"/>
          </w:tcPr>
          <w:p>
            <w:pPr>
              <w:jc w:val="right"/>
              <w:ind w:right="23"/>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25"/>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44"/>
              <w:spacing w:after="0"/>
              <w:rPr>
                <w:sz w:val="20"/>
                <w:szCs w:val="20"/>
                <w:color w:val="auto"/>
              </w:rPr>
            </w:pPr>
            <w:r>
              <w:rPr>
                <w:rFonts w:ascii="Arial" w:cs="Arial" w:eastAsia="Arial" w:hAnsi="Arial"/>
                <w:sz w:val="16"/>
                <w:szCs w:val="16"/>
                <w:color w:val="auto"/>
              </w:rPr>
              <w:t>—</w:t>
            </w:r>
          </w:p>
        </w:tc>
      </w:tr>
      <w:tr>
        <w:trPr>
          <w:trHeight w:val="24"/>
        </w:trPr>
        <w:tc>
          <w:tcPr>
            <w:tcW w:w="1120" w:type="dxa"/>
            <w:vAlign w:val="bottom"/>
            <w:tcBorders>
              <w:bottom w:val="single" w:sz="8" w:color="CCEEFF"/>
            </w:tcBorders>
          </w:tcPr>
          <w:p>
            <w:pPr>
              <w:spacing w:after="0"/>
              <w:rPr>
                <w:sz w:val="2"/>
                <w:szCs w:val="2"/>
                <w:color w:val="auto"/>
              </w:rPr>
            </w:pPr>
          </w:p>
        </w:tc>
        <w:tc>
          <w:tcPr>
            <w:tcW w:w="43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9"/>
        </w:trPr>
        <w:tc>
          <w:tcPr>
            <w:tcW w:w="55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Total liabilities</w:t>
            </w: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873.3</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gridSpan w:val="3"/>
            <w:shd w:val="clear" w:color="auto" w:fill="CCEEFF"/>
          </w:tcPr>
          <w:p>
            <w:pPr>
              <w:jc w:val="right"/>
              <w:ind w:right="126"/>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873.3</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w:t>
            </w:r>
          </w:p>
        </w:tc>
      </w:tr>
      <w:tr>
        <w:trPr>
          <w:trHeight w:val="20"/>
        </w:trPr>
        <w:tc>
          <w:tcPr>
            <w:tcW w:w="112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347"/>
        </w:trPr>
        <w:tc>
          <w:tcPr>
            <w:tcW w:w="11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20" w:type="dxa"/>
            <w:vAlign w:val="bottom"/>
          </w:tcPr>
          <w:p>
            <w:pPr>
              <w:ind w:left="40"/>
              <w:spacing w:after="0"/>
              <w:rPr>
                <w:sz w:val="20"/>
                <w:szCs w:val="20"/>
                <w:color w:val="auto"/>
              </w:rPr>
            </w:pPr>
            <w:r>
              <w:rPr>
                <w:rFonts w:ascii="Arial" w:cs="Arial" w:eastAsia="Arial" w:hAnsi="Arial"/>
                <w:sz w:val="16"/>
                <w:szCs w:val="16"/>
                <w:color w:val="auto"/>
              </w:rPr>
              <w:t>23</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240"/>
          </w:cols>
          <w:pgMar w:left="320" w:top="263"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6"/>
          <w:szCs w:val="16"/>
          <w:b w:val="1"/>
          <w:bCs w:val="1"/>
          <w:color w:val="auto"/>
        </w:rPr>
        <w:t>LIBERTY GLOBAL PLC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June 30, 2020</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80" w:type="dxa"/>
            <w:vAlign w:val="bottom"/>
            <w:gridSpan w:val="6"/>
          </w:tcPr>
          <w:p>
            <w:pPr>
              <w:ind w:left="40"/>
              <w:spacing w:after="0"/>
              <w:rPr>
                <w:sz w:val="20"/>
                <w:szCs w:val="20"/>
                <w:color w:val="auto"/>
              </w:rPr>
            </w:pPr>
            <w:r>
              <w:rPr>
                <w:rFonts w:ascii="Arial" w:cs="Arial" w:eastAsia="Arial" w:hAnsi="Arial"/>
                <w:sz w:val="14"/>
                <w:szCs w:val="14"/>
                <w:b w:val="1"/>
                <w:bCs w:val="1"/>
                <w:color w:val="auto"/>
                <w:w w:val="87"/>
              </w:rPr>
              <w:t>Fair value measurements at</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2"/>
        </w:trPr>
        <w:tc>
          <w:tcPr>
            <w:tcW w:w="11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8"/>
              </w:rPr>
              <w:t>December 31, 2019 using:</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8"/>
        </w:trPr>
        <w:tc>
          <w:tcPr>
            <w:tcW w:w="11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7"/>
        </w:trPr>
        <w:tc>
          <w:tcPr>
            <w:tcW w:w="11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Quoted prices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2"/>
              </w:rPr>
              <w:t>Significant</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5"/>
        </w:trPr>
        <w:tc>
          <w:tcPr>
            <w:tcW w:w="11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center"/>
              <w:ind w:right="5"/>
              <w:spacing w:after="0"/>
              <w:rPr>
                <w:sz w:val="20"/>
                <w:szCs w:val="20"/>
                <w:color w:val="auto"/>
              </w:rPr>
            </w:pPr>
            <w:r>
              <w:rPr>
                <w:rFonts w:ascii="Arial" w:cs="Arial" w:eastAsia="Arial" w:hAnsi="Arial"/>
                <w:sz w:val="14"/>
                <w:szCs w:val="14"/>
                <w:b w:val="1"/>
                <w:bCs w:val="1"/>
                <w:color w:val="auto"/>
                <w:w w:val="89"/>
              </w:rPr>
              <w:t>in active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5"/>
              </w:rPr>
              <w:t>other</w:t>
            </w:r>
          </w:p>
        </w:tc>
        <w:tc>
          <w:tcPr>
            <w:tcW w:w="180" w:type="dxa"/>
            <w:vAlign w:val="bottom"/>
          </w:tcPr>
          <w:p>
            <w:pPr>
              <w:spacing w:after="0"/>
              <w:rPr>
                <w:sz w:val="15"/>
                <w:szCs w:val="15"/>
                <w:color w:val="auto"/>
              </w:rPr>
            </w:pPr>
          </w:p>
        </w:tc>
        <w:tc>
          <w:tcPr>
            <w:tcW w:w="1140" w:type="dxa"/>
            <w:vAlign w:val="bottom"/>
          </w:tcPr>
          <w:p>
            <w:pPr>
              <w:jc w:val="center"/>
              <w:ind w:right="124"/>
              <w:spacing w:after="0"/>
              <w:rPr>
                <w:sz w:val="20"/>
                <w:szCs w:val="20"/>
                <w:color w:val="auto"/>
              </w:rPr>
            </w:pPr>
            <w:r>
              <w:rPr>
                <w:rFonts w:ascii="Arial" w:cs="Arial" w:eastAsia="Arial" w:hAnsi="Arial"/>
                <w:sz w:val="14"/>
                <w:szCs w:val="14"/>
                <w:b w:val="1"/>
                <w:bCs w:val="1"/>
                <w:color w:val="auto"/>
                <w:w w:val="92"/>
              </w:rPr>
              <w:t>Significant</w:t>
            </w:r>
          </w:p>
        </w:tc>
      </w:tr>
      <w:tr>
        <w:trPr>
          <w:trHeight w:val="175"/>
        </w:trPr>
        <w:tc>
          <w:tcPr>
            <w:tcW w:w="11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center"/>
              <w:ind w:right="5"/>
              <w:spacing w:after="0"/>
              <w:rPr>
                <w:sz w:val="20"/>
                <w:szCs w:val="20"/>
                <w:color w:val="auto"/>
              </w:rPr>
            </w:pPr>
            <w:r>
              <w:rPr>
                <w:rFonts w:ascii="Arial" w:cs="Arial" w:eastAsia="Arial" w:hAnsi="Arial"/>
                <w:sz w:val="14"/>
                <w:szCs w:val="14"/>
                <w:b w:val="1"/>
                <w:bCs w:val="1"/>
                <w:color w:val="auto"/>
                <w:w w:val="91"/>
              </w:rPr>
              <w:t>markets for</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9"/>
              </w:rPr>
              <w:t>observable</w:t>
            </w:r>
          </w:p>
        </w:tc>
        <w:tc>
          <w:tcPr>
            <w:tcW w:w="180" w:type="dxa"/>
            <w:vAlign w:val="bottom"/>
          </w:tcPr>
          <w:p>
            <w:pPr>
              <w:spacing w:after="0"/>
              <w:rPr>
                <w:sz w:val="15"/>
                <w:szCs w:val="15"/>
                <w:color w:val="auto"/>
              </w:rPr>
            </w:pPr>
          </w:p>
        </w:tc>
        <w:tc>
          <w:tcPr>
            <w:tcW w:w="1140" w:type="dxa"/>
            <w:vAlign w:val="bottom"/>
          </w:tcPr>
          <w:p>
            <w:pPr>
              <w:jc w:val="center"/>
              <w:ind w:right="104"/>
              <w:spacing w:after="0"/>
              <w:rPr>
                <w:sz w:val="20"/>
                <w:szCs w:val="20"/>
                <w:color w:val="auto"/>
              </w:rPr>
            </w:pPr>
            <w:r>
              <w:rPr>
                <w:rFonts w:ascii="Arial" w:cs="Arial" w:eastAsia="Arial" w:hAnsi="Arial"/>
                <w:sz w:val="14"/>
                <w:szCs w:val="14"/>
                <w:b w:val="1"/>
                <w:bCs w:val="1"/>
                <w:color w:val="auto"/>
                <w:w w:val="87"/>
              </w:rPr>
              <w:t>unobservable</w:t>
            </w:r>
          </w:p>
        </w:tc>
      </w:tr>
      <w:tr>
        <w:trPr>
          <w:trHeight w:val="175"/>
        </w:trPr>
        <w:tc>
          <w:tcPr>
            <w:tcW w:w="11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4"/>
              </w:rPr>
              <w:t>identical assets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0"/>
              </w:rPr>
              <w:t>inputs</w:t>
            </w:r>
          </w:p>
        </w:tc>
        <w:tc>
          <w:tcPr>
            <w:tcW w:w="180" w:type="dxa"/>
            <w:vAlign w:val="bottom"/>
          </w:tcPr>
          <w:p>
            <w:pPr>
              <w:spacing w:after="0"/>
              <w:rPr>
                <w:sz w:val="15"/>
                <w:szCs w:val="15"/>
                <w:color w:val="auto"/>
              </w:rPr>
            </w:pPr>
          </w:p>
        </w:tc>
        <w:tc>
          <w:tcPr>
            <w:tcW w:w="1140" w:type="dxa"/>
            <w:vAlign w:val="bottom"/>
          </w:tcPr>
          <w:p>
            <w:pPr>
              <w:jc w:val="center"/>
              <w:ind w:right="124"/>
              <w:spacing w:after="0"/>
              <w:rPr>
                <w:sz w:val="20"/>
                <w:szCs w:val="20"/>
                <w:color w:val="auto"/>
              </w:rPr>
            </w:pPr>
            <w:r>
              <w:rPr>
                <w:rFonts w:ascii="Arial" w:cs="Arial" w:eastAsia="Arial" w:hAnsi="Arial"/>
                <w:sz w:val="14"/>
                <w:szCs w:val="14"/>
                <w:b w:val="1"/>
                <w:bCs w:val="1"/>
                <w:color w:val="auto"/>
                <w:w w:val="90"/>
              </w:rPr>
              <w:t>inputs</w:t>
            </w:r>
          </w:p>
        </w:tc>
      </w:tr>
      <w:tr>
        <w:trPr>
          <w:trHeight w:val="182"/>
        </w:trPr>
        <w:tc>
          <w:tcPr>
            <w:tcW w:w="5520" w:type="dxa"/>
            <w:vAlign w:val="bottom"/>
            <w:gridSpan w:val="2"/>
          </w:tcPr>
          <w:p>
            <w:pPr>
              <w:ind w:left="20"/>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5"/>
                <w:szCs w:val="15"/>
                <w:color w:val="auto"/>
              </w:rPr>
            </w:pPr>
          </w:p>
        </w:tc>
        <w:tc>
          <w:tcPr>
            <w:tcW w:w="13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2019</w:t>
            </w:r>
          </w:p>
        </w:tc>
        <w:tc>
          <w:tcPr>
            <w:tcW w:w="16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1"/>
              </w:rPr>
              <w:t>(Level 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4"/>
              </w:rPr>
              <w:t>(Level 2)</w:t>
            </w:r>
          </w:p>
        </w:tc>
        <w:tc>
          <w:tcPr>
            <w:tcW w:w="180" w:type="dxa"/>
            <w:vAlign w:val="bottom"/>
          </w:tcPr>
          <w:p>
            <w:pPr>
              <w:spacing w:after="0"/>
              <w:rPr>
                <w:sz w:val="15"/>
                <w:szCs w:val="15"/>
                <w:color w:val="auto"/>
              </w:rPr>
            </w:pPr>
          </w:p>
        </w:tc>
        <w:tc>
          <w:tcPr>
            <w:tcW w:w="1140" w:type="dxa"/>
            <w:vAlign w:val="bottom"/>
          </w:tcPr>
          <w:p>
            <w:pPr>
              <w:jc w:val="center"/>
              <w:ind w:right="104"/>
              <w:spacing w:after="0"/>
              <w:rPr>
                <w:sz w:val="20"/>
                <w:szCs w:val="20"/>
                <w:color w:val="auto"/>
              </w:rPr>
            </w:pPr>
            <w:r>
              <w:rPr>
                <w:rFonts w:ascii="Arial" w:cs="Arial" w:eastAsia="Arial" w:hAnsi="Arial"/>
                <w:sz w:val="14"/>
                <w:szCs w:val="14"/>
                <w:b w:val="1"/>
                <w:bCs w:val="1"/>
                <w:color w:val="auto"/>
                <w:w w:val="91"/>
              </w:rPr>
              <w:t>(Level 3)</w:t>
            </w:r>
          </w:p>
        </w:tc>
      </w:tr>
      <w:tr>
        <w:trPr>
          <w:trHeight w:val="28"/>
        </w:trPr>
        <w:tc>
          <w:tcPr>
            <w:tcW w:w="1120" w:type="dxa"/>
            <w:vAlign w:val="bottom"/>
            <w:tcBorders>
              <w:bottom w:val="single" w:sz="8" w:color="auto"/>
            </w:tcBorders>
          </w:tcPr>
          <w:p>
            <w:pPr>
              <w:spacing w:after="0"/>
              <w:rPr>
                <w:sz w:val="2"/>
                <w:szCs w:val="2"/>
                <w:color w:val="auto"/>
              </w:rPr>
            </w:pPr>
          </w:p>
        </w:tc>
        <w:tc>
          <w:tcPr>
            <w:tcW w:w="44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4"/>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7"/>
        </w:trPr>
        <w:tc>
          <w:tcPr>
            <w:tcW w:w="112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in millions</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8"/>
        </w:trPr>
        <w:tc>
          <w:tcPr>
            <w:tcW w:w="11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3"/>
        </w:trPr>
        <w:tc>
          <w:tcPr>
            <w:tcW w:w="5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1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09"/>
        </w:trPr>
        <w:tc>
          <w:tcPr>
            <w:tcW w:w="5520" w:type="dxa"/>
            <w:vAlign w:val="bottom"/>
            <w:gridSpan w:val="2"/>
          </w:tcPr>
          <w:p>
            <w:pPr>
              <w:ind w:left="140"/>
              <w:spacing w:after="0"/>
              <w:rPr>
                <w:sz w:val="20"/>
                <w:szCs w:val="20"/>
                <w:color w:val="auto"/>
              </w:rPr>
            </w:pPr>
            <w:r>
              <w:rPr>
                <w:rFonts w:ascii="Arial" w:cs="Arial" w:eastAsia="Arial" w:hAnsi="Arial"/>
                <w:sz w:val="16"/>
                <w:szCs w:val="16"/>
                <w:color w:val="auto"/>
              </w:rPr>
              <w:t>Derivative instruments:</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4"/>
        </w:trPr>
        <w:tc>
          <w:tcPr>
            <w:tcW w:w="11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3"/>
        </w:trPr>
        <w:tc>
          <w:tcPr>
            <w:tcW w:w="55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Cross-currency and interest rate derivative contracts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1,157.2</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1,157.2</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w:t>
            </w:r>
          </w:p>
        </w:tc>
      </w:tr>
      <w:tr>
        <w:trPr>
          <w:trHeight w:val="209"/>
        </w:trPr>
        <w:tc>
          <w:tcPr>
            <w:tcW w:w="5520" w:type="dxa"/>
            <w:vAlign w:val="bottom"/>
            <w:gridSpan w:val="2"/>
          </w:tcPr>
          <w:p>
            <w:pPr>
              <w:ind w:left="380"/>
              <w:spacing w:after="0"/>
              <w:rPr>
                <w:sz w:val="20"/>
                <w:szCs w:val="20"/>
                <w:color w:val="auto"/>
              </w:rPr>
            </w:pPr>
            <w:r>
              <w:rPr>
                <w:rFonts w:ascii="Arial" w:cs="Arial" w:eastAsia="Arial" w:hAnsi="Arial"/>
                <w:sz w:val="16"/>
                <w:szCs w:val="16"/>
                <w:color w:val="auto"/>
              </w:rPr>
              <w:t>Equity-related derivative instruments</w:t>
            </w:r>
          </w:p>
        </w:tc>
        <w:tc>
          <w:tcPr>
            <w:tcW w:w="100" w:type="dxa"/>
            <w:vAlign w:val="bottom"/>
          </w:tcPr>
          <w:p>
            <w:pPr>
              <w:spacing w:after="0"/>
              <w:rPr>
                <w:sz w:val="18"/>
                <w:szCs w:val="18"/>
                <w:color w:val="auto"/>
              </w:rPr>
            </w:pPr>
          </w:p>
        </w:tc>
        <w:tc>
          <w:tcPr>
            <w:tcW w:w="1260" w:type="dxa"/>
            <w:vAlign w:val="bottom"/>
          </w:tcPr>
          <w:p>
            <w:pPr>
              <w:jc w:val="right"/>
              <w:ind w:right="43"/>
              <w:spacing w:after="0"/>
              <w:rPr>
                <w:sz w:val="20"/>
                <w:szCs w:val="20"/>
                <w:color w:val="auto"/>
              </w:rPr>
            </w:pPr>
            <w:r>
              <w:rPr>
                <w:rFonts w:ascii="Arial" w:cs="Arial" w:eastAsia="Arial" w:hAnsi="Arial"/>
                <w:sz w:val="16"/>
                <w:szCs w:val="16"/>
                <w:color w:val="auto"/>
              </w:rPr>
              <w:t>663.4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40" w:type="dxa"/>
            <w:vAlign w:val="bottom"/>
          </w:tcPr>
          <w:p>
            <w:pPr>
              <w:jc w:val="right"/>
              <w:ind w:right="24"/>
              <w:spacing w:after="0"/>
              <w:rPr>
                <w:sz w:val="20"/>
                <w:szCs w:val="20"/>
                <w:color w:val="auto"/>
              </w:rPr>
            </w:pPr>
            <w:r>
              <w:rPr>
                <w:rFonts w:ascii="Arial" w:cs="Arial" w:eastAsia="Arial" w:hAnsi="Arial"/>
                <w:sz w:val="16"/>
                <w:szCs w:val="16"/>
                <w:color w:val="auto"/>
              </w:rPr>
              <w:t>663.4</w:t>
            </w:r>
          </w:p>
        </w:tc>
      </w:tr>
      <w:tr>
        <w:trPr>
          <w:trHeight w:val="24"/>
        </w:trPr>
        <w:tc>
          <w:tcPr>
            <w:tcW w:w="11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3"/>
        </w:trPr>
        <w:tc>
          <w:tcPr>
            <w:tcW w:w="55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Foreign currency forward and option contracts</w:t>
            </w:r>
          </w:p>
        </w:tc>
        <w:tc>
          <w:tcPr>
            <w:tcW w:w="1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w:t>
            </w:r>
          </w:p>
        </w:tc>
      </w:tr>
      <w:tr>
        <w:trPr>
          <w:trHeight w:val="209"/>
        </w:trPr>
        <w:tc>
          <w:tcPr>
            <w:tcW w:w="5520" w:type="dxa"/>
            <w:vAlign w:val="bottom"/>
            <w:gridSpan w:val="2"/>
          </w:tcPr>
          <w:p>
            <w:pPr>
              <w:ind w:left="380"/>
              <w:spacing w:after="0"/>
              <w:rPr>
                <w:sz w:val="20"/>
                <w:szCs w:val="20"/>
                <w:color w:val="auto"/>
              </w:rPr>
            </w:pPr>
            <w:r>
              <w:rPr>
                <w:rFonts w:ascii="Arial" w:cs="Arial" w:eastAsia="Arial" w:hAnsi="Arial"/>
                <w:sz w:val="16"/>
                <w:szCs w:val="16"/>
                <w:color w:val="auto"/>
              </w:rPr>
              <w:t>Other</w:t>
            </w:r>
          </w:p>
        </w:tc>
        <w:tc>
          <w:tcPr>
            <w:tcW w:w="100" w:type="dxa"/>
            <w:vAlign w:val="bottom"/>
          </w:tcPr>
          <w:p>
            <w:pPr>
              <w:spacing w:after="0"/>
              <w:rPr>
                <w:sz w:val="18"/>
                <w:szCs w:val="18"/>
                <w:color w:val="auto"/>
              </w:rPr>
            </w:pPr>
          </w:p>
        </w:tc>
        <w:tc>
          <w:tcPr>
            <w:tcW w:w="1260" w:type="dxa"/>
            <w:vAlign w:val="bottom"/>
          </w:tcPr>
          <w:p>
            <w:pPr>
              <w:jc w:val="right"/>
              <w:ind w:right="43"/>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25"/>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24"/>
              <w:spacing w:after="0"/>
              <w:rPr>
                <w:sz w:val="20"/>
                <w:szCs w:val="20"/>
                <w:color w:val="auto"/>
              </w:rPr>
            </w:pPr>
            <w:r>
              <w:rPr>
                <w:rFonts w:ascii="Arial" w:cs="Arial" w:eastAsia="Arial" w:hAnsi="Arial"/>
                <w:sz w:val="16"/>
                <w:szCs w:val="16"/>
                <w:color w:val="auto"/>
              </w:rPr>
              <w:t>—</w:t>
            </w:r>
          </w:p>
        </w:tc>
      </w:tr>
      <w:tr>
        <w:trPr>
          <w:trHeight w:val="24"/>
        </w:trPr>
        <w:tc>
          <w:tcPr>
            <w:tcW w:w="1120" w:type="dxa"/>
            <w:vAlign w:val="bottom"/>
            <w:tcBorders>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4"/>
        </w:trPr>
        <w:tc>
          <w:tcPr>
            <w:tcW w:w="552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6"/>
                <w:szCs w:val="16"/>
                <w:color w:val="auto"/>
              </w:rPr>
              <w:t>Total derivative instruments</w:t>
            </w:r>
          </w:p>
        </w:tc>
        <w:tc>
          <w:tcPr>
            <w:tcW w:w="1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1,827.5</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1,164.1</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663.4</w:t>
            </w:r>
          </w:p>
        </w:tc>
      </w:tr>
      <w:tr>
        <w:trPr>
          <w:trHeight w:val="209"/>
        </w:trPr>
        <w:tc>
          <w:tcPr>
            <w:tcW w:w="5520" w:type="dxa"/>
            <w:vAlign w:val="bottom"/>
            <w:gridSpan w:val="2"/>
          </w:tcPr>
          <w:p>
            <w:pPr>
              <w:ind w:left="140"/>
              <w:spacing w:after="0"/>
              <w:rPr>
                <w:sz w:val="20"/>
                <w:szCs w:val="20"/>
                <w:color w:val="auto"/>
              </w:rPr>
            </w:pPr>
            <w:r>
              <w:rPr>
                <w:rFonts w:ascii="Arial" w:cs="Arial" w:eastAsia="Arial" w:hAnsi="Arial"/>
                <w:sz w:val="16"/>
                <w:szCs w:val="16"/>
                <w:color w:val="auto"/>
              </w:rPr>
              <w:t>Investments</w:t>
            </w:r>
          </w:p>
        </w:tc>
        <w:tc>
          <w:tcPr>
            <w:tcW w:w="100" w:type="dxa"/>
            <w:vAlign w:val="bottom"/>
          </w:tcPr>
          <w:p>
            <w:pPr>
              <w:spacing w:after="0"/>
              <w:rPr>
                <w:sz w:val="18"/>
                <w:szCs w:val="18"/>
                <w:color w:val="auto"/>
              </w:rPr>
            </w:pPr>
          </w:p>
        </w:tc>
        <w:tc>
          <w:tcPr>
            <w:tcW w:w="1260" w:type="dxa"/>
            <w:vAlign w:val="bottom"/>
          </w:tcPr>
          <w:p>
            <w:pPr>
              <w:jc w:val="right"/>
              <w:ind w:right="43"/>
              <w:spacing w:after="0"/>
              <w:rPr>
                <w:sz w:val="20"/>
                <w:szCs w:val="20"/>
                <w:color w:val="auto"/>
              </w:rPr>
            </w:pPr>
            <w:r>
              <w:rPr>
                <w:rFonts w:ascii="Arial" w:cs="Arial" w:eastAsia="Arial" w:hAnsi="Arial"/>
                <w:sz w:val="16"/>
                <w:szCs w:val="16"/>
                <w:color w:val="auto"/>
              </w:rPr>
              <w:t>1,289.2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869.2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8"/>
                <w:szCs w:val="18"/>
                <w:color w:val="auto"/>
              </w:rPr>
            </w:pPr>
          </w:p>
        </w:tc>
        <w:tc>
          <w:tcPr>
            <w:tcW w:w="1140" w:type="dxa"/>
            <w:vAlign w:val="bottom"/>
          </w:tcPr>
          <w:p>
            <w:pPr>
              <w:jc w:val="right"/>
              <w:ind w:right="24"/>
              <w:spacing w:after="0"/>
              <w:rPr>
                <w:sz w:val="20"/>
                <w:szCs w:val="20"/>
                <w:color w:val="auto"/>
              </w:rPr>
            </w:pPr>
            <w:r>
              <w:rPr>
                <w:rFonts w:ascii="Arial" w:cs="Arial" w:eastAsia="Arial" w:hAnsi="Arial"/>
                <w:sz w:val="16"/>
                <w:szCs w:val="16"/>
                <w:color w:val="auto"/>
              </w:rPr>
              <w:t>420.0</w:t>
            </w:r>
          </w:p>
        </w:tc>
      </w:tr>
      <w:tr>
        <w:trPr>
          <w:trHeight w:val="24"/>
        </w:trPr>
        <w:tc>
          <w:tcPr>
            <w:tcW w:w="1120" w:type="dxa"/>
            <w:vAlign w:val="bottom"/>
            <w:tcBorders>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9"/>
        </w:trPr>
        <w:tc>
          <w:tcPr>
            <w:tcW w:w="552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6"/>
                <w:szCs w:val="16"/>
                <w:color w:val="auto"/>
              </w:rPr>
              <w:t>Total assets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3,116.7</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869.2</w:t>
            </w:r>
          </w:p>
        </w:tc>
        <w:tc>
          <w:tcPr>
            <w:tcW w:w="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1,164.1</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1,083.4</w:t>
            </w:r>
          </w:p>
        </w:tc>
      </w:tr>
      <w:tr>
        <w:trPr>
          <w:trHeight w:val="20"/>
        </w:trPr>
        <w:tc>
          <w:tcPr>
            <w:tcW w:w="1120" w:type="dxa"/>
            <w:vAlign w:val="bottom"/>
            <w:tcBorders>
              <w:top w:val="single" w:sz="8" w:color="CCEEFF"/>
            </w:tcBorders>
          </w:tcPr>
          <w:p>
            <w:pPr>
              <w:spacing w:after="0" w:line="20" w:lineRule="exact"/>
              <w:rPr>
                <w:sz w:val="1"/>
                <w:szCs w:val="1"/>
                <w:color w:val="auto"/>
              </w:rPr>
            </w:pPr>
          </w:p>
        </w:tc>
        <w:tc>
          <w:tcPr>
            <w:tcW w:w="4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138"/>
        </w:trPr>
        <w:tc>
          <w:tcPr>
            <w:tcW w:w="112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213"/>
        </w:trPr>
        <w:tc>
          <w:tcPr>
            <w:tcW w:w="5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1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09"/>
        </w:trPr>
        <w:tc>
          <w:tcPr>
            <w:tcW w:w="5520" w:type="dxa"/>
            <w:vAlign w:val="bottom"/>
            <w:gridSpan w:val="2"/>
          </w:tcPr>
          <w:p>
            <w:pPr>
              <w:ind w:left="140"/>
              <w:spacing w:after="0"/>
              <w:rPr>
                <w:sz w:val="20"/>
                <w:szCs w:val="20"/>
                <w:color w:val="auto"/>
              </w:rPr>
            </w:pPr>
            <w:r>
              <w:rPr>
                <w:rFonts w:ascii="Arial" w:cs="Arial" w:eastAsia="Arial" w:hAnsi="Arial"/>
                <w:sz w:val="16"/>
                <w:szCs w:val="16"/>
                <w:color w:val="auto"/>
              </w:rPr>
              <w:t>Derivative instruments:</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4"/>
        </w:trPr>
        <w:tc>
          <w:tcPr>
            <w:tcW w:w="11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3"/>
        </w:trPr>
        <w:tc>
          <w:tcPr>
            <w:tcW w:w="552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Cross-currency and interest rate derivative contracts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1,581.5</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1,561.6</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19.9</w:t>
            </w:r>
          </w:p>
        </w:tc>
      </w:tr>
      <w:tr>
        <w:trPr>
          <w:trHeight w:val="209"/>
        </w:trPr>
        <w:tc>
          <w:tcPr>
            <w:tcW w:w="5520" w:type="dxa"/>
            <w:vAlign w:val="bottom"/>
            <w:gridSpan w:val="2"/>
          </w:tcPr>
          <w:p>
            <w:pPr>
              <w:ind w:left="560"/>
              <w:spacing w:after="0"/>
              <w:rPr>
                <w:sz w:val="20"/>
                <w:szCs w:val="20"/>
                <w:color w:val="auto"/>
              </w:rPr>
            </w:pPr>
            <w:r>
              <w:rPr>
                <w:rFonts w:ascii="Arial" w:cs="Arial" w:eastAsia="Arial" w:hAnsi="Arial"/>
                <w:sz w:val="16"/>
                <w:szCs w:val="16"/>
                <w:color w:val="auto"/>
              </w:rPr>
              <w:t>Foreign currency forward and option contracts</w:t>
            </w:r>
          </w:p>
        </w:tc>
        <w:tc>
          <w:tcPr>
            <w:tcW w:w="100" w:type="dxa"/>
            <w:vAlign w:val="bottom"/>
          </w:tcPr>
          <w:p>
            <w:pPr>
              <w:spacing w:after="0"/>
              <w:rPr>
                <w:sz w:val="18"/>
                <w:szCs w:val="18"/>
                <w:color w:val="auto"/>
              </w:rPr>
            </w:pPr>
          </w:p>
        </w:tc>
        <w:tc>
          <w:tcPr>
            <w:tcW w:w="1260" w:type="dxa"/>
            <w:vAlign w:val="bottom"/>
          </w:tcPr>
          <w:p>
            <w:pPr>
              <w:jc w:val="right"/>
              <w:ind w:right="43"/>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25"/>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24"/>
              <w:spacing w:after="0"/>
              <w:rPr>
                <w:sz w:val="20"/>
                <w:szCs w:val="20"/>
                <w:color w:val="auto"/>
              </w:rPr>
            </w:pPr>
            <w:r>
              <w:rPr>
                <w:rFonts w:ascii="Arial" w:cs="Arial" w:eastAsia="Arial" w:hAnsi="Arial"/>
                <w:sz w:val="16"/>
                <w:szCs w:val="16"/>
                <w:color w:val="auto"/>
              </w:rPr>
              <w:t>—</w:t>
            </w:r>
          </w:p>
        </w:tc>
      </w:tr>
      <w:tr>
        <w:trPr>
          <w:trHeight w:val="24"/>
        </w:trPr>
        <w:tc>
          <w:tcPr>
            <w:tcW w:w="1120" w:type="dxa"/>
            <w:vAlign w:val="bottom"/>
            <w:tcBorders>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4"/>
        </w:trPr>
        <w:tc>
          <w:tcPr>
            <w:tcW w:w="552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6"/>
                <w:szCs w:val="16"/>
                <w:color w:val="auto"/>
              </w:rPr>
              <w:t>Total derivative instruments</w:t>
            </w:r>
          </w:p>
        </w:tc>
        <w:tc>
          <w:tcPr>
            <w:tcW w:w="1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1,582.7</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1,562.8</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19.9</w:t>
            </w:r>
          </w:p>
        </w:tc>
      </w:tr>
      <w:tr>
        <w:trPr>
          <w:trHeight w:val="209"/>
        </w:trPr>
        <w:tc>
          <w:tcPr>
            <w:tcW w:w="5520" w:type="dxa"/>
            <w:vAlign w:val="bottom"/>
            <w:gridSpan w:val="2"/>
          </w:tcPr>
          <w:p>
            <w:pPr>
              <w:ind w:left="140"/>
              <w:spacing w:after="0"/>
              <w:rPr>
                <w:sz w:val="20"/>
                <w:szCs w:val="20"/>
                <w:color w:val="auto"/>
              </w:rPr>
            </w:pPr>
            <w:r>
              <w:rPr>
                <w:rFonts w:ascii="Arial" w:cs="Arial" w:eastAsia="Arial" w:hAnsi="Arial"/>
                <w:sz w:val="16"/>
                <w:szCs w:val="16"/>
                <w:color w:val="auto"/>
              </w:rPr>
              <w:t>Debt</w:t>
            </w:r>
          </w:p>
        </w:tc>
        <w:tc>
          <w:tcPr>
            <w:tcW w:w="100" w:type="dxa"/>
            <w:vAlign w:val="bottom"/>
          </w:tcPr>
          <w:p>
            <w:pPr>
              <w:spacing w:after="0"/>
              <w:rPr>
                <w:sz w:val="18"/>
                <w:szCs w:val="18"/>
                <w:color w:val="auto"/>
              </w:rPr>
            </w:pPr>
          </w:p>
        </w:tc>
        <w:tc>
          <w:tcPr>
            <w:tcW w:w="1260" w:type="dxa"/>
            <w:vAlign w:val="bottom"/>
          </w:tcPr>
          <w:p>
            <w:pPr>
              <w:jc w:val="right"/>
              <w:ind w:right="43"/>
              <w:spacing w:after="0"/>
              <w:rPr>
                <w:sz w:val="20"/>
                <w:szCs w:val="20"/>
                <w:color w:val="auto"/>
              </w:rPr>
            </w:pPr>
            <w:r>
              <w:rPr>
                <w:rFonts w:ascii="Arial" w:cs="Arial" w:eastAsia="Arial" w:hAnsi="Arial"/>
                <w:sz w:val="16"/>
                <w:szCs w:val="16"/>
                <w:color w:val="auto"/>
              </w:rPr>
              <w:t>45.6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25"/>
              <w:spacing w:after="0"/>
              <w:rPr>
                <w:sz w:val="20"/>
                <w:szCs w:val="20"/>
                <w:color w:val="auto"/>
              </w:rPr>
            </w:pPr>
            <w:r>
              <w:rPr>
                <w:rFonts w:ascii="Arial" w:cs="Arial" w:eastAsia="Arial" w:hAnsi="Arial"/>
                <w:sz w:val="16"/>
                <w:szCs w:val="16"/>
                <w:color w:val="auto"/>
              </w:rPr>
              <w:t>45.6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24"/>
              <w:spacing w:after="0"/>
              <w:rPr>
                <w:sz w:val="20"/>
                <w:szCs w:val="20"/>
                <w:color w:val="auto"/>
              </w:rPr>
            </w:pPr>
            <w:r>
              <w:rPr>
                <w:rFonts w:ascii="Arial" w:cs="Arial" w:eastAsia="Arial" w:hAnsi="Arial"/>
                <w:sz w:val="16"/>
                <w:szCs w:val="16"/>
                <w:color w:val="auto"/>
              </w:rPr>
              <w:t>—</w:t>
            </w:r>
          </w:p>
        </w:tc>
      </w:tr>
      <w:tr>
        <w:trPr>
          <w:trHeight w:val="24"/>
        </w:trPr>
        <w:tc>
          <w:tcPr>
            <w:tcW w:w="1120" w:type="dxa"/>
            <w:vAlign w:val="bottom"/>
            <w:tcBorders>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9"/>
        </w:trPr>
        <w:tc>
          <w:tcPr>
            <w:tcW w:w="55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6"/>
                <w:szCs w:val="16"/>
                <w:color w:val="auto"/>
              </w:rPr>
              <w:t>Total liabilities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1,628.3</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1,608.4</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19.9</w:t>
            </w:r>
          </w:p>
        </w:tc>
      </w:tr>
      <w:tr>
        <w:trPr>
          <w:trHeight w:val="20"/>
        </w:trPr>
        <w:tc>
          <w:tcPr>
            <w:tcW w:w="1120" w:type="dxa"/>
            <w:vAlign w:val="bottom"/>
            <w:tcBorders>
              <w:top w:val="single" w:sz="8" w:color="CCEEFF"/>
            </w:tcBorders>
          </w:tcPr>
          <w:p>
            <w:pPr>
              <w:spacing w:after="0" w:line="20" w:lineRule="exact"/>
              <w:rPr>
                <w:sz w:val="1"/>
                <w:szCs w:val="1"/>
                <w:color w:val="auto"/>
              </w:rPr>
            </w:pPr>
          </w:p>
        </w:tc>
        <w:tc>
          <w:tcPr>
            <w:tcW w:w="4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362" w:lineRule="exact"/>
        <w:rPr>
          <w:sz w:val="20"/>
          <w:szCs w:val="20"/>
          <w:color w:val="auto"/>
        </w:rPr>
      </w:pPr>
    </w:p>
    <w:p>
      <w:pPr>
        <w:jc w:val="both"/>
        <w:ind w:right="20" w:firstLine="279"/>
        <w:spacing w:after="0" w:line="258" w:lineRule="auto"/>
        <w:rPr>
          <w:sz w:val="20"/>
          <w:szCs w:val="20"/>
          <w:color w:val="auto"/>
        </w:rPr>
      </w:pPr>
      <w:r>
        <w:rPr>
          <w:rFonts w:ascii="Arial" w:cs="Arial" w:eastAsia="Arial" w:hAnsi="Arial"/>
          <w:sz w:val="16"/>
          <w:szCs w:val="16"/>
          <w:color w:val="auto"/>
        </w:rPr>
        <w:t>A reconciliation of the beginning and ending balances of our assets and liabilities measured at fair value on a recurring basis using significant unobservable, or Level 3, inputs is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8"/>
              </w:rPr>
              <w:t>Cross-currency, interest rate</w:t>
            </w:r>
          </w:p>
        </w:tc>
        <w:tc>
          <w:tcPr>
            <w:tcW w:w="180" w:type="dxa"/>
            <w:vAlign w:val="bottom"/>
          </w:tcPr>
          <w:p>
            <w:pPr>
              <w:spacing w:after="0"/>
              <w:rPr>
                <w:sz w:val="15"/>
                <w:szCs w:val="15"/>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Equity-related</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5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0"/>
              </w:rPr>
              <w:t>and foreign currency</w:t>
            </w:r>
          </w:p>
        </w:tc>
        <w:tc>
          <w:tcPr>
            <w:tcW w:w="180" w:type="dxa"/>
            <w:vAlign w:val="bottom"/>
          </w:tcPr>
          <w:p>
            <w:pPr>
              <w:spacing w:after="0"/>
              <w:rPr>
                <w:sz w:val="15"/>
                <w:szCs w:val="15"/>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derivative</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5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Investments</w:t>
            </w:r>
          </w:p>
        </w:tc>
        <w:tc>
          <w:tcPr>
            <w:tcW w:w="200" w:type="dxa"/>
            <w:vAlign w:val="bottom"/>
          </w:tcPr>
          <w:p>
            <w:pPr>
              <w:spacing w:after="0"/>
              <w:rPr>
                <w:sz w:val="15"/>
                <w:szCs w:val="15"/>
                <w:color w:val="auto"/>
              </w:rPr>
            </w:pPr>
          </w:p>
        </w:tc>
        <w:tc>
          <w:tcPr>
            <w:tcW w:w="17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9"/>
              </w:rPr>
              <w:t>derivative contracts</w:t>
            </w:r>
          </w:p>
        </w:tc>
        <w:tc>
          <w:tcPr>
            <w:tcW w:w="180" w:type="dxa"/>
            <w:vAlign w:val="bottom"/>
          </w:tcPr>
          <w:p>
            <w:pPr>
              <w:spacing w:after="0"/>
              <w:rPr>
                <w:sz w:val="15"/>
                <w:szCs w:val="15"/>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instruments</w:t>
            </w:r>
          </w:p>
        </w:tc>
        <w:tc>
          <w:tcPr>
            <w:tcW w:w="260" w:type="dxa"/>
            <w:vAlign w:val="bottom"/>
          </w:tcPr>
          <w:p>
            <w:pPr>
              <w:spacing w:after="0"/>
              <w:rPr>
                <w:sz w:val="15"/>
                <w:szCs w:val="15"/>
                <w:color w:val="auto"/>
              </w:rPr>
            </w:pPr>
          </w:p>
        </w:tc>
        <w:tc>
          <w:tcPr>
            <w:tcW w:w="860" w:type="dxa"/>
            <w:vAlign w:val="bottom"/>
          </w:tcPr>
          <w:p>
            <w:pPr>
              <w:jc w:val="right"/>
              <w:ind w:right="323"/>
              <w:spacing w:after="0"/>
              <w:rPr>
                <w:sz w:val="20"/>
                <w:szCs w:val="20"/>
                <w:color w:val="auto"/>
              </w:rPr>
            </w:pPr>
            <w:r>
              <w:rPr>
                <w:rFonts w:ascii="Arial" w:cs="Arial" w:eastAsia="Arial" w:hAnsi="Arial"/>
                <w:sz w:val="14"/>
                <w:szCs w:val="14"/>
                <w:b w:val="1"/>
                <w:bCs w:val="1"/>
                <w:color w:val="auto"/>
              </w:rPr>
              <w:t>Total</w:t>
            </w:r>
          </w:p>
        </w:tc>
      </w:tr>
      <w:tr>
        <w:trPr>
          <w:trHeight w:val="28"/>
        </w:trPr>
        <w:tc>
          <w:tcPr>
            <w:tcW w:w="5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5"/>
        </w:trPr>
        <w:tc>
          <w:tcPr>
            <w:tcW w:w="5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gridSpan w:val="3"/>
          </w:tcPr>
          <w:p>
            <w:pPr>
              <w:ind w:left="1120"/>
              <w:spacing w:after="0"/>
              <w:rPr>
                <w:sz w:val="20"/>
                <w:szCs w:val="20"/>
                <w:color w:val="auto"/>
              </w:rPr>
            </w:pPr>
            <w:r>
              <w:rPr>
                <w:rFonts w:ascii="Arial" w:cs="Arial" w:eastAsia="Arial" w:hAnsi="Arial"/>
                <w:sz w:val="14"/>
                <w:szCs w:val="14"/>
                <w:b w:val="1"/>
                <w:bCs w:val="1"/>
                <w:color w:val="auto"/>
                <w:w w:val="89"/>
              </w:rPr>
              <w:t>in millions</w:t>
            </w: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8"/>
        </w:trPr>
        <w:tc>
          <w:tcPr>
            <w:tcW w:w="5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3"/>
        </w:trPr>
        <w:tc>
          <w:tcPr>
            <w:tcW w:w="5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09"/>
        </w:trPr>
        <w:tc>
          <w:tcPr>
            <w:tcW w:w="5280" w:type="dxa"/>
            <w:vAlign w:val="bottom"/>
          </w:tcPr>
          <w:p>
            <w:pPr>
              <w:ind w:left="20"/>
              <w:spacing w:after="0"/>
              <w:rPr>
                <w:sz w:val="20"/>
                <w:szCs w:val="20"/>
                <w:color w:val="auto"/>
              </w:rPr>
            </w:pPr>
            <w:r>
              <w:rPr>
                <w:rFonts w:ascii="Arial" w:cs="Arial" w:eastAsia="Arial" w:hAnsi="Arial"/>
                <w:sz w:val="16"/>
                <w:szCs w:val="16"/>
                <w:color w:val="auto"/>
              </w:rPr>
              <w:t>Balance of net assets (liabilities) at January 1, 2020</w:t>
            </w: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43"/>
              <w:spacing w:after="0"/>
              <w:rPr>
                <w:sz w:val="20"/>
                <w:szCs w:val="20"/>
                <w:color w:val="auto"/>
              </w:rPr>
            </w:pPr>
            <w:r>
              <w:rPr>
                <w:rFonts w:ascii="Arial" w:cs="Arial" w:eastAsia="Arial" w:hAnsi="Arial"/>
                <w:sz w:val="16"/>
                <w:szCs w:val="16"/>
                <w:color w:val="auto"/>
              </w:rPr>
              <w:t>420.0</w:t>
            </w:r>
          </w:p>
        </w:tc>
        <w:tc>
          <w:tcPr>
            <w:tcW w:w="100" w:type="dxa"/>
            <w:vAlign w:val="bottom"/>
          </w:tcPr>
          <w:p>
            <w:pPr>
              <w:spacing w:after="0"/>
              <w:rPr>
                <w:sz w:val="18"/>
                <w:szCs w:val="18"/>
                <w:color w:val="auto"/>
              </w:rPr>
            </w:pPr>
          </w:p>
        </w:tc>
        <w:tc>
          <w:tcPr>
            <w:tcW w:w="200" w:type="dxa"/>
            <w:vAlign w:val="bottom"/>
          </w:tcPr>
          <w:p>
            <w:pPr>
              <w:jc w:val="right"/>
              <w:ind w:right="25"/>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(19.9)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ind w:right="25"/>
              <w:spacing w:after="0"/>
              <w:rPr>
                <w:sz w:val="20"/>
                <w:szCs w:val="20"/>
                <w:color w:val="auto"/>
              </w:rPr>
            </w:pPr>
            <w:r>
              <w:rPr>
                <w:rFonts w:ascii="Arial" w:cs="Arial" w:eastAsia="Arial" w:hAnsi="Arial"/>
                <w:sz w:val="16"/>
                <w:szCs w:val="16"/>
                <w:color w:val="auto"/>
              </w:rPr>
              <w:t>663.4</w:t>
            </w:r>
          </w:p>
        </w:tc>
        <w:tc>
          <w:tcPr>
            <w:tcW w:w="100" w:type="dxa"/>
            <w:vAlign w:val="bottom"/>
          </w:tcPr>
          <w:p>
            <w:pPr>
              <w:spacing w:after="0"/>
              <w:rPr>
                <w:sz w:val="18"/>
                <w:szCs w:val="18"/>
                <w:color w:val="auto"/>
              </w:rPr>
            </w:pP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3"/>
              <w:spacing w:after="0"/>
              <w:rPr>
                <w:sz w:val="20"/>
                <w:szCs w:val="20"/>
                <w:color w:val="auto"/>
              </w:rPr>
            </w:pPr>
            <w:r>
              <w:rPr>
                <w:rFonts w:ascii="Arial" w:cs="Arial" w:eastAsia="Arial" w:hAnsi="Arial"/>
                <w:sz w:val="16"/>
                <w:szCs w:val="16"/>
                <w:color w:val="auto"/>
              </w:rPr>
              <w:t>1,063.5</w:t>
            </w:r>
          </w:p>
        </w:tc>
      </w:tr>
      <w:tr>
        <w:trPr>
          <w:trHeight w:val="24"/>
        </w:trPr>
        <w:tc>
          <w:tcPr>
            <w:tcW w:w="5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13"/>
        </w:trPr>
        <w:tc>
          <w:tcPr>
            <w:tcW w:w="5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Gains included in loss from continuing operations (a):</w:t>
            </w:r>
          </w:p>
        </w:tc>
        <w:tc>
          <w:tcPr>
            <w:tcW w:w="1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r>
      <w:tr>
        <w:trPr>
          <w:trHeight w:val="209"/>
        </w:trPr>
        <w:tc>
          <w:tcPr>
            <w:tcW w:w="5280" w:type="dxa"/>
            <w:vAlign w:val="bottom"/>
          </w:tcPr>
          <w:p>
            <w:pPr>
              <w:ind w:left="220"/>
              <w:spacing w:after="0"/>
              <w:rPr>
                <w:sz w:val="20"/>
                <w:szCs w:val="20"/>
                <w:color w:val="auto"/>
              </w:rPr>
            </w:pPr>
            <w:r>
              <w:rPr>
                <w:rFonts w:ascii="Arial" w:cs="Arial" w:eastAsia="Arial" w:hAnsi="Arial"/>
                <w:sz w:val="16"/>
                <w:szCs w:val="16"/>
                <w:color w:val="auto"/>
              </w:rPr>
              <w:t>Realized and unrealized gains (losses) on derivative instruments, net</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25"/>
              <w:spacing w:after="0"/>
              <w:rPr>
                <w:sz w:val="20"/>
                <w:szCs w:val="20"/>
                <w:color w:val="auto"/>
              </w:rPr>
            </w:pPr>
            <w:r>
              <w:rPr>
                <w:rFonts w:ascii="Arial" w:cs="Arial" w:eastAsia="Arial" w:hAnsi="Arial"/>
                <w:sz w:val="16"/>
                <w:szCs w:val="16"/>
                <w:color w:val="auto"/>
              </w:rPr>
              <w:t>377.6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43"/>
              <w:spacing w:after="0"/>
              <w:rPr>
                <w:sz w:val="20"/>
                <w:szCs w:val="20"/>
                <w:color w:val="auto"/>
              </w:rPr>
            </w:pPr>
            <w:r>
              <w:rPr>
                <w:rFonts w:ascii="Arial" w:cs="Arial" w:eastAsia="Arial" w:hAnsi="Arial"/>
                <w:sz w:val="16"/>
                <w:szCs w:val="16"/>
                <w:color w:val="auto"/>
              </w:rPr>
              <w:t>375.7</w:t>
            </w:r>
          </w:p>
        </w:tc>
      </w:tr>
      <w:tr>
        <w:trPr>
          <w:trHeight w:val="24"/>
        </w:trPr>
        <w:tc>
          <w:tcPr>
            <w:tcW w:w="5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99"/>
        </w:trPr>
        <w:tc>
          <w:tcPr>
            <w:tcW w:w="5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Realized and unrealized gains due to changes in fair values of certain</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00"/>
        </w:trPr>
        <w:tc>
          <w:tcPr>
            <w:tcW w:w="5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investments and debt, net</w:t>
            </w:r>
          </w:p>
        </w:tc>
        <w:tc>
          <w:tcPr>
            <w:tcW w:w="1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58.2</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76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58.2</w:t>
            </w:r>
          </w:p>
        </w:tc>
      </w:tr>
      <w:tr>
        <w:trPr>
          <w:trHeight w:val="209"/>
        </w:trPr>
        <w:tc>
          <w:tcPr>
            <w:tcW w:w="5280" w:type="dxa"/>
            <w:vAlign w:val="bottom"/>
          </w:tcPr>
          <w:p>
            <w:pPr>
              <w:ind w:left="140"/>
              <w:spacing w:after="0"/>
              <w:rPr>
                <w:sz w:val="20"/>
                <w:szCs w:val="20"/>
                <w:color w:val="auto"/>
              </w:rPr>
            </w:pPr>
            <w:r>
              <w:rPr>
                <w:rFonts w:ascii="Arial" w:cs="Arial" w:eastAsia="Arial" w:hAnsi="Arial"/>
                <w:sz w:val="16"/>
                <w:szCs w:val="16"/>
                <w:color w:val="auto"/>
              </w:rPr>
              <w:t>Additions</w:t>
            </w:r>
          </w:p>
        </w:tc>
        <w:tc>
          <w:tcPr>
            <w:tcW w:w="180" w:type="dxa"/>
            <w:vAlign w:val="bottom"/>
          </w:tcPr>
          <w:p>
            <w:pPr>
              <w:spacing w:after="0"/>
              <w:rPr>
                <w:sz w:val="18"/>
                <w:szCs w:val="18"/>
                <w:color w:val="auto"/>
              </w:rPr>
            </w:pPr>
          </w:p>
        </w:tc>
        <w:tc>
          <w:tcPr>
            <w:tcW w:w="1080" w:type="dxa"/>
            <w:vAlign w:val="bottom"/>
          </w:tcPr>
          <w:p>
            <w:pPr>
              <w:jc w:val="right"/>
              <w:ind w:right="43"/>
              <w:spacing w:after="0"/>
              <w:rPr>
                <w:sz w:val="20"/>
                <w:szCs w:val="20"/>
                <w:color w:val="auto"/>
              </w:rPr>
            </w:pPr>
            <w:r>
              <w:rPr>
                <w:rFonts w:ascii="Arial" w:cs="Arial" w:eastAsia="Arial" w:hAnsi="Arial"/>
                <w:sz w:val="16"/>
                <w:szCs w:val="16"/>
                <w:color w:val="auto"/>
              </w:rPr>
              <w:t>39.9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60" w:type="dxa"/>
            <w:vAlign w:val="bottom"/>
          </w:tcPr>
          <w:p>
            <w:pPr>
              <w:jc w:val="right"/>
              <w:ind w:right="43"/>
              <w:spacing w:after="0"/>
              <w:rPr>
                <w:sz w:val="20"/>
                <w:szCs w:val="20"/>
                <w:color w:val="auto"/>
              </w:rPr>
            </w:pPr>
            <w:r>
              <w:rPr>
                <w:rFonts w:ascii="Arial" w:cs="Arial" w:eastAsia="Arial" w:hAnsi="Arial"/>
                <w:sz w:val="16"/>
                <w:szCs w:val="16"/>
                <w:color w:val="auto"/>
              </w:rPr>
              <w:t>39.9</w:t>
            </w:r>
          </w:p>
        </w:tc>
      </w:tr>
      <w:tr>
        <w:trPr>
          <w:trHeight w:val="24"/>
        </w:trPr>
        <w:tc>
          <w:tcPr>
            <w:tcW w:w="5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13"/>
        </w:trPr>
        <w:tc>
          <w:tcPr>
            <w:tcW w:w="5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Reclassification of liability to held for sale (b)</w:t>
            </w: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11.5</w:t>
            </w: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11.5</w:t>
            </w:r>
          </w:p>
        </w:tc>
      </w:tr>
      <w:tr>
        <w:trPr>
          <w:trHeight w:val="209"/>
        </w:trPr>
        <w:tc>
          <w:tcPr>
            <w:tcW w:w="5280" w:type="dxa"/>
            <w:vAlign w:val="bottom"/>
          </w:tcPr>
          <w:p>
            <w:pPr>
              <w:ind w:left="140"/>
              <w:spacing w:after="0"/>
              <w:rPr>
                <w:sz w:val="20"/>
                <w:szCs w:val="20"/>
                <w:color w:val="auto"/>
              </w:rPr>
            </w:pPr>
            <w:r>
              <w:rPr>
                <w:rFonts w:ascii="Arial" w:cs="Arial" w:eastAsia="Arial" w:hAnsi="Arial"/>
                <w:sz w:val="16"/>
                <w:szCs w:val="16"/>
                <w:color w:val="auto"/>
              </w:rPr>
              <w:t>Transfers out of Level 3</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620" w:type="dxa"/>
            <w:vAlign w:val="bottom"/>
          </w:tcPr>
          <w:p>
            <w:pPr>
              <w:jc w:val="right"/>
              <w:ind w:right="45"/>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60" w:type="dxa"/>
            <w:vAlign w:val="bottom"/>
          </w:tcPr>
          <w:p>
            <w:pPr>
              <w:jc w:val="right"/>
              <w:ind w:right="43"/>
              <w:spacing w:after="0"/>
              <w:rPr>
                <w:sz w:val="20"/>
                <w:szCs w:val="20"/>
                <w:color w:val="auto"/>
              </w:rPr>
            </w:pPr>
            <w:r>
              <w:rPr>
                <w:rFonts w:ascii="Arial" w:cs="Arial" w:eastAsia="Arial" w:hAnsi="Arial"/>
                <w:sz w:val="16"/>
                <w:szCs w:val="16"/>
                <w:color w:val="auto"/>
              </w:rPr>
              <w:t>8.8</w:t>
            </w:r>
          </w:p>
        </w:tc>
      </w:tr>
      <w:tr>
        <w:trPr>
          <w:trHeight w:val="24"/>
        </w:trPr>
        <w:tc>
          <w:tcPr>
            <w:tcW w:w="5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3"/>
        </w:trPr>
        <w:tc>
          <w:tcPr>
            <w:tcW w:w="5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Foreign currency translation adjustments and other, net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2.1</w:t>
            </w:r>
          </w:p>
        </w:tc>
      </w:tr>
      <w:tr>
        <w:trPr>
          <w:trHeight w:val="201"/>
        </w:trPr>
        <w:tc>
          <w:tcPr>
            <w:tcW w:w="5280" w:type="dxa"/>
            <w:vAlign w:val="bottom"/>
          </w:tcPr>
          <w:p>
            <w:pPr>
              <w:ind w:left="20"/>
              <w:spacing w:after="0"/>
              <w:rPr>
                <w:sz w:val="20"/>
                <w:szCs w:val="20"/>
                <w:color w:val="auto"/>
              </w:rPr>
            </w:pPr>
            <w:r>
              <w:rPr>
                <w:rFonts w:ascii="Arial" w:cs="Arial" w:eastAsia="Arial" w:hAnsi="Arial"/>
                <w:sz w:val="16"/>
                <w:szCs w:val="16"/>
                <w:color w:val="auto"/>
              </w:rPr>
              <w:t>Balance of net assets at June 30, 2020</w:t>
            </w:r>
          </w:p>
        </w:tc>
        <w:tc>
          <w:tcPr>
            <w:tcW w:w="18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518.7</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25"/>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tcPr>
          <w:p>
            <w:pPr>
              <w:jc w:val="right"/>
              <w:ind w:right="45"/>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tcPr>
          <w:p>
            <w:pPr>
              <w:jc w:val="right"/>
              <w:ind w:right="25"/>
              <w:spacing w:after="0"/>
              <w:rPr>
                <w:sz w:val="20"/>
                <w:szCs w:val="20"/>
                <w:color w:val="auto"/>
              </w:rPr>
            </w:pPr>
            <w:r>
              <w:rPr>
                <w:rFonts w:ascii="Arial" w:cs="Arial" w:eastAsia="Arial" w:hAnsi="Arial"/>
                <w:sz w:val="16"/>
                <w:szCs w:val="16"/>
                <w:color w:val="auto"/>
              </w:rPr>
              <w:t>1,041.0</w:t>
            </w:r>
          </w:p>
        </w:tc>
        <w:tc>
          <w:tcPr>
            <w:tcW w:w="100" w:type="dxa"/>
            <w:vAlign w:val="bottom"/>
          </w:tcPr>
          <w:p>
            <w:pPr>
              <w:spacing w:after="0"/>
              <w:rPr>
                <w:sz w:val="17"/>
                <w:szCs w:val="17"/>
                <w:color w:val="auto"/>
              </w:rPr>
            </w:pPr>
          </w:p>
        </w:tc>
        <w:tc>
          <w:tcPr>
            <w:tcW w:w="260" w:type="dxa"/>
            <w:vAlign w:val="bottom"/>
            <w:tcBorders>
              <w:top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1,559.7</w:t>
            </w:r>
          </w:p>
        </w:tc>
      </w:tr>
      <w:tr>
        <w:trPr>
          <w:trHeight w:val="24"/>
        </w:trPr>
        <w:tc>
          <w:tcPr>
            <w:tcW w:w="5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5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533"/>
        </w:trPr>
        <w:tc>
          <w:tcPr>
            <w:tcW w:w="5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ind w:left="80"/>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1260"/>
          </w:cols>
          <w:pgMar w:left="320" w:top="263" w:right="319" w:bottom="1440" w:gutter="0" w:footer="0" w:header="0"/>
        </w:sectPr>
      </w:pPr>
    </w:p>
    <w:bookmarkStart w:id="26" w:name="page27"/>
    <w:bookmarkEnd w:id="26"/>
    <w:p>
      <w:pPr>
        <w:jc w:val="center"/>
        <w:ind w:right="-6"/>
        <w:spacing w:after="0"/>
        <w:rPr>
          <w:sz w:val="20"/>
          <w:szCs w:val="20"/>
          <w:color w:val="auto"/>
        </w:rPr>
      </w:pPr>
      <w:r>
        <w:rPr>
          <w:rFonts w:ascii="Arial" w:cs="Arial" w:eastAsia="Arial" w:hAnsi="Arial"/>
          <w:sz w:val="16"/>
          <w:szCs w:val="16"/>
          <w:b w:val="1"/>
          <w:bCs w:val="1"/>
          <w:color w:val="auto"/>
        </w:rPr>
        <w:t>LIBERTY GLOBAL PLC</w:t>
      </w:r>
    </w:p>
    <w:p>
      <w:pPr>
        <w:spacing w:after="0" w:line="18"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Notes to Condensed Consolidated Financial Statements — (Continued)</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June 30, 2020</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ind w:left="47"/>
        <w:spacing w:after="0"/>
        <w:rPr>
          <w:sz w:val="20"/>
          <w:szCs w:val="20"/>
          <w:color w:val="auto"/>
        </w:rPr>
      </w:pPr>
      <w:r>
        <w:rPr>
          <w:rFonts w:ascii="Arial" w:cs="Arial" w:eastAsia="Arial" w:hAnsi="Arial"/>
          <w:sz w:val="16"/>
          <w:szCs w:val="16"/>
          <w:color w:val="auto"/>
        </w:rPr>
        <w:t>_______________</w:t>
      </w:r>
    </w:p>
    <w:p>
      <w:pPr>
        <w:spacing w:after="0" w:line="188" w:lineRule="exact"/>
        <w:rPr>
          <w:sz w:val="20"/>
          <w:szCs w:val="20"/>
          <w:color w:val="auto"/>
        </w:rPr>
      </w:pPr>
    </w:p>
    <w:p>
      <w:pPr>
        <w:ind w:left="427" w:hanging="427"/>
        <w:spacing w:after="0"/>
        <w:tabs>
          <w:tab w:leader="none" w:pos="427" w:val="left"/>
        </w:tabs>
        <w:numPr>
          <w:ilvl w:val="0"/>
          <w:numId w:val="18"/>
        </w:numPr>
        <w:rPr>
          <w:rFonts w:ascii="Arial" w:cs="Arial" w:eastAsia="Arial" w:hAnsi="Arial"/>
          <w:sz w:val="16"/>
          <w:szCs w:val="16"/>
          <w:color w:val="auto"/>
        </w:rPr>
      </w:pPr>
      <w:r>
        <w:rPr>
          <w:rFonts w:ascii="Arial" w:cs="Arial" w:eastAsia="Arial" w:hAnsi="Arial"/>
          <w:sz w:val="16"/>
          <w:szCs w:val="16"/>
          <w:color w:val="auto"/>
        </w:rPr>
        <w:t>Most of these net gains relate to assets and liabilities that we continue to carry on our condensed consolidated balance sheet as of June 30, 2020.</w:t>
      </w:r>
    </w:p>
    <w:p>
      <w:pPr>
        <w:spacing w:after="0" w:line="188" w:lineRule="exact"/>
        <w:rPr>
          <w:rFonts w:ascii="Arial" w:cs="Arial" w:eastAsia="Arial" w:hAnsi="Arial"/>
          <w:sz w:val="16"/>
          <w:szCs w:val="16"/>
          <w:color w:val="auto"/>
        </w:rPr>
      </w:pPr>
    </w:p>
    <w:p>
      <w:pPr>
        <w:ind w:left="427" w:right="20" w:hanging="427"/>
        <w:spacing w:after="0" w:line="258" w:lineRule="auto"/>
        <w:tabs>
          <w:tab w:leader="none" w:pos="427"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Represents the reclassification of the derivative liabilities associated with the U.K. JV Entities as of June 30, 2020 to liabilities associated with assets held for sale. For information regarding the held-for-sale presentation of the U.K. JV Entities, see note 4.</w:t>
      </w:r>
    </w:p>
    <w:p>
      <w:pPr>
        <w:spacing w:after="0" w:line="157" w:lineRule="exact"/>
        <w:rPr>
          <w:sz w:val="20"/>
          <w:szCs w:val="20"/>
          <w:color w:val="auto"/>
        </w:rPr>
      </w:pPr>
    </w:p>
    <w:p>
      <w:pPr>
        <w:ind w:left="7"/>
        <w:spacing w:after="0"/>
        <w:tabs>
          <w:tab w:leader="none" w:pos="307" w:val="left"/>
        </w:tabs>
        <w:rPr>
          <w:sz w:val="20"/>
          <w:szCs w:val="20"/>
          <w:color w:val="auto"/>
        </w:rPr>
      </w:pPr>
      <w:r>
        <w:rPr>
          <w:rFonts w:ascii="Arial" w:cs="Arial" w:eastAsia="Arial" w:hAnsi="Arial"/>
          <w:sz w:val="16"/>
          <w:szCs w:val="16"/>
          <w:b w:val="1"/>
          <w:bCs w:val="1"/>
          <w:color w:val="auto"/>
        </w:rPr>
        <w:t>(8)</w:t>
      </w:r>
      <w:r>
        <w:rPr>
          <w:sz w:val="20"/>
          <w:szCs w:val="20"/>
          <w:color w:val="auto"/>
        </w:rPr>
        <w:tab/>
      </w:r>
      <w:r>
        <w:rPr>
          <w:rFonts w:ascii="Arial" w:cs="Arial" w:eastAsia="Arial" w:hAnsi="Arial"/>
          <w:sz w:val="13"/>
          <w:szCs w:val="13"/>
          <w:b w:val="1"/>
          <w:bCs w:val="1"/>
          <w:u w:val="single" w:color="auto"/>
          <w:color w:val="auto"/>
        </w:rPr>
        <w:t>Long-lived Assets</w:t>
      </w:r>
    </w:p>
    <w:p>
      <w:pPr>
        <w:spacing w:after="0" w:line="194" w:lineRule="exact"/>
        <w:rPr>
          <w:sz w:val="20"/>
          <w:szCs w:val="20"/>
          <w:color w:val="auto"/>
        </w:rPr>
      </w:pPr>
    </w:p>
    <w:p>
      <w:pPr>
        <w:ind w:left="147"/>
        <w:spacing w:after="0"/>
        <w:rPr>
          <w:sz w:val="20"/>
          <w:szCs w:val="20"/>
          <w:color w:val="auto"/>
        </w:rPr>
      </w:pPr>
      <w:r>
        <w:rPr>
          <w:rFonts w:ascii="Arial" w:cs="Arial" w:eastAsia="Arial" w:hAnsi="Arial"/>
          <w:sz w:val="16"/>
          <w:szCs w:val="16"/>
          <w:b w:val="1"/>
          <w:bCs w:val="1"/>
          <w:i w:val="1"/>
          <w:iCs w:val="1"/>
          <w:color w:val="auto"/>
        </w:rPr>
        <w:t>Property and Equipment, Net</w:t>
      </w:r>
    </w:p>
    <w:p>
      <w:pPr>
        <w:spacing w:after="0" w:line="188" w:lineRule="exact"/>
        <w:rPr>
          <w:sz w:val="20"/>
          <w:szCs w:val="20"/>
          <w:color w:val="auto"/>
        </w:rPr>
      </w:pPr>
    </w:p>
    <w:p>
      <w:pPr>
        <w:ind w:left="287"/>
        <w:spacing w:after="0"/>
        <w:rPr>
          <w:sz w:val="20"/>
          <w:szCs w:val="20"/>
          <w:color w:val="auto"/>
        </w:rPr>
      </w:pPr>
      <w:r>
        <w:rPr>
          <w:rFonts w:ascii="Arial" w:cs="Arial" w:eastAsia="Arial" w:hAnsi="Arial"/>
          <w:sz w:val="16"/>
          <w:szCs w:val="16"/>
          <w:color w:val="auto"/>
        </w:rPr>
        <w:t>The details of our property and equipment and the related accumulated depreciation are set forth below:</w:t>
      </w:r>
    </w:p>
    <w:p>
      <w:pPr>
        <w:spacing w:after="0" w:line="140"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8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5"/>
                <w:szCs w:val="15"/>
                <w:color w:val="auto"/>
              </w:rPr>
            </w:pPr>
          </w:p>
        </w:tc>
        <w:tc>
          <w:tcPr>
            <w:tcW w:w="1160" w:type="dxa"/>
            <w:vAlign w:val="bottom"/>
          </w:tcPr>
          <w:p>
            <w:pPr>
              <w:jc w:val="right"/>
              <w:ind w:right="184"/>
              <w:spacing w:after="0"/>
              <w:rPr>
                <w:sz w:val="20"/>
                <w:szCs w:val="20"/>
                <w:color w:val="auto"/>
              </w:rPr>
            </w:pPr>
            <w:r>
              <w:rPr>
                <w:rFonts w:ascii="Arial" w:cs="Arial" w:eastAsia="Arial" w:hAnsi="Arial"/>
                <w:sz w:val="14"/>
                <w:szCs w:val="14"/>
                <w:b w:val="1"/>
                <w:bCs w:val="1"/>
                <w:color w:val="auto"/>
                <w:w w:val="96"/>
              </w:rPr>
              <w:t>December 31,</w:t>
            </w:r>
          </w:p>
        </w:tc>
      </w:tr>
      <w:tr>
        <w:trPr>
          <w:trHeight w:val="182"/>
        </w:trPr>
        <w:tc>
          <w:tcPr>
            <w:tcW w:w="8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right"/>
              <w:ind w:right="46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ind w:right="444"/>
              <w:spacing w:after="0"/>
              <w:rPr>
                <w:sz w:val="20"/>
                <w:szCs w:val="20"/>
                <w:color w:val="auto"/>
              </w:rPr>
            </w:pPr>
            <w:r>
              <w:rPr>
                <w:rFonts w:ascii="Arial" w:cs="Arial" w:eastAsia="Arial" w:hAnsi="Arial"/>
                <w:sz w:val="14"/>
                <w:szCs w:val="14"/>
                <w:b w:val="1"/>
                <w:bCs w:val="1"/>
                <w:color w:val="auto"/>
              </w:rPr>
              <w:t>2019</w:t>
            </w:r>
          </w:p>
        </w:tc>
      </w:tr>
      <w:tr>
        <w:trPr>
          <w:trHeight w:val="28"/>
        </w:trPr>
        <w:tc>
          <w:tcPr>
            <w:tcW w:w="8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4"/>
          </w:tcPr>
          <w:p>
            <w:pPr>
              <w:spacing w:after="0"/>
              <w:rPr>
                <w:sz w:val="2"/>
                <w:szCs w:val="2"/>
                <w:color w:val="auto"/>
              </w:rPr>
            </w:pPr>
          </w:p>
        </w:tc>
      </w:tr>
      <w:tr>
        <w:trPr>
          <w:trHeight w:val="185"/>
        </w:trPr>
        <w:tc>
          <w:tcPr>
            <w:tcW w:w="8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20" w:type="dxa"/>
            <w:vAlign w:val="bottom"/>
            <w:gridSpan w:val="4"/>
          </w:tcPr>
          <w:p>
            <w:pPr>
              <w:jc w:val="right"/>
              <w:ind w:right="984"/>
              <w:spacing w:after="0"/>
              <w:rPr>
                <w:sz w:val="20"/>
                <w:szCs w:val="20"/>
                <w:color w:val="auto"/>
              </w:rPr>
            </w:pPr>
            <w:r>
              <w:rPr>
                <w:rFonts w:ascii="Arial" w:cs="Arial" w:eastAsia="Arial" w:hAnsi="Arial"/>
                <w:sz w:val="14"/>
                <w:szCs w:val="14"/>
                <w:b w:val="1"/>
                <w:bCs w:val="1"/>
                <w:color w:val="auto"/>
              </w:rPr>
              <w:t>in millions</w:t>
            </w:r>
          </w:p>
        </w:tc>
      </w:tr>
      <w:tr>
        <w:trPr>
          <w:trHeight w:val="133"/>
        </w:trPr>
        <w:tc>
          <w:tcPr>
            <w:tcW w:w="8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213"/>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Distribution systems</w:t>
            </w:r>
          </w:p>
        </w:tc>
        <w:tc>
          <w:tcPr>
            <w:tcW w:w="2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8,439.4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19,007.2</w:t>
            </w:r>
          </w:p>
        </w:tc>
      </w:tr>
      <w:tr>
        <w:trPr>
          <w:trHeight w:val="209"/>
        </w:trPr>
        <w:tc>
          <w:tcPr>
            <w:tcW w:w="8400" w:type="dxa"/>
            <w:vAlign w:val="bottom"/>
          </w:tcPr>
          <w:p>
            <w:pPr>
              <w:ind w:left="20"/>
              <w:spacing w:after="0"/>
              <w:rPr>
                <w:sz w:val="20"/>
                <w:szCs w:val="20"/>
                <w:color w:val="auto"/>
              </w:rPr>
            </w:pPr>
            <w:r>
              <w:rPr>
                <w:rFonts w:ascii="Arial" w:cs="Arial" w:eastAsia="Arial" w:hAnsi="Arial"/>
                <w:sz w:val="16"/>
                <w:szCs w:val="16"/>
                <w:color w:val="auto"/>
              </w:rPr>
              <w:t>Customer premises equipment</w:t>
            </w:r>
          </w:p>
        </w:tc>
        <w:tc>
          <w:tcPr>
            <w:tcW w:w="260" w:type="dxa"/>
            <w:vAlign w:val="bottom"/>
          </w:tcPr>
          <w:p>
            <w:pPr>
              <w:spacing w:after="0"/>
              <w:rPr>
                <w:sz w:val="18"/>
                <w:szCs w:val="18"/>
                <w:color w:val="auto"/>
              </w:rPr>
            </w:pPr>
          </w:p>
        </w:tc>
        <w:tc>
          <w:tcPr>
            <w:tcW w:w="1100" w:type="dxa"/>
            <w:vAlign w:val="bottom"/>
          </w:tcPr>
          <w:p>
            <w:pPr>
              <w:jc w:val="right"/>
              <w:ind w:right="45"/>
              <w:spacing w:after="0"/>
              <w:rPr>
                <w:sz w:val="20"/>
                <w:szCs w:val="20"/>
                <w:color w:val="auto"/>
              </w:rPr>
            </w:pPr>
            <w:r>
              <w:rPr>
                <w:rFonts w:ascii="Arial" w:cs="Arial" w:eastAsia="Arial" w:hAnsi="Arial"/>
                <w:sz w:val="16"/>
                <w:szCs w:val="16"/>
                <w:color w:val="auto"/>
              </w:rPr>
              <w:t>1,618.1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24"/>
              <w:spacing w:after="0"/>
              <w:rPr>
                <w:sz w:val="20"/>
                <w:szCs w:val="20"/>
                <w:color w:val="auto"/>
              </w:rPr>
            </w:pPr>
            <w:r>
              <w:rPr>
                <w:rFonts w:ascii="Arial" w:cs="Arial" w:eastAsia="Arial" w:hAnsi="Arial"/>
                <w:sz w:val="16"/>
                <w:szCs w:val="16"/>
                <w:color w:val="auto"/>
              </w:rPr>
              <w:t>4,294.7</w:t>
            </w:r>
          </w:p>
        </w:tc>
      </w:tr>
      <w:tr>
        <w:trPr>
          <w:trHeight w:val="24"/>
        </w:trPr>
        <w:tc>
          <w:tcPr>
            <w:tcW w:w="8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3"/>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Support equipment, buildings and land</w:t>
            </w: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3,464.6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5,344.3</w:t>
            </w:r>
          </w:p>
        </w:tc>
      </w:tr>
      <w:tr>
        <w:trPr>
          <w:trHeight w:val="201"/>
        </w:trPr>
        <w:tc>
          <w:tcPr>
            <w:tcW w:w="8400" w:type="dxa"/>
            <w:vAlign w:val="bottom"/>
          </w:tcPr>
          <w:p>
            <w:pPr>
              <w:ind w:left="220"/>
              <w:spacing w:after="0"/>
              <w:rPr>
                <w:sz w:val="20"/>
                <w:szCs w:val="20"/>
                <w:color w:val="auto"/>
              </w:rPr>
            </w:pPr>
            <w:r>
              <w:rPr>
                <w:rFonts w:ascii="Arial" w:cs="Arial" w:eastAsia="Arial" w:hAnsi="Arial"/>
                <w:sz w:val="16"/>
                <w:szCs w:val="16"/>
                <w:color w:val="auto"/>
              </w:rPr>
              <w:t>Total property and equipment, gross</w:t>
            </w:r>
          </w:p>
        </w:tc>
        <w:tc>
          <w:tcPr>
            <w:tcW w:w="2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45"/>
              <w:spacing w:after="0"/>
              <w:rPr>
                <w:sz w:val="20"/>
                <w:szCs w:val="20"/>
                <w:color w:val="auto"/>
              </w:rPr>
            </w:pPr>
            <w:r>
              <w:rPr>
                <w:rFonts w:ascii="Arial" w:cs="Arial" w:eastAsia="Arial" w:hAnsi="Arial"/>
                <w:sz w:val="16"/>
                <w:szCs w:val="16"/>
                <w:color w:val="auto"/>
              </w:rPr>
              <w:t>13,522.1</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24"/>
              <w:spacing w:after="0"/>
              <w:rPr>
                <w:sz w:val="20"/>
                <w:szCs w:val="20"/>
                <w:color w:val="auto"/>
              </w:rPr>
            </w:pPr>
            <w:r>
              <w:rPr>
                <w:rFonts w:ascii="Arial" w:cs="Arial" w:eastAsia="Arial" w:hAnsi="Arial"/>
                <w:sz w:val="16"/>
                <w:szCs w:val="16"/>
                <w:color w:val="auto"/>
              </w:rPr>
              <w:t>28,646.2</w:t>
            </w:r>
          </w:p>
        </w:tc>
      </w:tr>
      <w:tr>
        <w:trPr>
          <w:trHeight w:val="24"/>
        </w:trPr>
        <w:tc>
          <w:tcPr>
            <w:tcW w:w="8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3"/>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Accumulated depreciation</w:t>
            </w: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6"/>
                <w:szCs w:val="16"/>
                <w:color w:val="auto"/>
              </w:rPr>
              <w:t>(7,349.5)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(14,802.8)</w:t>
            </w:r>
          </w:p>
        </w:tc>
      </w:tr>
      <w:tr>
        <w:trPr>
          <w:trHeight w:val="201"/>
        </w:trPr>
        <w:tc>
          <w:tcPr>
            <w:tcW w:w="8400" w:type="dxa"/>
            <w:vAlign w:val="bottom"/>
          </w:tcPr>
          <w:p>
            <w:pPr>
              <w:ind w:left="420"/>
              <w:spacing w:after="0"/>
              <w:rPr>
                <w:sz w:val="20"/>
                <w:szCs w:val="20"/>
                <w:color w:val="auto"/>
              </w:rPr>
            </w:pPr>
            <w:r>
              <w:rPr>
                <w:rFonts w:ascii="Arial" w:cs="Arial" w:eastAsia="Arial" w:hAnsi="Arial"/>
                <w:sz w:val="16"/>
                <w:szCs w:val="16"/>
                <w:color w:val="auto"/>
              </w:rPr>
              <w:t>Total property and equipment, net</w:t>
            </w:r>
          </w:p>
        </w:tc>
        <w:tc>
          <w:tcPr>
            <w:tcW w:w="260" w:type="dxa"/>
            <w:vAlign w:val="bottom"/>
            <w:tcBorders>
              <w:top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45"/>
              <w:spacing w:after="0"/>
              <w:rPr>
                <w:sz w:val="20"/>
                <w:szCs w:val="20"/>
                <w:color w:val="auto"/>
              </w:rPr>
            </w:pPr>
            <w:r>
              <w:rPr>
                <w:rFonts w:ascii="Arial" w:cs="Arial" w:eastAsia="Arial" w:hAnsi="Arial"/>
                <w:sz w:val="16"/>
                <w:szCs w:val="16"/>
                <w:color w:val="auto"/>
              </w:rPr>
              <w:t>6,172.6</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24"/>
              <w:spacing w:after="0"/>
              <w:rPr>
                <w:sz w:val="20"/>
                <w:szCs w:val="20"/>
                <w:color w:val="auto"/>
              </w:rPr>
            </w:pPr>
            <w:r>
              <w:rPr>
                <w:rFonts w:ascii="Arial" w:cs="Arial" w:eastAsia="Arial" w:hAnsi="Arial"/>
                <w:sz w:val="16"/>
                <w:szCs w:val="16"/>
                <w:color w:val="auto"/>
              </w:rPr>
              <w:t>13,843.4</w:t>
            </w:r>
          </w:p>
        </w:tc>
      </w:tr>
      <w:tr>
        <w:trPr>
          <w:trHeight w:val="24"/>
        </w:trPr>
        <w:tc>
          <w:tcPr>
            <w:tcW w:w="8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8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62" w:lineRule="exact"/>
        <w:rPr>
          <w:sz w:val="20"/>
          <w:szCs w:val="20"/>
          <w:color w:val="auto"/>
        </w:rPr>
      </w:pPr>
    </w:p>
    <w:p>
      <w:pPr>
        <w:jc w:val="both"/>
        <w:ind w:left="7" w:firstLine="279"/>
        <w:spacing w:after="0" w:line="250" w:lineRule="auto"/>
        <w:rPr>
          <w:sz w:val="20"/>
          <w:szCs w:val="20"/>
          <w:color w:val="auto"/>
        </w:rPr>
      </w:pPr>
      <w:r>
        <w:rPr>
          <w:rFonts w:ascii="Arial" w:cs="Arial" w:eastAsia="Arial" w:hAnsi="Arial"/>
          <w:sz w:val="16"/>
          <w:szCs w:val="16"/>
          <w:color w:val="auto"/>
        </w:rPr>
        <w:t>During the six months ended June 30, 2020 and 2019, we recorded non-cash increases to our property and equipment related to vendor financing arrangements (including amounts related to the U.K. JV Entities) of $702.9 million and $926.3 million, respectively, which exclude related value-added taxes (</w:t>
      </w:r>
      <w:r>
        <w:rPr>
          <w:rFonts w:ascii="Arial" w:cs="Arial" w:eastAsia="Arial" w:hAnsi="Arial"/>
          <w:sz w:val="16"/>
          <w:szCs w:val="16"/>
          <w:b w:val="1"/>
          <w:bCs w:val="1"/>
          <w:color w:val="auto"/>
        </w:rPr>
        <w:t>VAT</w:t>
      </w:r>
      <w:r>
        <w:rPr>
          <w:rFonts w:ascii="Arial" w:cs="Arial" w:eastAsia="Arial" w:hAnsi="Arial"/>
          <w:sz w:val="16"/>
          <w:szCs w:val="16"/>
          <w:color w:val="auto"/>
        </w:rPr>
        <w:t>) of $118.7 million and $148.7 million, respectively, that were also financed under these arrangements.</w:t>
      </w:r>
    </w:p>
    <w:p>
      <w:pPr>
        <w:spacing w:after="0" w:line="170" w:lineRule="exact"/>
        <w:rPr>
          <w:sz w:val="20"/>
          <w:szCs w:val="20"/>
          <w:color w:val="auto"/>
        </w:rPr>
      </w:pPr>
    </w:p>
    <w:p>
      <w:pPr>
        <w:ind w:left="147"/>
        <w:spacing w:after="0"/>
        <w:rPr>
          <w:sz w:val="20"/>
          <w:szCs w:val="20"/>
          <w:color w:val="auto"/>
        </w:rPr>
      </w:pPr>
      <w:r>
        <w:rPr>
          <w:rFonts w:ascii="Arial" w:cs="Arial" w:eastAsia="Arial" w:hAnsi="Arial"/>
          <w:sz w:val="16"/>
          <w:szCs w:val="16"/>
          <w:b w:val="1"/>
          <w:bCs w:val="1"/>
          <w:i w:val="1"/>
          <w:iCs w:val="1"/>
          <w:color w:val="auto"/>
        </w:rPr>
        <w:t>Goodwill</w:t>
      </w:r>
    </w:p>
    <w:p>
      <w:pPr>
        <w:spacing w:after="0" w:line="188" w:lineRule="exact"/>
        <w:rPr>
          <w:sz w:val="20"/>
          <w:szCs w:val="20"/>
          <w:color w:val="auto"/>
        </w:rPr>
      </w:pPr>
    </w:p>
    <w:p>
      <w:pPr>
        <w:ind w:left="287"/>
        <w:spacing w:after="0"/>
        <w:rPr>
          <w:sz w:val="20"/>
          <w:szCs w:val="20"/>
          <w:color w:val="auto"/>
        </w:rPr>
      </w:pPr>
      <w:r>
        <w:rPr>
          <w:rFonts w:ascii="Arial" w:cs="Arial" w:eastAsia="Arial" w:hAnsi="Arial"/>
          <w:sz w:val="16"/>
          <w:szCs w:val="16"/>
          <w:color w:val="auto"/>
        </w:rPr>
        <w:t>Changes in the carrying amount of our goodwill during the six months ended June 30, 2020 are set forth below:</w:t>
      </w:r>
    </w:p>
    <w:p>
      <w:pPr>
        <w:spacing w:after="0" w:line="140"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3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Foreign</w:t>
            </w: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5"/>
        </w:trPr>
        <w:tc>
          <w:tcPr>
            <w:tcW w:w="3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center"/>
              <w:ind w:left="287"/>
              <w:spacing w:after="0"/>
              <w:rPr>
                <w:sz w:val="20"/>
                <w:szCs w:val="20"/>
                <w:color w:val="auto"/>
              </w:rPr>
            </w:pPr>
            <w:r>
              <w:rPr>
                <w:rFonts w:ascii="Arial" w:cs="Arial" w:eastAsia="Arial" w:hAnsi="Arial"/>
                <w:sz w:val="14"/>
                <w:szCs w:val="14"/>
                <w:b w:val="1"/>
                <w:bCs w:val="1"/>
                <w:color w:val="auto"/>
                <w:w w:val="88"/>
              </w:rPr>
              <w:t>Acquisitions</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Reclassification to</w:t>
            </w:r>
          </w:p>
        </w:tc>
        <w:tc>
          <w:tcPr>
            <w:tcW w:w="240" w:type="dxa"/>
            <w:vAlign w:val="bottom"/>
          </w:tcPr>
          <w:p>
            <w:pPr>
              <w:spacing w:after="0"/>
              <w:rPr>
                <w:sz w:val="15"/>
                <w:szCs w:val="15"/>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currency</w:t>
            </w: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5"/>
        </w:trPr>
        <w:tc>
          <w:tcPr>
            <w:tcW w:w="3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center"/>
              <w:ind w:left="307"/>
              <w:spacing w:after="0"/>
              <w:rPr>
                <w:sz w:val="20"/>
                <w:szCs w:val="20"/>
                <w:color w:val="auto"/>
              </w:rPr>
            </w:pPr>
            <w:r>
              <w:rPr>
                <w:rFonts w:ascii="Arial" w:cs="Arial" w:eastAsia="Arial" w:hAnsi="Arial"/>
                <w:sz w:val="14"/>
                <w:szCs w:val="14"/>
                <w:b w:val="1"/>
                <w:bCs w:val="1"/>
                <w:color w:val="auto"/>
                <w:w w:val="90"/>
              </w:rPr>
              <w:t>and related</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77"/>
              </w:rPr>
              <w:t>assets</w:t>
            </w:r>
          </w:p>
        </w:tc>
        <w:tc>
          <w:tcPr>
            <w:tcW w:w="240" w:type="dxa"/>
            <w:vAlign w:val="bottom"/>
          </w:tcPr>
          <w:p>
            <w:pPr>
              <w:spacing w:after="0"/>
              <w:rPr>
                <w:sz w:val="15"/>
                <w:szCs w:val="15"/>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translation</w:t>
            </w:r>
          </w:p>
        </w:tc>
        <w:tc>
          <w:tcPr>
            <w:tcW w:w="300" w:type="dxa"/>
            <w:vAlign w:val="bottom"/>
          </w:tcPr>
          <w:p>
            <w:pPr>
              <w:spacing w:after="0"/>
              <w:rPr>
                <w:sz w:val="15"/>
                <w:szCs w:val="15"/>
                <w:color w:val="auto"/>
              </w:rPr>
            </w:pPr>
          </w:p>
        </w:tc>
        <w:tc>
          <w:tcPr>
            <w:tcW w:w="1160" w:type="dxa"/>
            <w:vAlign w:val="bottom"/>
          </w:tcPr>
          <w:p>
            <w:pPr>
              <w:jc w:val="right"/>
              <w:ind w:right="405"/>
              <w:spacing w:after="0"/>
              <w:rPr>
                <w:sz w:val="20"/>
                <w:szCs w:val="20"/>
                <w:color w:val="auto"/>
              </w:rPr>
            </w:pPr>
            <w:r>
              <w:rPr>
                <w:rFonts w:ascii="Arial" w:cs="Arial" w:eastAsia="Arial" w:hAnsi="Arial"/>
                <w:sz w:val="14"/>
                <w:szCs w:val="14"/>
                <w:b w:val="1"/>
                <w:bCs w:val="1"/>
                <w:color w:val="auto"/>
              </w:rPr>
              <w:t>June 30,</w:t>
            </w:r>
          </w:p>
        </w:tc>
      </w:tr>
      <w:tr>
        <w:trPr>
          <w:trHeight w:val="182"/>
        </w:trPr>
        <w:tc>
          <w:tcPr>
            <w:tcW w:w="3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January 1, 2020</w:t>
            </w:r>
          </w:p>
        </w:tc>
        <w:tc>
          <w:tcPr>
            <w:tcW w:w="1100" w:type="dxa"/>
            <w:vAlign w:val="bottom"/>
          </w:tcPr>
          <w:p>
            <w:pPr>
              <w:jc w:val="center"/>
              <w:ind w:left="307"/>
              <w:spacing w:after="0"/>
              <w:rPr>
                <w:sz w:val="20"/>
                <w:szCs w:val="20"/>
                <w:color w:val="auto"/>
              </w:rPr>
            </w:pPr>
            <w:r>
              <w:rPr>
                <w:rFonts w:ascii="Arial" w:cs="Arial" w:eastAsia="Arial" w:hAnsi="Arial"/>
                <w:sz w:val="14"/>
                <w:szCs w:val="14"/>
                <w:b w:val="1"/>
                <w:bCs w:val="1"/>
                <w:color w:val="auto"/>
                <w:w w:val="87"/>
              </w:rPr>
              <w:t>adjustments</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held for sale (a)</w:t>
            </w:r>
          </w:p>
        </w:tc>
        <w:tc>
          <w:tcPr>
            <w:tcW w:w="15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adjustments and other</w:t>
            </w:r>
          </w:p>
        </w:tc>
        <w:tc>
          <w:tcPr>
            <w:tcW w:w="300" w:type="dxa"/>
            <w:vAlign w:val="bottom"/>
          </w:tcPr>
          <w:p>
            <w:pPr>
              <w:spacing w:after="0"/>
              <w:rPr>
                <w:sz w:val="15"/>
                <w:szCs w:val="15"/>
                <w:color w:val="auto"/>
              </w:rPr>
            </w:pPr>
          </w:p>
        </w:tc>
        <w:tc>
          <w:tcPr>
            <w:tcW w:w="1160" w:type="dxa"/>
            <w:vAlign w:val="bottom"/>
          </w:tcPr>
          <w:p>
            <w:pPr>
              <w:jc w:val="right"/>
              <w:ind w:right="505"/>
              <w:spacing w:after="0"/>
              <w:rPr>
                <w:sz w:val="20"/>
                <w:szCs w:val="20"/>
                <w:color w:val="auto"/>
              </w:rPr>
            </w:pPr>
            <w:r>
              <w:rPr>
                <w:rFonts w:ascii="Arial" w:cs="Arial" w:eastAsia="Arial" w:hAnsi="Arial"/>
                <w:sz w:val="14"/>
                <w:szCs w:val="14"/>
                <w:b w:val="1"/>
                <w:bCs w:val="1"/>
                <w:color w:val="auto"/>
              </w:rPr>
              <w:t>2020</w:t>
            </w:r>
          </w:p>
        </w:tc>
      </w:tr>
      <w:tr>
        <w:trPr>
          <w:trHeight w:val="28"/>
        </w:trPr>
        <w:tc>
          <w:tcPr>
            <w:tcW w:w="34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5"/>
        </w:trPr>
        <w:tc>
          <w:tcPr>
            <w:tcW w:w="3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ind w:left="24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33"/>
        </w:trPr>
        <w:tc>
          <w:tcPr>
            <w:tcW w:w="3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213"/>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U.K./Ireland</w:t>
            </w:r>
          </w:p>
        </w:tc>
        <w:tc>
          <w:tcPr>
            <w:tcW w:w="1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7,965.4</w:t>
            </w:r>
          </w:p>
        </w:tc>
        <w:tc>
          <w:tcPr>
            <w:tcW w:w="1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927"/>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(7,180.9)</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(512.0)</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272.5</w:t>
            </w:r>
          </w:p>
        </w:tc>
      </w:tr>
      <w:tr>
        <w:trPr>
          <w:trHeight w:val="209"/>
        </w:trPr>
        <w:tc>
          <w:tcPr>
            <w:tcW w:w="3480" w:type="dxa"/>
            <w:vAlign w:val="bottom"/>
          </w:tcPr>
          <w:p>
            <w:pPr>
              <w:ind w:left="20"/>
              <w:spacing w:after="0"/>
              <w:rPr>
                <w:sz w:val="20"/>
                <w:szCs w:val="20"/>
                <w:color w:val="auto"/>
              </w:rPr>
            </w:pPr>
            <w:r>
              <w:rPr>
                <w:rFonts w:ascii="Arial" w:cs="Arial" w:eastAsia="Arial" w:hAnsi="Arial"/>
                <w:sz w:val="16"/>
                <w:szCs w:val="16"/>
                <w:color w:val="auto"/>
              </w:rPr>
              <w:t>Switzerland</w:t>
            </w:r>
          </w:p>
        </w:tc>
        <w:tc>
          <w:tcPr>
            <w:tcW w:w="180" w:type="dxa"/>
            <w:vAlign w:val="bottom"/>
          </w:tcPr>
          <w:p>
            <w:pPr>
              <w:spacing w:after="0"/>
              <w:rPr>
                <w:sz w:val="18"/>
                <w:szCs w:val="18"/>
                <w:color w:val="auto"/>
              </w:rPr>
            </w:pPr>
          </w:p>
        </w:tc>
        <w:tc>
          <w:tcPr>
            <w:tcW w:w="1300" w:type="dxa"/>
            <w:vAlign w:val="bottom"/>
          </w:tcPr>
          <w:p>
            <w:pPr>
              <w:jc w:val="right"/>
              <w:ind w:right="44"/>
              <w:spacing w:after="0"/>
              <w:rPr>
                <w:sz w:val="20"/>
                <w:szCs w:val="20"/>
                <w:color w:val="auto"/>
              </w:rPr>
            </w:pPr>
            <w:r>
              <w:rPr>
                <w:rFonts w:ascii="Arial" w:cs="Arial" w:eastAsia="Arial" w:hAnsi="Arial"/>
                <w:sz w:val="16"/>
                <w:szCs w:val="16"/>
                <w:color w:val="auto"/>
              </w:rPr>
              <w:t>2,953.2</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jc w:val="right"/>
              <w:ind w:right="42"/>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00" w:type="dxa"/>
            <w:vAlign w:val="bottom"/>
          </w:tcPr>
          <w:p>
            <w:pPr>
              <w:jc w:val="right"/>
              <w:ind w:right="25"/>
              <w:spacing w:after="0"/>
              <w:rPr>
                <w:sz w:val="20"/>
                <w:szCs w:val="20"/>
                <w:color w:val="auto"/>
              </w:rPr>
            </w:pPr>
            <w:r>
              <w:rPr>
                <w:rFonts w:ascii="Arial" w:cs="Arial" w:eastAsia="Arial" w:hAnsi="Arial"/>
                <w:sz w:val="16"/>
                <w:szCs w:val="16"/>
                <w:color w:val="auto"/>
              </w:rPr>
              <w:t>60.3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45"/>
              <w:spacing w:after="0"/>
              <w:rPr>
                <w:sz w:val="20"/>
                <w:szCs w:val="20"/>
                <w:color w:val="auto"/>
              </w:rPr>
            </w:pPr>
            <w:r>
              <w:rPr>
                <w:rFonts w:ascii="Arial" w:cs="Arial" w:eastAsia="Arial" w:hAnsi="Arial"/>
                <w:sz w:val="16"/>
                <w:szCs w:val="16"/>
                <w:color w:val="auto"/>
              </w:rPr>
              <w:t>3,016.3</w:t>
            </w:r>
          </w:p>
        </w:tc>
      </w:tr>
      <w:tr>
        <w:trPr>
          <w:trHeight w:val="24"/>
        </w:trPr>
        <w:tc>
          <w:tcPr>
            <w:tcW w:w="3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3"/>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Belgium</w:t>
            </w: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2,576.1</w:t>
            </w:r>
          </w:p>
        </w:tc>
        <w:tc>
          <w:tcPr>
            <w:tcW w:w="1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1"/>
              </w:rPr>
              <w:t>(0.6)</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2,553.4</w:t>
            </w:r>
          </w:p>
        </w:tc>
      </w:tr>
      <w:tr>
        <w:trPr>
          <w:trHeight w:val="209"/>
        </w:trPr>
        <w:tc>
          <w:tcPr>
            <w:tcW w:w="3480" w:type="dxa"/>
            <w:vAlign w:val="bottom"/>
          </w:tcPr>
          <w:p>
            <w:pPr>
              <w:ind w:left="20"/>
              <w:spacing w:after="0"/>
              <w:rPr>
                <w:sz w:val="20"/>
                <w:szCs w:val="20"/>
                <w:color w:val="auto"/>
              </w:rPr>
            </w:pPr>
            <w:r>
              <w:rPr>
                <w:rFonts w:ascii="Arial" w:cs="Arial" w:eastAsia="Arial" w:hAnsi="Arial"/>
                <w:sz w:val="16"/>
                <w:szCs w:val="16"/>
                <w:color w:val="auto"/>
              </w:rPr>
              <w:t>Central and Eastern Europe</w:t>
            </w:r>
          </w:p>
        </w:tc>
        <w:tc>
          <w:tcPr>
            <w:tcW w:w="180" w:type="dxa"/>
            <w:vAlign w:val="bottom"/>
          </w:tcPr>
          <w:p>
            <w:pPr>
              <w:spacing w:after="0"/>
              <w:rPr>
                <w:sz w:val="18"/>
                <w:szCs w:val="18"/>
                <w:color w:val="auto"/>
              </w:rPr>
            </w:pPr>
          </w:p>
        </w:tc>
        <w:tc>
          <w:tcPr>
            <w:tcW w:w="1300" w:type="dxa"/>
            <w:vAlign w:val="bottom"/>
          </w:tcPr>
          <w:p>
            <w:pPr>
              <w:jc w:val="right"/>
              <w:ind w:right="44"/>
              <w:spacing w:after="0"/>
              <w:rPr>
                <w:sz w:val="20"/>
                <w:szCs w:val="20"/>
                <w:color w:val="auto"/>
              </w:rPr>
            </w:pPr>
            <w:r>
              <w:rPr>
                <w:rFonts w:ascii="Arial" w:cs="Arial" w:eastAsia="Arial" w:hAnsi="Arial"/>
                <w:sz w:val="16"/>
                <w:szCs w:val="16"/>
                <w:color w:val="auto"/>
              </w:rPr>
              <w:t>557.4</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45"/>
              <w:spacing w:after="0"/>
              <w:rPr>
                <w:sz w:val="20"/>
                <w:szCs w:val="20"/>
                <w:color w:val="auto"/>
              </w:rPr>
            </w:pPr>
            <w:r>
              <w:rPr>
                <w:rFonts w:ascii="Arial" w:cs="Arial" w:eastAsia="Arial" w:hAnsi="Arial"/>
                <w:sz w:val="16"/>
                <w:szCs w:val="16"/>
                <w:color w:val="auto"/>
              </w:rPr>
              <w:t>537.0</w:t>
            </w:r>
          </w:p>
        </w:tc>
      </w:tr>
      <w:tr>
        <w:trPr>
          <w:trHeight w:val="24"/>
        </w:trPr>
        <w:tc>
          <w:tcPr>
            <w:tcW w:w="3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9"/>
        </w:trPr>
        <w:tc>
          <w:tcPr>
            <w:tcW w:w="3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14,052.1</w:t>
            </w: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927"/>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(7,180.9)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(494.2)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6,379.2</w:t>
            </w: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ind w:left="47"/>
        <w:spacing w:after="0"/>
        <w:rPr>
          <w:sz w:val="20"/>
          <w:szCs w:val="20"/>
          <w:color w:val="auto"/>
        </w:rPr>
      </w:pPr>
      <w:r>
        <w:rPr>
          <w:rFonts w:ascii="Arial" w:cs="Arial" w:eastAsia="Arial" w:hAnsi="Arial"/>
          <w:sz w:val="16"/>
          <w:szCs w:val="16"/>
          <w:color w:val="auto"/>
        </w:rPr>
        <w:t>_______________</w:t>
      </w:r>
    </w:p>
    <w:p>
      <w:pPr>
        <w:spacing w:after="0" w:line="188" w:lineRule="exact"/>
        <w:rPr>
          <w:sz w:val="20"/>
          <w:szCs w:val="20"/>
          <w:color w:val="auto"/>
        </w:rPr>
      </w:pPr>
    </w:p>
    <w:p>
      <w:pPr>
        <w:ind w:left="427" w:hanging="427"/>
        <w:spacing w:after="0"/>
        <w:tabs>
          <w:tab w:leader="none" w:pos="427"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Represents goodwill of the U.K. JV Entities. For additional information regarding the held-for-sale presentation of the U.K. JV Entities, see note 4.</w:t>
      </w:r>
    </w:p>
    <w:p>
      <w:pPr>
        <w:spacing w:after="0" w:line="188" w:lineRule="exact"/>
        <w:rPr>
          <w:sz w:val="20"/>
          <w:szCs w:val="20"/>
          <w:color w:val="auto"/>
        </w:rPr>
      </w:pPr>
    </w:p>
    <w:p>
      <w:pPr>
        <w:ind w:left="7" w:firstLine="279"/>
        <w:spacing w:after="0" w:line="258" w:lineRule="auto"/>
        <w:rPr>
          <w:sz w:val="20"/>
          <w:szCs w:val="20"/>
          <w:color w:val="auto"/>
        </w:rPr>
      </w:pPr>
      <w:r>
        <w:rPr>
          <w:rFonts w:ascii="Arial" w:cs="Arial" w:eastAsia="Arial" w:hAnsi="Arial"/>
          <w:sz w:val="16"/>
          <w:szCs w:val="16"/>
          <w:color w:val="auto"/>
        </w:rPr>
        <w:t>If, among other factors, (i) our equity values were to decline or (ii) the adverse impacts of economic, competitive, regulatory or other factors (including with respect to the recent outbreak of a novel strain of the coronavirus (</w:t>
      </w:r>
      <w:r>
        <w:rPr>
          <w:rFonts w:ascii="Arial" w:cs="Arial" w:eastAsia="Arial" w:hAnsi="Arial"/>
          <w:sz w:val="16"/>
          <w:szCs w:val="16"/>
          <w:b w:val="1"/>
          <w:bCs w:val="1"/>
          <w:color w:val="auto"/>
        </w:rPr>
        <w:t>COVID-19</w:t>
      </w:r>
      <w:r>
        <w:rPr>
          <w:rFonts w:ascii="Arial" w:cs="Arial" w:eastAsia="Arial" w:hAnsi="Arial"/>
          <w:sz w:val="16"/>
          <w:szCs w:val="16"/>
          <w:color w:val="auto"/>
        </w:rPr>
        <w:t>)) were to cause our</w:t>
      </w:r>
    </w:p>
    <w:p>
      <w:pPr>
        <w:spacing w:after="0" w:line="163"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267"/>
          </w:cols>
          <w:pgMar w:left="313" w:top="262" w:right="319" w:bottom="1440" w:gutter="0" w:footer="0" w:header="0"/>
        </w:sectPr>
      </w:pPr>
    </w:p>
    <w:bookmarkStart w:id="27" w:name="page28"/>
    <w:bookmarkEnd w:id="27"/>
    <w:p>
      <w:pPr>
        <w:jc w:val="center"/>
        <w:spacing w:after="0"/>
        <w:rPr>
          <w:sz w:val="20"/>
          <w:szCs w:val="20"/>
          <w:color w:val="auto"/>
        </w:rPr>
      </w:pPr>
      <w:r>
        <w:rPr>
          <w:rFonts w:ascii="Arial" w:cs="Arial" w:eastAsia="Arial" w:hAnsi="Arial"/>
          <w:sz w:val="16"/>
          <w:szCs w:val="16"/>
          <w:b w:val="1"/>
          <w:bCs w:val="1"/>
          <w:color w:val="auto"/>
        </w:rPr>
        <w:t>LIBERTY GLOBAL PLC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June 30, 2020</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results of operations or cash flows to be worse than anticipated, we could conclude in future periods that impairment charges are required in order to reduce the carrying values of our goodwill and, to a lesser extent, other long-lived assets. Any such impairment charges could be significant.</w:t>
      </w:r>
    </w:p>
    <w:p>
      <w:pPr>
        <w:spacing w:after="0" w:line="163"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Intangible Assets Subject to Amortization, Net</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The details of our intangible assets subject to amortization, which are included in other assets, net, on our condensed consolidated balance sheets, are set forth below:</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7"/>
              </w:rPr>
              <w:t>June 30, 2020</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December 31, 2019</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Gross carrying</w:t>
            </w:r>
          </w:p>
        </w:tc>
        <w:tc>
          <w:tcPr>
            <w:tcW w:w="220" w:type="dxa"/>
            <w:vAlign w:val="bottom"/>
          </w:tcPr>
          <w:p>
            <w:pPr>
              <w:spacing w:after="0"/>
              <w:rPr>
                <w:sz w:val="15"/>
                <w:szCs w:val="15"/>
                <w:color w:val="auto"/>
              </w:rPr>
            </w:pPr>
          </w:p>
        </w:tc>
        <w:tc>
          <w:tcPr>
            <w:tcW w:w="11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8"/>
              </w:rPr>
              <w:t>Accumulated</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Net carrying</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Gross carrying</w:t>
            </w:r>
          </w:p>
        </w:tc>
        <w:tc>
          <w:tcPr>
            <w:tcW w:w="16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Accumulated</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center"/>
              <w:ind w:right="123"/>
              <w:spacing w:after="0"/>
              <w:rPr>
                <w:sz w:val="20"/>
                <w:szCs w:val="20"/>
                <w:color w:val="auto"/>
              </w:rPr>
            </w:pPr>
            <w:r>
              <w:rPr>
                <w:rFonts w:ascii="Arial" w:cs="Arial" w:eastAsia="Arial" w:hAnsi="Arial"/>
                <w:sz w:val="14"/>
                <w:szCs w:val="14"/>
                <w:b w:val="1"/>
                <w:bCs w:val="1"/>
                <w:color w:val="auto"/>
                <w:w w:val="92"/>
              </w:rPr>
              <w:t>Net carrying</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amount</w:t>
            </w:r>
          </w:p>
        </w:tc>
        <w:tc>
          <w:tcPr>
            <w:tcW w:w="220" w:type="dxa"/>
            <w:vAlign w:val="bottom"/>
          </w:tcPr>
          <w:p>
            <w:pPr>
              <w:spacing w:after="0"/>
              <w:rPr>
                <w:sz w:val="15"/>
                <w:szCs w:val="15"/>
                <w:color w:val="auto"/>
              </w:rPr>
            </w:pPr>
          </w:p>
        </w:tc>
        <w:tc>
          <w:tcPr>
            <w:tcW w:w="11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1"/>
              </w:rPr>
              <w:t>amortization</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amount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amortization</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center"/>
              <w:ind w:right="103"/>
              <w:spacing w:after="0"/>
              <w:rPr>
                <w:sz w:val="20"/>
                <w:szCs w:val="20"/>
                <w:color w:val="auto"/>
              </w:rPr>
            </w:pPr>
            <w:r>
              <w:rPr>
                <w:rFonts w:ascii="Arial" w:cs="Arial" w:eastAsia="Arial" w:hAnsi="Arial"/>
                <w:sz w:val="14"/>
                <w:szCs w:val="14"/>
                <w:b w:val="1"/>
                <w:bCs w:val="1"/>
                <w:color w:val="auto"/>
                <w:w w:val="90"/>
              </w:rPr>
              <w:t>amount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20" w:type="dxa"/>
            <w:vAlign w:val="bottom"/>
            <w:gridSpan w:val="6"/>
          </w:tcPr>
          <w:p>
            <w:pPr>
              <w:ind w:left="76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32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Customer relationships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color w:val="auto"/>
              </w:rPr>
              <w:t>280.9</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(165.6)</w:t>
            </w: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gridSpan w:val="2"/>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color w:val="auto"/>
              </w:rPr>
              <w:t>115.3</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3,653.9</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(3,363.6)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gridSpan w:val="2"/>
            <w:shd w:val="clear" w:color="auto" w:fill="CCEEFF"/>
          </w:tcPr>
          <w:p>
            <w:pPr>
              <w:jc w:val="right"/>
              <w:ind w:right="6"/>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290.3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60" w:type="dxa"/>
            <w:vAlign w:val="bottom"/>
            <w:gridSpan w:val="3"/>
          </w:tcPr>
          <w:p>
            <w:pPr>
              <w:ind w:left="20"/>
              <w:spacing w:after="0"/>
              <w:rPr>
                <w:sz w:val="20"/>
                <w:szCs w:val="20"/>
                <w:color w:val="auto"/>
              </w:rPr>
            </w:pPr>
            <w:r>
              <w:rPr>
                <w:rFonts w:ascii="Arial" w:cs="Arial" w:eastAsia="Arial" w:hAnsi="Arial"/>
                <w:sz w:val="16"/>
                <w:szCs w:val="16"/>
                <w:color w:val="auto"/>
              </w:rPr>
              <w:t>Other</w:t>
            </w:r>
          </w:p>
        </w:tc>
        <w:tc>
          <w:tcPr>
            <w:tcW w:w="140" w:type="dxa"/>
            <w:vAlign w:val="bottom"/>
          </w:tcPr>
          <w:p>
            <w:pPr>
              <w:spacing w:after="0"/>
              <w:rPr>
                <w:sz w:val="18"/>
                <w:szCs w:val="18"/>
                <w:color w:val="auto"/>
              </w:rPr>
            </w:pPr>
          </w:p>
        </w:tc>
        <w:tc>
          <w:tcPr>
            <w:tcW w:w="1100" w:type="dxa"/>
            <w:vAlign w:val="bottom"/>
          </w:tcPr>
          <w:p>
            <w:pPr>
              <w:jc w:val="right"/>
              <w:ind w:right="26"/>
              <w:spacing w:after="0"/>
              <w:rPr>
                <w:sz w:val="20"/>
                <w:szCs w:val="20"/>
                <w:color w:val="auto"/>
              </w:rPr>
            </w:pPr>
            <w:r>
              <w:rPr>
                <w:rFonts w:ascii="Arial" w:cs="Arial" w:eastAsia="Arial" w:hAnsi="Arial"/>
                <w:sz w:val="16"/>
                <w:szCs w:val="16"/>
                <w:color w:val="auto"/>
              </w:rPr>
              <w:t>568.7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(302.6)</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26"/>
              <w:spacing w:after="0"/>
              <w:rPr>
                <w:sz w:val="20"/>
                <w:szCs w:val="20"/>
                <w:color w:val="auto"/>
              </w:rPr>
            </w:pPr>
            <w:r>
              <w:rPr>
                <w:rFonts w:ascii="Arial" w:cs="Arial" w:eastAsia="Arial" w:hAnsi="Arial"/>
                <w:sz w:val="16"/>
                <w:szCs w:val="16"/>
                <w:color w:val="auto"/>
              </w:rPr>
              <w:t>266.1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45"/>
              <w:spacing w:after="0"/>
              <w:rPr>
                <w:sz w:val="20"/>
                <w:szCs w:val="20"/>
                <w:color w:val="auto"/>
              </w:rPr>
            </w:pPr>
            <w:r>
              <w:rPr>
                <w:rFonts w:ascii="Arial" w:cs="Arial" w:eastAsia="Arial" w:hAnsi="Arial"/>
                <w:sz w:val="16"/>
                <w:szCs w:val="16"/>
                <w:color w:val="auto"/>
              </w:rPr>
              <w:t>563.7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(281.9)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43"/>
              <w:spacing w:after="0"/>
              <w:rPr>
                <w:sz w:val="20"/>
                <w:szCs w:val="20"/>
                <w:color w:val="auto"/>
              </w:rPr>
            </w:pPr>
            <w:r>
              <w:rPr>
                <w:rFonts w:ascii="Arial" w:cs="Arial" w:eastAsia="Arial" w:hAnsi="Arial"/>
                <w:sz w:val="16"/>
                <w:szCs w:val="16"/>
                <w:color w:val="auto"/>
              </w:rPr>
              <w:t>281.8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3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3260" w:type="dxa"/>
            <w:vAlign w:val="bottom"/>
            <w:tcBorders>
              <w:bottom w:val="single" w:sz="8" w:color="CCEEFF"/>
            </w:tcBorders>
            <w:gridSpan w:val="3"/>
            <w:shd w:val="clear" w:color="auto" w:fill="CCEEFF"/>
          </w:tcPr>
          <w:p>
            <w:pPr>
              <w:jc w:val="right"/>
              <w:ind w:right="272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color w:val="auto"/>
              </w:rPr>
              <w:t>849.6</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(468.2)</w:t>
            </w:r>
          </w:p>
        </w:tc>
        <w:tc>
          <w:tcPr>
            <w:tcW w:w="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gridSpan w:val="2"/>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color w:val="auto"/>
              </w:rPr>
              <w:t>381.4</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4,217.6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(3,645.5)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gridSpan w:val="2"/>
            <w:shd w:val="clear" w:color="auto" w:fill="CCEEFF"/>
          </w:tcPr>
          <w:p>
            <w:pPr>
              <w:jc w:val="right"/>
              <w:ind w:right="6"/>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572.1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6"/>
                <w:szCs w:val="16"/>
                <w:b w:val="1"/>
                <w:bCs w:val="1"/>
                <w:color w:val="auto"/>
              </w:rPr>
              <w:t>(9)  Debt</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326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4840" w:type="dxa"/>
            <w:vAlign w:val="bottom"/>
            <w:gridSpan w:val="7"/>
          </w:tcPr>
          <w:p>
            <w:pPr>
              <w:ind w:left="280"/>
              <w:spacing w:after="0"/>
              <w:rPr>
                <w:sz w:val="20"/>
                <w:szCs w:val="20"/>
                <w:color w:val="auto"/>
              </w:rPr>
            </w:pPr>
            <w:r>
              <w:rPr>
                <w:rFonts w:ascii="Arial" w:cs="Arial" w:eastAsia="Arial" w:hAnsi="Arial"/>
                <w:sz w:val="16"/>
                <w:szCs w:val="16"/>
                <w:color w:val="auto"/>
                <w:w w:val="88"/>
              </w:rPr>
              <w:t>The U.S. dollar equivalents of the components of our debt are as follows:</w:t>
            </w: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June 30, 2020</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5"/>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88"/>
              </w:rPr>
              <w:t>Weighted</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2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88"/>
              </w:rPr>
              <w:t>Unused borrowing</w:t>
            </w: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520" w:type="dxa"/>
            <w:vAlign w:val="bottom"/>
            <w:gridSpan w:val="6"/>
            <w:vMerge w:val="restart"/>
          </w:tcPr>
          <w:p>
            <w:pPr>
              <w:jc w:val="center"/>
              <w:ind w:right="220"/>
              <w:spacing w:after="0"/>
              <w:rPr>
                <w:sz w:val="20"/>
                <w:szCs w:val="20"/>
                <w:color w:val="auto"/>
              </w:rPr>
            </w:pPr>
            <w:r>
              <w:rPr>
                <w:rFonts w:ascii="Arial" w:cs="Arial" w:eastAsia="Arial" w:hAnsi="Arial"/>
                <w:sz w:val="14"/>
                <w:szCs w:val="14"/>
                <w:b w:val="1"/>
                <w:bCs w:val="1"/>
                <w:color w:val="auto"/>
                <w:w w:val="89"/>
              </w:rPr>
              <w:t>capacity (b)</w:t>
            </w:r>
          </w:p>
        </w:tc>
        <w:tc>
          <w:tcPr>
            <w:tcW w:w="160" w:type="dxa"/>
            <w:vAlign w:val="bottom"/>
          </w:tcPr>
          <w:p>
            <w:pPr>
              <w:spacing w:after="0"/>
              <w:rPr>
                <w:sz w:val="5"/>
                <w:szCs w:val="5"/>
                <w:color w:val="auto"/>
              </w:rPr>
            </w:pPr>
          </w:p>
        </w:tc>
        <w:tc>
          <w:tcPr>
            <w:tcW w:w="2380" w:type="dxa"/>
            <w:vAlign w:val="bottom"/>
            <w:gridSpan w:val="5"/>
            <w:vMerge w:val="restart"/>
          </w:tcPr>
          <w:p>
            <w:pPr>
              <w:jc w:val="right"/>
              <w:ind w:right="643"/>
              <w:spacing w:after="0"/>
              <w:rPr>
                <w:sz w:val="20"/>
                <w:szCs w:val="20"/>
                <w:color w:val="auto"/>
              </w:rPr>
            </w:pPr>
            <w:r>
              <w:rPr>
                <w:rFonts w:ascii="Arial" w:cs="Arial" w:eastAsia="Arial" w:hAnsi="Arial"/>
                <w:sz w:val="14"/>
                <w:szCs w:val="14"/>
                <w:b w:val="1"/>
                <w:bCs w:val="1"/>
                <w:color w:val="auto"/>
              </w:rPr>
              <w:t>Principal amount</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gridSpan w:val="3"/>
            <w:vMerge w:val="restart"/>
          </w:tcPr>
          <w:p>
            <w:pPr>
              <w:jc w:val="center"/>
              <w:ind w:right="280"/>
              <w:spacing w:after="0" w:line="152" w:lineRule="exact"/>
              <w:rPr>
                <w:sz w:val="20"/>
                <w:szCs w:val="20"/>
                <w:color w:val="auto"/>
              </w:rPr>
            </w:pPr>
            <w:r>
              <w:rPr>
                <w:rFonts w:ascii="Arial" w:cs="Arial" w:eastAsia="Arial" w:hAnsi="Arial"/>
                <w:sz w:val="14"/>
                <w:szCs w:val="14"/>
                <w:b w:val="1"/>
                <w:bCs w:val="1"/>
                <w:color w:val="auto"/>
                <w:w w:val="86"/>
              </w:rPr>
              <w:t>average</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520" w:type="dxa"/>
            <w:vAlign w:val="bottom"/>
            <w:gridSpan w:val="6"/>
            <w:vMerge w:val="continue"/>
          </w:tcPr>
          <w:p>
            <w:pPr>
              <w:spacing w:after="0"/>
              <w:rPr>
                <w:sz w:val="10"/>
                <w:szCs w:val="10"/>
                <w:color w:val="auto"/>
              </w:rPr>
            </w:pPr>
          </w:p>
        </w:tc>
        <w:tc>
          <w:tcPr>
            <w:tcW w:w="160" w:type="dxa"/>
            <w:vAlign w:val="bottom"/>
          </w:tcPr>
          <w:p>
            <w:pPr>
              <w:spacing w:after="0"/>
              <w:rPr>
                <w:sz w:val="10"/>
                <w:szCs w:val="10"/>
                <w:color w:val="auto"/>
              </w:rPr>
            </w:pPr>
          </w:p>
        </w:tc>
        <w:tc>
          <w:tcPr>
            <w:tcW w:w="2380" w:type="dxa"/>
            <w:vAlign w:val="bottom"/>
            <w:gridSpan w:val="5"/>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3"/>
            <w:vMerge w:val="continue"/>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6"/>
              </w:rPr>
              <w:t>interest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Borrowing</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U.S. $</w:t>
            </w: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4"/>
              </w:rPr>
              <w:t>rate (a)</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currency</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equivalent</w:t>
            </w:r>
          </w:p>
        </w:tc>
        <w:tc>
          <w:tcPr>
            <w:tcW w:w="16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June 30, 2020</w:t>
            </w:r>
          </w:p>
        </w:tc>
        <w:tc>
          <w:tcPr>
            <w:tcW w:w="20" w:type="dxa"/>
            <w:vAlign w:val="bottom"/>
          </w:tcPr>
          <w:p>
            <w:pPr>
              <w:spacing w:after="0"/>
              <w:rPr>
                <w:sz w:val="15"/>
                <w:szCs w:val="15"/>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December 31, 2019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5"/>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20" w:type="dxa"/>
            <w:vAlign w:val="bottom"/>
            <w:gridSpan w:val="5"/>
          </w:tcPr>
          <w:p>
            <w:pPr>
              <w:ind w:left="840"/>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32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Telenet Credit Facility (c)</w:t>
            </w: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2.21%</w:t>
            </w: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555.0</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624.0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3,543.0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3,541.4</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60" w:type="dxa"/>
            <w:vAlign w:val="bottom"/>
            <w:gridSpan w:val="3"/>
          </w:tcPr>
          <w:p>
            <w:pPr>
              <w:ind w:left="20"/>
              <w:spacing w:after="0"/>
              <w:rPr>
                <w:sz w:val="20"/>
                <w:szCs w:val="20"/>
                <w:color w:val="auto"/>
              </w:rPr>
            </w:pPr>
            <w:r>
              <w:rPr>
                <w:rFonts w:ascii="Arial" w:cs="Arial" w:eastAsia="Arial" w:hAnsi="Arial"/>
                <w:sz w:val="16"/>
                <w:szCs w:val="16"/>
                <w:color w:val="auto"/>
              </w:rPr>
              <w:t>Telenet Senior Secured Notes</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4.74%</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1,607.1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3"/>
              <w:spacing w:after="0"/>
              <w:rPr>
                <w:sz w:val="20"/>
                <w:szCs w:val="20"/>
                <w:color w:val="auto"/>
              </w:rPr>
            </w:pPr>
            <w:r>
              <w:rPr>
                <w:rFonts w:ascii="Arial" w:cs="Arial" w:eastAsia="Arial" w:hAnsi="Arial"/>
                <w:sz w:val="16"/>
                <w:szCs w:val="16"/>
                <w:color w:val="auto"/>
              </w:rPr>
              <w:t>1,673.7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32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UPCB SPE Notes</w:t>
            </w: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3.80%</w:t>
            </w: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1,281.8</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2,420.1</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60" w:type="dxa"/>
            <w:vAlign w:val="bottom"/>
            <w:gridSpan w:val="3"/>
          </w:tcPr>
          <w:p>
            <w:pPr>
              <w:ind w:left="20"/>
              <w:spacing w:after="0"/>
              <w:rPr>
                <w:sz w:val="20"/>
                <w:szCs w:val="20"/>
                <w:color w:val="auto"/>
              </w:rPr>
            </w:pPr>
            <w:r>
              <w:rPr>
                <w:rFonts w:ascii="Arial" w:cs="Arial" w:eastAsia="Arial" w:hAnsi="Arial"/>
                <w:sz w:val="16"/>
                <w:szCs w:val="16"/>
                <w:color w:val="auto"/>
              </w:rPr>
              <w:t>UPC Holding Bank Facility (d)</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2.46%</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500.0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25"/>
              <w:spacing w:after="0"/>
              <w:rPr>
                <w:sz w:val="20"/>
                <w:szCs w:val="20"/>
                <w:color w:val="auto"/>
              </w:rPr>
            </w:pPr>
            <w:r>
              <w:rPr>
                <w:rFonts w:ascii="Arial" w:cs="Arial" w:eastAsia="Arial" w:hAnsi="Arial"/>
                <w:sz w:val="16"/>
                <w:szCs w:val="16"/>
                <w:color w:val="auto"/>
              </w:rPr>
              <w:t>562.2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1,149.7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32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UPC Holding Senior Notes</w:t>
            </w: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4.60%</w:t>
            </w: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1,203.1</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1,202.3</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60" w:type="dxa"/>
            <w:vAlign w:val="bottom"/>
            <w:gridSpan w:val="3"/>
          </w:tcPr>
          <w:p>
            <w:pPr>
              <w:ind w:left="20"/>
              <w:spacing w:after="0"/>
              <w:rPr>
                <w:sz w:val="20"/>
                <w:szCs w:val="20"/>
                <w:color w:val="auto"/>
              </w:rPr>
            </w:pPr>
            <w:r>
              <w:rPr>
                <w:rFonts w:ascii="Arial" w:cs="Arial" w:eastAsia="Arial" w:hAnsi="Arial"/>
                <w:sz w:val="16"/>
                <w:szCs w:val="16"/>
                <w:color w:val="auto"/>
              </w:rPr>
              <w:t>Vendor financing (e)(f)</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2.54%</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1,358.7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3"/>
              <w:spacing w:after="0"/>
              <w:rPr>
                <w:sz w:val="20"/>
                <w:szCs w:val="20"/>
                <w:color w:val="auto"/>
              </w:rPr>
            </w:pPr>
            <w:r>
              <w:rPr>
                <w:rFonts w:ascii="Arial" w:cs="Arial" w:eastAsia="Arial" w:hAnsi="Arial"/>
                <w:sz w:val="16"/>
                <w:szCs w:val="16"/>
                <w:color w:val="auto"/>
              </w:rPr>
              <w:t>1,374.3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32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ITV Collar Loan</w:t>
            </w: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0.90%</w:t>
            </w: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1,339.9</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1,435.5</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60" w:type="dxa"/>
            <w:vAlign w:val="bottom"/>
            <w:gridSpan w:val="3"/>
          </w:tcPr>
          <w:p>
            <w:pPr>
              <w:ind w:left="20"/>
              <w:spacing w:after="0"/>
              <w:rPr>
                <w:sz w:val="20"/>
                <w:szCs w:val="20"/>
                <w:color w:val="auto"/>
              </w:rPr>
            </w:pPr>
            <w:r>
              <w:rPr>
                <w:rFonts w:ascii="Arial" w:cs="Arial" w:eastAsia="Arial" w:hAnsi="Arial"/>
                <w:sz w:val="16"/>
                <w:szCs w:val="16"/>
                <w:color w:val="auto"/>
              </w:rPr>
              <w:t>Virgin Media debt</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color w:val="auto"/>
              </w:rPr>
              <w:t>(f)</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(f)</w:t>
            </w:r>
          </w:p>
        </w:tc>
        <w:tc>
          <w:tcPr>
            <w:tcW w:w="16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color w:val="auto"/>
              </w:rPr>
              <w:t>(f)</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3"/>
              <w:spacing w:after="0"/>
              <w:rPr>
                <w:sz w:val="20"/>
                <w:szCs w:val="20"/>
                <w:color w:val="auto"/>
              </w:rPr>
            </w:pPr>
            <w:r>
              <w:rPr>
                <w:rFonts w:ascii="Arial" w:cs="Arial" w:eastAsia="Arial" w:hAnsi="Arial"/>
                <w:sz w:val="16"/>
                <w:szCs w:val="16"/>
                <w:color w:val="auto"/>
              </w:rPr>
              <w:t>15,693.5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32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Other (f)(g)</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5.59%</w:t>
            </w: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294.2</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307.3</w:t>
            </w: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4620" w:type="dxa"/>
            <w:vAlign w:val="bottom"/>
            <w:gridSpan w:val="6"/>
          </w:tcPr>
          <w:p>
            <w:pPr>
              <w:jc w:val="right"/>
              <w:ind w:right="220"/>
              <w:spacing w:after="0" w:line="179" w:lineRule="exact"/>
              <w:rPr>
                <w:sz w:val="20"/>
                <w:szCs w:val="20"/>
                <w:color w:val="auto"/>
              </w:rPr>
            </w:pPr>
            <w:r>
              <w:rPr>
                <w:rFonts w:ascii="Arial" w:cs="Arial" w:eastAsia="Arial" w:hAnsi="Arial"/>
                <w:sz w:val="16"/>
                <w:szCs w:val="16"/>
                <w:color w:val="auto"/>
                <w:w w:val="91"/>
              </w:rPr>
              <w:t>Total debt before deferred financing costs, discounts and premiums</w:t>
            </w:r>
          </w:p>
        </w:tc>
        <w:tc>
          <w:tcPr>
            <w:tcW w:w="2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gridSpan w:val="2"/>
            <w:vMerge w:val="restart"/>
          </w:tcPr>
          <w:p>
            <w:pPr>
              <w:jc w:val="right"/>
              <w:ind w:right="60"/>
              <w:spacing w:after="0"/>
              <w:rPr>
                <w:sz w:val="20"/>
                <w:szCs w:val="20"/>
                <w:color w:val="auto"/>
              </w:rPr>
            </w:pPr>
            <w:r>
              <w:rPr>
                <w:rFonts w:ascii="Arial" w:cs="Arial" w:eastAsia="Arial" w:hAnsi="Arial"/>
                <w:sz w:val="16"/>
                <w:szCs w:val="16"/>
                <w:color w:val="auto"/>
              </w:rPr>
              <w:t>2.97%</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vMerge w:val="restart"/>
          </w:tcPr>
          <w:p>
            <w:pPr>
              <w:spacing w:after="0"/>
              <w:rPr>
                <w:sz w:val="15"/>
                <w:szCs w:val="15"/>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vMerge w:val="restart"/>
          </w:tcPr>
          <w:p>
            <w:pPr>
              <w:jc w:val="right"/>
              <w:ind w:right="25"/>
              <w:spacing w:after="0"/>
              <w:rPr>
                <w:sz w:val="20"/>
                <w:szCs w:val="20"/>
                <w:color w:val="auto"/>
              </w:rPr>
            </w:pPr>
            <w:r>
              <w:rPr>
                <w:rFonts w:ascii="Arial" w:cs="Arial" w:eastAsia="Arial" w:hAnsi="Arial"/>
                <w:sz w:val="16"/>
                <w:szCs w:val="16"/>
                <w:color w:val="auto"/>
              </w:rPr>
              <w:t>1,186.2</w:t>
            </w:r>
          </w:p>
        </w:tc>
        <w:tc>
          <w:tcPr>
            <w:tcW w:w="100" w:type="dxa"/>
            <w:vAlign w:val="bottom"/>
          </w:tcPr>
          <w:p>
            <w:pPr>
              <w:spacing w:after="0"/>
              <w:rPr>
                <w:sz w:val="15"/>
                <w:szCs w:val="15"/>
                <w:color w:val="auto"/>
              </w:rPr>
            </w:pPr>
          </w:p>
        </w:tc>
        <w:tc>
          <w:tcPr>
            <w:tcW w:w="160" w:type="dxa"/>
            <w:vAlign w:val="bottom"/>
            <w:tcBorders>
              <w:top w:val="single" w:sz="8" w:color="auto"/>
            </w:tcBorders>
            <w:vMerge w:val="restart"/>
          </w:tcPr>
          <w:p>
            <w:pPr>
              <w:ind w:left="40"/>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vMerge w:val="restart"/>
          </w:tcPr>
          <w:p>
            <w:pPr>
              <w:jc w:val="right"/>
              <w:ind w:right="24"/>
              <w:spacing w:after="0"/>
              <w:rPr>
                <w:sz w:val="20"/>
                <w:szCs w:val="20"/>
                <w:color w:val="auto"/>
              </w:rPr>
            </w:pPr>
            <w:r>
              <w:rPr>
                <w:rFonts w:ascii="Arial" w:cs="Arial" w:eastAsia="Arial" w:hAnsi="Arial"/>
                <w:sz w:val="16"/>
                <w:szCs w:val="16"/>
                <w:color w:val="auto"/>
              </w:rPr>
              <w:t>11,777.5</w:t>
            </w:r>
          </w:p>
        </w:tc>
        <w:tc>
          <w:tcPr>
            <w:tcW w:w="10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vMerge w:val="restart"/>
          </w:tcPr>
          <w:p>
            <w:pPr>
              <w:jc w:val="right"/>
              <w:ind w:right="3"/>
              <w:spacing w:after="0"/>
              <w:rPr>
                <w:sz w:val="20"/>
                <w:szCs w:val="20"/>
                <w:color w:val="auto"/>
              </w:rPr>
            </w:pPr>
            <w:r>
              <w:rPr>
                <w:rFonts w:ascii="Arial" w:cs="Arial" w:eastAsia="Arial" w:hAnsi="Arial"/>
                <w:sz w:val="16"/>
                <w:szCs w:val="16"/>
                <w:color w:val="auto"/>
              </w:rPr>
              <w:t>27,648.1</w:t>
            </w:r>
          </w:p>
        </w:tc>
        <w:tc>
          <w:tcPr>
            <w:tcW w:w="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20" w:type="dxa"/>
            <w:vAlign w:val="bottom"/>
          </w:tcPr>
          <w:p>
            <w:pPr>
              <w:spacing w:after="0"/>
              <w:rPr>
                <w:sz w:val="17"/>
                <w:szCs w:val="17"/>
                <w:color w:val="auto"/>
              </w:rPr>
            </w:pPr>
          </w:p>
        </w:tc>
        <w:tc>
          <w:tcPr>
            <w:tcW w:w="2940" w:type="dxa"/>
            <w:vAlign w:val="bottom"/>
            <w:gridSpan w:val="2"/>
          </w:tcPr>
          <w:p>
            <w:pPr>
              <w:jc w:val="right"/>
              <w:ind w:right="2720"/>
              <w:spacing w:after="0"/>
              <w:rPr>
                <w:sz w:val="20"/>
                <w:szCs w:val="20"/>
                <w:color w:val="auto"/>
              </w:rPr>
            </w:pPr>
            <w:r>
              <w:rPr>
                <w:rFonts w:ascii="Arial" w:cs="Arial" w:eastAsia="Arial" w:hAnsi="Arial"/>
                <w:sz w:val="16"/>
                <w:szCs w:val="16"/>
                <w:color w:val="auto"/>
              </w:rPr>
              <w:t>(h)</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9"/>
        </w:trPr>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ind w:right="85"/>
              <w:spacing w:after="0"/>
              <w:rPr>
                <w:sz w:val="20"/>
                <w:szCs w:val="20"/>
                <w:color w:val="auto"/>
              </w:rPr>
            </w:pPr>
            <w:r>
              <w:rPr>
                <w:rFonts w:ascii="Arial" w:cs="Arial" w:eastAsia="Arial" w:hAnsi="Arial"/>
                <w:sz w:val="16"/>
                <w:szCs w:val="16"/>
                <w:color w:val="auto"/>
              </w:rPr>
              <w:t>26</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263" w:right="319" w:bottom="1440" w:gutter="0" w:footer="0" w:header="0"/>
        </w:sectPr>
      </w:pPr>
    </w:p>
    <w:bookmarkStart w:id="28" w:name="page29"/>
    <w:bookmarkEnd w:id="28"/>
    <w:p>
      <w:pPr>
        <w:jc w:val="center"/>
        <w:ind w:right="-6"/>
        <w:spacing w:after="0"/>
        <w:rPr>
          <w:sz w:val="20"/>
          <w:szCs w:val="20"/>
          <w:color w:val="auto"/>
        </w:rPr>
      </w:pPr>
      <w:r>
        <w:rPr>
          <w:rFonts w:ascii="Arial" w:cs="Arial" w:eastAsia="Arial" w:hAnsi="Arial"/>
          <w:sz w:val="16"/>
          <w:szCs w:val="16"/>
          <w:b w:val="1"/>
          <w:bCs w:val="1"/>
          <w:color w:val="auto"/>
        </w:rPr>
        <w:t>LIBERTY GLOBAL PLC</w:t>
      </w:r>
    </w:p>
    <w:p>
      <w:pPr>
        <w:spacing w:after="0" w:line="18"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Notes to Condensed Consolidated Financial Statements — (Continued)</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June 30, 2020</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ind w:left="287"/>
        <w:spacing w:after="0"/>
        <w:rPr>
          <w:sz w:val="20"/>
          <w:szCs w:val="20"/>
          <w:color w:val="auto"/>
        </w:rPr>
      </w:pPr>
      <w:r>
        <w:rPr>
          <w:rFonts w:ascii="Arial" w:cs="Arial" w:eastAsia="Arial" w:hAnsi="Arial"/>
          <w:sz w:val="14"/>
          <w:szCs w:val="14"/>
          <w:color w:val="auto"/>
        </w:rPr>
        <w:t>The following table provides a reconciliation of total debt before deferred financing costs, discounts and premiums to total debt and finance lease obligations:</w:t>
      </w:r>
    </w:p>
    <w:p>
      <w:pPr>
        <w:spacing w:after="0" w:line="175" w:lineRule="exact"/>
        <w:rPr>
          <w:sz w:val="20"/>
          <w:szCs w:val="20"/>
          <w:color w:val="auto"/>
        </w:rPr>
      </w:pPr>
    </w:p>
    <w:tbl>
      <w:tblPr>
        <w:tblLayout w:type="fixed"/>
        <w:tblInd w:w="7" w:type="dxa"/>
        <w:tblCellMar>
          <w:top w:w="0" w:type="dxa"/>
          <w:left w:w="0" w:type="dxa"/>
          <w:bottom w:w="0" w:type="dxa"/>
          <w:right w:w="0" w:type="dxa"/>
        </w:tblCellMar>
      </w:tblPr>
      <w:tr>
        <w:trPr>
          <w:trHeight w:val="182"/>
        </w:trPr>
        <w:tc>
          <w:tcPr>
            <w:tcW w:w="8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2020</w:t>
            </w: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December 31, 2019</w:t>
            </w:r>
          </w:p>
        </w:tc>
      </w:tr>
      <w:tr>
        <w:trPr>
          <w:trHeight w:val="28"/>
        </w:trPr>
        <w:tc>
          <w:tcPr>
            <w:tcW w:w="8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85"/>
        </w:trPr>
        <w:tc>
          <w:tcPr>
            <w:tcW w:w="8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3"/>
          </w:tcPr>
          <w:p>
            <w:pPr>
              <w:jc w:val="right"/>
              <w:ind w:right="85"/>
              <w:spacing w:after="0"/>
              <w:rPr>
                <w:sz w:val="20"/>
                <w:szCs w:val="20"/>
                <w:color w:val="auto"/>
              </w:rPr>
            </w:pPr>
            <w:r>
              <w:rPr>
                <w:rFonts w:ascii="Arial" w:cs="Arial" w:eastAsia="Arial" w:hAnsi="Arial"/>
                <w:sz w:val="14"/>
                <w:szCs w:val="14"/>
                <w:b w:val="1"/>
                <w:bCs w:val="1"/>
                <w:color w:val="auto"/>
              </w:rPr>
              <w:t>in millions</w:t>
            </w:r>
          </w:p>
        </w:tc>
        <w:tc>
          <w:tcPr>
            <w:tcW w:w="800" w:type="dxa"/>
            <w:vAlign w:val="bottom"/>
          </w:tcPr>
          <w:p>
            <w:pPr>
              <w:spacing w:after="0"/>
              <w:rPr>
                <w:sz w:val="16"/>
                <w:szCs w:val="16"/>
                <w:color w:val="auto"/>
              </w:rPr>
            </w:pPr>
          </w:p>
        </w:tc>
      </w:tr>
      <w:tr>
        <w:trPr>
          <w:trHeight w:val="179"/>
        </w:trPr>
        <w:tc>
          <w:tcPr>
            <w:tcW w:w="8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13"/>
        </w:trPr>
        <w:tc>
          <w:tcPr>
            <w:tcW w:w="8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debt before deferred financing costs, discounts and premiums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11,777.5</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ind w:right="245"/>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27,648.1</w:t>
            </w:r>
          </w:p>
        </w:tc>
      </w:tr>
      <w:tr>
        <w:trPr>
          <w:trHeight w:val="209"/>
        </w:trPr>
        <w:tc>
          <w:tcPr>
            <w:tcW w:w="8700" w:type="dxa"/>
            <w:vAlign w:val="bottom"/>
          </w:tcPr>
          <w:p>
            <w:pPr>
              <w:ind w:left="20"/>
              <w:spacing w:after="0"/>
              <w:rPr>
                <w:sz w:val="20"/>
                <w:szCs w:val="20"/>
                <w:color w:val="auto"/>
              </w:rPr>
            </w:pPr>
            <w:r>
              <w:rPr>
                <w:rFonts w:ascii="Arial" w:cs="Arial" w:eastAsia="Arial" w:hAnsi="Arial"/>
                <w:sz w:val="16"/>
                <w:szCs w:val="16"/>
                <w:color w:val="auto"/>
              </w:rPr>
              <w:t>Deferred financing costs, discounts and premiums, net</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(48.3)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(82.7)</w:t>
            </w:r>
          </w:p>
        </w:tc>
      </w:tr>
      <w:tr>
        <w:trPr>
          <w:trHeight w:val="24"/>
        </w:trPr>
        <w:tc>
          <w:tcPr>
            <w:tcW w:w="8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4"/>
        </w:trPr>
        <w:tc>
          <w:tcPr>
            <w:tcW w:w="8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carrying amount of debt</w:t>
            </w:r>
          </w:p>
        </w:tc>
        <w:tc>
          <w:tcPr>
            <w:tcW w:w="1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11,729.2</w:t>
            </w: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27,565.4</w:t>
            </w:r>
          </w:p>
        </w:tc>
      </w:tr>
      <w:tr>
        <w:trPr>
          <w:trHeight w:val="209"/>
        </w:trPr>
        <w:tc>
          <w:tcPr>
            <w:tcW w:w="8700" w:type="dxa"/>
            <w:vAlign w:val="bottom"/>
          </w:tcPr>
          <w:p>
            <w:pPr>
              <w:ind w:left="20"/>
              <w:spacing w:after="0"/>
              <w:rPr>
                <w:sz w:val="20"/>
                <w:szCs w:val="20"/>
                <w:color w:val="auto"/>
              </w:rPr>
            </w:pPr>
            <w:r>
              <w:rPr>
                <w:rFonts w:ascii="Arial" w:cs="Arial" w:eastAsia="Arial" w:hAnsi="Arial"/>
                <w:sz w:val="16"/>
                <w:szCs w:val="16"/>
                <w:color w:val="auto"/>
              </w:rPr>
              <w:t>Finance lease obligations (f) (note 10)</w:t>
            </w:r>
          </w:p>
        </w:tc>
        <w:tc>
          <w:tcPr>
            <w:tcW w:w="160" w:type="dxa"/>
            <w:vAlign w:val="bottom"/>
          </w:tcPr>
          <w:p>
            <w:pPr>
              <w:spacing w:after="0"/>
              <w:rPr>
                <w:sz w:val="18"/>
                <w:szCs w:val="18"/>
                <w:color w:val="auto"/>
              </w:rPr>
            </w:pP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514.4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ind w:right="22"/>
              <w:spacing w:after="0"/>
              <w:rPr>
                <w:sz w:val="20"/>
                <w:szCs w:val="20"/>
                <w:color w:val="auto"/>
              </w:rPr>
            </w:pPr>
            <w:r>
              <w:rPr>
                <w:rFonts w:ascii="Arial" w:cs="Arial" w:eastAsia="Arial" w:hAnsi="Arial"/>
                <w:sz w:val="16"/>
                <w:szCs w:val="16"/>
                <w:color w:val="auto"/>
              </w:rPr>
              <w:t>617.1</w:t>
            </w:r>
          </w:p>
        </w:tc>
      </w:tr>
      <w:tr>
        <w:trPr>
          <w:trHeight w:val="24"/>
        </w:trPr>
        <w:tc>
          <w:tcPr>
            <w:tcW w:w="8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4"/>
        </w:trPr>
        <w:tc>
          <w:tcPr>
            <w:tcW w:w="87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Total debt and finance lease obligations</w:t>
            </w:r>
          </w:p>
        </w:tc>
        <w:tc>
          <w:tcPr>
            <w:tcW w:w="1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12,243.6</w:t>
            </w: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28,182.5</w:t>
            </w:r>
          </w:p>
        </w:tc>
      </w:tr>
      <w:tr>
        <w:trPr>
          <w:trHeight w:val="209"/>
        </w:trPr>
        <w:tc>
          <w:tcPr>
            <w:tcW w:w="8700" w:type="dxa"/>
            <w:vAlign w:val="bottom"/>
          </w:tcPr>
          <w:p>
            <w:pPr>
              <w:ind w:left="20"/>
              <w:spacing w:after="0"/>
              <w:rPr>
                <w:sz w:val="20"/>
                <w:szCs w:val="20"/>
                <w:color w:val="auto"/>
              </w:rPr>
            </w:pPr>
            <w:r>
              <w:rPr>
                <w:rFonts w:ascii="Arial" w:cs="Arial" w:eastAsia="Arial" w:hAnsi="Arial"/>
                <w:sz w:val="16"/>
                <w:szCs w:val="16"/>
                <w:color w:val="auto"/>
              </w:rPr>
              <w:t>Current maturities of debt and finance lease obligations</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(1,867.7)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(3,877.2)</w:t>
            </w:r>
          </w:p>
        </w:tc>
      </w:tr>
      <w:tr>
        <w:trPr>
          <w:trHeight w:val="24"/>
        </w:trPr>
        <w:tc>
          <w:tcPr>
            <w:tcW w:w="8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8"/>
        </w:trPr>
        <w:tc>
          <w:tcPr>
            <w:tcW w:w="8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 debt and finance lease obligations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10,375.9</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45"/>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24,305.3</w:t>
            </w:r>
          </w:p>
        </w:tc>
      </w:tr>
      <w:tr>
        <w:trPr>
          <w:trHeight w:val="20"/>
        </w:trPr>
        <w:tc>
          <w:tcPr>
            <w:tcW w:w="8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ind w:left="7"/>
        <w:spacing w:after="0"/>
        <w:rPr>
          <w:sz w:val="20"/>
          <w:szCs w:val="20"/>
          <w:color w:val="auto"/>
        </w:rPr>
      </w:pPr>
      <w:r>
        <w:rPr>
          <w:rFonts w:ascii="Arial" w:cs="Arial" w:eastAsia="Arial" w:hAnsi="Arial"/>
          <w:sz w:val="16"/>
          <w:szCs w:val="16"/>
          <w:color w:val="auto"/>
        </w:rPr>
        <w:t>_______________</w:t>
      </w:r>
    </w:p>
    <w:p>
      <w:pPr>
        <w:spacing w:after="0" w:line="188" w:lineRule="exact"/>
        <w:rPr>
          <w:sz w:val="20"/>
          <w:szCs w:val="20"/>
          <w:color w:val="auto"/>
        </w:rPr>
      </w:pPr>
    </w:p>
    <w:p>
      <w:pPr>
        <w:jc w:val="both"/>
        <w:ind w:left="427" w:right="20" w:hanging="427"/>
        <w:spacing w:after="0" w:line="290" w:lineRule="auto"/>
        <w:tabs>
          <w:tab w:leader="none" w:pos="427"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Represents the weighted average interest rate in effect at June 30, 2020 for all borrowings outstanding (excluding those of the U.K. JV Entities) pursuant to each debt instrument, including any applicable margin. The interest rates presented represent stated rates and do not include the impact of derivative instruments, deferred financing costs, original issue premiums or discounts and commitment fees, all of which affect our overall cost of borrowing. Including the effects of derivative instruments, original issue premiums or discounts and commitment fees, but excluding the impact of deferred financing costs, our weighted average interest rate on our aggregate variable- and fixed-rate indebtedness was 3.31% at June 30, 2020. For information regarding our derivative instruments, see note 6.</w:t>
      </w:r>
    </w:p>
    <w:p>
      <w:pPr>
        <w:spacing w:after="0" w:line="144" w:lineRule="exact"/>
        <w:rPr>
          <w:rFonts w:ascii="Arial" w:cs="Arial" w:eastAsia="Arial" w:hAnsi="Arial"/>
          <w:sz w:val="14"/>
          <w:szCs w:val="14"/>
          <w:color w:val="auto"/>
        </w:rPr>
      </w:pPr>
    </w:p>
    <w:p>
      <w:pPr>
        <w:jc w:val="both"/>
        <w:ind w:left="427" w:hanging="427"/>
        <w:spacing w:after="0" w:line="284" w:lineRule="auto"/>
        <w:tabs>
          <w:tab w:leader="none" w:pos="427" w:val="left"/>
        </w:tabs>
        <w:numPr>
          <w:ilvl w:val="0"/>
          <w:numId w:val="20"/>
        </w:numPr>
        <w:rPr>
          <w:rFonts w:ascii="Arial" w:cs="Arial" w:eastAsia="Arial" w:hAnsi="Arial"/>
          <w:sz w:val="14"/>
          <w:szCs w:val="14"/>
          <w:color w:val="auto"/>
        </w:rPr>
      </w:pPr>
      <w:r>
        <w:rPr>
          <w:rFonts w:ascii="Arial" w:cs="Arial" w:eastAsia="Arial" w:hAnsi="Arial"/>
          <w:sz w:val="14"/>
          <w:szCs w:val="14"/>
          <w:color w:val="auto"/>
        </w:rPr>
        <w:t>Unused borrowing capacity represents the maximum availability under the applicable facility at June 30, 2020 without regard to covenant compliance calculations or other conditions precedent to borrowing. At June 30, 2020, based on the most restrictive applicable leverage covenants, the full amount of unused borrowing capacity was available to be borrowed under each of the respective subsidiary facilities, and based on the most restrictive applicable leverage-based restricted payment tests, there were no restrictions on the respective subsidiary's ability to make loans or distributions from this availability to Liberty Global or its subsidiaries or other equity holders. Upon completion of the relevant June 30, 2020 compliance reporting requirements, we expect the full amount of unused borrowing capacity will continue to be available under each of the respective subsidiary facilities, with no additional restriction to loan or distribute. Our above expectations do not consider any actual or potential changes to our borrowing levels or any amounts loaned or distributed subsequent to June 30, 2020, or the impact of additional amounts that may be available to borrow, loan or distribute under certain defined baskets within each respective facility.</w:t>
      </w:r>
    </w:p>
    <w:p>
      <w:pPr>
        <w:spacing w:after="0" w:line="151" w:lineRule="exact"/>
        <w:rPr>
          <w:rFonts w:ascii="Arial" w:cs="Arial" w:eastAsia="Arial" w:hAnsi="Arial"/>
          <w:sz w:val="14"/>
          <w:szCs w:val="14"/>
          <w:color w:val="auto"/>
        </w:rPr>
      </w:pPr>
    </w:p>
    <w:p>
      <w:pPr>
        <w:jc w:val="both"/>
        <w:ind w:left="427" w:hanging="427"/>
        <w:spacing w:after="0" w:line="294" w:lineRule="auto"/>
        <w:tabs>
          <w:tab w:leader="none" w:pos="427" w:val="left"/>
        </w:tabs>
        <w:numPr>
          <w:ilvl w:val="0"/>
          <w:numId w:val="20"/>
        </w:numPr>
        <w:rPr>
          <w:rFonts w:ascii="Arial" w:cs="Arial" w:eastAsia="Arial" w:hAnsi="Arial"/>
          <w:sz w:val="14"/>
          <w:szCs w:val="14"/>
          <w:color w:val="auto"/>
        </w:rPr>
      </w:pPr>
      <w:r>
        <w:rPr>
          <w:rFonts w:ascii="Arial" w:cs="Arial" w:eastAsia="Arial" w:hAnsi="Arial"/>
          <w:sz w:val="14"/>
          <w:szCs w:val="14"/>
          <w:color w:val="auto"/>
        </w:rPr>
        <w:t xml:space="preserve">Unused borrowing capacity under the Telenet Credit Facility comprises (i) €510.0 million ($573.4 million) under the Telenet Revolving Facility I (as defined below), (ii) €25.0 million ($28.1 million) under the Telenet Overdraft Facility and (iii) €20.0 million ($22.5 million) under the Telenet Revolving Facility, each of which were undrawn at June 30, 2020. During 2020, Telenet Facility AG and Telenet Facility AP were cancelled in full and replaced with a single revolving facility, which bears interest at a rate of EURIBOR + 2.25%, is subject to a EURIBOR floor of 0.0% and has a final maturity date of May 31, 2026 (the </w:t>
      </w:r>
      <w:r>
        <w:rPr>
          <w:rFonts w:ascii="Arial" w:cs="Arial" w:eastAsia="Arial" w:hAnsi="Arial"/>
          <w:sz w:val="14"/>
          <w:szCs w:val="14"/>
          <w:b w:val="1"/>
          <w:bCs w:val="1"/>
          <w:color w:val="auto"/>
        </w:rPr>
        <w:t>Telenet Revolving Facility I</w:t>
      </w:r>
      <w:r>
        <w:rPr>
          <w:rFonts w:ascii="Arial" w:cs="Arial" w:eastAsia="Arial" w:hAnsi="Arial"/>
          <w:sz w:val="14"/>
          <w:szCs w:val="14"/>
          <w:color w:val="auto"/>
        </w:rPr>
        <w:t>).</w:t>
      </w:r>
    </w:p>
    <w:p>
      <w:pPr>
        <w:spacing w:after="0" w:line="141" w:lineRule="exact"/>
        <w:rPr>
          <w:rFonts w:ascii="Arial" w:cs="Arial" w:eastAsia="Arial" w:hAnsi="Arial"/>
          <w:sz w:val="14"/>
          <w:szCs w:val="14"/>
          <w:color w:val="auto"/>
        </w:rPr>
      </w:pPr>
    </w:p>
    <w:p>
      <w:pPr>
        <w:ind w:left="707" w:hanging="707"/>
        <w:spacing w:after="0" w:line="246" w:lineRule="auto"/>
        <w:tabs>
          <w:tab w:leader="none" w:pos="428"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Unused borrowing capacity under the UPC Holding Bank Facility relates to €500.0 million ($562.2 million) of borrowing capacity under the UPC Revolving Facility (as defined below), which was undrawn at June 30, 2020. During 2020, as a result of the sale of certain entities within the UPC Holding borrowing group in prior years, and an associated reduction in the outstanding debt and Covenant EBITDA (as defined and described in the related debt agreement) of the remaining UPC Holding borrowing group, UPC Facility AM was cancelled in full and replaced with a new revolving facility, which bears interest at a rate of EURIBOR + 2.50% and has a final maturity date of May 31, 2026 (the </w:t>
      </w:r>
      <w:r>
        <w:rPr>
          <w:rFonts w:ascii="Arial" w:cs="Arial" w:eastAsia="Arial" w:hAnsi="Arial"/>
          <w:sz w:val="16"/>
          <w:szCs w:val="16"/>
          <w:b w:val="1"/>
          <w:bCs w:val="1"/>
          <w:color w:val="auto"/>
        </w:rPr>
        <w:t>UPC Revolving Facility</w:t>
      </w:r>
      <w:r>
        <w:rPr>
          <w:rFonts w:ascii="Arial" w:cs="Arial" w:eastAsia="Arial" w:hAnsi="Arial"/>
          <w:sz w:val="16"/>
          <w:szCs w:val="16"/>
          <w:color w:val="auto"/>
        </w:rPr>
        <w:t>).</w:t>
      </w:r>
    </w:p>
    <w:p>
      <w:pPr>
        <w:spacing w:after="0" w:line="173" w:lineRule="exact"/>
        <w:rPr>
          <w:rFonts w:ascii="Arial" w:cs="Arial" w:eastAsia="Arial" w:hAnsi="Arial"/>
          <w:sz w:val="16"/>
          <w:szCs w:val="16"/>
          <w:color w:val="auto"/>
        </w:rPr>
      </w:pPr>
    </w:p>
    <w:p>
      <w:pPr>
        <w:ind w:left="707" w:right="20" w:hanging="707"/>
        <w:spacing w:after="0" w:line="303" w:lineRule="auto"/>
        <w:tabs>
          <w:tab w:leader="none" w:pos="428"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Represents amounts owed pursuant to interest-bearing vendor financing arrangements that are used to finance certain of our property and equipment additions and operating expenses. These obligations are generally due within one year and include VAT that was also financed under these arrangements. Repayments of vendor financing obligations are included in repayments and repurchases of debt and finance lease obligations in our condensed consolidated statements of cash flows.</w:t>
      </w:r>
    </w:p>
    <w:p>
      <w:pPr>
        <w:spacing w:after="0" w:line="135"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267"/>
          </w:cols>
          <w:pgMar w:left="313" w:top="263" w:right="319" w:bottom="1440" w:gutter="0" w:footer="0" w:header="0"/>
        </w:sectPr>
      </w:pPr>
    </w:p>
    <w:bookmarkStart w:id="29" w:name="page30"/>
    <w:bookmarkEnd w:id="29"/>
    <w:p>
      <w:pPr>
        <w:jc w:val="center"/>
        <w:ind w:right="-6"/>
        <w:spacing w:after="0"/>
        <w:rPr>
          <w:sz w:val="20"/>
          <w:szCs w:val="20"/>
          <w:color w:val="auto"/>
        </w:rPr>
      </w:pPr>
      <w:r>
        <w:rPr>
          <w:rFonts w:ascii="Arial" w:cs="Arial" w:eastAsia="Arial" w:hAnsi="Arial"/>
          <w:sz w:val="16"/>
          <w:szCs w:val="16"/>
          <w:b w:val="1"/>
          <w:bCs w:val="1"/>
          <w:color w:val="auto"/>
        </w:rPr>
        <w:t>LIBERTY GLOBAL PLC</w:t>
      </w:r>
    </w:p>
    <w:p>
      <w:pPr>
        <w:spacing w:after="0" w:line="18"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Notes to Condensed Consolidated Financial Statements — (Continued)</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June 30, 2020</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707" w:right="20" w:hanging="707"/>
        <w:spacing w:after="0" w:line="250" w:lineRule="auto"/>
        <w:tabs>
          <w:tab w:leader="none" w:pos="428"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 connection with the pending formation of the U.K. JV, the outstanding third-party debt of the U.K. JV Entities has been classified as liabilities associated with assets held for sale on our June 30, 2020 condensed consolidated balance sheet. For information regarding the pending formation of the U.K. JV and the held-for-sale presentation of the U.K. JV Entities, see note 4.</w:t>
      </w:r>
    </w:p>
    <w:p>
      <w:pPr>
        <w:spacing w:after="0" w:line="169" w:lineRule="exact"/>
        <w:rPr>
          <w:rFonts w:ascii="Arial" w:cs="Arial" w:eastAsia="Arial" w:hAnsi="Arial"/>
          <w:sz w:val="16"/>
          <w:szCs w:val="16"/>
          <w:color w:val="auto"/>
        </w:rPr>
      </w:pPr>
    </w:p>
    <w:p>
      <w:pPr>
        <w:ind w:left="427" w:hanging="427"/>
        <w:spacing w:after="0"/>
        <w:tabs>
          <w:tab w:leader="none" w:pos="427" w:val="left"/>
        </w:tabs>
        <w:numPr>
          <w:ilvl w:val="0"/>
          <w:numId w:val="21"/>
        </w:numPr>
        <w:rPr>
          <w:rFonts w:ascii="Arial" w:cs="Arial" w:eastAsia="Arial" w:hAnsi="Arial"/>
          <w:sz w:val="14"/>
          <w:szCs w:val="14"/>
          <w:color w:val="auto"/>
        </w:rPr>
      </w:pPr>
      <w:r>
        <w:rPr>
          <w:rFonts w:ascii="Arial" w:cs="Arial" w:eastAsia="Arial" w:hAnsi="Arial"/>
          <w:sz w:val="14"/>
          <w:szCs w:val="14"/>
          <w:color w:val="auto"/>
        </w:rPr>
        <w:t>As of June 30, 2020 and December 31, 2019, amounts include principal borrowings outstanding under the Lionsgate Loan of $55.3 million in each of the respective periods.</w:t>
      </w:r>
    </w:p>
    <w:p>
      <w:pPr>
        <w:spacing w:after="0" w:line="211" w:lineRule="exact"/>
        <w:rPr>
          <w:rFonts w:ascii="Arial" w:cs="Arial" w:eastAsia="Arial" w:hAnsi="Arial"/>
          <w:sz w:val="14"/>
          <w:szCs w:val="14"/>
          <w:color w:val="auto"/>
        </w:rPr>
      </w:pPr>
    </w:p>
    <w:p>
      <w:pPr>
        <w:ind w:left="707" w:hanging="707"/>
        <w:spacing w:after="0" w:line="290" w:lineRule="auto"/>
        <w:tabs>
          <w:tab w:leader="none" w:pos="428" w:val="left"/>
        </w:tabs>
        <w:numPr>
          <w:ilvl w:val="0"/>
          <w:numId w:val="21"/>
        </w:numPr>
        <w:rPr>
          <w:rFonts w:ascii="Arial" w:cs="Arial" w:eastAsia="Arial" w:hAnsi="Arial"/>
          <w:sz w:val="14"/>
          <w:szCs w:val="14"/>
          <w:color w:val="auto"/>
        </w:rPr>
      </w:pPr>
      <w:r>
        <w:rPr>
          <w:rFonts w:ascii="Arial" w:cs="Arial" w:eastAsia="Arial" w:hAnsi="Arial"/>
          <w:sz w:val="14"/>
          <w:szCs w:val="14"/>
          <w:color w:val="auto"/>
        </w:rPr>
        <w:t>As of June 30, 2020 and December 31, 2019, our debt had an estimated fair value of $11.6 billion (excluding the U.K. JV Entities) and $28.4 billion, respectively. The estimated fair values of our debt instruments are generally determined using the average of applicable bid and ask prices (mostly Level 1 of the fair value hierarchy) or, when quoted market prices are unavailable or not considered indicative of fair value, discounted cash flow models (mostly Level 2 of the fair value hierarchy). The discount rates used in the cash flow models are based on the market interest rates and estimated credit spreads of the applicable entity, to the extent available, and other relevant factors. For additional information regarding fair value hierarchies, see note 7.</w:t>
      </w:r>
    </w:p>
    <w:p>
      <w:pPr>
        <w:spacing w:after="0" w:line="138"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Financing Transactions - General Information</w:t>
      </w:r>
    </w:p>
    <w:p>
      <w:pPr>
        <w:spacing w:after="0" w:line="194" w:lineRule="exact"/>
        <w:rPr>
          <w:sz w:val="20"/>
          <w:szCs w:val="20"/>
          <w:color w:val="auto"/>
        </w:rPr>
      </w:pPr>
    </w:p>
    <w:p>
      <w:pPr>
        <w:jc w:val="both"/>
        <w:ind w:left="7" w:firstLine="279"/>
        <w:spacing w:after="0" w:line="286" w:lineRule="auto"/>
        <w:rPr>
          <w:sz w:val="20"/>
          <w:szCs w:val="20"/>
          <w:color w:val="auto"/>
        </w:rPr>
      </w:pPr>
      <w:r>
        <w:rPr>
          <w:rFonts w:ascii="Arial" w:cs="Arial" w:eastAsia="Arial" w:hAnsi="Arial"/>
          <w:sz w:val="14"/>
          <w:szCs w:val="14"/>
          <w:color w:val="auto"/>
        </w:rPr>
        <w:t>At June 30, 2020, most of our outstanding debt had been incurred by one of our three subsidiary “borrowing groups.” References to these borrowing groups, which comprise UPC Holding, Telenet and Virgin Media, include their respective restricted parent and subsidiary entities. Below we provide summary descriptions of certain financing transactions completed during the first six months of 2020. A portion of our financing transactions may include non-cash borrowings and repayments. During the six months ended June 30, 2020 and 2019, non-cash borrowings and repayments aggregated $3.5 billion and nil, respectively. Unless otherwise noted, the terms and conditions of any new notes and/or credit facilities are largely consistent with those of existing notes and credit facilities of the corresponding borrowing group with regard to covenants, events of default and change of control provisions, among other items. For information regarding the general terms and conditions of our debt and capitalized terms not defined herein, see note 11 to the consolidated financial statements included in our 10-K.</w:t>
      </w:r>
    </w:p>
    <w:p>
      <w:pPr>
        <w:spacing w:after="0" w:line="146" w:lineRule="exact"/>
        <w:rPr>
          <w:sz w:val="20"/>
          <w:szCs w:val="20"/>
          <w:color w:val="auto"/>
        </w:rPr>
      </w:pPr>
    </w:p>
    <w:p>
      <w:pPr>
        <w:ind w:left="147"/>
        <w:spacing w:after="0"/>
        <w:rPr>
          <w:sz w:val="20"/>
          <w:szCs w:val="20"/>
          <w:color w:val="auto"/>
        </w:rPr>
      </w:pPr>
      <w:r>
        <w:rPr>
          <w:rFonts w:ascii="Arial" w:cs="Arial" w:eastAsia="Arial" w:hAnsi="Arial"/>
          <w:sz w:val="16"/>
          <w:szCs w:val="16"/>
          <w:b w:val="1"/>
          <w:bCs w:val="1"/>
          <w:i w:val="1"/>
          <w:iCs w:val="1"/>
          <w:color w:val="auto"/>
        </w:rPr>
        <w:t>Telenet Financing Transactions</w:t>
      </w:r>
    </w:p>
    <w:p>
      <w:pPr>
        <w:spacing w:after="0" w:line="182" w:lineRule="exact"/>
        <w:rPr>
          <w:sz w:val="20"/>
          <w:szCs w:val="20"/>
          <w:color w:val="auto"/>
        </w:rPr>
      </w:pPr>
    </w:p>
    <w:p>
      <w:pPr>
        <w:jc w:val="both"/>
        <w:ind w:left="7" w:firstLine="279"/>
        <w:spacing w:after="0" w:line="289" w:lineRule="auto"/>
        <w:rPr>
          <w:sz w:val="20"/>
          <w:szCs w:val="20"/>
          <w:color w:val="auto"/>
        </w:rPr>
      </w:pPr>
      <w:r>
        <w:rPr>
          <w:rFonts w:ascii="Arial" w:cs="Arial" w:eastAsia="Arial" w:hAnsi="Arial"/>
          <w:sz w:val="14"/>
          <w:szCs w:val="14"/>
          <w:color w:val="auto"/>
        </w:rPr>
        <w:t>In January 2020, Telenet entered into (i) a $2,295.0 million term loan facility (</w:t>
      </w:r>
      <w:r>
        <w:rPr>
          <w:rFonts w:ascii="Arial" w:cs="Arial" w:eastAsia="Arial" w:hAnsi="Arial"/>
          <w:sz w:val="14"/>
          <w:szCs w:val="14"/>
          <w:b w:val="1"/>
          <w:bCs w:val="1"/>
          <w:color w:val="auto"/>
        </w:rPr>
        <w:t>Telenet Facility AR</w:t>
      </w:r>
      <w:r>
        <w:rPr>
          <w:rFonts w:ascii="Arial" w:cs="Arial" w:eastAsia="Arial" w:hAnsi="Arial"/>
          <w:sz w:val="14"/>
          <w:szCs w:val="14"/>
          <w:color w:val="auto"/>
        </w:rPr>
        <w:t>) and (ii) a €1,110.0 million ($1,248.0 million) term loan facility (</w:t>
      </w:r>
      <w:r>
        <w:rPr>
          <w:rFonts w:ascii="Arial" w:cs="Arial" w:eastAsia="Arial" w:hAnsi="Arial"/>
          <w:sz w:val="14"/>
          <w:szCs w:val="14"/>
          <w:b w:val="1"/>
          <w:bCs w:val="1"/>
          <w:color w:val="auto"/>
        </w:rPr>
        <w:t>Telenet</w:t>
      </w:r>
      <w:r>
        <w:rPr>
          <w:rFonts w:ascii="Arial" w:cs="Arial" w:eastAsia="Arial" w:hAnsi="Arial"/>
          <w:sz w:val="14"/>
          <w:szCs w:val="14"/>
          <w:color w:val="auto"/>
        </w:rPr>
        <w:t xml:space="preserve"> </w:t>
      </w:r>
      <w:r>
        <w:rPr>
          <w:rFonts w:ascii="Arial" w:cs="Arial" w:eastAsia="Arial" w:hAnsi="Arial"/>
          <w:sz w:val="14"/>
          <w:szCs w:val="14"/>
          <w:b w:val="1"/>
          <w:bCs w:val="1"/>
          <w:color w:val="auto"/>
        </w:rPr>
        <w:t>Facility AQ</w:t>
      </w:r>
      <w:r>
        <w:rPr>
          <w:rFonts w:ascii="Arial" w:cs="Arial" w:eastAsia="Arial" w:hAnsi="Arial"/>
          <w:sz w:val="14"/>
          <w:szCs w:val="14"/>
          <w:color w:val="auto"/>
        </w:rPr>
        <w:t>). Telenet Facility AR was issued at 99.75% of par, matures on April 30, 2028 and bears interest at a rate of LIBOR + 2.0%, subject to a LIBOR floor of 0.0%. Telenet</w:t>
      </w:r>
      <w:r>
        <w:rPr>
          <w:rFonts w:ascii="Arial" w:cs="Arial" w:eastAsia="Arial" w:hAnsi="Arial"/>
          <w:sz w:val="14"/>
          <w:szCs w:val="14"/>
          <w:b w:val="1"/>
          <w:bCs w:val="1"/>
          <w:color w:val="auto"/>
        </w:rPr>
        <w:t xml:space="preserve"> </w:t>
      </w:r>
      <w:r>
        <w:rPr>
          <w:rFonts w:ascii="Arial" w:cs="Arial" w:eastAsia="Arial" w:hAnsi="Arial"/>
          <w:sz w:val="14"/>
          <w:szCs w:val="14"/>
          <w:color w:val="auto"/>
        </w:rPr>
        <w:t>Facility AQ was issued at par, matures on April 30, 2029 and bears interest at a rate of EURIBOR + 2.25%, subject to a EURIBOR floor of 0.0%. The net proceeds from Telenet Facility AR and Telenet Facility AQ, together with existing cash, were used to prepay in full (a) the $2,295.0 million outstanding principal amount under Telenet Facility AN and (b) the €1,110.0 million outstanding principal amount under Telenet Facility AO. In connection with these transactions, Telenet recognized a net loss on debt extinguishment of $18.9 million related to the write-off of unamortized deferred financing costs, discounts and premiums.</w:t>
      </w:r>
    </w:p>
    <w:p>
      <w:pPr>
        <w:spacing w:after="0" w:line="146" w:lineRule="exact"/>
        <w:rPr>
          <w:sz w:val="20"/>
          <w:szCs w:val="20"/>
          <w:color w:val="auto"/>
        </w:rPr>
      </w:pPr>
    </w:p>
    <w:p>
      <w:pPr>
        <w:ind w:left="147"/>
        <w:spacing w:after="0"/>
        <w:rPr>
          <w:sz w:val="20"/>
          <w:szCs w:val="20"/>
          <w:color w:val="auto"/>
        </w:rPr>
      </w:pPr>
      <w:r>
        <w:rPr>
          <w:rFonts w:ascii="Arial" w:cs="Arial" w:eastAsia="Arial" w:hAnsi="Arial"/>
          <w:sz w:val="16"/>
          <w:szCs w:val="16"/>
          <w:b w:val="1"/>
          <w:bCs w:val="1"/>
          <w:i w:val="1"/>
          <w:iCs w:val="1"/>
          <w:color w:val="auto"/>
        </w:rPr>
        <w:t>UPC Holding Financing Transactions</w:t>
      </w:r>
    </w:p>
    <w:p>
      <w:pPr>
        <w:spacing w:after="0" w:line="182" w:lineRule="exact"/>
        <w:rPr>
          <w:sz w:val="20"/>
          <w:szCs w:val="20"/>
          <w:color w:val="auto"/>
        </w:rPr>
      </w:pPr>
    </w:p>
    <w:p>
      <w:pPr>
        <w:jc w:val="both"/>
        <w:ind w:left="7" w:firstLine="279"/>
        <w:spacing w:after="0" w:line="287" w:lineRule="auto"/>
        <w:rPr>
          <w:sz w:val="20"/>
          <w:szCs w:val="20"/>
          <w:color w:val="auto"/>
        </w:rPr>
      </w:pPr>
      <w:r>
        <w:rPr>
          <w:rFonts w:ascii="Arial" w:cs="Arial" w:eastAsia="Arial" w:hAnsi="Arial"/>
          <w:sz w:val="14"/>
          <w:szCs w:val="14"/>
          <w:color w:val="auto"/>
        </w:rPr>
        <w:t>In January 2020, UPC Holding entered into (i) a $700.0 million term loan facility (</w:t>
      </w:r>
      <w:r>
        <w:rPr>
          <w:rFonts w:ascii="Arial" w:cs="Arial" w:eastAsia="Arial" w:hAnsi="Arial"/>
          <w:sz w:val="14"/>
          <w:szCs w:val="14"/>
          <w:b w:val="1"/>
          <w:bCs w:val="1"/>
          <w:color w:val="auto"/>
        </w:rPr>
        <w:t>UPC Facility AT</w:t>
      </w:r>
      <w:r>
        <w:rPr>
          <w:rFonts w:ascii="Arial" w:cs="Arial" w:eastAsia="Arial" w:hAnsi="Arial"/>
          <w:sz w:val="14"/>
          <w:szCs w:val="14"/>
          <w:color w:val="auto"/>
        </w:rPr>
        <w:t>) and (ii) a €400.0 million ($449.7 million) term loan facility (</w:t>
      </w:r>
      <w:r>
        <w:rPr>
          <w:rFonts w:ascii="Arial" w:cs="Arial" w:eastAsia="Arial" w:hAnsi="Arial"/>
          <w:sz w:val="14"/>
          <w:szCs w:val="14"/>
          <w:b w:val="1"/>
          <w:bCs w:val="1"/>
          <w:color w:val="auto"/>
        </w:rPr>
        <w:t>UPC Facility</w:t>
      </w:r>
      <w:r>
        <w:rPr>
          <w:rFonts w:ascii="Arial" w:cs="Arial" w:eastAsia="Arial" w:hAnsi="Arial"/>
          <w:sz w:val="14"/>
          <w:szCs w:val="14"/>
          <w:color w:val="auto"/>
        </w:rPr>
        <w:t xml:space="preserve"> </w:t>
      </w:r>
      <w:r>
        <w:rPr>
          <w:rFonts w:ascii="Arial" w:cs="Arial" w:eastAsia="Arial" w:hAnsi="Arial"/>
          <w:sz w:val="14"/>
          <w:szCs w:val="14"/>
          <w:b w:val="1"/>
          <w:bCs w:val="1"/>
          <w:color w:val="auto"/>
        </w:rPr>
        <w:t>AU</w:t>
      </w:r>
      <w:r>
        <w:rPr>
          <w:rFonts w:ascii="Arial" w:cs="Arial" w:eastAsia="Arial" w:hAnsi="Arial"/>
          <w:sz w:val="14"/>
          <w:szCs w:val="14"/>
          <w:color w:val="auto"/>
        </w:rPr>
        <w:t>). UPC Facility AT was issued at 99.75% of par, matures on April 30, 2028 and bears interest at a rate of LIBOR + 2.25%, subject to a LIBOR floor of 0.0%. UPC Facility AU</w:t>
      </w:r>
      <w:r>
        <w:rPr>
          <w:rFonts w:ascii="Arial" w:cs="Arial" w:eastAsia="Arial" w:hAnsi="Arial"/>
          <w:sz w:val="14"/>
          <w:szCs w:val="14"/>
          <w:b w:val="1"/>
          <w:bCs w:val="1"/>
          <w:color w:val="auto"/>
        </w:rPr>
        <w:t xml:space="preserve"> </w:t>
      </w:r>
      <w:r>
        <w:rPr>
          <w:rFonts w:ascii="Arial" w:cs="Arial" w:eastAsia="Arial" w:hAnsi="Arial"/>
          <w:sz w:val="14"/>
          <w:szCs w:val="14"/>
          <w:color w:val="auto"/>
        </w:rPr>
        <w:t>was issued at 99.875% of par, matures on April 30, 2029 and bears interest at a rate of EURIBOR + 2.50%, subject to a EURIBOR floor of 0.0%. The net proceeds from UPC Facility AT and UPC Facility AU were used to prepay in full the $1,140.0 million outstanding principal amount under UPC Facility AL, together with accrued and unpaid interest and the related prepayment premiums, which was owed to UPCB Finance IV and, in turn, UPCB Finance IV used such proceeds to redeem in full the $1,140.0 million outstanding principal amount of UPCB Finance IV Dollar Notes. In connection with this transaction, UPC Holding recognized a loss on debt extinguishment of $35.6 million related to (a) the payment of $30.7 million of redemption premiums and (b) the write-off of $4.9 million of unamortized deferred financing costs and discounts.</w:t>
      </w:r>
    </w:p>
    <w:p>
      <w:pPr>
        <w:spacing w:after="0" w:line="334"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267"/>
          </w:cols>
          <w:pgMar w:left="313" w:top="263" w:right="319" w:bottom="1440" w:gutter="0" w:footer="0" w:header="0"/>
        </w:sectPr>
      </w:pPr>
    </w:p>
    <w:bookmarkStart w:id="30" w:name="page31"/>
    <w:bookmarkEnd w:id="30"/>
    <w:p>
      <w:pPr>
        <w:jc w:val="center"/>
        <w:spacing w:after="0"/>
        <w:rPr>
          <w:sz w:val="20"/>
          <w:szCs w:val="20"/>
          <w:color w:val="auto"/>
        </w:rPr>
      </w:pPr>
      <w:r>
        <w:rPr>
          <w:rFonts w:ascii="Arial" w:cs="Arial" w:eastAsia="Arial" w:hAnsi="Arial"/>
          <w:sz w:val="16"/>
          <w:szCs w:val="16"/>
          <w:b w:val="1"/>
          <w:bCs w:val="1"/>
          <w:color w:val="auto"/>
        </w:rPr>
        <w:t>LIBERTY GLOBAL PLC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June 30, 2020</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Virgin Media Financing Transactions</w:t>
      </w:r>
    </w:p>
    <w:p>
      <w:pPr>
        <w:spacing w:after="0" w:line="188" w:lineRule="exact"/>
        <w:rPr>
          <w:sz w:val="20"/>
          <w:szCs w:val="20"/>
          <w:color w:val="auto"/>
        </w:rPr>
      </w:pPr>
    </w:p>
    <w:p>
      <w:pPr>
        <w:jc w:val="both"/>
        <w:ind w:firstLine="279"/>
        <w:spacing w:after="0" w:line="250" w:lineRule="auto"/>
        <w:rPr>
          <w:sz w:val="20"/>
          <w:szCs w:val="20"/>
          <w:color w:val="auto"/>
        </w:rPr>
      </w:pPr>
      <w:r>
        <w:rPr>
          <w:rFonts w:ascii="Arial" w:cs="Arial" w:eastAsia="Arial" w:hAnsi="Arial"/>
          <w:sz w:val="16"/>
          <w:szCs w:val="16"/>
          <w:color w:val="auto"/>
        </w:rPr>
        <w:t>In connection with the pending formation of the U.K. JV, the outstanding third-party debt of Virgin Media and certain of its subsidiaries has been classified as liabilities associated with assets held for sale on our June 30, 2020 condensed consolidated balance sheet. For information regarding the pending formation of the U.K. JV and the held-for-sale presentation of the U.K. JV Entities, see note 4.</w:t>
      </w:r>
    </w:p>
    <w:p>
      <w:pPr>
        <w:spacing w:after="0" w:line="170" w:lineRule="exact"/>
        <w:rPr>
          <w:sz w:val="20"/>
          <w:szCs w:val="20"/>
          <w:color w:val="auto"/>
        </w:rPr>
      </w:pPr>
    </w:p>
    <w:p>
      <w:pPr>
        <w:jc w:val="both"/>
        <w:ind w:right="20" w:firstLine="279"/>
        <w:spacing w:after="0" w:line="248" w:lineRule="auto"/>
        <w:rPr>
          <w:sz w:val="20"/>
          <w:szCs w:val="20"/>
          <w:color w:val="auto"/>
        </w:rPr>
      </w:pPr>
      <w:r>
        <w:rPr>
          <w:rFonts w:ascii="Arial" w:cs="Arial" w:eastAsia="Arial" w:hAnsi="Arial"/>
          <w:sz w:val="16"/>
          <w:szCs w:val="16"/>
          <w:color w:val="auto"/>
        </w:rPr>
        <w:t xml:space="preserve">In May 2020, Virgin Media Trade Receivables Financing plc, a third-party special purpose financing entity, was created for the purpose of facilitating the offering of certain notes. These notes are collateralized by certain trade receivables of Virgin Media, creating a variable interest in which Virgin Media is the primary beneficiary and, accordingly, Virgin Media, and ultimately Liberty Global, are required to consolidate Virgin Media Trade Receivables Financing plc. The offering of these notes resulted in net proceeds of £214.4 million ($265.4 million) (the </w:t>
      </w:r>
      <w:r>
        <w:rPr>
          <w:rFonts w:ascii="Arial" w:cs="Arial" w:eastAsia="Arial" w:hAnsi="Arial"/>
          <w:sz w:val="16"/>
          <w:szCs w:val="16"/>
          <w:b w:val="1"/>
          <w:bCs w:val="1"/>
          <w:color w:val="auto"/>
        </w:rPr>
        <w:t>May 2020 Proceeds</w:t>
      </w:r>
      <w:r>
        <w:rPr>
          <w:rFonts w:ascii="Arial" w:cs="Arial" w:eastAsia="Arial" w:hAnsi="Arial"/>
          <w:sz w:val="16"/>
          <w:szCs w:val="16"/>
          <w:color w:val="auto"/>
        </w:rPr>
        <w:t>).</w:t>
      </w:r>
    </w:p>
    <w:p>
      <w:pPr>
        <w:spacing w:after="0" w:line="17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 June 2020, Virgin Media completed various financing transactions, as further described below.</w:t>
      </w:r>
    </w:p>
    <w:p>
      <w:pPr>
        <w:spacing w:after="0" w:line="182" w:lineRule="exact"/>
        <w:rPr>
          <w:sz w:val="20"/>
          <w:szCs w:val="20"/>
          <w:color w:val="auto"/>
        </w:rPr>
      </w:pPr>
    </w:p>
    <w:p>
      <w:pPr>
        <w:jc w:val="both"/>
        <w:ind w:firstLine="279"/>
        <w:spacing w:after="0" w:line="284" w:lineRule="auto"/>
        <w:rPr>
          <w:sz w:val="20"/>
          <w:szCs w:val="20"/>
          <w:color w:val="auto"/>
        </w:rPr>
      </w:pPr>
      <w:r>
        <w:rPr>
          <w:rFonts w:ascii="Arial" w:cs="Arial" w:eastAsia="Arial" w:hAnsi="Arial"/>
          <w:sz w:val="14"/>
          <w:szCs w:val="14"/>
          <w:i w:val="1"/>
          <w:iCs w:val="1"/>
          <w:color w:val="auto"/>
        </w:rPr>
        <w:t xml:space="preserve">Senior Notes Transactions. </w:t>
      </w:r>
      <w:r>
        <w:rPr>
          <w:rFonts w:ascii="Arial" w:cs="Arial" w:eastAsia="Arial" w:hAnsi="Arial"/>
          <w:sz w:val="14"/>
          <w:szCs w:val="14"/>
          <w:color w:val="auto"/>
        </w:rPr>
        <w:t>Virgin Media issued $675.0 million principal amount of U.S. dollar-denominated senior notes (the</w:t>
      </w:r>
      <w:r>
        <w:rPr>
          <w:rFonts w:ascii="Arial" w:cs="Arial" w:eastAsia="Arial" w:hAnsi="Arial"/>
          <w:sz w:val="14"/>
          <w:szCs w:val="14"/>
          <w:i w:val="1"/>
          <w:iCs w:val="1"/>
          <w:color w:val="auto"/>
        </w:rPr>
        <w:t xml:space="preserve"> </w:t>
      </w:r>
      <w:r>
        <w:rPr>
          <w:rFonts w:ascii="Arial" w:cs="Arial" w:eastAsia="Arial" w:hAnsi="Arial"/>
          <w:sz w:val="14"/>
          <w:szCs w:val="14"/>
          <w:b w:val="1"/>
          <w:bCs w:val="1"/>
          <w:color w:val="auto"/>
        </w:rPr>
        <w:t>2030 VM Dollar Senior Notes</w:t>
      </w:r>
      <w:r>
        <w:rPr>
          <w:rFonts w:ascii="Arial" w:cs="Arial" w:eastAsia="Arial" w:hAnsi="Arial"/>
          <w:sz w:val="14"/>
          <w:szCs w:val="14"/>
          <w:color w:val="auto"/>
        </w:rPr>
        <w:t>). The 2030 VM</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Dollar Senior Notes were issued at par, mature on July 15, 2030 and bear interest at a rate of 5.0%. The net proceeds from the issuance of these notes, together with the May 2020 Proceeds, were used to redeem in full (i) €460.0 million ($517.2 million) outstanding principal amount of 2025 VM Euro Senior Notes and (ii) $388.7 million outstanding principal amount of 2025 VM Dollar Senior Notes. Virgin Media then issued (a) an additional $250.0 million principal amount of 2030 VM Dollar Senior Notes at 101% of par and (b) €500.0 million ($562.2 million) principal amount of euro-denominated senior notes (the </w:t>
      </w:r>
      <w:r>
        <w:rPr>
          <w:rFonts w:ascii="Arial" w:cs="Arial" w:eastAsia="Arial" w:hAnsi="Arial"/>
          <w:sz w:val="14"/>
          <w:szCs w:val="14"/>
          <w:b w:val="1"/>
          <w:bCs w:val="1"/>
          <w:color w:val="auto"/>
        </w:rPr>
        <w:t>2030 VM Euro Senior Notes</w:t>
      </w:r>
      <w:r>
        <w:rPr>
          <w:rFonts w:ascii="Arial" w:cs="Arial" w:eastAsia="Arial" w:hAnsi="Arial"/>
          <w:sz w:val="14"/>
          <w:szCs w:val="14"/>
          <w:color w:val="auto"/>
        </w:rPr>
        <w:t>). The 2030 VM Euro Senior Notes were issued at par, mature on July 15, 2030 and bear interest at a rate of 3.75%. The net proceeds from the issuance of these notes were used (1) to redeem in full (A) $497.0 million outstanding principal amount of 2024 VM Dollar Senior Notes, (B) $71.6 million outstanding principal amount of 2022 VM 4.875% Dollar Senior Notes, (C) $51.5 million outstanding principal amount of 2022 VM 5.25% Dollar Senior Notes and (D) £44.1 million ($54.6 million) outstanding principal amount of 2022 VM Sterling Senior Notes and (2) for general corporate purposes. In connection with these transactions, Virgin Media recognized a net loss on debt extinguishment of $57.5 million related to (I) the payment of $50.8 million of redemption premiums and (II) the write-off of $6.7 million of unamortized deferred financing costs, discounts and premiums.</w:t>
      </w:r>
    </w:p>
    <w:p>
      <w:pPr>
        <w:spacing w:after="0" w:line="143" w:lineRule="exact"/>
        <w:rPr>
          <w:sz w:val="20"/>
          <w:szCs w:val="20"/>
          <w:color w:val="auto"/>
        </w:rPr>
      </w:pPr>
    </w:p>
    <w:p>
      <w:pPr>
        <w:jc w:val="both"/>
        <w:ind w:firstLine="279"/>
        <w:spacing w:after="0" w:line="286" w:lineRule="auto"/>
        <w:rPr>
          <w:sz w:val="20"/>
          <w:szCs w:val="20"/>
          <w:color w:val="auto"/>
        </w:rPr>
      </w:pPr>
      <w:r>
        <w:rPr>
          <w:rFonts w:ascii="Arial" w:cs="Arial" w:eastAsia="Arial" w:hAnsi="Arial"/>
          <w:sz w:val="14"/>
          <w:szCs w:val="14"/>
          <w:i w:val="1"/>
          <w:iCs w:val="1"/>
          <w:color w:val="auto"/>
        </w:rPr>
        <w:t xml:space="preserve">Senior Secured Notes Transactions. </w:t>
      </w:r>
      <w:r>
        <w:rPr>
          <w:rFonts w:ascii="Arial" w:cs="Arial" w:eastAsia="Arial" w:hAnsi="Arial"/>
          <w:sz w:val="14"/>
          <w:szCs w:val="14"/>
          <w:color w:val="auto"/>
        </w:rPr>
        <w:t>Virgin Media issued (i) $650.0 million principal amount of U.S. dollar-denominated senior secured notes (the</w:t>
      </w:r>
      <w:r>
        <w:rPr>
          <w:rFonts w:ascii="Arial" w:cs="Arial" w:eastAsia="Arial" w:hAnsi="Arial"/>
          <w:sz w:val="14"/>
          <w:szCs w:val="14"/>
          <w:i w:val="1"/>
          <w:iCs w:val="1"/>
          <w:color w:val="auto"/>
        </w:rPr>
        <w:t xml:space="preserve"> </w:t>
      </w:r>
      <w:r>
        <w:rPr>
          <w:rFonts w:ascii="Arial" w:cs="Arial" w:eastAsia="Arial" w:hAnsi="Arial"/>
          <w:sz w:val="14"/>
          <w:szCs w:val="14"/>
          <w:b w:val="1"/>
          <w:bCs w:val="1"/>
          <w:color w:val="auto"/>
        </w:rPr>
        <w:t>2030 VM Dollar Senior</w:t>
      </w:r>
      <w:r>
        <w:rPr>
          <w:rFonts w:ascii="Arial" w:cs="Arial" w:eastAsia="Arial" w:hAnsi="Arial"/>
          <w:sz w:val="14"/>
          <w:szCs w:val="14"/>
          <w:i w:val="1"/>
          <w:iCs w:val="1"/>
          <w:color w:val="auto"/>
        </w:rPr>
        <w:t xml:space="preserve"> </w:t>
      </w:r>
      <w:r>
        <w:rPr>
          <w:rFonts w:ascii="Arial" w:cs="Arial" w:eastAsia="Arial" w:hAnsi="Arial"/>
          <w:sz w:val="14"/>
          <w:szCs w:val="14"/>
          <w:b w:val="1"/>
          <w:bCs w:val="1"/>
          <w:color w:val="auto"/>
        </w:rPr>
        <w:t>Secured Notes</w:t>
      </w:r>
      <w:r>
        <w:rPr>
          <w:rFonts w:ascii="Arial" w:cs="Arial" w:eastAsia="Arial" w:hAnsi="Arial"/>
          <w:sz w:val="14"/>
          <w:szCs w:val="14"/>
          <w:color w:val="auto"/>
        </w:rPr>
        <w:t>) and (ii) £450.0 million ($557.1 million) principal amount of sterling-denominated senior secured notes (the</w:t>
      </w:r>
      <w:r>
        <w:rPr>
          <w:rFonts w:ascii="Arial" w:cs="Arial" w:eastAsia="Arial" w:hAnsi="Arial"/>
          <w:sz w:val="14"/>
          <w:szCs w:val="14"/>
          <w:b w:val="1"/>
          <w:bCs w:val="1"/>
          <w:color w:val="auto"/>
        </w:rPr>
        <w:t xml:space="preserve"> 2030 VM 4.125% Sterling Senior Secured Notes</w:t>
      </w:r>
      <w:r>
        <w:rPr>
          <w:rFonts w:ascii="Arial" w:cs="Arial" w:eastAsia="Arial" w:hAnsi="Arial"/>
          <w:sz w:val="14"/>
          <w:szCs w:val="14"/>
          <w:color w:val="auto"/>
        </w:rPr>
        <w:t>). The</w:t>
      </w:r>
      <w:r>
        <w:rPr>
          <w:rFonts w:ascii="Arial" w:cs="Arial" w:eastAsia="Arial" w:hAnsi="Arial"/>
          <w:sz w:val="14"/>
          <w:szCs w:val="14"/>
          <w:b w:val="1"/>
          <w:bCs w:val="1"/>
          <w:color w:val="auto"/>
        </w:rPr>
        <w:t xml:space="preserve"> </w:t>
      </w:r>
      <w:r>
        <w:rPr>
          <w:rFonts w:ascii="Arial" w:cs="Arial" w:eastAsia="Arial" w:hAnsi="Arial"/>
          <w:sz w:val="14"/>
          <w:szCs w:val="14"/>
          <w:color w:val="auto"/>
        </w:rPr>
        <w:t>2030 VM Dollar Senior Secured Notes and 2030 VM 4.125% Sterling Senior Secured Notes were each issued at par, mature on August 15, 2030 and bear interest at a rate of 4.5% and 4.125%, respectively. The net proceeds from the issuance of these notes, together with existing cash, were used to (a) redeem in full £525.0 million ($649.9 million) outstanding principal amount of 2027 VM 4.875% Sterling Senior Secured Notes, (b) redeem in full £360.0 million ($445.7 million) outstanding principal amount of 2029 VM 6.25% Sterling Senior Secured Notes and (c) redeem £80.0 million ($99.0 million) of the £521.3 million ($645.3 million) outstanding principal amount of 2025 VM Sterling Senior Secured Notes. In connection with these transactions, Virgin Media recognized a net loss on debt extinguishment of $65.7 million related to (1) the payment of $64.7 million of redemption premiums and (2) the write-off of $1.0 million of unamortized deferred financing costs, discounts and premiums.</w:t>
      </w:r>
    </w:p>
    <w:p>
      <w:pPr>
        <w:spacing w:after="0" w:line="141" w:lineRule="exact"/>
        <w:rPr>
          <w:sz w:val="20"/>
          <w:szCs w:val="20"/>
          <w:color w:val="auto"/>
        </w:rPr>
      </w:pPr>
    </w:p>
    <w:p>
      <w:pPr>
        <w:jc w:val="both"/>
        <w:ind w:firstLine="279"/>
        <w:spacing w:after="0" w:line="250" w:lineRule="auto"/>
        <w:rPr>
          <w:sz w:val="20"/>
          <w:szCs w:val="20"/>
          <w:color w:val="auto"/>
        </w:rPr>
      </w:pPr>
      <w:r>
        <w:rPr>
          <w:rFonts w:ascii="Arial" w:cs="Arial" w:eastAsia="Arial" w:hAnsi="Arial"/>
          <w:sz w:val="16"/>
          <w:szCs w:val="16"/>
          <w:i w:val="1"/>
          <w:iCs w:val="1"/>
          <w:color w:val="auto"/>
        </w:rPr>
        <w:t xml:space="preserve">Vendor Financing Notes Transactions. </w:t>
      </w:r>
      <w:r>
        <w:rPr>
          <w:rFonts w:ascii="Arial" w:cs="Arial" w:eastAsia="Arial" w:hAnsi="Arial"/>
          <w:sz w:val="16"/>
          <w:szCs w:val="16"/>
          <w:color w:val="auto"/>
        </w:rPr>
        <w:t>Virgin Media Vendor Financing Notes III Designated Activity Company (</w:t>
      </w:r>
      <w:r>
        <w:rPr>
          <w:rFonts w:ascii="Arial" w:cs="Arial" w:eastAsia="Arial" w:hAnsi="Arial"/>
          <w:sz w:val="16"/>
          <w:szCs w:val="16"/>
          <w:b w:val="1"/>
          <w:bCs w:val="1"/>
          <w:color w:val="auto"/>
        </w:rPr>
        <w:t>Virgin Media Financing III Company</w:t>
      </w:r>
      <w:r>
        <w:rPr>
          <w:rFonts w:ascii="Arial" w:cs="Arial" w:eastAsia="Arial" w:hAnsi="Arial"/>
          <w:sz w:val="16"/>
          <w:szCs w:val="16"/>
          <w:color w:val="auto"/>
        </w:rPr>
        <w:t>) and Virgin Media</w:t>
      </w:r>
      <w:r>
        <w:rPr>
          <w:rFonts w:ascii="Arial" w:cs="Arial" w:eastAsia="Arial" w:hAnsi="Arial"/>
          <w:sz w:val="16"/>
          <w:szCs w:val="16"/>
          <w:i w:val="1"/>
          <w:iCs w:val="1"/>
          <w:color w:val="auto"/>
        </w:rPr>
        <w:t xml:space="preserve"> </w:t>
      </w:r>
      <w:r>
        <w:rPr>
          <w:rFonts w:ascii="Arial" w:cs="Arial" w:eastAsia="Arial" w:hAnsi="Arial"/>
          <w:sz w:val="16"/>
          <w:szCs w:val="16"/>
          <w:color w:val="auto"/>
        </w:rPr>
        <w:t>Vendor Financing Notes IV Designated Activity Company (</w:t>
      </w:r>
      <w:r>
        <w:rPr>
          <w:rFonts w:ascii="Arial" w:cs="Arial" w:eastAsia="Arial" w:hAnsi="Arial"/>
          <w:sz w:val="16"/>
          <w:szCs w:val="16"/>
          <w:b w:val="1"/>
          <w:bCs w:val="1"/>
          <w:color w:val="auto"/>
        </w:rPr>
        <w:t>Virgin Media Financing IV Company</w:t>
      </w:r>
      <w:r>
        <w:rPr>
          <w:rFonts w:ascii="Arial" w:cs="Arial" w:eastAsia="Arial" w:hAnsi="Arial"/>
          <w:sz w:val="16"/>
          <w:szCs w:val="16"/>
          <w:color w:val="auto"/>
        </w:rPr>
        <w:t xml:space="preserve">, and together with Virgin Media Financing III Company, the </w:t>
      </w:r>
      <w:r>
        <w:rPr>
          <w:rFonts w:ascii="Arial" w:cs="Arial" w:eastAsia="Arial" w:hAnsi="Arial"/>
          <w:sz w:val="16"/>
          <w:szCs w:val="16"/>
          <w:b w:val="1"/>
          <w:bCs w:val="1"/>
          <w:color w:val="auto"/>
        </w:rPr>
        <w:t>2020 VM</w:t>
      </w:r>
      <w:r>
        <w:rPr>
          <w:rFonts w:ascii="Arial" w:cs="Arial" w:eastAsia="Arial" w:hAnsi="Arial"/>
          <w:sz w:val="16"/>
          <w:szCs w:val="16"/>
          <w:color w:val="auto"/>
        </w:rPr>
        <w:t xml:space="preserve"> </w:t>
      </w:r>
      <w:r>
        <w:rPr>
          <w:rFonts w:ascii="Arial" w:cs="Arial" w:eastAsia="Arial" w:hAnsi="Arial"/>
          <w:sz w:val="16"/>
          <w:szCs w:val="16"/>
          <w:b w:val="1"/>
          <w:bCs w:val="1"/>
          <w:color w:val="auto"/>
        </w:rPr>
        <w:t>Financing Companies</w:t>
      </w:r>
      <w:r>
        <w:rPr>
          <w:rFonts w:ascii="Arial" w:cs="Arial" w:eastAsia="Arial" w:hAnsi="Arial"/>
          <w:sz w:val="16"/>
          <w:szCs w:val="16"/>
          <w:color w:val="auto"/>
        </w:rPr>
        <w:t>) were created for the purpose of issuing certain vendor financing notes. The 2020 VM Financing Companies are third-party special purpose financing entities</w:t>
      </w:r>
      <w:r>
        <w:rPr>
          <w:rFonts w:ascii="Arial" w:cs="Arial" w:eastAsia="Arial" w:hAnsi="Arial"/>
          <w:sz w:val="16"/>
          <w:szCs w:val="16"/>
          <w:b w:val="1"/>
          <w:bCs w:val="1"/>
          <w:color w:val="auto"/>
        </w:rPr>
        <w:t xml:space="preserve"> </w:t>
      </w:r>
      <w:r>
        <w:rPr>
          <w:rFonts w:ascii="Arial" w:cs="Arial" w:eastAsia="Arial" w:hAnsi="Arial"/>
          <w:sz w:val="16"/>
          <w:szCs w:val="16"/>
          <w:color w:val="auto"/>
        </w:rPr>
        <w:t>that are not consolidated by Virgin Media or Liberty Global.</w:t>
      </w:r>
    </w:p>
    <w:p>
      <w:pPr>
        <w:spacing w:after="0" w:line="170" w:lineRule="exact"/>
        <w:rPr>
          <w:sz w:val="20"/>
          <w:szCs w:val="20"/>
          <w:color w:val="auto"/>
        </w:rPr>
      </w:pPr>
    </w:p>
    <w:p>
      <w:pPr>
        <w:jc w:val="both"/>
        <w:ind w:firstLine="279"/>
        <w:spacing w:after="0" w:line="245" w:lineRule="auto"/>
        <w:rPr>
          <w:sz w:val="20"/>
          <w:szCs w:val="20"/>
          <w:color w:val="auto"/>
        </w:rPr>
      </w:pPr>
      <w:r>
        <w:rPr>
          <w:rFonts w:ascii="Arial" w:cs="Arial" w:eastAsia="Arial" w:hAnsi="Arial"/>
          <w:sz w:val="16"/>
          <w:szCs w:val="16"/>
          <w:color w:val="auto"/>
        </w:rPr>
        <w:t xml:space="preserve">Virgin Media Financing III Company issued (i) £500.0 million ($619.0 million) principal amount of 4.875% vendor financing notes at par and (ii) £400.0 million ($495.2 million) principal amount of 4.875% vendor financing notes at 99.5% of par, each due July 15, 2028 (together, the </w:t>
      </w:r>
      <w:r>
        <w:rPr>
          <w:rFonts w:ascii="Arial" w:cs="Arial" w:eastAsia="Arial" w:hAnsi="Arial"/>
          <w:sz w:val="16"/>
          <w:szCs w:val="16"/>
          <w:b w:val="1"/>
          <w:bCs w:val="1"/>
          <w:color w:val="auto"/>
        </w:rPr>
        <w:t>VM Vendor Financing III Notes</w:t>
      </w:r>
      <w:r>
        <w:rPr>
          <w:rFonts w:ascii="Arial" w:cs="Arial" w:eastAsia="Arial" w:hAnsi="Arial"/>
          <w:sz w:val="16"/>
          <w:szCs w:val="16"/>
          <w:color w:val="auto"/>
        </w:rPr>
        <w:t xml:space="preserve">). Virgin Media Financing IV Company issued $500.0 million principal amount of 5.0% vendor financing notes due July 15, 2028 at par (the </w:t>
      </w:r>
      <w:r>
        <w:rPr>
          <w:rFonts w:ascii="Arial" w:cs="Arial" w:eastAsia="Arial" w:hAnsi="Arial"/>
          <w:sz w:val="16"/>
          <w:szCs w:val="16"/>
          <w:b w:val="1"/>
          <w:bCs w:val="1"/>
          <w:color w:val="auto"/>
        </w:rPr>
        <w:t>VM Vendor Financing IV Notes</w:t>
      </w:r>
      <w:r>
        <w:rPr>
          <w:rFonts w:ascii="Arial" w:cs="Arial" w:eastAsia="Arial" w:hAnsi="Arial"/>
          <w:sz w:val="16"/>
          <w:szCs w:val="16"/>
          <w:color w:val="auto"/>
        </w:rPr>
        <w:t xml:space="preserve">, and together with the VM Vendor Financing III Notes, the </w:t>
      </w:r>
      <w:r>
        <w:rPr>
          <w:rFonts w:ascii="Arial" w:cs="Arial" w:eastAsia="Arial" w:hAnsi="Arial"/>
          <w:sz w:val="16"/>
          <w:szCs w:val="16"/>
          <w:b w:val="1"/>
          <w:bCs w:val="1"/>
          <w:color w:val="auto"/>
        </w:rPr>
        <w:t>June 2020 Vendor Financing Notes</w:t>
      </w:r>
      <w:r>
        <w:rPr>
          <w:rFonts w:ascii="Arial" w:cs="Arial" w:eastAsia="Arial" w:hAnsi="Arial"/>
          <w:sz w:val="16"/>
          <w:szCs w:val="16"/>
          <w:color w:val="auto"/>
        </w:rPr>
        <w:t xml:space="preserve">). The net proceeds from the June 2020 Vendor Financing Notes were used by the 2020 VM Financing Companies to purchase certain vendor-financed receivables owed by Virgin Media and its subsidiaries from previously-existing third-party special purpose financing entities (the </w:t>
      </w:r>
      <w:r>
        <w:rPr>
          <w:rFonts w:ascii="Arial" w:cs="Arial" w:eastAsia="Arial" w:hAnsi="Arial"/>
          <w:sz w:val="16"/>
          <w:szCs w:val="16"/>
          <w:b w:val="1"/>
          <w:bCs w:val="1"/>
          <w:color w:val="auto"/>
        </w:rPr>
        <w:t>Original VM</w:t>
      </w:r>
      <w:r>
        <w:rPr>
          <w:rFonts w:ascii="Arial" w:cs="Arial" w:eastAsia="Arial" w:hAnsi="Arial"/>
          <w:sz w:val="16"/>
          <w:szCs w:val="16"/>
          <w:color w:val="auto"/>
        </w:rPr>
        <w:t xml:space="preserve"> </w:t>
      </w:r>
      <w:r>
        <w:rPr>
          <w:rFonts w:ascii="Arial" w:cs="Arial" w:eastAsia="Arial" w:hAnsi="Arial"/>
          <w:sz w:val="16"/>
          <w:szCs w:val="16"/>
          <w:b w:val="1"/>
          <w:bCs w:val="1"/>
          <w:color w:val="auto"/>
        </w:rPr>
        <w:t>Financing</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260"/>
          </w:cols>
          <w:pgMar w:left="320" w:top="262" w:right="319" w:bottom="1440" w:gutter="0" w:footer="0" w:header="0"/>
        </w:sectPr>
      </w:pPr>
    </w:p>
    <w:bookmarkStart w:id="31" w:name="page32"/>
    <w:bookmarkEnd w:id="31"/>
    <w:p>
      <w:pPr>
        <w:jc w:val="center"/>
        <w:ind w:right="-6"/>
        <w:spacing w:after="0"/>
        <w:rPr>
          <w:sz w:val="20"/>
          <w:szCs w:val="20"/>
          <w:color w:val="auto"/>
        </w:rPr>
      </w:pPr>
      <w:r>
        <w:rPr>
          <w:rFonts w:ascii="Arial" w:cs="Arial" w:eastAsia="Arial" w:hAnsi="Arial"/>
          <w:sz w:val="16"/>
          <w:szCs w:val="16"/>
          <w:b w:val="1"/>
          <w:bCs w:val="1"/>
          <w:color w:val="auto"/>
        </w:rPr>
        <w:t>LIBERTY GLOBAL PLC</w:t>
      </w:r>
    </w:p>
    <w:p>
      <w:pPr>
        <w:spacing w:after="0" w:line="18"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Notes to Condensed Consolidated Financial Statements — (Continued)</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June 30, 2020</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98" w:lineRule="exact"/>
        <w:rPr>
          <w:sz w:val="20"/>
          <w:szCs w:val="20"/>
          <w:color w:val="auto"/>
        </w:rPr>
      </w:pPr>
    </w:p>
    <w:p>
      <w:pPr>
        <w:jc w:val="both"/>
        <w:ind w:left="7"/>
        <w:spacing w:after="0" w:line="248" w:lineRule="auto"/>
        <w:rPr>
          <w:sz w:val="20"/>
          <w:szCs w:val="20"/>
          <w:color w:val="auto"/>
        </w:rPr>
      </w:pPr>
      <w:r>
        <w:rPr>
          <w:rFonts w:ascii="Arial" w:cs="Arial" w:eastAsia="Arial" w:hAnsi="Arial"/>
          <w:sz w:val="16"/>
          <w:szCs w:val="16"/>
          <w:b w:val="1"/>
          <w:bCs w:val="1"/>
          <w:color w:val="auto"/>
        </w:rPr>
        <w:t>Companies</w:t>
      </w:r>
      <w:r>
        <w:rPr>
          <w:rFonts w:ascii="Arial" w:cs="Arial" w:eastAsia="Arial" w:hAnsi="Arial"/>
          <w:sz w:val="16"/>
          <w:szCs w:val="16"/>
          <w:color w:val="auto"/>
        </w:rPr>
        <w:t>) and various other third parties. As a result, Virgin Media paid $42.0 million of redemption premiums, which are included in losses on debt extinguishment, net, in our</w:t>
      </w:r>
      <w:r>
        <w:rPr>
          <w:rFonts w:ascii="Arial" w:cs="Arial" w:eastAsia="Arial" w:hAnsi="Arial"/>
          <w:sz w:val="16"/>
          <w:szCs w:val="16"/>
          <w:b w:val="1"/>
          <w:bCs w:val="1"/>
          <w:color w:val="auto"/>
        </w:rPr>
        <w:t xml:space="preserve"> </w:t>
      </w:r>
      <w:r>
        <w:rPr>
          <w:rFonts w:ascii="Arial" w:cs="Arial" w:eastAsia="Arial" w:hAnsi="Arial"/>
          <w:sz w:val="16"/>
          <w:szCs w:val="16"/>
          <w:color w:val="auto"/>
        </w:rPr>
        <w:t>condensed consolidated statements of operations. To the extent that the proceeds from the June 2020 Vendor Financing Notes exceed the amount of vendor-financed receivables available to be purchased from the Original VM Financing Companies, and various other third parties, the excess proceeds are used to fund excess cash facilities under certain credit facilities of Virgin Media. As additional vendor financed receivables become available for purchase, the 2020 VM Financing Companies can request that Virgin Media repay any amounts available under these excess cash facilities.</w:t>
      </w:r>
    </w:p>
    <w:p>
      <w:pPr>
        <w:spacing w:after="0" w:line="172" w:lineRule="exact"/>
        <w:rPr>
          <w:sz w:val="20"/>
          <w:szCs w:val="20"/>
          <w:color w:val="auto"/>
        </w:rPr>
      </w:pPr>
    </w:p>
    <w:p>
      <w:pPr>
        <w:ind w:left="147"/>
        <w:spacing w:after="0"/>
        <w:rPr>
          <w:sz w:val="20"/>
          <w:szCs w:val="20"/>
          <w:color w:val="auto"/>
        </w:rPr>
      </w:pPr>
      <w:r>
        <w:rPr>
          <w:rFonts w:ascii="Arial" w:cs="Arial" w:eastAsia="Arial" w:hAnsi="Arial"/>
          <w:sz w:val="16"/>
          <w:szCs w:val="16"/>
          <w:b w:val="1"/>
          <w:bCs w:val="1"/>
          <w:i w:val="1"/>
          <w:iCs w:val="1"/>
          <w:color w:val="auto"/>
        </w:rPr>
        <w:t>Maturities of Debt</w:t>
      </w:r>
    </w:p>
    <w:p>
      <w:pPr>
        <w:spacing w:after="0" w:line="188" w:lineRule="exact"/>
        <w:rPr>
          <w:sz w:val="20"/>
          <w:szCs w:val="20"/>
          <w:color w:val="auto"/>
        </w:rPr>
      </w:pPr>
    </w:p>
    <w:p>
      <w:pPr>
        <w:jc w:val="both"/>
        <w:ind w:left="7" w:firstLine="279"/>
        <w:spacing w:after="0" w:line="303" w:lineRule="auto"/>
        <w:rPr>
          <w:sz w:val="20"/>
          <w:szCs w:val="20"/>
          <w:color w:val="auto"/>
        </w:rPr>
      </w:pPr>
      <w:r>
        <w:rPr>
          <w:rFonts w:ascii="Arial" w:cs="Arial" w:eastAsia="Arial" w:hAnsi="Arial"/>
          <w:sz w:val="14"/>
          <w:szCs w:val="14"/>
          <w:color w:val="auto"/>
        </w:rPr>
        <w:t>Maturities of our debt as of June 30, 2020 are presented below for the named entity and its subsidiaries, unless otherwise noted, and represent U.S. dollar equivalents based on June 30, 2020 exchange rates. As a result of the held-for-sale presentation of the U.K. JV Entities on our June 30, 2020 condensed consolidated balance sheet, the amounts presented below do not include maturities of the debt obligations of these entities. For information regarding the held-for-sale presentation of the U.K. JV Entities, see note 4.</w:t>
      </w:r>
    </w:p>
    <w:p>
      <w:pPr>
        <w:spacing w:after="0" w:line="86"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5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UPC</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Holding (a)</w:t>
            </w:r>
          </w:p>
        </w:tc>
        <w:tc>
          <w:tcPr>
            <w:tcW w:w="260" w:type="dxa"/>
            <w:vAlign w:val="bottom"/>
          </w:tcPr>
          <w:p>
            <w:pPr>
              <w:spacing w:after="0"/>
              <w:rPr>
                <w:sz w:val="15"/>
                <w:szCs w:val="15"/>
                <w:color w:val="auto"/>
              </w:rPr>
            </w:pPr>
          </w:p>
        </w:tc>
        <w:tc>
          <w:tcPr>
            <w:tcW w:w="1100" w:type="dxa"/>
            <w:vAlign w:val="bottom"/>
            <w:gridSpan w:val="2"/>
          </w:tcPr>
          <w:p>
            <w:pPr>
              <w:ind w:left="160"/>
              <w:spacing w:after="0"/>
              <w:rPr>
                <w:sz w:val="20"/>
                <w:szCs w:val="20"/>
                <w:color w:val="auto"/>
              </w:rPr>
            </w:pPr>
            <w:r>
              <w:rPr>
                <w:rFonts w:ascii="Arial" w:cs="Arial" w:eastAsia="Arial" w:hAnsi="Arial"/>
                <w:sz w:val="14"/>
                <w:szCs w:val="14"/>
                <w:b w:val="1"/>
                <w:bCs w:val="1"/>
                <w:color w:val="auto"/>
              </w:rPr>
              <w:t>Telenet</w:t>
            </w:r>
          </w:p>
        </w:tc>
        <w:tc>
          <w:tcPr>
            <w:tcW w:w="280" w:type="dxa"/>
            <w:vAlign w:val="bottom"/>
          </w:tcPr>
          <w:p>
            <w:pPr>
              <w:spacing w:after="0"/>
              <w:rPr>
                <w:sz w:val="15"/>
                <w:szCs w:val="15"/>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Other (b)</w:t>
            </w:r>
          </w:p>
        </w:tc>
        <w:tc>
          <w:tcPr>
            <w:tcW w:w="280" w:type="dxa"/>
            <w:vAlign w:val="bottom"/>
          </w:tcPr>
          <w:p>
            <w:pPr>
              <w:spacing w:after="0"/>
              <w:rPr>
                <w:sz w:val="15"/>
                <w:szCs w:val="15"/>
                <w:color w:val="auto"/>
              </w:rPr>
            </w:pPr>
          </w:p>
        </w:tc>
        <w:tc>
          <w:tcPr>
            <w:tcW w:w="940" w:type="dxa"/>
            <w:vAlign w:val="bottom"/>
          </w:tcPr>
          <w:p>
            <w:pPr>
              <w:jc w:val="right"/>
              <w:ind w:right="38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8"/>
        </w:trPr>
        <w:tc>
          <w:tcPr>
            <w:tcW w:w="59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5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Year ending December 31:</w:t>
            </w:r>
          </w:p>
        </w:tc>
        <w:tc>
          <w:tcPr>
            <w:tcW w:w="1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tcPr>
          <w:p>
            <w:pPr>
              <w:ind w:left="140"/>
              <w:spacing w:after="0"/>
              <w:rPr>
                <w:sz w:val="20"/>
                <w:szCs w:val="20"/>
                <w:color w:val="auto"/>
              </w:rPr>
            </w:pPr>
            <w:r>
              <w:rPr>
                <w:rFonts w:ascii="Arial" w:cs="Arial" w:eastAsia="Arial" w:hAnsi="Arial"/>
                <w:sz w:val="16"/>
                <w:szCs w:val="16"/>
                <w:color w:val="auto"/>
              </w:rPr>
              <w:t>2020 (remainder of year)</w:t>
            </w: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387.4</w:t>
            </w:r>
          </w:p>
        </w:tc>
        <w:tc>
          <w:tcPr>
            <w:tcW w:w="120" w:type="dxa"/>
            <w:vAlign w:val="bottom"/>
          </w:tcPr>
          <w:p>
            <w:pPr>
              <w:spacing w:after="0"/>
              <w:rPr>
                <w:sz w:val="18"/>
                <w:szCs w:val="18"/>
                <w:color w:val="auto"/>
              </w:rPr>
            </w:pP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44"/>
              <w:spacing w:after="0"/>
              <w:rPr>
                <w:sz w:val="20"/>
                <w:szCs w:val="20"/>
                <w:color w:val="auto"/>
              </w:rPr>
            </w:pPr>
            <w:r>
              <w:rPr>
                <w:rFonts w:ascii="Arial" w:cs="Arial" w:eastAsia="Arial" w:hAnsi="Arial"/>
                <w:sz w:val="16"/>
                <w:szCs w:val="16"/>
                <w:color w:val="auto"/>
              </w:rPr>
              <w:t>254.4</w:t>
            </w:r>
          </w:p>
        </w:tc>
        <w:tc>
          <w:tcPr>
            <w:tcW w:w="100" w:type="dxa"/>
            <w:vAlign w:val="bottom"/>
          </w:tcPr>
          <w:p>
            <w:pPr>
              <w:spacing w:after="0"/>
              <w:rPr>
                <w:sz w:val="18"/>
                <w:szCs w:val="18"/>
                <w:color w:val="auto"/>
              </w:rPr>
            </w:pP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3"/>
              <w:spacing w:after="0"/>
              <w:rPr>
                <w:sz w:val="20"/>
                <w:szCs w:val="20"/>
                <w:color w:val="auto"/>
              </w:rPr>
            </w:pPr>
            <w:r>
              <w:rPr>
                <w:rFonts w:ascii="Arial" w:cs="Arial" w:eastAsia="Arial" w:hAnsi="Arial"/>
                <w:sz w:val="16"/>
                <w:szCs w:val="16"/>
                <w:color w:val="auto"/>
              </w:rPr>
              <w:t>260.3</w:t>
            </w:r>
          </w:p>
        </w:tc>
        <w:tc>
          <w:tcPr>
            <w:tcW w:w="120" w:type="dxa"/>
            <w:vAlign w:val="bottom"/>
          </w:tcPr>
          <w:p>
            <w:pPr>
              <w:spacing w:after="0"/>
              <w:rPr>
                <w:sz w:val="18"/>
                <w:szCs w:val="18"/>
                <w:color w:val="auto"/>
              </w:rPr>
            </w:pP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3"/>
              <w:spacing w:after="0"/>
              <w:rPr>
                <w:sz w:val="20"/>
                <w:szCs w:val="20"/>
                <w:color w:val="auto"/>
              </w:rPr>
            </w:pPr>
            <w:r>
              <w:rPr>
                <w:rFonts w:ascii="Arial" w:cs="Arial" w:eastAsia="Arial" w:hAnsi="Arial"/>
                <w:sz w:val="16"/>
                <w:szCs w:val="16"/>
                <w:color w:val="auto"/>
              </w:rPr>
              <w:t>902.1</w:t>
            </w:r>
          </w:p>
        </w:tc>
        <w:tc>
          <w:tcPr>
            <w:tcW w:w="0" w:type="dxa"/>
            <w:vAlign w:val="bottom"/>
          </w:tcPr>
          <w:p>
            <w:pPr>
              <w:spacing w:after="0"/>
              <w:rPr>
                <w:sz w:val="1"/>
                <w:szCs w:val="1"/>
                <w:color w:val="auto"/>
              </w:rPr>
            </w:pPr>
          </w:p>
        </w:tc>
      </w:tr>
      <w:tr>
        <w:trPr>
          <w:trHeight w:val="24"/>
        </w:trPr>
        <w:tc>
          <w:tcPr>
            <w:tcW w:w="5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5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2021</w:t>
            </w:r>
          </w:p>
        </w:tc>
        <w:tc>
          <w:tcPr>
            <w:tcW w:w="1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221.4</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174.8</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1,015.9</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1,412.1</w:t>
            </w:r>
          </w:p>
        </w:tc>
        <w:tc>
          <w:tcPr>
            <w:tcW w:w="0" w:type="dxa"/>
            <w:vAlign w:val="bottom"/>
          </w:tcPr>
          <w:p>
            <w:pPr>
              <w:spacing w:after="0"/>
              <w:rPr>
                <w:sz w:val="1"/>
                <w:szCs w:val="1"/>
                <w:color w:val="auto"/>
              </w:rPr>
            </w:pPr>
          </w:p>
        </w:tc>
      </w:tr>
      <w:tr>
        <w:trPr>
          <w:trHeight w:val="209"/>
        </w:trPr>
        <w:tc>
          <w:tcPr>
            <w:tcW w:w="5980" w:type="dxa"/>
            <w:vAlign w:val="bottom"/>
          </w:tcPr>
          <w:p>
            <w:pPr>
              <w:ind w:left="140"/>
              <w:spacing w:after="0"/>
              <w:rPr>
                <w:sz w:val="20"/>
                <w:szCs w:val="20"/>
                <w:color w:val="auto"/>
              </w:rPr>
            </w:pPr>
            <w:r>
              <w:rPr>
                <w:rFonts w:ascii="Arial" w:cs="Arial" w:eastAsia="Arial" w:hAnsi="Arial"/>
                <w:sz w:val="16"/>
                <w:szCs w:val="16"/>
                <w:color w:val="auto"/>
              </w:rPr>
              <w:t>2022</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00" w:type="dxa"/>
            <w:vAlign w:val="bottom"/>
          </w:tcPr>
          <w:p>
            <w:pPr>
              <w:jc w:val="right"/>
              <w:ind w:right="44"/>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23"/>
              <w:spacing w:after="0"/>
              <w:rPr>
                <w:sz w:val="20"/>
                <w:szCs w:val="20"/>
                <w:color w:val="auto"/>
              </w:rPr>
            </w:pPr>
            <w:r>
              <w:rPr>
                <w:rFonts w:ascii="Arial" w:cs="Arial" w:eastAsia="Arial" w:hAnsi="Arial"/>
                <w:sz w:val="16"/>
                <w:szCs w:val="16"/>
                <w:color w:val="auto"/>
              </w:rPr>
              <w:t>380.5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23"/>
              <w:spacing w:after="0"/>
              <w:rPr>
                <w:sz w:val="20"/>
                <w:szCs w:val="20"/>
                <w:color w:val="auto"/>
              </w:rPr>
            </w:pPr>
            <w:r>
              <w:rPr>
                <w:rFonts w:ascii="Arial" w:cs="Arial" w:eastAsia="Arial" w:hAnsi="Arial"/>
                <w:sz w:val="16"/>
                <w:szCs w:val="16"/>
                <w:color w:val="auto"/>
              </w:rPr>
              <w:t>392.9</w:t>
            </w:r>
          </w:p>
        </w:tc>
        <w:tc>
          <w:tcPr>
            <w:tcW w:w="0" w:type="dxa"/>
            <w:vAlign w:val="bottom"/>
          </w:tcPr>
          <w:p>
            <w:pPr>
              <w:spacing w:after="0"/>
              <w:rPr>
                <w:sz w:val="1"/>
                <w:szCs w:val="1"/>
                <w:color w:val="auto"/>
              </w:rPr>
            </w:pPr>
          </w:p>
        </w:tc>
      </w:tr>
      <w:tr>
        <w:trPr>
          <w:trHeight w:val="24"/>
        </w:trPr>
        <w:tc>
          <w:tcPr>
            <w:tcW w:w="5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5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2023</w:t>
            </w: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12.1</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152.4</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164.5</w:t>
            </w:r>
          </w:p>
        </w:tc>
        <w:tc>
          <w:tcPr>
            <w:tcW w:w="0" w:type="dxa"/>
            <w:vAlign w:val="bottom"/>
          </w:tcPr>
          <w:p>
            <w:pPr>
              <w:spacing w:after="0"/>
              <w:rPr>
                <w:sz w:val="1"/>
                <w:szCs w:val="1"/>
                <w:color w:val="auto"/>
              </w:rPr>
            </w:pPr>
          </w:p>
        </w:tc>
      </w:tr>
      <w:tr>
        <w:trPr>
          <w:trHeight w:val="209"/>
        </w:trPr>
        <w:tc>
          <w:tcPr>
            <w:tcW w:w="5980" w:type="dxa"/>
            <w:vAlign w:val="bottom"/>
          </w:tcPr>
          <w:p>
            <w:pPr>
              <w:ind w:left="140"/>
              <w:spacing w:after="0"/>
              <w:rPr>
                <w:sz w:val="20"/>
                <w:szCs w:val="20"/>
                <w:color w:val="auto"/>
              </w:rPr>
            </w:pPr>
            <w:r>
              <w:rPr>
                <w:rFonts w:ascii="Arial" w:cs="Arial" w:eastAsia="Arial" w:hAnsi="Arial"/>
                <w:sz w:val="16"/>
                <w:szCs w:val="16"/>
                <w:color w:val="auto"/>
              </w:rPr>
              <w:t>2024</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00" w:type="dxa"/>
            <w:vAlign w:val="bottom"/>
          </w:tcPr>
          <w:p>
            <w:pPr>
              <w:jc w:val="right"/>
              <w:ind w:right="44"/>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23"/>
              <w:spacing w:after="0"/>
              <w:rPr>
                <w:sz w:val="20"/>
                <w:szCs w:val="20"/>
                <w:color w:val="auto"/>
              </w:rPr>
            </w:pPr>
            <w:r>
              <w:rPr>
                <w:rFonts w:ascii="Arial" w:cs="Arial" w:eastAsia="Arial" w:hAnsi="Arial"/>
                <w:sz w:val="16"/>
                <w:szCs w:val="16"/>
                <w:color w:val="auto"/>
              </w:rPr>
              <w:t>14.7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23"/>
              <w:spacing w:after="0"/>
              <w:rPr>
                <w:sz w:val="20"/>
                <w:szCs w:val="20"/>
                <w:color w:val="auto"/>
              </w:rPr>
            </w:pPr>
            <w:r>
              <w:rPr>
                <w:rFonts w:ascii="Arial" w:cs="Arial" w:eastAsia="Arial" w:hAnsi="Arial"/>
                <w:sz w:val="16"/>
                <w:szCs w:val="16"/>
                <w:color w:val="auto"/>
              </w:rPr>
              <w:t>26.8</w:t>
            </w:r>
          </w:p>
        </w:tc>
        <w:tc>
          <w:tcPr>
            <w:tcW w:w="0" w:type="dxa"/>
            <w:vAlign w:val="bottom"/>
          </w:tcPr>
          <w:p>
            <w:pPr>
              <w:spacing w:after="0"/>
              <w:rPr>
                <w:sz w:val="1"/>
                <w:szCs w:val="1"/>
                <w:color w:val="auto"/>
              </w:rPr>
            </w:pPr>
          </w:p>
        </w:tc>
      </w:tr>
      <w:tr>
        <w:trPr>
          <w:trHeight w:val="24"/>
        </w:trPr>
        <w:tc>
          <w:tcPr>
            <w:tcW w:w="5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5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2025</w:t>
            </w: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12.3</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09"/>
        </w:trPr>
        <w:tc>
          <w:tcPr>
            <w:tcW w:w="5980" w:type="dxa"/>
            <w:vAlign w:val="bottom"/>
          </w:tcPr>
          <w:p>
            <w:pPr>
              <w:ind w:left="140"/>
              <w:spacing w:after="0"/>
              <w:rPr>
                <w:sz w:val="20"/>
                <w:szCs w:val="20"/>
                <w:color w:val="auto"/>
              </w:rPr>
            </w:pPr>
            <w:r>
              <w:rPr>
                <w:rFonts w:ascii="Arial" w:cs="Arial" w:eastAsia="Arial" w:hAnsi="Arial"/>
                <w:sz w:val="16"/>
                <w:szCs w:val="16"/>
                <w:color w:val="auto"/>
              </w:rPr>
              <w:t>Thereafter</w:t>
            </w:r>
          </w:p>
        </w:tc>
        <w:tc>
          <w:tcPr>
            <w:tcW w:w="180" w:type="dxa"/>
            <w:vAlign w:val="bottom"/>
          </w:tcPr>
          <w:p>
            <w:pPr>
              <w:spacing w:after="0"/>
              <w:rPr>
                <w:sz w:val="18"/>
                <w:szCs w:val="18"/>
                <w:color w:val="auto"/>
              </w:rPr>
            </w:pP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3,634.6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44"/>
              <w:spacing w:after="0"/>
              <w:rPr>
                <w:sz w:val="20"/>
                <w:szCs w:val="20"/>
                <w:color w:val="auto"/>
              </w:rPr>
            </w:pPr>
            <w:r>
              <w:rPr>
                <w:rFonts w:ascii="Arial" w:cs="Arial" w:eastAsia="Arial" w:hAnsi="Arial"/>
                <w:sz w:val="16"/>
                <w:szCs w:val="16"/>
                <w:color w:val="auto"/>
              </w:rPr>
              <w:t>5,231.6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40" w:type="dxa"/>
            <w:vAlign w:val="bottom"/>
          </w:tcPr>
          <w:p>
            <w:pPr>
              <w:jc w:val="right"/>
              <w:ind w:right="23"/>
              <w:spacing w:after="0"/>
              <w:rPr>
                <w:sz w:val="20"/>
                <w:szCs w:val="20"/>
                <w:color w:val="auto"/>
              </w:rPr>
            </w:pPr>
            <w:r>
              <w:rPr>
                <w:rFonts w:ascii="Arial" w:cs="Arial" w:eastAsia="Arial" w:hAnsi="Arial"/>
                <w:sz w:val="16"/>
                <w:szCs w:val="16"/>
                <w:color w:val="auto"/>
              </w:rPr>
              <w:t>8,866.2</w:t>
            </w:r>
          </w:p>
        </w:tc>
        <w:tc>
          <w:tcPr>
            <w:tcW w:w="0" w:type="dxa"/>
            <w:vAlign w:val="bottom"/>
          </w:tcPr>
          <w:p>
            <w:pPr>
              <w:spacing w:after="0"/>
              <w:rPr>
                <w:sz w:val="1"/>
                <w:szCs w:val="1"/>
                <w:color w:val="auto"/>
              </w:rPr>
            </w:pPr>
          </w:p>
        </w:tc>
      </w:tr>
      <w:tr>
        <w:trPr>
          <w:trHeight w:val="24"/>
        </w:trPr>
        <w:tc>
          <w:tcPr>
            <w:tcW w:w="5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debt maturities (c)</w:t>
            </w:r>
          </w:p>
        </w:tc>
        <w:tc>
          <w:tcPr>
            <w:tcW w:w="1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4,243.4</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5,709.7</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1,824.4</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11,777.5</w:t>
            </w:r>
          </w:p>
        </w:tc>
        <w:tc>
          <w:tcPr>
            <w:tcW w:w="0" w:type="dxa"/>
            <w:vAlign w:val="bottom"/>
          </w:tcPr>
          <w:p>
            <w:pPr>
              <w:spacing w:after="0"/>
              <w:rPr>
                <w:sz w:val="1"/>
                <w:szCs w:val="1"/>
                <w:color w:val="auto"/>
              </w:rPr>
            </w:pPr>
          </w:p>
        </w:tc>
      </w:tr>
      <w:tr>
        <w:trPr>
          <w:trHeight w:val="209"/>
        </w:trPr>
        <w:tc>
          <w:tcPr>
            <w:tcW w:w="5980" w:type="dxa"/>
            <w:vAlign w:val="bottom"/>
          </w:tcPr>
          <w:p>
            <w:pPr>
              <w:ind w:left="20"/>
              <w:spacing w:after="0"/>
              <w:rPr>
                <w:sz w:val="20"/>
                <w:szCs w:val="20"/>
                <w:color w:val="auto"/>
              </w:rPr>
            </w:pPr>
            <w:r>
              <w:rPr>
                <w:rFonts w:ascii="Arial" w:cs="Arial" w:eastAsia="Arial" w:hAnsi="Arial"/>
                <w:sz w:val="16"/>
                <w:szCs w:val="16"/>
                <w:color w:val="auto"/>
              </w:rPr>
              <w:t>Deferred financing costs, discounts and premiums, net</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(48.3)</w:t>
            </w:r>
          </w:p>
        </w:tc>
        <w:tc>
          <w:tcPr>
            <w:tcW w:w="0" w:type="dxa"/>
            <w:vAlign w:val="bottom"/>
          </w:tcPr>
          <w:p>
            <w:pPr>
              <w:spacing w:after="0"/>
              <w:rPr>
                <w:sz w:val="1"/>
                <w:szCs w:val="1"/>
                <w:color w:val="auto"/>
              </w:rPr>
            </w:pPr>
          </w:p>
        </w:tc>
      </w:tr>
      <w:tr>
        <w:trPr>
          <w:trHeight w:val="24"/>
        </w:trPr>
        <w:tc>
          <w:tcPr>
            <w:tcW w:w="5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5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debt</w:t>
            </w:r>
          </w:p>
        </w:tc>
        <w:tc>
          <w:tcPr>
            <w:tcW w:w="1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4,222.4</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5,692.0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1,814.8</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11,729.2</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Current portion</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980" w:type="dxa"/>
            <w:vAlign w:val="bottom"/>
            <w:vMerge w:val="continue"/>
          </w:tcPr>
          <w:p>
            <w:pPr>
              <w:spacing w:after="0"/>
              <w:rPr>
                <w:sz w:val="15"/>
                <w:szCs w:val="15"/>
                <w:color w:val="auto"/>
              </w:rPr>
            </w:pP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608.8</w:t>
            </w:r>
          </w:p>
        </w:tc>
        <w:tc>
          <w:tcPr>
            <w:tcW w:w="120" w:type="dxa"/>
            <w:vAlign w:val="bottom"/>
          </w:tcPr>
          <w:p>
            <w:pPr>
              <w:spacing w:after="0"/>
              <w:rPr>
                <w:sz w:val="15"/>
                <w:szCs w:val="15"/>
                <w:color w:val="auto"/>
              </w:rPr>
            </w:pP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44"/>
              <w:spacing w:after="0"/>
              <w:rPr>
                <w:sz w:val="20"/>
                <w:szCs w:val="20"/>
                <w:color w:val="auto"/>
              </w:rPr>
            </w:pPr>
            <w:r>
              <w:rPr>
                <w:rFonts w:ascii="Arial" w:cs="Arial" w:eastAsia="Arial" w:hAnsi="Arial"/>
                <w:sz w:val="16"/>
                <w:szCs w:val="16"/>
                <w:color w:val="auto"/>
              </w:rPr>
              <w:t>427.9</w:t>
            </w:r>
          </w:p>
        </w:tc>
        <w:tc>
          <w:tcPr>
            <w:tcW w:w="100" w:type="dxa"/>
            <w:vAlign w:val="bottom"/>
          </w:tcPr>
          <w:p>
            <w:pPr>
              <w:spacing w:after="0"/>
              <w:rPr>
                <w:sz w:val="15"/>
                <w:szCs w:val="15"/>
                <w:color w:val="auto"/>
              </w:rPr>
            </w:pP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3"/>
              <w:spacing w:after="0"/>
              <w:rPr>
                <w:sz w:val="20"/>
                <w:szCs w:val="20"/>
                <w:color w:val="auto"/>
              </w:rPr>
            </w:pPr>
            <w:r>
              <w:rPr>
                <w:rFonts w:ascii="Arial" w:cs="Arial" w:eastAsia="Arial" w:hAnsi="Arial"/>
                <w:sz w:val="16"/>
                <w:szCs w:val="16"/>
                <w:color w:val="auto"/>
              </w:rPr>
              <w:t>769.2</w:t>
            </w:r>
          </w:p>
        </w:tc>
        <w:tc>
          <w:tcPr>
            <w:tcW w:w="120" w:type="dxa"/>
            <w:vAlign w:val="bottom"/>
          </w:tcPr>
          <w:p>
            <w:pPr>
              <w:spacing w:after="0"/>
              <w:rPr>
                <w:sz w:val="15"/>
                <w:szCs w:val="15"/>
                <w:color w:val="auto"/>
              </w:rPr>
            </w:pP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3"/>
              <w:spacing w:after="0"/>
              <w:rPr>
                <w:sz w:val="20"/>
                <w:szCs w:val="20"/>
                <w:color w:val="auto"/>
              </w:rPr>
            </w:pPr>
            <w:r>
              <w:rPr>
                <w:rFonts w:ascii="Arial" w:cs="Arial" w:eastAsia="Arial" w:hAnsi="Arial"/>
                <w:sz w:val="16"/>
                <w:szCs w:val="16"/>
                <w:color w:val="auto"/>
              </w:rPr>
              <w:t>1,805.9</w:t>
            </w:r>
          </w:p>
        </w:tc>
        <w:tc>
          <w:tcPr>
            <w:tcW w:w="0" w:type="dxa"/>
            <w:vAlign w:val="bottom"/>
          </w:tcPr>
          <w:p>
            <w:pPr>
              <w:spacing w:after="0"/>
              <w:rPr>
                <w:sz w:val="1"/>
                <w:szCs w:val="1"/>
                <w:color w:val="auto"/>
              </w:rPr>
            </w:pPr>
          </w:p>
        </w:tc>
      </w:tr>
      <w:tr>
        <w:trPr>
          <w:trHeight w:val="64"/>
        </w:trPr>
        <w:tc>
          <w:tcPr>
            <w:tcW w:w="598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5980" w:type="dxa"/>
            <w:vAlign w:val="bottom"/>
            <w:tcBorders>
              <w:bottom w:val="single" w:sz="8" w:color="CCEEFF"/>
            </w:tcBorders>
            <w:shd w:val="clear" w:color="auto" w:fill="CCEEFF"/>
          </w:tcPr>
          <w:p>
            <w:pPr>
              <w:ind w:left="20"/>
              <w:spacing w:after="0" w:line="161" w:lineRule="exact"/>
              <w:rPr>
                <w:sz w:val="20"/>
                <w:szCs w:val="20"/>
                <w:color w:val="auto"/>
              </w:rPr>
            </w:pPr>
            <w:r>
              <w:rPr>
                <w:rFonts w:ascii="Arial" w:cs="Arial" w:eastAsia="Arial" w:hAnsi="Arial"/>
                <w:sz w:val="16"/>
                <w:szCs w:val="16"/>
                <w:color w:val="auto"/>
              </w:rPr>
              <w:t>Noncurrent portion</w:t>
            </w:r>
          </w:p>
        </w:tc>
        <w:tc>
          <w:tcPr>
            <w:tcW w:w="1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3,613.6</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5,264.1</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1,045.6</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9,923.3</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59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427" w:hanging="427"/>
        <w:spacing w:after="0"/>
        <w:tabs>
          <w:tab w:leader="none" w:pos="427" w:val="left"/>
        </w:tabs>
        <w:numPr>
          <w:ilvl w:val="0"/>
          <w:numId w:val="22"/>
        </w:numPr>
        <w:rPr>
          <w:rFonts w:ascii="Arial" w:cs="Arial" w:eastAsia="Arial" w:hAnsi="Arial"/>
          <w:sz w:val="16"/>
          <w:szCs w:val="16"/>
          <w:color w:val="auto"/>
        </w:rPr>
      </w:pPr>
      <w:r>
        <w:rPr>
          <w:rFonts w:ascii="Arial" w:cs="Arial" w:eastAsia="Arial" w:hAnsi="Arial"/>
          <w:sz w:val="16"/>
          <w:szCs w:val="16"/>
          <w:color w:val="auto"/>
        </w:rPr>
        <w:t>Amounts include certain senior secured notes issued by special purpose financing entities that are consolidated by UPC Holding and Liberty Global.</w:t>
      </w:r>
    </w:p>
    <w:p>
      <w:pPr>
        <w:spacing w:after="0" w:line="188" w:lineRule="exact"/>
        <w:rPr>
          <w:rFonts w:ascii="Arial" w:cs="Arial" w:eastAsia="Arial" w:hAnsi="Arial"/>
          <w:sz w:val="16"/>
          <w:szCs w:val="16"/>
          <w:color w:val="auto"/>
        </w:rPr>
      </w:pPr>
    </w:p>
    <w:p>
      <w:pPr>
        <w:ind w:left="427" w:hanging="427"/>
        <w:spacing w:after="0" w:line="329" w:lineRule="auto"/>
        <w:tabs>
          <w:tab w:leader="none" w:pos="427" w:val="left"/>
        </w:tabs>
        <w:numPr>
          <w:ilvl w:val="0"/>
          <w:numId w:val="22"/>
        </w:numPr>
        <w:rPr>
          <w:rFonts w:ascii="Arial" w:cs="Arial" w:eastAsia="Arial" w:hAnsi="Arial"/>
          <w:sz w:val="14"/>
          <w:szCs w:val="14"/>
          <w:color w:val="auto"/>
        </w:rPr>
      </w:pPr>
      <w:r>
        <w:rPr>
          <w:rFonts w:ascii="Arial" w:cs="Arial" w:eastAsia="Arial" w:hAnsi="Arial"/>
          <w:sz w:val="14"/>
          <w:szCs w:val="14"/>
          <w:color w:val="auto"/>
        </w:rPr>
        <w:t>Amounts include $1,339.9 million related to the ITV Collar Loan. The ITV Collar Loan has maturity dates ranging from 2020 to 2022 consistent with the ITV Collar (see notes 5 and 6). We may elect to use cash or the collective value of the related shares and equity-related derivative instrument to settle the ITV Collar Loan.</w:t>
      </w:r>
    </w:p>
    <w:p>
      <w:pPr>
        <w:spacing w:after="0" w:line="303"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267"/>
          </w:cols>
          <w:pgMar w:left="313" w:top="263" w:right="319" w:bottom="1440" w:gutter="0" w:footer="0" w:header="0"/>
        </w:sectPr>
      </w:pPr>
    </w:p>
    <w:bookmarkStart w:id="32" w:name="page33"/>
    <w:bookmarkEnd w:id="32"/>
    <w:p>
      <w:pPr>
        <w:jc w:val="center"/>
        <w:ind w:right="-6"/>
        <w:spacing w:after="0"/>
        <w:rPr>
          <w:sz w:val="20"/>
          <w:szCs w:val="20"/>
          <w:color w:val="auto"/>
        </w:rPr>
      </w:pPr>
      <w:r>
        <w:rPr>
          <w:rFonts w:ascii="Arial" w:cs="Arial" w:eastAsia="Arial" w:hAnsi="Arial"/>
          <w:sz w:val="16"/>
          <w:szCs w:val="16"/>
          <w:b w:val="1"/>
          <w:bCs w:val="1"/>
          <w:color w:val="auto"/>
        </w:rPr>
        <w:t>LIBERTY GLOBAL PLC</w:t>
      </w:r>
    </w:p>
    <w:p>
      <w:pPr>
        <w:spacing w:after="0" w:line="18"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Notes to Condensed Consolidated Financial Statements — (Continued)</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June 30, 2020</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ind w:left="427" w:hanging="427"/>
        <w:spacing w:after="0"/>
        <w:tabs>
          <w:tab w:leader="none" w:pos="427" w:val="left"/>
        </w:tabs>
        <w:numPr>
          <w:ilvl w:val="0"/>
          <w:numId w:val="23"/>
        </w:numPr>
        <w:rPr>
          <w:rFonts w:ascii="Arial" w:cs="Arial" w:eastAsia="Arial" w:hAnsi="Arial"/>
          <w:sz w:val="16"/>
          <w:szCs w:val="16"/>
          <w:color w:val="auto"/>
        </w:rPr>
      </w:pPr>
      <w:r>
        <w:rPr>
          <w:rFonts w:ascii="Arial" w:cs="Arial" w:eastAsia="Arial" w:hAnsi="Arial"/>
          <w:sz w:val="16"/>
          <w:szCs w:val="16"/>
          <w:color w:val="auto"/>
        </w:rPr>
        <w:t>Amounts include vendor financing obligations of $1,358.7 million, as set forth below:</w:t>
      </w:r>
    </w:p>
    <w:p>
      <w:pPr>
        <w:spacing w:after="0" w:line="140" w:lineRule="exact"/>
        <w:rPr>
          <w:sz w:val="20"/>
          <w:szCs w:val="20"/>
          <w:color w:val="auto"/>
        </w:rPr>
      </w:pPr>
    </w:p>
    <w:tbl>
      <w:tblPr>
        <w:tblLayout w:type="fixed"/>
        <w:tblInd w:w="647" w:type="dxa"/>
        <w:tblCellMar>
          <w:top w:w="0" w:type="dxa"/>
          <w:left w:w="0" w:type="dxa"/>
          <w:bottom w:w="0" w:type="dxa"/>
          <w:right w:w="0" w:type="dxa"/>
        </w:tblCellMar>
      </w:tblPr>
      <w:tr>
        <w:trPr>
          <w:trHeight w:val="175"/>
        </w:trPr>
        <w:tc>
          <w:tcPr>
            <w:tcW w:w="5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UPC</w:t>
            </w: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5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Holding</w:t>
            </w:r>
          </w:p>
        </w:tc>
        <w:tc>
          <w:tcPr>
            <w:tcW w:w="220" w:type="dxa"/>
            <w:vAlign w:val="bottom"/>
          </w:tcPr>
          <w:p>
            <w:pPr>
              <w:spacing w:after="0"/>
              <w:rPr>
                <w:sz w:val="15"/>
                <w:szCs w:val="15"/>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Telenet</w:t>
            </w:r>
          </w:p>
        </w:tc>
        <w:tc>
          <w:tcPr>
            <w:tcW w:w="300" w:type="dxa"/>
            <w:vAlign w:val="bottom"/>
          </w:tcPr>
          <w:p>
            <w:pPr>
              <w:spacing w:after="0"/>
              <w:rPr>
                <w:sz w:val="15"/>
                <w:szCs w:val="15"/>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15"/>
                <w:szCs w:val="15"/>
                <w:color w:val="auto"/>
              </w:rPr>
            </w:pPr>
          </w:p>
        </w:tc>
        <w:tc>
          <w:tcPr>
            <w:tcW w:w="860" w:type="dxa"/>
            <w:vAlign w:val="bottom"/>
          </w:tcPr>
          <w:p>
            <w:pPr>
              <w:jc w:val="right"/>
              <w:ind w:right="323"/>
              <w:spacing w:after="0"/>
              <w:rPr>
                <w:sz w:val="20"/>
                <w:szCs w:val="20"/>
                <w:color w:val="auto"/>
              </w:rPr>
            </w:pPr>
            <w:r>
              <w:rPr>
                <w:rFonts w:ascii="Arial" w:cs="Arial" w:eastAsia="Arial" w:hAnsi="Arial"/>
                <w:sz w:val="14"/>
                <w:szCs w:val="14"/>
                <w:b w:val="1"/>
                <w:bCs w:val="1"/>
                <w:color w:val="auto"/>
              </w:rPr>
              <w:t>Total</w:t>
            </w:r>
          </w:p>
        </w:tc>
      </w:tr>
      <w:tr>
        <w:trPr>
          <w:trHeight w:val="28"/>
        </w:trPr>
        <w:tc>
          <w:tcPr>
            <w:tcW w:w="55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5"/>
        </w:trPr>
        <w:tc>
          <w:tcPr>
            <w:tcW w:w="5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3"/>
          </w:tcPr>
          <w:p>
            <w:pPr>
              <w:jc w:val="right"/>
              <w:ind w:right="2"/>
              <w:spacing w:after="0"/>
              <w:rPr>
                <w:sz w:val="20"/>
                <w:szCs w:val="20"/>
                <w:color w:val="auto"/>
              </w:rPr>
            </w:pPr>
            <w:r>
              <w:rPr>
                <w:rFonts w:ascii="Arial" w:cs="Arial" w:eastAsia="Arial" w:hAnsi="Arial"/>
                <w:sz w:val="14"/>
                <w:szCs w:val="14"/>
                <w:b w:val="1"/>
                <w:bCs w:val="1"/>
                <w:color w:val="auto"/>
              </w:rPr>
              <w:t>in millions</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79"/>
        </w:trPr>
        <w:tc>
          <w:tcPr>
            <w:tcW w:w="5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13"/>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Year ending December 31:</w:t>
            </w:r>
          </w:p>
        </w:tc>
        <w:tc>
          <w:tcPr>
            <w:tcW w:w="2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r>
      <w:tr>
        <w:trPr>
          <w:trHeight w:val="209"/>
        </w:trPr>
        <w:tc>
          <w:tcPr>
            <w:tcW w:w="5500" w:type="dxa"/>
            <w:vAlign w:val="bottom"/>
          </w:tcPr>
          <w:p>
            <w:pPr>
              <w:ind w:left="140"/>
              <w:spacing w:after="0"/>
              <w:rPr>
                <w:sz w:val="20"/>
                <w:szCs w:val="20"/>
                <w:color w:val="auto"/>
              </w:rPr>
            </w:pPr>
            <w:r>
              <w:rPr>
                <w:rFonts w:ascii="Arial" w:cs="Arial" w:eastAsia="Arial" w:hAnsi="Arial"/>
                <w:sz w:val="16"/>
                <w:szCs w:val="16"/>
                <w:color w:val="auto"/>
              </w:rPr>
              <w:t>2020 (remainder of year)</w:t>
            </w: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44"/>
              <w:spacing w:after="0"/>
              <w:rPr>
                <w:sz w:val="20"/>
                <w:szCs w:val="20"/>
                <w:color w:val="auto"/>
              </w:rPr>
            </w:pPr>
            <w:r>
              <w:rPr>
                <w:rFonts w:ascii="Arial" w:cs="Arial" w:eastAsia="Arial" w:hAnsi="Arial"/>
                <w:sz w:val="16"/>
                <w:szCs w:val="16"/>
                <w:color w:val="auto"/>
              </w:rPr>
              <w:t>387.4</w:t>
            </w:r>
          </w:p>
        </w:tc>
        <w:tc>
          <w:tcPr>
            <w:tcW w:w="100" w:type="dxa"/>
            <w:vAlign w:val="bottom"/>
          </w:tcPr>
          <w:p>
            <w:pPr>
              <w:spacing w:after="0"/>
              <w:rPr>
                <w:sz w:val="18"/>
                <w:szCs w:val="18"/>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4"/>
              <w:spacing w:after="0"/>
              <w:rPr>
                <w:sz w:val="20"/>
                <w:szCs w:val="20"/>
                <w:color w:val="auto"/>
              </w:rPr>
            </w:pPr>
            <w:r>
              <w:rPr>
                <w:rFonts w:ascii="Arial" w:cs="Arial" w:eastAsia="Arial" w:hAnsi="Arial"/>
                <w:sz w:val="16"/>
                <w:szCs w:val="16"/>
                <w:color w:val="auto"/>
              </w:rPr>
              <w:t>253.4</w:t>
            </w:r>
          </w:p>
        </w:tc>
        <w:tc>
          <w:tcPr>
            <w:tcW w:w="100" w:type="dxa"/>
            <w:vAlign w:val="bottom"/>
          </w:tcPr>
          <w:p>
            <w:pPr>
              <w:spacing w:after="0"/>
              <w:rPr>
                <w:sz w:val="18"/>
                <w:szCs w:val="18"/>
                <w:color w:val="auto"/>
              </w:rPr>
            </w:pPr>
          </w:p>
        </w:tc>
        <w:tc>
          <w:tcPr>
            <w:tcW w:w="300" w:type="dxa"/>
            <w:vAlign w:val="bottom"/>
          </w:tcPr>
          <w:p>
            <w:pPr>
              <w:jc w:val="right"/>
              <w:ind w:right="122"/>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23"/>
              <w:spacing w:after="0"/>
              <w:rPr>
                <w:sz w:val="20"/>
                <w:szCs w:val="20"/>
                <w:color w:val="auto"/>
              </w:rPr>
            </w:pPr>
            <w:r>
              <w:rPr>
                <w:rFonts w:ascii="Arial" w:cs="Arial" w:eastAsia="Arial" w:hAnsi="Arial"/>
                <w:sz w:val="16"/>
                <w:szCs w:val="16"/>
                <w:color w:val="auto"/>
              </w:rPr>
              <w:t>75.7</w:t>
            </w:r>
          </w:p>
        </w:tc>
        <w:tc>
          <w:tcPr>
            <w:tcW w:w="100" w:type="dxa"/>
            <w:vAlign w:val="bottom"/>
          </w:tcPr>
          <w:p>
            <w:pPr>
              <w:spacing w:after="0"/>
              <w:rPr>
                <w:sz w:val="18"/>
                <w:szCs w:val="18"/>
                <w:color w:val="auto"/>
              </w:rPr>
            </w:pP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716.5</w:t>
            </w:r>
          </w:p>
        </w:tc>
      </w:tr>
      <w:tr>
        <w:trPr>
          <w:trHeight w:val="24"/>
        </w:trPr>
        <w:tc>
          <w:tcPr>
            <w:tcW w:w="5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13"/>
        </w:trPr>
        <w:tc>
          <w:tcPr>
            <w:tcW w:w="5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2021</w:t>
            </w:r>
          </w:p>
        </w:tc>
        <w:tc>
          <w:tcPr>
            <w:tcW w:w="2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221.4</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162.0</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105.2</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488.6</w:t>
            </w:r>
          </w:p>
        </w:tc>
      </w:tr>
      <w:tr>
        <w:trPr>
          <w:trHeight w:val="209"/>
        </w:trPr>
        <w:tc>
          <w:tcPr>
            <w:tcW w:w="5500" w:type="dxa"/>
            <w:vAlign w:val="bottom"/>
          </w:tcPr>
          <w:p>
            <w:pPr>
              <w:ind w:left="140"/>
              <w:spacing w:after="0"/>
              <w:rPr>
                <w:sz w:val="20"/>
                <w:szCs w:val="20"/>
                <w:color w:val="auto"/>
              </w:rPr>
            </w:pPr>
            <w:r>
              <w:rPr>
                <w:rFonts w:ascii="Arial" w:cs="Arial" w:eastAsia="Arial" w:hAnsi="Arial"/>
                <w:sz w:val="16"/>
                <w:szCs w:val="16"/>
                <w:color w:val="auto"/>
              </w:rPr>
              <w:t>2022</w:t>
            </w:r>
          </w:p>
        </w:tc>
        <w:tc>
          <w:tcPr>
            <w:tcW w:w="2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20" w:type="dxa"/>
            <w:vAlign w:val="bottom"/>
          </w:tcPr>
          <w:p>
            <w:pPr>
              <w:jc w:val="right"/>
              <w:ind w:right="23"/>
              <w:spacing w:after="0"/>
              <w:rPr>
                <w:sz w:val="20"/>
                <w:szCs w:val="20"/>
                <w:color w:val="auto"/>
              </w:rPr>
            </w:pPr>
            <w:r>
              <w:rPr>
                <w:rFonts w:ascii="Arial" w:cs="Arial" w:eastAsia="Arial" w:hAnsi="Arial"/>
                <w:sz w:val="16"/>
                <w:szCs w:val="16"/>
                <w:color w:val="auto"/>
              </w:rPr>
              <w:t>80.7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80.7</w:t>
            </w:r>
          </w:p>
        </w:tc>
      </w:tr>
      <w:tr>
        <w:trPr>
          <w:trHeight w:val="24"/>
        </w:trPr>
        <w:tc>
          <w:tcPr>
            <w:tcW w:w="5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13"/>
        </w:trPr>
        <w:tc>
          <w:tcPr>
            <w:tcW w:w="5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2023</w:t>
            </w:r>
          </w:p>
        </w:tc>
        <w:tc>
          <w:tcPr>
            <w:tcW w:w="2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57.6</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57.6</w:t>
            </w:r>
          </w:p>
        </w:tc>
      </w:tr>
      <w:tr>
        <w:trPr>
          <w:trHeight w:val="209"/>
        </w:trPr>
        <w:tc>
          <w:tcPr>
            <w:tcW w:w="5500" w:type="dxa"/>
            <w:vAlign w:val="bottom"/>
          </w:tcPr>
          <w:p>
            <w:pPr>
              <w:ind w:left="140"/>
              <w:spacing w:after="0"/>
              <w:rPr>
                <w:sz w:val="20"/>
                <w:szCs w:val="20"/>
                <w:color w:val="auto"/>
              </w:rPr>
            </w:pPr>
            <w:r>
              <w:rPr>
                <w:rFonts w:ascii="Arial" w:cs="Arial" w:eastAsia="Arial" w:hAnsi="Arial"/>
                <w:sz w:val="16"/>
                <w:szCs w:val="16"/>
                <w:color w:val="auto"/>
              </w:rPr>
              <w:t>2024</w:t>
            </w:r>
          </w:p>
        </w:tc>
        <w:tc>
          <w:tcPr>
            <w:tcW w:w="2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20" w:type="dxa"/>
            <w:vAlign w:val="bottom"/>
          </w:tcPr>
          <w:p>
            <w:pPr>
              <w:jc w:val="right"/>
              <w:ind w:right="23"/>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14.7</w:t>
            </w:r>
          </w:p>
        </w:tc>
      </w:tr>
      <w:tr>
        <w:trPr>
          <w:trHeight w:val="24"/>
        </w:trPr>
        <w:tc>
          <w:tcPr>
            <w:tcW w:w="5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3"/>
        </w:trPr>
        <w:tc>
          <w:tcPr>
            <w:tcW w:w="5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2025</w:t>
            </w: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0.6</w:t>
            </w:r>
          </w:p>
        </w:tc>
      </w:tr>
      <w:tr>
        <w:trPr>
          <w:trHeight w:val="258"/>
        </w:trPr>
        <w:tc>
          <w:tcPr>
            <w:tcW w:w="55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Total vendor financing maturities</w:t>
            </w:r>
          </w:p>
        </w:tc>
        <w:tc>
          <w:tcPr>
            <w:tcW w:w="2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6"/>
                <w:szCs w:val="16"/>
                <w:color w:val="auto"/>
              </w:rPr>
              <w:t>608.8</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6"/>
                <w:szCs w:val="16"/>
                <w:color w:val="auto"/>
              </w:rPr>
              <w:t>415.4</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22"/>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334.5</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1,358.7</w:t>
            </w:r>
          </w:p>
        </w:tc>
      </w:tr>
      <w:tr>
        <w:trPr>
          <w:trHeight w:val="208"/>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portion</w:t>
            </w: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608.8</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415.4</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136.0</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1,160.2</w:t>
            </w:r>
          </w:p>
        </w:tc>
      </w:tr>
      <w:tr>
        <w:trPr>
          <w:trHeight w:val="20"/>
        </w:trPr>
        <w:tc>
          <w:tcPr>
            <w:tcW w:w="5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08"/>
        </w:trPr>
        <w:tc>
          <w:tcPr>
            <w:tcW w:w="5500" w:type="dxa"/>
            <w:vAlign w:val="bottom"/>
          </w:tcPr>
          <w:p>
            <w:pPr>
              <w:ind w:left="20"/>
              <w:spacing w:after="0"/>
              <w:rPr>
                <w:sz w:val="20"/>
                <w:szCs w:val="20"/>
                <w:color w:val="auto"/>
              </w:rPr>
            </w:pPr>
            <w:r>
              <w:rPr>
                <w:rFonts w:ascii="Arial" w:cs="Arial" w:eastAsia="Arial" w:hAnsi="Arial"/>
                <w:sz w:val="16"/>
                <w:szCs w:val="16"/>
                <w:color w:val="auto"/>
              </w:rPr>
              <w:t>Noncurrent portion</w:t>
            </w: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22"/>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23"/>
              <w:spacing w:after="0"/>
              <w:rPr>
                <w:sz w:val="20"/>
                <w:szCs w:val="20"/>
                <w:color w:val="auto"/>
              </w:rPr>
            </w:pPr>
            <w:r>
              <w:rPr>
                <w:rFonts w:ascii="Arial" w:cs="Arial" w:eastAsia="Arial" w:hAnsi="Arial"/>
                <w:sz w:val="16"/>
                <w:szCs w:val="16"/>
                <w:color w:val="auto"/>
              </w:rPr>
              <w:t>198.5</w:t>
            </w:r>
          </w:p>
        </w:tc>
        <w:tc>
          <w:tcPr>
            <w:tcW w:w="100" w:type="dxa"/>
            <w:vAlign w:val="bottom"/>
          </w:tcPr>
          <w:p>
            <w:pPr>
              <w:spacing w:after="0"/>
              <w:rPr>
                <w:sz w:val="18"/>
                <w:szCs w:val="18"/>
                <w:color w:val="auto"/>
              </w:rPr>
            </w:pP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198.5</w:t>
            </w:r>
          </w:p>
        </w:tc>
      </w:tr>
      <w:tr>
        <w:trPr>
          <w:trHeight w:val="20"/>
        </w:trPr>
        <w:tc>
          <w:tcPr>
            <w:tcW w:w="5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356" w:lineRule="exact"/>
        <w:rPr>
          <w:sz w:val="20"/>
          <w:szCs w:val="20"/>
          <w:color w:val="auto"/>
        </w:rPr>
      </w:pPr>
    </w:p>
    <w:p>
      <w:pPr>
        <w:ind w:left="307" w:hanging="307"/>
        <w:spacing w:after="0"/>
        <w:tabs>
          <w:tab w:leader="none" w:pos="307" w:val="left"/>
        </w:tabs>
        <w:numPr>
          <w:ilvl w:val="0"/>
          <w:numId w:val="2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Leases</w:t>
      </w:r>
    </w:p>
    <w:p>
      <w:pPr>
        <w:spacing w:after="0" w:line="194" w:lineRule="exact"/>
        <w:rPr>
          <w:sz w:val="20"/>
          <w:szCs w:val="20"/>
          <w:color w:val="auto"/>
        </w:rPr>
      </w:pPr>
    </w:p>
    <w:p>
      <w:pPr>
        <w:ind w:left="7"/>
        <w:spacing w:after="0"/>
        <w:rPr>
          <w:sz w:val="20"/>
          <w:szCs w:val="20"/>
          <w:color w:val="auto"/>
        </w:rPr>
      </w:pPr>
      <w:r>
        <w:rPr>
          <w:rFonts w:ascii="Arial" w:cs="Arial" w:eastAsia="Arial" w:hAnsi="Arial"/>
          <w:sz w:val="16"/>
          <w:szCs w:val="16"/>
          <w:b w:val="1"/>
          <w:bCs w:val="1"/>
          <w:i w:val="1"/>
          <w:iCs w:val="1"/>
          <w:color w:val="auto"/>
        </w:rPr>
        <w:t>General</w:t>
      </w:r>
    </w:p>
    <w:p>
      <w:pPr>
        <w:spacing w:after="0" w:line="188" w:lineRule="exact"/>
        <w:rPr>
          <w:sz w:val="20"/>
          <w:szCs w:val="20"/>
          <w:color w:val="auto"/>
        </w:rPr>
      </w:pPr>
    </w:p>
    <w:p>
      <w:pPr>
        <w:ind w:left="7" w:firstLine="279"/>
        <w:spacing w:after="0" w:line="258" w:lineRule="auto"/>
        <w:rPr>
          <w:sz w:val="20"/>
          <w:szCs w:val="20"/>
          <w:color w:val="auto"/>
        </w:rPr>
      </w:pPr>
      <w:r>
        <w:rPr>
          <w:rFonts w:ascii="Arial" w:cs="Arial" w:eastAsia="Arial" w:hAnsi="Arial"/>
          <w:sz w:val="16"/>
          <w:szCs w:val="16"/>
          <w:color w:val="auto"/>
        </w:rPr>
        <w:t>We enter into operating and finance leases for network equipment, real estate, mobile site sharing and vehicles. We provide residual value guarantees on certain of our vehicle leases.</w:t>
      </w:r>
    </w:p>
    <w:p>
      <w:pPr>
        <w:spacing w:after="0" w:line="163" w:lineRule="exact"/>
        <w:rPr>
          <w:sz w:val="20"/>
          <w:szCs w:val="20"/>
          <w:color w:val="auto"/>
        </w:rPr>
      </w:pPr>
    </w:p>
    <w:p>
      <w:pPr>
        <w:ind w:left="7"/>
        <w:spacing w:after="0"/>
        <w:rPr>
          <w:sz w:val="20"/>
          <w:szCs w:val="20"/>
          <w:color w:val="auto"/>
        </w:rPr>
      </w:pPr>
      <w:r>
        <w:rPr>
          <w:rFonts w:ascii="Arial" w:cs="Arial" w:eastAsia="Arial" w:hAnsi="Arial"/>
          <w:sz w:val="16"/>
          <w:szCs w:val="16"/>
          <w:b w:val="1"/>
          <w:bCs w:val="1"/>
          <w:i w:val="1"/>
          <w:iCs w:val="1"/>
          <w:color w:val="auto"/>
        </w:rPr>
        <w:t>Lease Balances</w:t>
      </w:r>
    </w:p>
    <w:p>
      <w:pPr>
        <w:spacing w:after="0" w:line="182" w:lineRule="exact"/>
        <w:rPr>
          <w:sz w:val="20"/>
          <w:szCs w:val="20"/>
          <w:color w:val="auto"/>
        </w:rPr>
      </w:pPr>
    </w:p>
    <w:p>
      <w:pPr>
        <w:ind w:left="287"/>
        <w:spacing w:after="0"/>
        <w:rPr>
          <w:sz w:val="20"/>
          <w:szCs w:val="20"/>
          <w:color w:val="auto"/>
        </w:rPr>
      </w:pPr>
      <w:r>
        <w:rPr>
          <w:rFonts w:ascii="Arial" w:cs="Arial" w:eastAsia="Arial" w:hAnsi="Arial"/>
          <w:sz w:val="16"/>
          <w:szCs w:val="16"/>
          <w:color w:val="auto"/>
        </w:rPr>
        <w:t>A summary of our right-of-use (</w:t>
      </w:r>
      <w:r>
        <w:rPr>
          <w:rFonts w:ascii="Arial" w:cs="Arial" w:eastAsia="Arial" w:hAnsi="Arial"/>
          <w:sz w:val="16"/>
          <w:szCs w:val="16"/>
          <w:b w:val="1"/>
          <w:bCs w:val="1"/>
          <w:color w:val="auto"/>
        </w:rPr>
        <w:t>ROU</w:t>
      </w:r>
      <w:r>
        <w:rPr>
          <w:rFonts w:ascii="Arial" w:cs="Arial" w:eastAsia="Arial" w:hAnsi="Arial"/>
          <w:sz w:val="16"/>
          <w:szCs w:val="16"/>
          <w:color w:val="auto"/>
        </w:rPr>
        <w:t>) assets and lease liabilities is set forth below:</w:t>
      </w:r>
    </w:p>
    <w:p>
      <w:pPr>
        <w:spacing w:after="0" w:line="158" w:lineRule="exact"/>
        <w:rPr>
          <w:sz w:val="20"/>
          <w:szCs w:val="20"/>
          <w:color w:val="auto"/>
        </w:rPr>
      </w:pPr>
    </w:p>
    <w:tbl>
      <w:tblPr>
        <w:tblLayout w:type="fixed"/>
        <w:tblInd w:w="7" w:type="dxa"/>
        <w:tblCellMar>
          <w:top w:w="0" w:type="dxa"/>
          <w:left w:w="0" w:type="dxa"/>
          <w:bottom w:w="0" w:type="dxa"/>
          <w:right w:w="0" w:type="dxa"/>
        </w:tblCellMar>
      </w:tblPr>
      <w:tr>
        <w:trPr>
          <w:trHeight w:val="182"/>
        </w:trPr>
        <w:tc>
          <w:tcPr>
            <w:tcW w:w="7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2020</w:t>
            </w:r>
          </w:p>
        </w:tc>
        <w:tc>
          <w:tcPr>
            <w:tcW w:w="160" w:type="dxa"/>
            <w:vAlign w:val="bottom"/>
          </w:tcPr>
          <w:p>
            <w:pPr>
              <w:spacing w:after="0"/>
              <w:rPr>
                <w:sz w:val="15"/>
                <w:szCs w:val="15"/>
                <w:color w:val="auto"/>
              </w:rPr>
            </w:pPr>
          </w:p>
        </w:tc>
        <w:tc>
          <w:tcPr>
            <w:tcW w:w="1380" w:type="dxa"/>
            <w:vAlign w:val="bottom"/>
          </w:tcPr>
          <w:p>
            <w:pPr>
              <w:jc w:val="right"/>
              <w:ind w:right="124"/>
              <w:spacing w:after="0"/>
              <w:rPr>
                <w:sz w:val="20"/>
                <w:szCs w:val="20"/>
                <w:color w:val="auto"/>
              </w:rPr>
            </w:pPr>
            <w:r>
              <w:rPr>
                <w:rFonts w:ascii="Arial" w:cs="Arial" w:eastAsia="Arial" w:hAnsi="Arial"/>
                <w:sz w:val="14"/>
                <w:szCs w:val="14"/>
                <w:b w:val="1"/>
                <w:bCs w:val="1"/>
                <w:color w:val="auto"/>
                <w:w w:val="91"/>
              </w:rPr>
              <w:t>December 31, 2019</w:t>
            </w:r>
          </w:p>
        </w:tc>
        <w:tc>
          <w:tcPr>
            <w:tcW w:w="0" w:type="dxa"/>
            <w:vAlign w:val="bottom"/>
          </w:tcPr>
          <w:p>
            <w:pPr>
              <w:spacing w:after="0"/>
              <w:rPr>
                <w:sz w:val="1"/>
                <w:szCs w:val="1"/>
                <w:color w:val="auto"/>
              </w:rPr>
            </w:pPr>
          </w:p>
        </w:tc>
      </w:tr>
      <w:tr>
        <w:trPr>
          <w:trHeight w:val="28"/>
        </w:trPr>
        <w:tc>
          <w:tcPr>
            <w:tcW w:w="79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7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80" w:type="dxa"/>
            <w:vAlign w:val="bottom"/>
            <w:gridSpan w:val="4"/>
          </w:tcPr>
          <w:p>
            <w:pPr>
              <w:jc w:val="right"/>
              <w:ind w:right="1224"/>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133"/>
        </w:trPr>
        <w:tc>
          <w:tcPr>
            <w:tcW w:w="7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ROU assets:</w:t>
            </w:r>
          </w:p>
        </w:tc>
        <w:tc>
          <w:tcPr>
            <w:tcW w:w="2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920" w:type="dxa"/>
            <w:vAlign w:val="bottom"/>
          </w:tcPr>
          <w:p>
            <w:pPr>
              <w:ind w:left="140"/>
              <w:spacing w:after="0"/>
              <w:rPr>
                <w:sz w:val="20"/>
                <w:szCs w:val="20"/>
                <w:color w:val="auto"/>
              </w:rPr>
            </w:pPr>
            <w:r>
              <w:rPr>
                <w:rFonts w:ascii="Arial" w:cs="Arial" w:eastAsia="Arial" w:hAnsi="Arial"/>
                <w:sz w:val="16"/>
                <w:szCs w:val="16"/>
                <w:color w:val="auto"/>
              </w:rPr>
              <w:t>Finance leases (a)</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24"/>
              <w:spacing w:after="0"/>
              <w:rPr>
                <w:sz w:val="20"/>
                <w:szCs w:val="20"/>
                <w:color w:val="auto"/>
              </w:rPr>
            </w:pPr>
            <w:r>
              <w:rPr>
                <w:rFonts w:ascii="Arial" w:cs="Arial" w:eastAsia="Arial" w:hAnsi="Arial"/>
                <w:sz w:val="16"/>
                <w:szCs w:val="16"/>
                <w:color w:val="auto"/>
              </w:rPr>
              <w:t>441.8</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24"/>
              <w:spacing w:after="0"/>
              <w:rPr>
                <w:sz w:val="20"/>
                <w:szCs w:val="20"/>
                <w:color w:val="auto"/>
              </w:rPr>
            </w:pPr>
            <w:r>
              <w:rPr>
                <w:rFonts w:ascii="Arial" w:cs="Arial" w:eastAsia="Arial" w:hAnsi="Arial"/>
                <w:sz w:val="16"/>
                <w:szCs w:val="16"/>
                <w:color w:val="auto"/>
              </w:rPr>
              <w:t>531.0</w:t>
            </w:r>
          </w:p>
        </w:tc>
        <w:tc>
          <w:tcPr>
            <w:tcW w:w="0" w:type="dxa"/>
            <w:vAlign w:val="bottom"/>
          </w:tcPr>
          <w:p>
            <w:pPr>
              <w:spacing w:after="0"/>
              <w:rPr>
                <w:sz w:val="1"/>
                <w:szCs w:val="1"/>
                <w:color w:val="auto"/>
              </w:rPr>
            </w:pPr>
          </w:p>
        </w:tc>
      </w:tr>
      <w:tr>
        <w:trPr>
          <w:trHeight w:val="24"/>
        </w:trPr>
        <w:tc>
          <w:tcPr>
            <w:tcW w:w="7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7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Operating leases (b)</w:t>
            </w: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337.8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512.7</w:t>
            </w:r>
          </w:p>
        </w:tc>
        <w:tc>
          <w:tcPr>
            <w:tcW w:w="0" w:type="dxa"/>
            <w:vAlign w:val="bottom"/>
          </w:tcPr>
          <w:p>
            <w:pPr>
              <w:spacing w:after="0"/>
              <w:rPr>
                <w:sz w:val="1"/>
                <w:szCs w:val="1"/>
                <w:color w:val="auto"/>
              </w:rPr>
            </w:pPr>
          </w:p>
        </w:tc>
      </w:tr>
      <w:tr>
        <w:trPr>
          <w:trHeight w:val="201"/>
        </w:trPr>
        <w:tc>
          <w:tcPr>
            <w:tcW w:w="7920" w:type="dxa"/>
            <w:vAlign w:val="bottom"/>
          </w:tcPr>
          <w:p>
            <w:pPr>
              <w:ind w:left="220"/>
              <w:spacing w:after="0"/>
              <w:rPr>
                <w:sz w:val="20"/>
                <w:szCs w:val="20"/>
                <w:color w:val="auto"/>
              </w:rPr>
            </w:pPr>
            <w:r>
              <w:rPr>
                <w:rFonts w:ascii="Arial" w:cs="Arial" w:eastAsia="Arial" w:hAnsi="Arial"/>
                <w:sz w:val="16"/>
                <w:szCs w:val="16"/>
                <w:color w:val="auto"/>
              </w:rPr>
              <w:t>Total ROU assets</w:t>
            </w:r>
          </w:p>
        </w:tc>
        <w:tc>
          <w:tcPr>
            <w:tcW w:w="260" w:type="dxa"/>
            <w:vAlign w:val="bottom"/>
            <w:tcBorders>
              <w:top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tcPr>
          <w:p>
            <w:pPr>
              <w:jc w:val="right"/>
              <w:ind w:right="24"/>
              <w:spacing w:after="0"/>
              <w:rPr>
                <w:sz w:val="20"/>
                <w:szCs w:val="20"/>
                <w:color w:val="auto"/>
              </w:rPr>
            </w:pPr>
            <w:r>
              <w:rPr>
                <w:rFonts w:ascii="Arial" w:cs="Arial" w:eastAsia="Arial" w:hAnsi="Arial"/>
                <w:sz w:val="16"/>
                <w:szCs w:val="16"/>
                <w:color w:val="auto"/>
              </w:rPr>
              <w:t>779.6</w:t>
            </w:r>
          </w:p>
        </w:tc>
        <w:tc>
          <w:tcPr>
            <w:tcW w:w="12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tcPr>
          <w:p>
            <w:pPr>
              <w:jc w:val="right"/>
              <w:ind w:right="24"/>
              <w:spacing w:after="0"/>
              <w:rPr>
                <w:sz w:val="20"/>
                <w:szCs w:val="20"/>
                <w:color w:val="auto"/>
              </w:rPr>
            </w:pPr>
            <w:r>
              <w:rPr>
                <w:rFonts w:ascii="Arial" w:cs="Arial" w:eastAsia="Arial" w:hAnsi="Arial"/>
                <w:sz w:val="16"/>
                <w:szCs w:val="16"/>
                <w:color w:val="auto"/>
              </w:rPr>
              <w:t>1,043.7</w:t>
            </w:r>
          </w:p>
        </w:tc>
        <w:tc>
          <w:tcPr>
            <w:tcW w:w="0" w:type="dxa"/>
            <w:vAlign w:val="bottom"/>
          </w:tcPr>
          <w:p>
            <w:pPr>
              <w:spacing w:after="0"/>
              <w:rPr>
                <w:sz w:val="1"/>
                <w:szCs w:val="1"/>
                <w:color w:val="auto"/>
              </w:rPr>
            </w:pPr>
          </w:p>
        </w:tc>
      </w:tr>
      <w:tr>
        <w:trPr>
          <w:trHeight w:val="64"/>
        </w:trPr>
        <w:tc>
          <w:tcPr>
            <w:tcW w:w="79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79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7920" w:type="dxa"/>
            <w:vAlign w:val="bottom"/>
          </w:tcPr>
          <w:p>
            <w:pPr>
              <w:ind w:left="20"/>
              <w:spacing w:after="0"/>
              <w:rPr>
                <w:sz w:val="20"/>
                <w:szCs w:val="20"/>
                <w:color w:val="auto"/>
              </w:rPr>
            </w:pPr>
            <w:r>
              <w:rPr>
                <w:rFonts w:ascii="Arial" w:cs="Arial" w:eastAsia="Arial" w:hAnsi="Arial"/>
                <w:sz w:val="16"/>
                <w:szCs w:val="16"/>
                <w:color w:val="auto"/>
              </w:rPr>
              <w:t>Lease liabilities:</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7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7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Finance leases (c)</w:t>
            </w:r>
          </w:p>
        </w:tc>
        <w:tc>
          <w:tcPr>
            <w:tcW w:w="2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514.4</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617.1</w:t>
            </w:r>
          </w:p>
        </w:tc>
        <w:tc>
          <w:tcPr>
            <w:tcW w:w="0" w:type="dxa"/>
            <w:vAlign w:val="bottom"/>
          </w:tcPr>
          <w:p>
            <w:pPr>
              <w:spacing w:after="0"/>
              <w:rPr>
                <w:sz w:val="1"/>
                <w:szCs w:val="1"/>
                <w:color w:val="auto"/>
              </w:rPr>
            </w:pPr>
          </w:p>
        </w:tc>
      </w:tr>
      <w:tr>
        <w:trPr>
          <w:trHeight w:val="209"/>
        </w:trPr>
        <w:tc>
          <w:tcPr>
            <w:tcW w:w="7920" w:type="dxa"/>
            <w:vAlign w:val="bottom"/>
          </w:tcPr>
          <w:p>
            <w:pPr>
              <w:ind w:left="140"/>
              <w:spacing w:after="0"/>
              <w:rPr>
                <w:sz w:val="20"/>
                <w:szCs w:val="20"/>
                <w:color w:val="auto"/>
              </w:rPr>
            </w:pPr>
            <w:r>
              <w:rPr>
                <w:rFonts w:ascii="Arial" w:cs="Arial" w:eastAsia="Arial" w:hAnsi="Arial"/>
                <w:sz w:val="16"/>
                <w:szCs w:val="16"/>
                <w:color w:val="auto"/>
              </w:rPr>
              <w:t>Operating leases (d)</w:t>
            </w:r>
          </w:p>
        </w:tc>
        <w:tc>
          <w:tcPr>
            <w:tcW w:w="260" w:type="dxa"/>
            <w:vAlign w:val="bottom"/>
          </w:tcPr>
          <w:p>
            <w:pPr>
              <w:spacing w:after="0"/>
              <w:rPr>
                <w:sz w:val="18"/>
                <w:szCs w:val="18"/>
                <w:color w:val="auto"/>
              </w:rPr>
            </w:pPr>
          </w:p>
        </w:tc>
        <w:tc>
          <w:tcPr>
            <w:tcW w:w="1320" w:type="dxa"/>
            <w:vAlign w:val="bottom"/>
          </w:tcPr>
          <w:p>
            <w:pPr>
              <w:jc w:val="right"/>
              <w:ind w:right="24"/>
              <w:spacing w:after="0"/>
              <w:rPr>
                <w:sz w:val="20"/>
                <w:szCs w:val="20"/>
                <w:color w:val="auto"/>
              </w:rPr>
            </w:pPr>
            <w:r>
              <w:rPr>
                <w:rFonts w:ascii="Arial" w:cs="Arial" w:eastAsia="Arial" w:hAnsi="Arial"/>
                <w:sz w:val="16"/>
                <w:szCs w:val="16"/>
                <w:color w:val="auto"/>
              </w:rPr>
              <w:t>352.5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ind w:right="24"/>
              <w:spacing w:after="0"/>
              <w:rPr>
                <w:sz w:val="20"/>
                <w:szCs w:val="20"/>
                <w:color w:val="auto"/>
              </w:rPr>
            </w:pPr>
            <w:r>
              <w:rPr>
                <w:rFonts w:ascii="Arial" w:cs="Arial" w:eastAsia="Arial" w:hAnsi="Arial"/>
                <w:sz w:val="16"/>
                <w:szCs w:val="16"/>
                <w:color w:val="auto"/>
              </w:rPr>
              <w:t>545.1</w:t>
            </w:r>
          </w:p>
        </w:tc>
        <w:tc>
          <w:tcPr>
            <w:tcW w:w="0" w:type="dxa"/>
            <w:vAlign w:val="bottom"/>
          </w:tcPr>
          <w:p>
            <w:pPr>
              <w:spacing w:after="0"/>
              <w:rPr>
                <w:sz w:val="1"/>
                <w:szCs w:val="1"/>
                <w:color w:val="auto"/>
              </w:rPr>
            </w:pPr>
          </w:p>
        </w:tc>
      </w:tr>
      <w:tr>
        <w:trPr>
          <w:trHeight w:val="24"/>
        </w:trPr>
        <w:tc>
          <w:tcPr>
            <w:tcW w:w="7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7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lease liabilities</w:t>
            </w:r>
          </w:p>
        </w:tc>
        <w:tc>
          <w:tcPr>
            <w:tcW w:w="2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866.9</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1,162.2</w:t>
            </w: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92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jc w:val="both"/>
        <w:ind w:left="287" w:hanging="287"/>
        <w:spacing w:after="0" w:line="303" w:lineRule="auto"/>
        <w:tabs>
          <w:tab w:leader="none" w:pos="287" w:val="left"/>
        </w:tabs>
        <w:numPr>
          <w:ilvl w:val="0"/>
          <w:numId w:val="25"/>
        </w:numPr>
        <w:rPr>
          <w:rFonts w:ascii="Arial" w:cs="Arial" w:eastAsia="Arial" w:hAnsi="Arial"/>
          <w:sz w:val="14"/>
          <w:szCs w:val="14"/>
          <w:color w:val="auto"/>
        </w:rPr>
      </w:pPr>
      <w:r>
        <w:rPr>
          <w:rFonts w:ascii="Arial" w:cs="Arial" w:eastAsia="Arial" w:hAnsi="Arial"/>
          <w:sz w:val="14"/>
          <w:szCs w:val="14"/>
          <w:color w:val="auto"/>
        </w:rPr>
        <w:t>Our finance lease ROU assets are included in property and equipment, net, on our condensed consolidated balance sheets. At June 30, 2020, the weighted average remaining lease term for finance leases was 23.1 years and the weighted average discount rate was 6.0%. During the six months ended June 30, 2020 and 2019, we recorded non-cash additions to our finance lease ROU assets (including amounts related to the U.K. JV Entities) of $17.2 million and $32.6 million, respectively.</w:t>
      </w:r>
    </w:p>
    <w:p>
      <w:pPr>
        <w:spacing w:after="0" w:line="321"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267"/>
          </w:cols>
          <w:pgMar w:left="313" w:top="263" w:right="319" w:bottom="1440" w:gutter="0" w:footer="0" w:header="0"/>
        </w:sectPr>
      </w:pPr>
    </w:p>
    <w:bookmarkStart w:id="33" w:name="page34"/>
    <w:bookmarkEnd w:id="33"/>
    <w:p>
      <w:pPr>
        <w:jc w:val="center"/>
        <w:ind w:right="-6"/>
        <w:spacing w:after="0"/>
        <w:rPr>
          <w:sz w:val="20"/>
          <w:szCs w:val="20"/>
          <w:color w:val="auto"/>
        </w:rPr>
      </w:pPr>
      <w:r>
        <w:rPr>
          <w:rFonts w:ascii="Arial" w:cs="Arial" w:eastAsia="Arial" w:hAnsi="Arial"/>
          <w:sz w:val="16"/>
          <w:szCs w:val="16"/>
          <w:b w:val="1"/>
          <w:bCs w:val="1"/>
          <w:color w:val="auto"/>
        </w:rPr>
        <w:t>LIBERTY GLOBAL PLC</w:t>
      </w:r>
    </w:p>
    <w:p>
      <w:pPr>
        <w:spacing w:after="0" w:line="18"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Notes to Condensed Consolidated Financial Statements — (Continued)</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June 30, 2020</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jc w:val="both"/>
        <w:ind w:left="287" w:hanging="287"/>
        <w:spacing w:after="0" w:line="303" w:lineRule="auto"/>
        <w:tabs>
          <w:tab w:leader="none" w:pos="287" w:val="left"/>
        </w:tabs>
        <w:numPr>
          <w:ilvl w:val="0"/>
          <w:numId w:val="26"/>
        </w:numPr>
        <w:rPr>
          <w:rFonts w:ascii="Arial" w:cs="Arial" w:eastAsia="Arial" w:hAnsi="Arial"/>
          <w:sz w:val="14"/>
          <w:szCs w:val="14"/>
          <w:color w:val="auto"/>
        </w:rPr>
      </w:pPr>
      <w:r>
        <w:rPr>
          <w:rFonts w:ascii="Arial" w:cs="Arial" w:eastAsia="Arial" w:hAnsi="Arial"/>
          <w:sz w:val="14"/>
          <w:szCs w:val="14"/>
          <w:color w:val="auto"/>
        </w:rPr>
        <w:t>Our operating lease ROU assets are included in other assets, net, on our condensed consolidated balance sheets. At June 30, 2020, the weighted average remaining lease term for operating leases was 7.6 years and the weighted average discount rate was 3.6%. During the six months ended June 30, 2020 and 2019, we recorded non-cash additions to our operating lease ROU assets (including amounts related to the U.K. JV Entities) of $53.2 million and $30.6 million, respectively.</w:t>
      </w:r>
    </w:p>
    <w:p>
      <w:pPr>
        <w:spacing w:after="0" w:line="134" w:lineRule="exact"/>
        <w:rPr>
          <w:rFonts w:ascii="Arial" w:cs="Arial" w:eastAsia="Arial" w:hAnsi="Arial"/>
          <w:sz w:val="14"/>
          <w:szCs w:val="14"/>
          <w:color w:val="auto"/>
        </w:rPr>
      </w:pPr>
    </w:p>
    <w:p>
      <w:pPr>
        <w:ind w:left="287" w:hanging="287"/>
        <w:spacing w:after="0" w:line="258" w:lineRule="auto"/>
        <w:tabs>
          <w:tab w:leader="none" w:pos="287"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current and long-term portions of our finance lease liabilities are included within current portion of debt and finance lease liabilities and long-term debt and finance lease liabilities, respectively, on our condensed consolidated balance sheets.</w:t>
      </w:r>
    </w:p>
    <w:p>
      <w:pPr>
        <w:spacing w:after="0" w:line="162" w:lineRule="exact"/>
        <w:rPr>
          <w:rFonts w:ascii="Arial" w:cs="Arial" w:eastAsia="Arial" w:hAnsi="Arial"/>
          <w:sz w:val="16"/>
          <w:szCs w:val="16"/>
          <w:color w:val="auto"/>
        </w:rPr>
      </w:pPr>
    </w:p>
    <w:p>
      <w:pPr>
        <w:ind w:left="287" w:right="20" w:hanging="287"/>
        <w:spacing w:after="0" w:line="258" w:lineRule="auto"/>
        <w:tabs>
          <w:tab w:leader="none" w:pos="287"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current and long-term portions of our operating lease liabilities are included within other accrued and current liabilities and other long-term liabilities, respectively, on our condensed consolidated balance sheets.</w:t>
      </w:r>
    </w:p>
    <w:p>
      <w:pPr>
        <w:spacing w:after="0" w:line="162" w:lineRule="exact"/>
        <w:rPr>
          <w:rFonts w:ascii="Arial" w:cs="Arial" w:eastAsia="Arial" w:hAnsi="Arial"/>
          <w:sz w:val="16"/>
          <w:szCs w:val="16"/>
          <w:color w:val="auto"/>
        </w:rPr>
      </w:pPr>
    </w:p>
    <w:p>
      <w:pPr>
        <w:ind w:left="287"/>
        <w:spacing w:after="0"/>
        <w:rPr>
          <w:rFonts w:ascii="Arial" w:cs="Arial" w:eastAsia="Arial" w:hAnsi="Arial"/>
          <w:sz w:val="16"/>
          <w:szCs w:val="16"/>
          <w:color w:val="auto"/>
        </w:rPr>
      </w:pPr>
      <w:r>
        <w:rPr>
          <w:rFonts w:ascii="Arial" w:cs="Arial" w:eastAsia="Arial" w:hAnsi="Arial"/>
          <w:sz w:val="16"/>
          <w:szCs w:val="16"/>
          <w:color w:val="auto"/>
        </w:rPr>
        <w:t>A summary of our aggregate lease expense is set forth below:</w:t>
      </w:r>
    </w:p>
    <w:p>
      <w:pPr>
        <w:spacing w:after="0" w:line="140"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5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560" w:type="dxa"/>
            <w:vAlign w:val="bottom"/>
            <w:gridSpan w:val="3"/>
          </w:tcPr>
          <w:p>
            <w:pPr>
              <w:jc w:val="right"/>
              <w:ind w:right="265"/>
              <w:spacing w:after="0"/>
              <w:rPr>
                <w:sz w:val="20"/>
                <w:szCs w:val="20"/>
                <w:color w:val="auto"/>
              </w:rPr>
            </w:pPr>
            <w:r>
              <w:rPr>
                <w:rFonts w:ascii="Arial" w:cs="Arial" w:eastAsia="Arial" w:hAnsi="Arial"/>
                <w:sz w:val="14"/>
                <w:szCs w:val="14"/>
                <w:b w:val="1"/>
                <w:bCs w:val="1"/>
                <w:color w:val="auto"/>
                <w:w w:val="87"/>
              </w:rPr>
              <w:t>Three months ended</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40" w:type="dxa"/>
            <w:vAlign w:val="bottom"/>
            <w:gridSpan w:val="3"/>
          </w:tcPr>
          <w:p>
            <w:pPr>
              <w:jc w:val="right"/>
              <w:ind w:right="205"/>
              <w:spacing w:after="0"/>
              <w:rPr>
                <w:sz w:val="20"/>
                <w:szCs w:val="20"/>
                <w:color w:val="auto"/>
              </w:rPr>
            </w:pPr>
            <w:r>
              <w:rPr>
                <w:rFonts w:ascii="Arial" w:cs="Arial" w:eastAsia="Arial" w:hAnsi="Arial"/>
                <w:sz w:val="14"/>
                <w:szCs w:val="14"/>
                <w:b w:val="1"/>
                <w:bCs w:val="1"/>
                <w:color w:val="auto"/>
                <w:w w:val="86"/>
              </w:rPr>
              <w:t>Six months ended</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560" w:type="dxa"/>
            <w:vAlign w:val="bottom"/>
            <w:gridSpan w:val="3"/>
          </w:tcPr>
          <w:p>
            <w:pPr>
              <w:jc w:val="right"/>
              <w:ind w:right="625"/>
              <w:spacing w:after="0"/>
              <w:rPr>
                <w:sz w:val="20"/>
                <w:szCs w:val="20"/>
                <w:color w:val="auto"/>
              </w:rPr>
            </w:pPr>
            <w:r>
              <w:rPr>
                <w:rFonts w:ascii="Arial" w:cs="Arial" w:eastAsia="Arial" w:hAnsi="Arial"/>
                <w:sz w:val="14"/>
                <w:szCs w:val="14"/>
                <w:b w:val="1"/>
                <w:bCs w:val="1"/>
                <w:color w:val="auto"/>
              </w:rPr>
              <w:t>June 30,</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40" w:type="dxa"/>
            <w:vAlign w:val="bottom"/>
            <w:gridSpan w:val="3"/>
          </w:tcPr>
          <w:p>
            <w:pPr>
              <w:jc w:val="right"/>
              <w:ind w:right="485"/>
              <w:spacing w:after="0"/>
              <w:rPr>
                <w:sz w:val="20"/>
                <w:szCs w:val="20"/>
                <w:color w:val="auto"/>
              </w:rPr>
            </w:pPr>
            <w:r>
              <w:rPr>
                <w:rFonts w:ascii="Arial" w:cs="Arial" w:eastAsia="Arial" w:hAnsi="Arial"/>
                <w:sz w:val="14"/>
                <w:szCs w:val="14"/>
                <w:b w:val="1"/>
                <w:bCs w:val="1"/>
                <w:color w:val="auto"/>
              </w:rPr>
              <w:t>June 30,</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57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57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5"/>
              <w:spacing w:after="0"/>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57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5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40" w:type="dxa"/>
            <w:vAlign w:val="bottom"/>
            <w:gridSpan w:val="3"/>
          </w:tcPr>
          <w:p>
            <w:pPr>
              <w:jc w:val="right"/>
              <w:ind w:right="565"/>
              <w:spacing w:after="0"/>
              <w:rPr>
                <w:sz w:val="20"/>
                <w:szCs w:val="20"/>
                <w:color w:val="auto"/>
              </w:rPr>
            </w:pPr>
            <w:r>
              <w:rPr>
                <w:rFonts w:ascii="Arial" w:cs="Arial" w:eastAsia="Arial" w:hAnsi="Arial"/>
                <w:sz w:val="14"/>
                <w:szCs w:val="14"/>
                <w:b w:val="1"/>
                <w:bCs w:val="1"/>
                <w:color w:val="auto"/>
                <w:w w:val="98"/>
              </w:rPr>
              <w:t>in millions</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5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Finance lease expense:</w:t>
            </w:r>
          </w:p>
        </w:tc>
        <w:tc>
          <w:tcPr>
            <w:tcW w:w="8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4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820" w:type="dxa"/>
            <w:vAlign w:val="bottom"/>
          </w:tcPr>
          <w:p>
            <w:pPr>
              <w:jc w:val="right"/>
              <w:ind w:right="645"/>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ind w:right="44"/>
              <w:spacing w:after="0"/>
              <w:rPr>
                <w:sz w:val="20"/>
                <w:szCs w:val="20"/>
                <w:color w:val="auto"/>
              </w:rPr>
            </w:pPr>
            <w:r>
              <w:rPr>
                <w:rFonts w:ascii="Arial" w:cs="Arial" w:eastAsia="Arial" w:hAnsi="Arial"/>
                <w:sz w:val="16"/>
                <w:szCs w:val="16"/>
                <w:color w:val="auto"/>
              </w:rPr>
              <w:t>14.4</w:t>
            </w:r>
          </w:p>
        </w:tc>
        <w:tc>
          <w:tcPr>
            <w:tcW w:w="120" w:type="dxa"/>
            <w:vAlign w:val="bottom"/>
          </w:tcPr>
          <w:p>
            <w:pPr>
              <w:spacing w:after="0"/>
              <w:rPr>
                <w:sz w:val="18"/>
                <w:szCs w:val="18"/>
                <w:color w:val="auto"/>
              </w:rPr>
            </w:pPr>
          </w:p>
        </w:tc>
        <w:tc>
          <w:tcPr>
            <w:tcW w:w="900" w:type="dxa"/>
            <w:vAlign w:val="bottom"/>
          </w:tcPr>
          <w:p>
            <w:pPr>
              <w:jc w:val="right"/>
              <w:ind w:right="725"/>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ind w:right="43"/>
              <w:spacing w:after="0"/>
              <w:rPr>
                <w:sz w:val="20"/>
                <w:szCs w:val="20"/>
                <w:color w:val="auto"/>
              </w:rPr>
            </w:pPr>
            <w:r>
              <w:rPr>
                <w:rFonts w:ascii="Arial" w:cs="Arial" w:eastAsia="Arial" w:hAnsi="Arial"/>
                <w:sz w:val="16"/>
                <w:szCs w:val="16"/>
                <w:color w:val="auto"/>
              </w:rPr>
              <w:t>22.6</w:t>
            </w:r>
          </w:p>
        </w:tc>
        <w:tc>
          <w:tcPr>
            <w:tcW w:w="120" w:type="dxa"/>
            <w:vAlign w:val="bottom"/>
          </w:tcPr>
          <w:p>
            <w:pPr>
              <w:spacing w:after="0"/>
              <w:rPr>
                <w:sz w:val="18"/>
                <w:szCs w:val="18"/>
                <w:color w:val="auto"/>
              </w:rPr>
            </w:pPr>
          </w:p>
        </w:tc>
        <w:tc>
          <w:tcPr>
            <w:tcW w:w="760" w:type="dxa"/>
            <w:vAlign w:val="bottom"/>
          </w:tcPr>
          <w:p>
            <w:pPr>
              <w:jc w:val="right"/>
              <w:ind w:right="585"/>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ind w:right="24"/>
              <w:spacing w:after="0"/>
              <w:rPr>
                <w:sz w:val="20"/>
                <w:szCs w:val="20"/>
                <w:color w:val="auto"/>
              </w:rPr>
            </w:pPr>
            <w:r>
              <w:rPr>
                <w:rFonts w:ascii="Arial" w:cs="Arial" w:eastAsia="Arial" w:hAnsi="Arial"/>
                <w:sz w:val="16"/>
                <w:szCs w:val="16"/>
                <w:color w:val="auto"/>
              </w:rPr>
              <w:t>36.1</w:t>
            </w:r>
          </w:p>
        </w:tc>
        <w:tc>
          <w:tcPr>
            <w:tcW w:w="120" w:type="dxa"/>
            <w:vAlign w:val="bottom"/>
          </w:tcPr>
          <w:p>
            <w:pPr>
              <w:spacing w:after="0"/>
              <w:rPr>
                <w:sz w:val="18"/>
                <w:szCs w:val="18"/>
                <w:color w:val="auto"/>
              </w:rPr>
            </w:pPr>
          </w:p>
        </w:tc>
        <w:tc>
          <w:tcPr>
            <w:tcW w:w="760" w:type="dxa"/>
            <w:vAlign w:val="bottom"/>
          </w:tcPr>
          <w:p>
            <w:pPr>
              <w:jc w:val="right"/>
              <w:ind w:right="585"/>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ind w:right="22"/>
              <w:spacing w:after="0"/>
              <w:rPr>
                <w:sz w:val="20"/>
                <w:szCs w:val="20"/>
                <w:color w:val="auto"/>
              </w:rPr>
            </w:pPr>
            <w:r>
              <w:rPr>
                <w:rFonts w:ascii="Arial" w:cs="Arial" w:eastAsia="Arial" w:hAnsi="Arial"/>
                <w:sz w:val="16"/>
                <w:szCs w:val="16"/>
                <w:color w:val="auto"/>
              </w:rPr>
              <w:t>45.3</w:t>
            </w:r>
          </w:p>
        </w:tc>
        <w:tc>
          <w:tcPr>
            <w:tcW w:w="0" w:type="dxa"/>
            <w:vAlign w:val="bottom"/>
          </w:tcPr>
          <w:p>
            <w:pPr>
              <w:spacing w:after="0"/>
              <w:rPr>
                <w:sz w:val="1"/>
                <w:szCs w:val="1"/>
                <w:color w:val="auto"/>
              </w:rPr>
            </w:pPr>
          </w:p>
        </w:tc>
      </w:tr>
      <w:tr>
        <w:trPr>
          <w:trHeight w:val="24"/>
        </w:trPr>
        <w:tc>
          <w:tcPr>
            <w:tcW w:w="5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5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Interest expense</w:t>
            </w:r>
          </w:p>
        </w:tc>
        <w:tc>
          <w:tcPr>
            <w:tcW w:w="8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8.1</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8.9</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16.2</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01"/>
        </w:trPr>
        <w:tc>
          <w:tcPr>
            <w:tcW w:w="5740" w:type="dxa"/>
            <w:vAlign w:val="bottom"/>
          </w:tcPr>
          <w:p>
            <w:pPr>
              <w:ind w:left="220"/>
              <w:spacing w:after="0"/>
              <w:rPr>
                <w:sz w:val="20"/>
                <w:szCs w:val="20"/>
                <w:color w:val="auto"/>
              </w:rPr>
            </w:pPr>
            <w:r>
              <w:rPr>
                <w:rFonts w:ascii="Arial" w:cs="Arial" w:eastAsia="Arial" w:hAnsi="Arial"/>
                <w:sz w:val="16"/>
                <w:szCs w:val="16"/>
                <w:color w:val="auto"/>
              </w:rPr>
              <w:t>Total finance lease expense</w:t>
            </w:r>
          </w:p>
        </w:tc>
        <w:tc>
          <w:tcPr>
            <w:tcW w:w="8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22.5</w:t>
            </w:r>
          </w:p>
        </w:tc>
        <w:tc>
          <w:tcPr>
            <w:tcW w:w="12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31.5</w:t>
            </w:r>
          </w:p>
        </w:tc>
        <w:tc>
          <w:tcPr>
            <w:tcW w:w="12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jc w:val="right"/>
              <w:ind w:right="24"/>
              <w:spacing w:after="0"/>
              <w:rPr>
                <w:sz w:val="20"/>
                <w:szCs w:val="20"/>
                <w:color w:val="auto"/>
              </w:rPr>
            </w:pPr>
            <w:r>
              <w:rPr>
                <w:rFonts w:ascii="Arial" w:cs="Arial" w:eastAsia="Arial" w:hAnsi="Arial"/>
                <w:sz w:val="16"/>
                <w:szCs w:val="16"/>
                <w:color w:val="auto"/>
              </w:rPr>
              <w:t>52.3</w:t>
            </w:r>
          </w:p>
        </w:tc>
        <w:tc>
          <w:tcPr>
            <w:tcW w:w="12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62.3</w:t>
            </w:r>
          </w:p>
        </w:tc>
        <w:tc>
          <w:tcPr>
            <w:tcW w:w="0" w:type="dxa"/>
            <w:vAlign w:val="bottom"/>
          </w:tcPr>
          <w:p>
            <w:pPr>
              <w:spacing w:after="0"/>
              <w:rPr>
                <w:sz w:val="1"/>
                <w:szCs w:val="1"/>
                <w:color w:val="auto"/>
              </w:rPr>
            </w:pPr>
          </w:p>
        </w:tc>
      </w:tr>
      <w:tr>
        <w:trPr>
          <w:trHeight w:val="24"/>
        </w:trPr>
        <w:tc>
          <w:tcPr>
            <w:tcW w:w="57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lease expense (a)</w:t>
            </w:r>
          </w:p>
        </w:tc>
        <w:tc>
          <w:tcPr>
            <w:tcW w:w="8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29.8</w:t>
            </w: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34.1</w:t>
            </w: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65.6</w:t>
            </w: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67.3</w:t>
            </w:r>
          </w:p>
        </w:tc>
        <w:tc>
          <w:tcPr>
            <w:tcW w:w="0" w:type="dxa"/>
            <w:vAlign w:val="bottom"/>
          </w:tcPr>
          <w:p>
            <w:pPr>
              <w:spacing w:after="0"/>
              <w:rPr>
                <w:sz w:val="1"/>
                <w:szCs w:val="1"/>
                <w:color w:val="auto"/>
              </w:rPr>
            </w:pPr>
          </w:p>
        </w:tc>
      </w:tr>
      <w:tr>
        <w:trPr>
          <w:trHeight w:val="209"/>
        </w:trPr>
        <w:tc>
          <w:tcPr>
            <w:tcW w:w="5740" w:type="dxa"/>
            <w:vAlign w:val="bottom"/>
          </w:tcPr>
          <w:p>
            <w:pPr>
              <w:ind w:left="20"/>
              <w:spacing w:after="0"/>
              <w:rPr>
                <w:sz w:val="20"/>
                <w:szCs w:val="20"/>
                <w:color w:val="auto"/>
              </w:rPr>
            </w:pPr>
            <w:r>
              <w:rPr>
                <w:rFonts w:ascii="Arial" w:cs="Arial" w:eastAsia="Arial" w:hAnsi="Arial"/>
                <w:sz w:val="16"/>
                <w:szCs w:val="16"/>
                <w:color w:val="auto"/>
              </w:rPr>
              <w:t>Short-term lease expense (a)</w:t>
            </w:r>
          </w:p>
        </w:tc>
        <w:tc>
          <w:tcPr>
            <w:tcW w:w="820" w:type="dxa"/>
            <w:vAlign w:val="bottom"/>
          </w:tcPr>
          <w:p>
            <w:pPr>
              <w:spacing w:after="0"/>
              <w:rPr>
                <w:sz w:val="18"/>
                <w:szCs w:val="18"/>
                <w:color w:val="auto"/>
              </w:rPr>
            </w:pPr>
          </w:p>
        </w:tc>
        <w:tc>
          <w:tcPr>
            <w:tcW w:w="540" w:type="dxa"/>
            <w:vAlign w:val="bottom"/>
          </w:tcPr>
          <w:p>
            <w:pPr>
              <w:jc w:val="right"/>
              <w:ind w:right="44"/>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jc w:val="right"/>
              <w:ind w:right="43"/>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jc w:val="right"/>
              <w:ind w:right="24"/>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jc w:val="right"/>
              <w:ind w:right="22"/>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4"/>
        </w:trPr>
        <w:tc>
          <w:tcPr>
            <w:tcW w:w="5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Variable lease expense (b)</w:t>
            </w:r>
          </w:p>
        </w:tc>
        <w:tc>
          <w:tcPr>
            <w:tcW w:w="8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01"/>
        </w:trPr>
        <w:tc>
          <w:tcPr>
            <w:tcW w:w="5740" w:type="dxa"/>
            <w:vAlign w:val="bottom"/>
          </w:tcPr>
          <w:p>
            <w:pPr>
              <w:ind w:left="340"/>
              <w:spacing w:after="0"/>
              <w:rPr>
                <w:sz w:val="20"/>
                <w:szCs w:val="20"/>
                <w:color w:val="auto"/>
              </w:rPr>
            </w:pPr>
            <w:r>
              <w:rPr>
                <w:rFonts w:ascii="Arial" w:cs="Arial" w:eastAsia="Arial" w:hAnsi="Arial"/>
                <w:sz w:val="16"/>
                <w:szCs w:val="16"/>
                <w:color w:val="auto"/>
              </w:rPr>
              <w:t>Total lease expense</w:t>
            </w:r>
          </w:p>
        </w:tc>
        <w:tc>
          <w:tcPr>
            <w:tcW w:w="820" w:type="dxa"/>
            <w:vAlign w:val="bottom"/>
            <w:tcBorders>
              <w:top w:val="single" w:sz="8" w:color="auto"/>
            </w:tcBorders>
          </w:tcPr>
          <w:p>
            <w:pPr>
              <w:jc w:val="right"/>
              <w:ind w:right="645"/>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54.9</w:t>
            </w:r>
          </w:p>
        </w:tc>
        <w:tc>
          <w:tcPr>
            <w:tcW w:w="120" w:type="dxa"/>
            <w:vAlign w:val="bottom"/>
          </w:tcPr>
          <w:p>
            <w:pPr>
              <w:spacing w:after="0"/>
              <w:rPr>
                <w:sz w:val="17"/>
                <w:szCs w:val="17"/>
                <w:color w:val="auto"/>
              </w:rPr>
            </w:pPr>
          </w:p>
        </w:tc>
        <w:tc>
          <w:tcPr>
            <w:tcW w:w="900" w:type="dxa"/>
            <w:vAlign w:val="bottom"/>
            <w:tcBorders>
              <w:top w:val="single" w:sz="8" w:color="auto"/>
            </w:tcBorders>
          </w:tcPr>
          <w:p>
            <w:pPr>
              <w:jc w:val="right"/>
              <w:ind w:right="725"/>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68.9</w:t>
            </w:r>
          </w:p>
        </w:tc>
        <w:tc>
          <w:tcPr>
            <w:tcW w:w="120" w:type="dxa"/>
            <w:vAlign w:val="bottom"/>
          </w:tcPr>
          <w:p>
            <w:pPr>
              <w:spacing w:after="0"/>
              <w:rPr>
                <w:sz w:val="17"/>
                <w:szCs w:val="17"/>
                <w:color w:val="auto"/>
              </w:rPr>
            </w:pPr>
          </w:p>
        </w:tc>
        <w:tc>
          <w:tcPr>
            <w:tcW w:w="760" w:type="dxa"/>
            <w:vAlign w:val="bottom"/>
            <w:tcBorders>
              <w:top w:val="single" w:sz="8" w:color="auto"/>
            </w:tcBorders>
          </w:tcPr>
          <w:p>
            <w:pPr>
              <w:jc w:val="right"/>
              <w:ind w:right="585"/>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tcBorders>
          </w:tcPr>
          <w:p>
            <w:pPr>
              <w:jc w:val="right"/>
              <w:ind w:right="24"/>
              <w:spacing w:after="0"/>
              <w:rPr>
                <w:sz w:val="20"/>
                <w:szCs w:val="20"/>
                <w:color w:val="auto"/>
              </w:rPr>
            </w:pPr>
            <w:r>
              <w:rPr>
                <w:rFonts w:ascii="Arial" w:cs="Arial" w:eastAsia="Arial" w:hAnsi="Arial"/>
                <w:sz w:val="16"/>
                <w:szCs w:val="16"/>
                <w:color w:val="auto"/>
                <w:w w:val="84"/>
              </w:rPr>
              <w:t>123.6</w:t>
            </w:r>
          </w:p>
        </w:tc>
        <w:tc>
          <w:tcPr>
            <w:tcW w:w="120" w:type="dxa"/>
            <w:vAlign w:val="bottom"/>
          </w:tcPr>
          <w:p>
            <w:pPr>
              <w:spacing w:after="0"/>
              <w:rPr>
                <w:sz w:val="17"/>
                <w:szCs w:val="17"/>
                <w:color w:val="auto"/>
              </w:rPr>
            </w:pPr>
          </w:p>
        </w:tc>
        <w:tc>
          <w:tcPr>
            <w:tcW w:w="760" w:type="dxa"/>
            <w:vAlign w:val="bottom"/>
            <w:tcBorders>
              <w:top w:val="single" w:sz="8" w:color="auto"/>
            </w:tcBorders>
          </w:tcPr>
          <w:p>
            <w:pPr>
              <w:jc w:val="right"/>
              <w:ind w:right="585"/>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w w:val="84"/>
              </w:rPr>
              <w:t>135.9</w:t>
            </w:r>
          </w:p>
        </w:tc>
        <w:tc>
          <w:tcPr>
            <w:tcW w:w="0" w:type="dxa"/>
            <w:vAlign w:val="bottom"/>
          </w:tcPr>
          <w:p>
            <w:pPr>
              <w:spacing w:after="0"/>
              <w:rPr>
                <w:sz w:val="1"/>
                <w:szCs w:val="1"/>
                <w:color w:val="auto"/>
              </w:rPr>
            </w:pPr>
          </w:p>
        </w:tc>
      </w:tr>
      <w:tr>
        <w:trPr>
          <w:trHeight w:val="24"/>
        </w:trPr>
        <w:tc>
          <w:tcPr>
            <w:tcW w:w="5740" w:type="dxa"/>
            <w:vAlign w:val="bottom"/>
            <w:vMerge w:val="restart"/>
          </w:tcPr>
          <w:p>
            <w:pPr>
              <w:spacing w:after="0"/>
              <w:rPr>
                <w:sz w:val="20"/>
                <w:szCs w:val="20"/>
                <w:color w:val="auto"/>
              </w:rPr>
            </w:pPr>
            <w:r>
              <w:rPr>
                <w:rFonts w:ascii="Arial" w:cs="Arial" w:eastAsia="Arial" w:hAnsi="Arial"/>
                <w:sz w:val="16"/>
                <w:szCs w:val="16"/>
                <w:color w:val="auto"/>
              </w:rPr>
              <w:t>_______________</w:t>
            </w: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40" w:type="dxa"/>
            <w:vAlign w:val="bottom"/>
            <w:vMerge w:val="continue"/>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574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287" w:hanging="287"/>
        <w:spacing w:after="0" w:line="258" w:lineRule="auto"/>
        <w:tabs>
          <w:tab w:leader="none" w:pos="287"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operating lease expense and short-term lease expense are included in other operating expenses, SG&amp;A expenses and impairment, restructuring and other operating items in our condensed consolidated statements of operations.</w:t>
      </w:r>
    </w:p>
    <w:p>
      <w:pPr>
        <w:spacing w:after="0" w:line="162" w:lineRule="exact"/>
        <w:rPr>
          <w:rFonts w:ascii="Arial" w:cs="Arial" w:eastAsia="Arial" w:hAnsi="Arial"/>
          <w:sz w:val="16"/>
          <w:szCs w:val="16"/>
          <w:color w:val="auto"/>
        </w:rPr>
      </w:pPr>
    </w:p>
    <w:p>
      <w:pPr>
        <w:ind w:left="287" w:hanging="287"/>
        <w:spacing w:after="0" w:line="329" w:lineRule="auto"/>
        <w:tabs>
          <w:tab w:leader="none" w:pos="287" w:val="left"/>
        </w:tabs>
        <w:numPr>
          <w:ilvl w:val="0"/>
          <w:numId w:val="27"/>
        </w:numPr>
        <w:rPr>
          <w:rFonts w:ascii="Arial" w:cs="Arial" w:eastAsia="Arial" w:hAnsi="Arial"/>
          <w:sz w:val="14"/>
          <w:szCs w:val="14"/>
          <w:color w:val="auto"/>
        </w:rPr>
      </w:pPr>
      <w:r>
        <w:rPr>
          <w:rFonts w:ascii="Arial" w:cs="Arial" w:eastAsia="Arial" w:hAnsi="Arial"/>
          <w:sz w:val="14"/>
          <w:szCs w:val="14"/>
          <w:color w:val="auto"/>
        </w:rPr>
        <w:t>Variable lease expense represents payments made to a lessor during the lease term that vary because of a change in circumstance that occurred after the lease commencement date. Variable lease payments are expensed as incurred and are included in other operating expenses in our condensed consolidated statements of operations.</w:t>
      </w:r>
    </w:p>
    <w:p>
      <w:pPr>
        <w:spacing w:after="0" w:line="117" w:lineRule="exact"/>
        <w:rPr>
          <w:rFonts w:ascii="Arial" w:cs="Arial" w:eastAsia="Arial" w:hAnsi="Arial"/>
          <w:sz w:val="14"/>
          <w:szCs w:val="14"/>
          <w:color w:val="auto"/>
        </w:rPr>
      </w:pPr>
    </w:p>
    <w:p>
      <w:pPr>
        <w:ind w:left="287"/>
        <w:spacing w:after="0"/>
        <w:rPr>
          <w:rFonts w:ascii="Arial" w:cs="Arial" w:eastAsia="Arial" w:hAnsi="Arial"/>
          <w:sz w:val="14"/>
          <w:szCs w:val="14"/>
          <w:color w:val="auto"/>
        </w:rPr>
      </w:pPr>
      <w:r>
        <w:rPr>
          <w:rFonts w:ascii="Arial" w:cs="Arial" w:eastAsia="Arial" w:hAnsi="Arial"/>
          <w:sz w:val="16"/>
          <w:szCs w:val="16"/>
          <w:color w:val="auto"/>
        </w:rPr>
        <w:t>A summary of our cash outflows from operating and finance leases is set forth below:</w:t>
      </w:r>
    </w:p>
    <w:p>
      <w:pPr>
        <w:spacing w:after="0" w:line="140" w:lineRule="exact"/>
        <w:rPr>
          <w:sz w:val="20"/>
          <w:szCs w:val="20"/>
          <w:color w:val="auto"/>
        </w:rPr>
      </w:pPr>
    </w:p>
    <w:p>
      <w:pPr>
        <w:jc w:val="center"/>
        <w:ind w:left="8480"/>
        <w:spacing w:after="0"/>
        <w:rPr>
          <w:sz w:val="20"/>
          <w:szCs w:val="20"/>
          <w:color w:val="auto"/>
        </w:rPr>
      </w:pPr>
      <w:r>
        <w:rPr>
          <w:rFonts w:ascii="Arial" w:cs="Arial" w:eastAsia="Arial" w:hAnsi="Arial"/>
          <w:sz w:val="14"/>
          <w:szCs w:val="14"/>
          <w:b w:val="1"/>
          <w:bCs w:val="1"/>
          <w:color w:val="auto"/>
        </w:rPr>
        <w:t>Six months ended</w:t>
      </w:r>
    </w:p>
    <w:p>
      <w:pPr>
        <w:spacing w:after="0" w:line="21" w:lineRule="exact"/>
        <w:rPr>
          <w:sz w:val="20"/>
          <w:szCs w:val="20"/>
          <w:color w:val="auto"/>
        </w:rPr>
      </w:pPr>
    </w:p>
    <w:p>
      <w:pPr>
        <w:jc w:val="center"/>
        <w:ind w:left="848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5452110</wp:posOffset>
            </wp:positionH>
            <wp:positionV relativeFrom="paragraph">
              <wp:posOffset>26035</wp:posOffset>
            </wp:positionV>
            <wp:extent cx="162560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25600" cy="7620"/>
                    </a:xfrm>
                    <a:prstGeom prst="rect">
                      <a:avLst/>
                    </a:prstGeom>
                    <a:noFill/>
                  </pic:spPr>
                </pic:pic>
              </a:graphicData>
            </a:graphic>
          </wp:anchor>
        </w:drawing>
      </w:r>
    </w:p>
    <w:p>
      <w:pPr>
        <w:spacing w:after="0" w:line="55" w:lineRule="exact"/>
        <w:rPr>
          <w:sz w:val="20"/>
          <w:szCs w:val="20"/>
          <w:color w:val="auto"/>
        </w:rPr>
      </w:pPr>
    </w:p>
    <w:tbl>
      <w:tblPr>
        <w:tblLayout w:type="fixed"/>
        <w:tblInd w:w="7" w:type="dxa"/>
        <w:tblCellMar>
          <w:top w:w="0" w:type="dxa"/>
          <w:left w:w="0" w:type="dxa"/>
          <w:bottom w:w="0" w:type="dxa"/>
          <w:right w:w="0" w:type="dxa"/>
        </w:tblCellMar>
      </w:tblPr>
      <w:tr>
        <w:trPr>
          <w:trHeight w:val="182"/>
        </w:trPr>
        <w:tc>
          <w:tcPr>
            <w:tcW w:w="4980" w:type="dxa"/>
            <w:vAlign w:val="bottom"/>
          </w:tcPr>
          <w:p>
            <w:pPr>
              <w:spacing w:after="0"/>
              <w:rPr>
                <w:sz w:val="15"/>
                <w:szCs w:val="15"/>
                <w:color w:val="auto"/>
              </w:rPr>
            </w:pPr>
          </w:p>
        </w:tc>
        <w:tc>
          <w:tcPr>
            <w:tcW w:w="43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jc w:val="right"/>
              <w:ind w:right="38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8"/>
        </w:trPr>
        <w:tc>
          <w:tcPr>
            <w:tcW w:w="4980" w:type="dxa"/>
            <w:vAlign w:val="bottom"/>
          </w:tcPr>
          <w:p>
            <w:pPr>
              <w:spacing w:after="0"/>
              <w:rPr>
                <w:sz w:val="2"/>
                <w:szCs w:val="2"/>
                <w:color w:val="auto"/>
              </w:rPr>
            </w:pPr>
          </w:p>
        </w:tc>
        <w:tc>
          <w:tcPr>
            <w:tcW w:w="36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498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20" w:type="dxa"/>
            <w:vAlign w:val="bottom"/>
            <w:gridSpan w:val="3"/>
          </w:tcPr>
          <w:p>
            <w:pPr>
              <w:jc w:val="right"/>
              <w:ind w:right="22"/>
              <w:spacing w:after="0"/>
              <w:rPr>
                <w:sz w:val="20"/>
                <w:szCs w:val="20"/>
                <w:color w:val="auto"/>
              </w:rPr>
            </w:pPr>
            <w:r>
              <w:rPr>
                <w:rFonts w:ascii="Arial" w:cs="Arial" w:eastAsia="Arial" w:hAnsi="Arial"/>
                <w:sz w:val="14"/>
                <w:szCs w:val="14"/>
                <w:b w:val="1"/>
                <w:bCs w:val="1"/>
                <w:color w:val="auto"/>
              </w:rPr>
              <w:t>in millions</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4980" w:type="dxa"/>
            <w:vAlign w:val="bottom"/>
          </w:tcPr>
          <w:p>
            <w:pPr>
              <w:spacing w:after="0"/>
              <w:rPr>
                <w:sz w:val="2"/>
                <w:szCs w:val="2"/>
                <w:color w:val="auto"/>
              </w:rPr>
            </w:pPr>
          </w:p>
        </w:tc>
        <w:tc>
          <w:tcPr>
            <w:tcW w:w="3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8"/>
              </w:rPr>
              <w:t>Cash paid for amounts included in the measurement of lease liabilities:</w:t>
            </w:r>
          </w:p>
        </w:tc>
        <w:tc>
          <w:tcPr>
            <w:tcW w:w="36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80" w:type="dxa"/>
            <w:vAlign w:val="bottom"/>
          </w:tcPr>
          <w:p>
            <w:pPr>
              <w:ind w:left="140"/>
              <w:spacing w:after="0"/>
              <w:rPr>
                <w:sz w:val="20"/>
                <w:szCs w:val="20"/>
                <w:color w:val="auto"/>
              </w:rPr>
            </w:pPr>
            <w:r>
              <w:rPr>
                <w:rFonts w:ascii="Arial" w:cs="Arial" w:eastAsia="Arial" w:hAnsi="Arial"/>
                <w:sz w:val="16"/>
                <w:szCs w:val="16"/>
                <w:color w:val="auto"/>
              </w:rPr>
              <w:t>Operating cash outflows from operating leases</w:t>
            </w:r>
          </w:p>
        </w:tc>
        <w:tc>
          <w:tcPr>
            <w:tcW w:w="4380" w:type="dxa"/>
            <w:vAlign w:val="bottom"/>
            <w:gridSpan w:val="2"/>
          </w:tcPr>
          <w:p>
            <w:pPr>
              <w:jc w:val="right"/>
              <w:ind w:right="680"/>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44"/>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18"/>
                <w:szCs w:val="18"/>
                <w:color w:val="auto"/>
              </w:rPr>
            </w:pPr>
          </w:p>
        </w:tc>
        <w:tc>
          <w:tcPr>
            <w:tcW w:w="360" w:type="dxa"/>
            <w:vAlign w:val="bottom"/>
          </w:tcPr>
          <w:p>
            <w:pPr>
              <w:jc w:val="right"/>
              <w:ind w:right="182"/>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4"/>
              <w:spacing w:after="0"/>
              <w:rPr>
                <w:sz w:val="20"/>
                <w:szCs w:val="20"/>
                <w:color w:val="auto"/>
              </w:rPr>
            </w:pPr>
            <w:r>
              <w:rPr>
                <w:rFonts w:ascii="Arial" w:cs="Arial" w:eastAsia="Arial" w:hAnsi="Arial"/>
                <w:sz w:val="16"/>
                <w:szCs w:val="16"/>
                <w:color w:val="auto"/>
              </w:rPr>
              <w:t>67.4</w:t>
            </w:r>
          </w:p>
        </w:tc>
        <w:tc>
          <w:tcPr>
            <w:tcW w:w="0" w:type="dxa"/>
            <w:vAlign w:val="bottom"/>
          </w:tcPr>
          <w:p>
            <w:pPr>
              <w:spacing w:after="0"/>
              <w:rPr>
                <w:sz w:val="1"/>
                <w:szCs w:val="1"/>
                <w:color w:val="auto"/>
              </w:rPr>
            </w:pPr>
          </w:p>
        </w:tc>
      </w:tr>
      <w:tr>
        <w:trPr>
          <w:trHeight w:val="24"/>
        </w:trPr>
        <w:tc>
          <w:tcPr>
            <w:tcW w:w="4980" w:type="dxa"/>
            <w:vAlign w:val="bottom"/>
          </w:tcPr>
          <w:p>
            <w:pPr>
              <w:spacing w:after="0"/>
              <w:rPr>
                <w:sz w:val="2"/>
                <w:szCs w:val="2"/>
                <w:color w:val="auto"/>
              </w:rPr>
            </w:pPr>
          </w:p>
        </w:tc>
        <w:tc>
          <w:tcPr>
            <w:tcW w:w="3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4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Operating cash outflows from finance leases</w:t>
            </w:r>
          </w:p>
        </w:tc>
        <w:tc>
          <w:tcPr>
            <w:tcW w:w="36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16.2</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09"/>
        </w:trPr>
        <w:tc>
          <w:tcPr>
            <w:tcW w:w="4980" w:type="dxa"/>
            <w:vAlign w:val="bottom"/>
          </w:tcPr>
          <w:p>
            <w:pPr>
              <w:ind w:left="140"/>
              <w:spacing w:after="0"/>
              <w:rPr>
                <w:sz w:val="20"/>
                <w:szCs w:val="20"/>
                <w:color w:val="auto"/>
              </w:rPr>
            </w:pPr>
            <w:r>
              <w:rPr>
                <w:rFonts w:ascii="Arial" w:cs="Arial" w:eastAsia="Arial" w:hAnsi="Arial"/>
                <w:sz w:val="16"/>
                <w:szCs w:val="16"/>
                <w:color w:val="auto"/>
              </w:rPr>
              <w:t>Financing cash outflows from finance leases</w:t>
            </w:r>
          </w:p>
        </w:tc>
        <w:tc>
          <w:tcPr>
            <w:tcW w:w="3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jc w:val="right"/>
              <w:ind w:right="44"/>
              <w:spacing w:after="0"/>
              <w:rPr>
                <w:sz w:val="20"/>
                <w:szCs w:val="20"/>
                <w:color w:val="auto"/>
              </w:rPr>
            </w:pPr>
            <w:r>
              <w:rPr>
                <w:rFonts w:ascii="Arial" w:cs="Arial" w:eastAsia="Arial" w:hAnsi="Arial"/>
                <w:sz w:val="16"/>
                <w:szCs w:val="16"/>
                <w:color w:val="auto"/>
              </w:rPr>
              <w:t>56.9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24"/>
              <w:spacing w:after="0"/>
              <w:rPr>
                <w:sz w:val="20"/>
                <w:szCs w:val="20"/>
                <w:color w:val="auto"/>
              </w:rPr>
            </w:pPr>
            <w:r>
              <w:rPr>
                <w:rFonts w:ascii="Arial" w:cs="Arial" w:eastAsia="Arial" w:hAnsi="Arial"/>
                <w:sz w:val="16"/>
                <w:szCs w:val="16"/>
                <w:color w:val="auto"/>
              </w:rPr>
              <w:t>36.6</w:t>
            </w:r>
          </w:p>
        </w:tc>
        <w:tc>
          <w:tcPr>
            <w:tcW w:w="0" w:type="dxa"/>
            <w:vAlign w:val="bottom"/>
          </w:tcPr>
          <w:p>
            <w:pPr>
              <w:spacing w:after="0"/>
              <w:rPr>
                <w:sz w:val="1"/>
                <w:szCs w:val="1"/>
                <w:color w:val="auto"/>
              </w:rPr>
            </w:pPr>
          </w:p>
        </w:tc>
      </w:tr>
      <w:tr>
        <w:trPr>
          <w:trHeight w:val="24"/>
        </w:trPr>
        <w:tc>
          <w:tcPr>
            <w:tcW w:w="4980" w:type="dxa"/>
            <w:vAlign w:val="bottom"/>
            <w:tcBorders>
              <w:bottom w:val="single" w:sz="8" w:color="CCEEFF"/>
            </w:tcBorders>
          </w:tcPr>
          <w:p>
            <w:pPr>
              <w:spacing w:after="0"/>
              <w:rPr>
                <w:sz w:val="2"/>
                <w:szCs w:val="2"/>
                <w:color w:val="auto"/>
              </w:rPr>
            </w:pPr>
          </w:p>
        </w:tc>
        <w:tc>
          <w:tcPr>
            <w:tcW w:w="36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4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cash outflows from operating and finance leases</w:t>
            </w:r>
          </w:p>
        </w:tc>
        <w:tc>
          <w:tcPr>
            <w:tcW w:w="4380" w:type="dxa"/>
            <w:vAlign w:val="bottom"/>
            <w:tcBorders>
              <w:bottom w:val="single" w:sz="8" w:color="CCEEFF"/>
            </w:tcBorders>
            <w:gridSpan w:val="2"/>
            <w:shd w:val="clear" w:color="auto" w:fill="CCEEFF"/>
          </w:tcPr>
          <w:p>
            <w:pPr>
              <w:jc w:val="right"/>
              <w:ind w:right="68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w w:val="79"/>
              </w:rPr>
              <w:t>133.1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121.0</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3600" w:type="dxa"/>
            <w:vAlign w:val="bottom"/>
            <w:tcBorders>
              <w:top w:val="single" w:sz="8" w:color="CCEEFF"/>
              <w:bottom w:val="single" w:sz="8" w:color="CCEEFF"/>
            </w:tcBorders>
            <w:vMerge w:val="restart"/>
          </w:tcPr>
          <w:p>
            <w:pPr>
              <w:jc w:val="right"/>
              <w:ind w:right="2804"/>
              <w:spacing w:after="0"/>
              <w:rPr>
                <w:sz w:val="20"/>
                <w:szCs w:val="20"/>
                <w:color w:val="auto"/>
              </w:rPr>
            </w:pPr>
            <w:r>
              <w:rPr>
                <w:rFonts w:ascii="Arial" w:cs="Arial" w:eastAsia="Arial" w:hAnsi="Arial"/>
                <w:sz w:val="16"/>
                <w:szCs w:val="16"/>
                <w:color w:val="auto"/>
              </w:rPr>
              <w:t>32</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3"/>
        </w:trPr>
        <w:tc>
          <w:tcPr>
            <w:tcW w:w="4980" w:type="dxa"/>
            <w:vAlign w:val="bottom"/>
          </w:tcPr>
          <w:p>
            <w:pPr>
              <w:spacing w:after="0"/>
              <w:rPr>
                <w:sz w:val="24"/>
                <w:szCs w:val="24"/>
                <w:color w:val="auto"/>
              </w:rPr>
            </w:pPr>
          </w:p>
        </w:tc>
        <w:tc>
          <w:tcPr>
            <w:tcW w:w="360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7"/>
          </w:cols>
          <w:pgMar w:left="313" w:top="263" w:right="319" w:bottom="1440" w:gutter="0" w:footer="0" w:header="0"/>
        </w:sectPr>
      </w:pPr>
    </w:p>
    <w:bookmarkStart w:id="34" w:name="page35"/>
    <w:bookmarkEnd w:id="34"/>
    <w:p>
      <w:pPr>
        <w:jc w:val="center"/>
        <w:ind w:right="-6"/>
        <w:spacing w:after="0"/>
        <w:rPr>
          <w:sz w:val="20"/>
          <w:szCs w:val="20"/>
          <w:color w:val="auto"/>
        </w:rPr>
      </w:pPr>
      <w:r>
        <w:rPr>
          <w:rFonts w:ascii="Arial" w:cs="Arial" w:eastAsia="Arial" w:hAnsi="Arial"/>
          <w:sz w:val="16"/>
          <w:szCs w:val="16"/>
          <w:b w:val="1"/>
          <w:bCs w:val="1"/>
          <w:color w:val="auto"/>
        </w:rPr>
        <w:t>LIBERTY GLOBAL PLC</w:t>
      </w:r>
    </w:p>
    <w:p>
      <w:pPr>
        <w:spacing w:after="0" w:line="18"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Notes to Condensed Consolidated Financial Statements — (Continued)</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June 30, 2020</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jc w:val="both"/>
        <w:ind w:left="7" w:firstLine="279"/>
        <w:spacing w:after="0" w:line="303" w:lineRule="auto"/>
        <w:rPr>
          <w:sz w:val="20"/>
          <w:szCs w:val="20"/>
          <w:color w:val="auto"/>
        </w:rPr>
      </w:pPr>
      <w:r>
        <w:rPr>
          <w:rFonts w:ascii="Arial" w:cs="Arial" w:eastAsia="Arial" w:hAnsi="Arial"/>
          <w:sz w:val="14"/>
          <w:szCs w:val="14"/>
          <w:color w:val="auto"/>
        </w:rPr>
        <w:t>Maturities of our operating and finance lease liabilities as of June 30, 2020 are presented below. As a result of the held-for-sale presentation of the U.K. JV Entities on our June 30, 2020 condensed consolidated balance sheet, the amounts presented below do not include maturities of operating and finance lease liabilities of these entities. For information regarding the held-for-sale presentation of the U.K. JV Entities, see note 4. Amounts represent U.S. dollar equivalents based on June 30, 2020 exchange rates:</w:t>
      </w:r>
    </w:p>
    <w:p>
      <w:pPr>
        <w:spacing w:after="0" w:line="98" w:lineRule="exact"/>
        <w:rPr>
          <w:sz w:val="20"/>
          <w:szCs w:val="20"/>
          <w:color w:val="auto"/>
        </w:rPr>
      </w:pPr>
    </w:p>
    <w:tbl>
      <w:tblPr>
        <w:tblLayout w:type="fixed"/>
        <w:tblInd w:w="67" w:type="dxa"/>
        <w:tblCellMar>
          <w:top w:w="0" w:type="dxa"/>
          <w:left w:w="0" w:type="dxa"/>
          <w:bottom w:w="0" w:type="dxa"/>
          <w:right w:w="0" w:type="dxa"/>
        </w:tblCellMar>
      </w:tblPr>
      <w:tr>
        <w:trPr>
          <w:trHeight w:val="182"/>
        </w:trPr>
        <w:tc>
          <w:tcPr>
            <w:tcW w:w="8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Operating leases</w:t>
            </w:r>
          </w:p>
        </w:tc>
        <w:tc>
          <w:tcPr>
            <w:tcW w:w="160" w:type="dxa"/>
            <w:vAlign w:val="bottom"/>
          </w:tcPr>
          <w:p>
            <w:pPr>
              <w:spacing w:after="0"/>
              <w:rPr>
                <w:sz w:val="15"/>
                <w:szCs w:val="15"/>
                <w:color w:val="auto"/>
              </w:rPr>
            </w:pPr>
          </w:p>
        </w:tc>
        <w:tc>
          <w:tcPr>
            <w:tcW w:w="1160" w:type="dxa"/>
            <w:vAlign w:val="bottom"/>
          </w:tcPr>
          <w:p>
            <w:pPr>
              <w:jc w:val="right"/>
              <w:ind w:right="163"/>
              <w:spacing w:after="0"/>
              <w:rPr>
                <w:sz w:val="20"/>
                <w:szCs w:val="20"/>
                <w:color w:val="auto"/>
              </w:rPr>
            </w:pPr>
            <w:r>
              <w:rPr>
                <w:rFonts w:ascii="Arial" w:cs="Arial" w:eastAsia="Arial" w:hAnsi="Arial"/>
                <w:sz w:val="14"/>
                <w:szCs w:val="14"/>
                <w:b w:val="1"/>
                <w:bCs w:val="1"/>
                <w:color w:val="auto"/>
                <w:w w:val="90"/>
              </w:rPr>
              <w:t>Finance leases</w:t>
            </w:r>
          </w:p>
        </w:tc>
        <w:tc>
          <w:tcPr>
            <w:tcW w:w="0" w:type="dxa"/>
            <w:vAlign w:val="bottom"/>
          </w:tcPr>
          <w:p>
            <w:pPr>
              <w:spacing w:after="0"/>
              <w:rPr>
                <w:sz w:val="1"/>
                <w:szCs w:val="1"/>
                <w:color w:val="auto"/>
              </w:rPr>
            </w:pPr>
          </w:p>
        </w:tc>
      </w:tr>
      <w:tr>
        <w:trPr>
          <w:trHeight w:val="28"/>
        </w:trPr>
        <w:tc>
          <w:tcPr>
            <w:tcW w:w="83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8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40" w:type="dxa"/>
            <w:vAlign w:val="bottom"/>
            <w:gridSpan w:val="4"/>
          </w:tcPr>
          <w:p>
            <w:pPr>
              <w:jc w:val="right"/>
              <w:ind w:right="983"/>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8"/>
        </w:trPr>
        <w:tc>
          <w:tcPr>
            <w:tcW w:w="8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Year ending December 31:</w:t>
            </w:r>
          </w:p>
        </w:tc>
        <w:tc>
          <w:tcPr>
            <w:tcW w:w="1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360" w:type="dxa"/>
            <w:vAlign w:val="bottom"/>
          </w:tcPr>
          <w:p>
            <w:pPr>
              <w:ind w:left="140"/>
              <w:spacing w:after="0"/>
              <w:rPr>
                <w:sz w:val="20"/>
                <w:szCs w:val="20"/>
                <w:color w:val="auto"/>
              </w:rPr>
            </w:pPr>
            <w:r>
              <w:rPr>
                <w:rFonts w:ascii="Arial" w:cs="Arial" w:eastAsia="Arial" w:hAnsi="Arial"/>
                <w:sz w:val="16"/>
                <w:szCs w:val="16"/>
                <w:color w:val="auto"/>
              </w:rPr>
              <w:t>2020 (remainder of year)</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4"/>
              <w:spacing w:after="0"/>
              <w:rPr>
                <w:sz w:val="20"/>
                <w:szCs w:val="20"/>
                <w:color w:val="auto"/>
              </w:rPr>
            </w:pPr>
            <w:r>
              <w:rPr>
                <w:rFonts w:ascii="Arial" w:cs="Arial" w:eastAsia="Arial" w:hAnsi="Arial"/>
                <w:sz w:val="16"/>
                <w:szCs w:val="16"/>
                <w:color w:val="auto"/>
              </w:rPr>
              <w:t>41.6</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23"/>
              <w:spacing w:after="0"/>
              <w:rPr>
                <w:sz w:val="20"/>
                <w:szCs w:val="20"/>
                <w:color w:val="auto"/>
              </w:rPr>
            </w:pPr>
            <w:r>
              <w:rPr>
                <w:rFonts w:ascii="Arial" w:cs="Arial" w:eastAsia="Arial" w:hAnsi="Arial"/>
                <w:sz w:val="16"/>
                <w:szCs w:val="16"/>
                <w:color w:val="auto"/>
              </w:rPr>
              <w:t>48.8</w:t>
            </w:r>
          </w:p>
        </w:tc>
        <w:tc>
          <w:tcPr>
            <w:tcW w:w="0" w:type="dxa"/>
            <w:vAlign w:val="bottom"/>
          </w:tcPr>
          <w:p>
            <w:pPr>
              <w:spacing w:after="0"/>
              <w:rPr>
                <w:sz w:val="1"/>
                <w:szCs w:val="1"/>
                <w:color w:val="auto"/>
              </w:rPr>
            </w:pPr>
          </w:p>
        </w:tc>
      </w:tr>
      <w:tr>
        <w:trPr>
          <w:trHeight w:val="24"/>
        </w:trPr>
        <w:tc>
          <w:tcPr>
            <w:tcW w:w="8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8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2021</w:t>
            </w:r>
          </w:p>
        </w:tc>
        <w:tc>
          <w:tcPr>
            <w:tcW w:w="1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67.6</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91.1</w:t>
            </w:r>
          </w:p>
        </w:tc>
        <w:tc>
          <w:tcPr>
            <w:tcW w:w="0" w:type="dxa"/>
            <w:vAlign w:val="bottom"/>
          </w:tcPr>
          <w:p>
            <w:pPr>
              <w:spacing w:after="0"/>
              <w:rPr>
                <w:sz w:val="1"/>
                <w:szCs w:val="1"/>
                <w:color w:val="auto"/>
              </w:rPr>
            </w:pPr>
          </w:p>
        </w:tc>
      </w:tr>
      <w:tr>
        <w:trPr>
          <w:trHeight w:val="209"/>
        </w:trPr>
        <w:tc>
          <w:tcPr>
            <w:tcW w:w="8360" w:type="dxa"/>
            <w:vAlign w:val="bottom"/>
          </w:tcPr>
          <w:p>
            <w:pPr>
              <w:ind w:left="140"/>
              <w:spacing w:after="0"/>
              <w:rPr>
                <w:sz w:val="20"/>
                <w:szCs w:val="20"/>
                <w:color w:val="auto"/>
              </w:rPr>
            </w:pPr>
            <w:r>
              <w:rPr>
                <w:rFonts w:ascii="Arial" w:cs="Arial" w:eastAsia="Arial" w:hAnsi="Arial"/>
                <w:sz w:val="16"/>
                <w:szCs w:val="16"/>
                <w:color w:val="auto"/>
              </w:rPr>
              <w:t>2022</w:t>
            </w:r>
          </w:p>
        </w:tc>
        <w:tc>
          <w:tcPr>
            <w:tcW w:w="140" w:type="dxa"/>
            <w:vAlign w:val="bottom"/>
          </w:tcPr>
          <w:p>
            <w:pPr>
              <w:spacing w:after="0"/>
              <w:rPr>
                <w:sz w:val="18"/>
                <w:szCs w:val="18"/>
                <w:color w:val="auto"/>
              </w:rPr>
            </w:pPr>
          </w:p>
        </w:tc>
        <w:tc>
          <w:tcPr>
            <w:tcW w:w="1200" w:type="dxa"/>
            <w:vAlign w:val="bottom"/>
          </w:tcPr>
          <w:p>
            <w:pPr>
              <w:jc w:val="right"/>
              <w:ind w:right="44"/>
              <w:spacing w:after="0"/>
              <w:rPr>
                <w:sz w:val="20"/>
                <w:szCs w:val="20"/>
                <w:color w:val="auto"/>
              </w:rPr>
            </w:pPr>
            <w:r>
              <w:rPr>
                <w:rFonts w:ascii="Arial" w:cs="Arial" w:eastAsia="Arial" w:hAnsi="Arial"/>
                <w:sz w:val="16"/>
                <w:szCs w:val="16"/>
                <w:color w:val="auto"/>
              </w:rPr>
              <w:t>55.9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23"/>
              <w:spacing w:after="0"/>
              <w:rPr>
                <w:sz w:val="20"/>
                <w:szCs w:val="20"/>
                <w:color w:val="auto"/>
              </w:rPr>
            </w:pPr>
            <w:r>
              <w:rPr>
                <w:rFonts w:ascii="Arial" w:cs="Arial" w:eastAsia="Arial" w:hAnsi="Arial"/>
                <w:sz w:val="16"/>
                <w:szCs w:val="16"/>
                <w:color w:val="auto"/>
              </w:rPr>
              <w:t>89.0</w:t>
            </w:r>
          </w:p>
        </w:tc>
        <w:tc>
          <w:tcPr>
            <w:tcW w:w="0" w:type="dxa"/>
            <w:vAlign w:val="bottom"/>
          </w:tcPr>
          <w:p>
            <w:pPr>
              <w:spacing w:after="0"/>
              <w:rPr>
                <w:sz w:val="1"/>
                <w:szCs w:val="1"/>
                <w:color w:val="auto"/>
              </w:rPr>
            </w:pPr>
          </w:p>
        </w:tc>
      </w:tr>
      <w:tr>
        <w:trPr>
          <w:trHeight w:val="24"/>
        </w:trPr>
        <w:tc>
          <w:tcPr>
            <w:tcW w:w="8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8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2023</w:t>
            </w:r>
          </w:p>
        </w:tc>
        <w:tc>
          <w:tcPr>
            <w:tcW w:w="1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47.9</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91.5</w:t>
            </w:r>
          </w:p>
        </w:tc>
        <w:tc>
          <w:tcPr>
            <w:tcW w:w="0" w:type="dxa"/>
            <w:vAlign w:val="bottom"/>
          </w:tcPr>
          <w:p>
            <w:pPr>
              <w:spacing w:after="0"/>
              <w:rPr>
                <w:sz w:val="1"/>
                <w:szCs w:val="1"/>
                <w:color w:val="auto"/>
              </w:rPr>
            </w:pPr>
          </w:p>
        </w:tc>
      </w:tr>
      <w:tr>
        <w:trPr>
          <w:trHeight w:val="209"/>
        </w:trPr>
        <w:tc>
          <w:tcPr>
            <w:tcW w:w="8360" w:type="dxa"/>
            <w:vAlign w:val="bottom"/>
          </w:tcPr>
          <w:p>
            <w:pPr>
              <w:ind w:left="140"/>
              <w:spacing w:after="0"/>
              <w:rPr>
                <w:sz w:val="20"/>
                <w:szCs w:val="20"/>
                <w:color w:val="auto"/>
              </w:rPr>
            </w:pPr>
            <w:r>
              <w:rPr>
                <w:rFonts w:ascii="Arial" w:cs="Arial" w:eastAsia="Arial" w:hAnsi="Arial"/>
                <w:sz w:val="16"/>
                <w:szCs w:val="16"/>
                <w:color w:val="auto"/>
              </w:rPr>
              <w:t>2024</w:t>
            </w:r>
          </w:p>
        </w:tc>
        <w:tc>
          <w:tcPr>
            <w:tcW w:w="140" w:type="dxa"/>
            <w:vAlign w:val="bottom"/>
          </w:tcPr>
          <w:p>
            <w:pPr>
              <w:spacing w:after="0"/>
              <w:rPr>
                <w:sz w:val="18"/>
                <w:szCs w:val="18"/>
                <w:color w:val="auto"/>
              </w:rPr>
            </w:pPr>
          </w:p>
        </w:tc>
        <w:tc>
          <w:tcPr>
            <w:tcW w:w="1200" w:type="dxa"/>
            <w:vAlign w:val="bottom"/>
          </w:tcPr>
          <w:p>
            <w:pPr>
              <w:jc w:val="right"/>
              <w:ind w:right="44"/>
              <w:spacing w:after="0"/>
              <w:rPr>
                <w:sz w:val="20"/>
                <w:szCs w:val="20"/>
                <w:color w:val="auto"/>
              </w:rPr>
            </w:pPr>
            <w:r>
              <w:rPr>
                <w:rFonts w:ascii="Arial" w:cs="Arial" w:eastAsia="Arial" w:hAnsi="Arial"/>
                <w:sz w:val="16"/>
                <w:szCs w:val="16"/>
                <w:color w:val="auto"/>
              </w:rPr>
              <w:t>40.3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23"/>
              <w:spacing w:after="0"/>
              <w:rPr>
                <w:sz w:val="20"/>
                <w:szCs w:val="20"/>
                <w:color w:val="auto"/>
              </w:rPr>
            </w:pPr>
            <w:r>
              <w:rPr>
                <w:rFonts w:ascii="Arial" w:cs="Arial" w:eastAsia="Arial" w:hAnsi="Arial"/>
                <w:sz w:val="16"/>
                <w:szCs w:val="16"/>
                <w:color w:val="auto"/>
              </w:rPr>
              <w:t>54.1</w:t>
            </w:r>
          </w:p>
        </w:tc>
        <w:tc>
          <w:tcPr>
            <w:tcW w:w="0" w:type="dxa"/>
            <w:vAlign w:val="bottom"/>
          </w:tcPr>
          <w:p>
            <w:pPr>
              <w:spacing w:after="0"/>
              <w:rPr>
                <w:sz w:val="1"/>
                <w:szCs w:val="1"/>
                <w:color w:val="auto"/>
              </w:rPr>
            </w:pPr>
          </w:p>
        </w:tc>
      </w:tr>
      <w:tr>
        <w:trPr>
          <w:trHeight w:val="24"/>
        </w:trPr>
        <w:tc>
          <w:tcPr>
            <w:tcW w:w="8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8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2025</w:t>
            </w:r>
          </w:p>
        </w:tc>
        <w:tc>
          <w:tcPr>
            <w:tcW w:w="1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34.0</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49.5</w:t>
            </w:r>
          </w:p>
        </w:tc>
        <w:tc>
          <w:tcPr>
            <w:tcW w:w="0" w:type="dxa"/>
            <w:vAlign w:val="bottom"/>
          </w:tcPr>
          <w:p>
            <w:pPr>
              <w:spacing w:after="0"/>
              <w:rPr>
                <w:sz w:val="1"/>
                <w:szCs w:val="1"/>
                <w:color w:val="auto"/>
              </w:rPr>
            </w:pPr>
          </w:p>
        </w:tc>
      </w:tr>
      <w:tr>
        <w:trPr>
          <w:trHeight w:val="209"/>
        </w:trPr>
        <w:tc>
          <w:tcPr>
            <w:tcW w:w="8360" w:type="dxa"/>
            <w:vAlign w:val="bottom"/>
          </w:tcPr>
          <w:p>
            <w:pPr>
              <w:ind w:left="140"/>
              <w:spacing w:after="0"/>
              <w:rPr>
                <w:sz w:val="20"/>
                <w:szCs w:val="20"/>
                <w:color w:val="auto"/>
              </w:rPr>
            </w:pPr>
            <w:r>
              <w:rPr>
                <w:rFonts w:ascii="Arial" w:cs="Arial" w:eastAsia="Arial" w:hAnsi="Arial"/>
                <w:sz w:val="16"/>
                <w:szCs w:val="16"/>
                <w:color w:val="auto"/>
              </w:rPr>
              <w:t>Thereafter</w:t>
            </w:r>
          </w:p>
        </w:tc>
        <w:tc>
          <w:tcPr>
            <w:tcW w:w="140" w:type="dxa"/>
            <w:vAlign w:val="bottom"/>
          </w:tcPr>
          <w:p>
            <w:pPr>
              <w:spacing w:after="0"/>
              <w:rPr>
                <w:sz w:val="18"/>
                <w:szCs w:val="18"/>
                <w:color w:val="auto"/>
              </w:rPr>
            </w:pPr>
          </w:p>
        </w:tc>
        <w:tc>
          <w:tcPr>
            <w:tcW w:w="1200" w:type="dxa"/>
            <w:vAlign w:val="bottom"/>
          </w:tcPr>
          <w:p>
            <w:pPr>
              <w:jc w:val="right"/>
              <w:ind w:right="44"/>
              <w:spacing w:after="0"/>
              <w:rPr>
                <w:sz w:val="20"/>
                <w:szCs w:val="20"/>
                <w:color w:val="auto"/>
              </w:rPr>
            </w:pPr>
            <w:r>
              <w:rPr>
                <w:rFonts w:ascii="Arial" w:cs="Arial" w:eastAsia="Arial" w:hAnsi="Arial"/>
                <w:sz w:val="16"/>
                <w:szCs w:val="16"/>
                <w:color w:val="auto"/>
              </w:rPr>
              <w:t>117.4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23"/>
              <w:spacing w:after="0"/>
              <w:rPr>
                <w:sz w:val="20"/>
                <w:szCs w:val="20"/>
                <w:color w:val="auto"/>
              </w:rPr>
            </w:pPr>
            <w:r>
              <w:rPr>
                <w:rFonts w:ascii="Arial" w:cs="Arial" w:eastAsia="Arial" w:hAnsi="Arial"/>
                <w:sz w:val="16"/>
                <w:szCs w:val="16"/>
                <w:color w:val="auto"/>
              </w:rPr>
              <w:t>243.0</w:t>
            </w:r>
          </w:p>
        </w:tc>
        <w:tc>
          <w:tcPr>
            <w:tcW w:w="0" w:type="dxa"/>
            <w:vAlign w:val="bottom"/>
          </w:tcPr>
          <w:p>
            <w:pPr>
              <w:spacing w:after="0"/>
              <w:rPr>
                <w:sz w:val="1"/>
                <w:szCs w:val="1"/>
                <w:color w:val="auto"/>
              </w:rPr>
            </w:pPr>
          </w:p>
        </w:tc>
      </w:tr>
      <w:tr>
        <w:trPr>
          <w:trHeight w:val="24"/>
        </w:trPr>
        <w:tc>
          <w:tcPr>
            <w:tcW w:w="8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8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payments</w:t>
            </w:r>
          </w:p>
        </w:tc>
        <w:tc>
          <w:tcPr>
            <w:tcW w:w="1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404.7</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667.0</w:t>
            </w:r>
          </w:p>
        </w:tc>
        <w:tc>
          <w:tcPr>
            <w:tcW w:w="0" w:type="dxa"/>
            <w:vAlign w:val="bottom"/>
          </w:tcPr>
          <w:p>
            <w:pPr>
              <w:spacing w:after="0"/>
              <w:rPr>
                <w:sz w:val="1"/>
                <w:szCs w:val="1"/>
                <w:color w:val="auto"/>
              </w:rPr>
            </w:pPr>
          </w:p>
        </w:tc>
      </w:tr>
      <w:tr>
        <w:trPr>
          <w:trHeight w:val="209"/>
        </w:trPr>
        <w:tc>
          <w:tcPr>
            <w:tcW w:w="8360" w:type="dxa"/>
            <w:vAlign w:val="bottom"/>
          </w:tcPr>
          <w:p>
            <w:pPr>
              <w:ind w:left="20"/>
              <w:spacing w:after="0"/>
              <w:rPr>
                <w:sz w:val="20"/>
                <w:szCs w:val="20"/>
                <w:color w:val="auto"/>
              </w:rPr>
            </w:pPr>
            <w:r>
              <w:rPr>
                <w:rFonts w:ascii="Arial" w:cs="Arial" w:eastAsia="Arial" w:hAnsi="Arial"/>
                <w:sz w:val="16"/>
                <w:szCs w:val="16"/>
                <w:color w:val="auto"/>
              </w:rPr>
              <w:t>Less: present value discount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(152.6)</w:t>
            </w:r>
          </w:p>
        </w:tc>
        <w:tc>
          <w:tcPr>
            <w:tcW w:w="0" w:type="dxa"/>
            <w:vAlign w:val="bottom"/>
          </w:tcPr>
          <w:p>
            <w:pPr>
              <w:spacing w:after="0"/>
              <w:rPr>
                <w:sz w:val="1"/>
                <w:szCs w:val="1"/>
                <w:color w:val="auto"/>
              </w:rPr>
            </w:pPr>
          </w:p>
        </w:tc>
      </w:tr>
      <w:tr>
        <w:trPr>
          <w:trHeight w:val="24"/>
        </w:trPr>
        <w:tc>
          <w:tcPr>
            <w:tcW w:w="8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8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Present value of lease payments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352.5</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514.4</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Current portion</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8360" w:type="dxa"/>
            <w:vAlign w:val="bottom"/>
            <w:vMerge w:val="continue"/>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4"/>
              <w:spacing w:after="0"/>
              <w:rPr>
                <w:sz w:val="20"/>
                <w:szCs w:val="20"/>
                <w:color w:val="auto"/>
              </w:rPr>
            </w:pPr>
            <w:r>
              <w:rPr>
                <w:rFonts w:ascii="Arial" w:cs="Arial" w:eastAsia="Arial" w:hAnsi="Arial"/>
                <w:sz w:val="16"/>
                <w:szCs w:val="16"/>
                <w:color w:val="auto"/>
              </w:rPr>
              <w:t>73.3</w:t>
            </w:r>
          </w:p>
        </w:tc>
        <w:tc>
          <w:tcPr>
            <w:tcW w:w="12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23"/>
              <w:spacing w:after="0"/>
              <w:rPr>
                <w:sz w:val="20"/>
                <w:szCs w:val="20"/>
                <w:color w:val="auto"/>
              </w:rPr>
            </w:pPr>
            <w:r>
              <w:rPr>
                <w:rFonts w:ascii="Arial" w:cs="Arial" w:eastAsia="Arial" w:hAnsi="Arial"/>
                <w:sz w:val="16"/>
                <w:szCs w:val="16"/>
                <w:color w:val="auto"/>
              </w:rPr>
              <w:t>61.8</w:t>
            </w:r>
          </w:p>
        </w:tc>
        <w:tc>
          <w:tcPr>
            <w:tcW w:w="0" w:type="dxa"/>
            <w:vAlign w:val="bottom"/>
          </w:tcPr>
          <w:p>
            <w:pPr>
              <w:spacing w:after="0"/>
              <w:rPr>
                <w:sz w:val="1"/>
                <w:szCs w:val="1"/>
                <w:color w:val="auto"/>
              </w:rPr>
            </w:pPr>
          </w:p>
        </w:tc>
      </w:tr>
      <w:tr>
        <w:trPr>
          <w:trHeight w:val="64"/>
        </w:trPr>
        <w:tc>
          <w:tcPr>
            <w:tcW w:w="836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8360" w:type="dxa"/>
            <w:vAlign w:val="bottom"/>
            <w:tcBorders>
              <w:bottom w:val="single" w:sz="8" w:color="CCEEFF"/>
            </w:tcBorders>
            <w:shd w:val="clear" w:color="auto" w:fill="CCEEFF"/>
          </w:tcPr>
          <w:p>
            <w:pPr>
              <w:ind w:left="20"/>
              <w:spacing w:after="0" w:line="161" w:lineRule="exact"/>
              <w:rPr>
                <w:sz w:val="20"/>
                <w:szCs w:val="20"/>
                <w:color w:val="auto"/>
              </w:rPr>
            </w:pPr>
            <w:r>
              <w:rPr>
                <w:rFonts w:ascii="Arial" w:cs="Arial" w:eastAsia="Arial" w:hAnsi="Arial"/>
                <w:sz w:val="16"/>
                <w:szCs w:val="16"/>
                <w:color w:val="auto"/>
              </w:rPr>
              <w:t>Noncurrent portion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279.2</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452.6</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ind w:left="407" w:hanging="407"/>
        <w:spacing w:after="0"/>
        <w:tabs>
          <w:tab w:leader="none" w:pos="407" w:val="left"/>
        </w:tabs>
        <w:numPr>
          <w:ilvl w:val="0"/>
          <w:numId w:val="2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Income Taxes</w:t>
      </w:r>
    </w:p>
    <w:p>
      <w:pPr>
        <w:spacing w:after="0" w:line="194" w:lineRule="exact"/>
        <w:rPr>
          <w:sz w:val="20"/>
          <w:szCs w:val="20"/>
          <w:color w:val="auto"/>
        </w:rPr>
      </w:pPr>
    </w:p>
    <w:p>
      <w:pPr>
        <w:ind w:left="7" w:firstLine="279"/>
        <w:spacing w:after="0" w:line="258" w:lineRule="auto"/>
        <w:rPr>
          <w:sz w:val="20"/>
          <w:szCs w:val="20"/>
          <w:color w:val="auto"/>
        </w:rPr>
      </w:pPr>
      <w:r>
        <w:rPr>
          <w:rFonts w:ascii="Arial" w:cs="Arial" w:eastAsia="Arial" w:hAnsi="Arial"/>
          <w:sz w:val="16"/>
          <w:szCs w:val="16"/>
          <w:color w:val="auto"/>
        </w:rPr>
        <w:t>Income tax benefit (expense) attributable to our earnings (loss) from continuing operations before income taxes differs from the amounts computed using the applicable income tax rate as a result of the following factors:</w:t>
      </w:r>
    </w:p>
    <w:p>
      <w:pPr>
        <w:spacing w:after="0" w:line="114"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6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6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5"/>
                <w:szCs w:val="15"/>
                <w:color w:val="auto"/>
              </w:rPr>
            </w:pPr>
          </w:p>
        </w:tc>
        <w:tc>
          <w:tcPr>
            <w:tcW w:w="2000" w:type="dxa"/>
            <w:vAlign w:val="bottom"/>
            <w:gridSpan w:val="4"/>
          </w:tcPr>
          <w:p>
            <w:pPr>
              <w:jc w:val="right"/>
              <w:ind w:right="54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2"/>
        </w:trPr>
        <w:tc>
          <w:tcPr>
            <w:tcW w:w="6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gridSpan w:val="3"/>
          </w:tcPr>
          <w:p>
            <w:pPr>
              <w:jc w:val="right"/>
              <w:ind w:right="42"/>
              <w:spacing w:after="0"/>
              <w:rPr>
                <w:sz w:val="20"/>
                <w:szCs w:val="20"/>
                <w:color w:val="auto"/>
              </w:rPr>
            </w:pPr>
            <w:r>
              <w:rPr>
                <w:rFonts w:ascii="Arial" w:cs="Arial" w:eastAsia="Arial" w:hAnsi="Arial"/>
                <w:sz w:val="14"/>
                <w:szCs w:val="14"/>
                <w:b w:val="1"/>
                <w:bCs w:val="1"/>
                <w:color w:val="auto"/>
              </w:rPr>
              <w:t>June 30,</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gridSpan w:val="3"/>
          </w:tcPr>
          <w:p>
            <w:pPr>
              <w:jc w:val="right"/>
              <w:ind w:right="22"/>
              <w:spacing w:after="0"/>
              <w:rPr>
                <w:sz w:val="20"/>
                <w:szCs w:val="20"/>
                <w:color w:val="auto"/>
              </w:rPr>
            </w:pPr>
            <w:r>
              <w:rPr>
                <w:rFonts w:ascii="Arial" w:cs="Arial" w:eastAsia="Arial" w:hAnsi="Arial"/>
                <w:sz w:val="14"/>
                <w:szCs w:val="14"/>
                <w:b w:val="1"/>
                <w:bCs w:val="1"/>
                <w:color w:val="auto"/>
              </w:rPr>
              <w:t>June 30,</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6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6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34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ind w:right="36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ind w:right="34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34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8"/>
        </w:trPr>
        <w:tc>
          <w:tcPr>
            <w:tcW w:w="6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6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3"/>
          </w:tcPr>
          <w:p>
            <w:pPr>
              <w:jc w:val="right"/>
              <w:ind w:right="22"/>
              <w:spacing w:after="0"/>
              <w:rPr>
                <w:sz w:val="20"/>
                <w:szCs w:val="20"/>
                <w:color w:val="auto"/>
              </w:rPr>
            </w:pPr>
            <w:r>
              <w:rPr>
                <w:rFonts w:ascii="Arial" w:cs="Arial" w:eastAsia="Arial" w:hAnsi="Arial"/>
                <w:sz w:val="14"/>
                <w:szCs w:val="14"/>
                <w:b w:val="1"/>
                <w:bCs w:val="1"/>
                <w:color w:val="auto"/>
              </w:rPr>
              <w:t>in millions</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6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Computed “expected” tax benefit (expense) (a)</w:t>
            </w:r>
          </w:p>
        </w:tc>
        <w:tc>
          <w:tcPr>
            <w:tcW w:w="2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115.8</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59.5</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(76.3)</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112.5</w:t>
            </w:r>
          </w:p>
        </w:tc>
        <w:tc>
          <w:tcPr>
            <w:tcW w:w="0" w:type="dxa"/>
            <w:vAlign w:val="bottom"/>
          </w:tcPr>
          <w:p>
            <w:pPr>
              <w:spacing w:after="0"/>
              <w:rPr>
                <w:sz w:val="1"/>
                <w:szCs w:val="1"/>
                <w:color w:val="auto"/>
              </w:rPr>
            </w:pPr>
          </w:p>
        </w:tc>
      </w:tr>
      <w:tr>
        <w:trPr>
          <w:trHeight w:val="209"/>
        </w:trPr>
        <w:tc>
          <w:tcPr>
            <w:tcW w:w="6400" w:type="dxa"/>
            <w:vAlign w:val="bottom"/>
          </w:tcPr>
          <w:p>
            <w:pPr>
              <w:ind w:left="20"/>
              <w:spacing w:after="0"/>
              <w:rPr>
                <w:sz w:val="20"/>
                <w:szCs w:val="20"/>
                <w:color w:val="auto"/>
              </w:rPr>
            </w:pPr>
            <w:r>
              <w:rPr>
                <w:rFonts w:ascii="Arial" w:cs="Arial" w:eastAsia="Arial" w:hAnsi="Arial"/>
                <w:sz w:val="16"/>
                <w:szCs w:val="16"/>
                <w:color w:val="auto"/>
              </w:rPr>
              <w:t>Recognition of previously unrecognized tax benefits</w:t>
            </w:r>
          </w:p>
        </w:tc>
        <w:tc>
          <w:tcPr>
            <w:tcW w:w="260" w:type="dxa"/>
            <w:vAlign w:val="bottom"/>
          </w:tcPr>
          <w:p>
            <w:pPr>
              <w:spacing w:after="0"/>
              <w:rPr>
                <w:sz w:val="18"/>
                <w:szCs w:val="18"/>
                <w:color w:val="auto"/>
              </w:rPr>
            </w:pPr>
          </w:p>
        </w:tc>
        <w:tc>
          <w:tcPr>
            <w:tcW w:w="880" w:type="dxa"/>
            <w:vAlign w:val="bottom"/>
          </w:tcPr>
          <w:p>
            <w:pPr>
              <w:jc w:val="right"/>
              <w:ind w:right="44"/>
              <w:spacing w:after="0"/>
              <w:rPr>
                <w:sz w:val="20"/>
                <w:szCs w:val="20"/>
                <w:color w:val="auto"/>
              </w:rPr>
            </w:pPr>
            <w:r>
              <w:rPr>
                <w:rFonts w:ascii="Arial" w:cs="Arial" w:eastAsia="Arial" w:hAnsi="Arial"/>
                <w:sz w:val="16"/>
                <w:szCs w:val="16"/>
                <w:color w:val="auto"/>
              </w:rPr>
              <w:t>188.8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ind w:right="44"/>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ind w:right="24"/>
              <w:spacing w:after="0"/>
              <w:rPr>
                <w:sz w:val="20"/>
                <w:szCs w:val="20"/>
                <w:color w:val="auto"/>
              </w:rPr>
            </w:pPr>
            <w:r>
              <w:rPr>
                <w:rFonts w:ascii="Arial" w:cs="Arial" w:eastAsia="Arial" w:hAnsi="Arial"/>
                <w:sz w:val="16"/>
                <w:szCs w:val="16"/>
                <w:color w:val="auto"/>
              </w:rPr>
              <w:t>188.8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43"/>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4"/>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Change in valuation allowances</w:t>
            </w: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79.0</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(99.6)</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66.4</w:t>
            </w:r>
          </w:p>
        </w:tc>
        <w:tc>
          <w:tcPr>
            <w:tcW w:w="0" w:type="dxa"/>
            <w:vAlign w:val="bottom"/>
          </w:tcPr>
          <w:p>
            <w:pPr>
              <w:spacing w:after="0"/>
              <w:rPr>
                <w:sz w:val="1"/>
                <w:szCs w:val="1"/>
                <w:color w:val="auto"/>
              </w:rPr>
            </w:pPr>
          </w:p>
        </w:tc>
      </w:tr>
      <w:tr>
        <w:trPr>
          <w:trHeight w:val="209"/>
        </w:trPr>
        <w:tc>
          <w:tcPr>
            <w:tcW w:w="6400" w:type="dxa"/>
            <w:vAlign w:val="bottom"/>
          </w:tcPr>
          <w:p>
            <w:pPr>
              <w:ind w:left="20"/>
              <w:spacing w:after="0"/>
              <w:rPr>
                <w:sz w:val="20"/>
                <w:szCs w:val="20"/>
                <w:color w:val="auto"/>
              </w:rPr>
            </w:pPr>
            <w:r>
              <w:rPr>
                <w:rFonts w:ascii="Arial" w:cs="Arial" w:eastAsia="Arial" w:hAnsi="Arial"/>
                <w:sz w:val="16"/>
                <w:szCs w:val="16"/>
                <w:color w:val="auto"/>
              </w:rPr>
              <w:t>Non-deductible or non-taxable foreign currency exchange results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(95.8)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ind w:right="44"/>
              <w:spacing w:after="0"/>
              <w:rPr>
                <w:sz w:val="20"/>
                <w:szCs w:val="20"/>
                <w:color w:val="auto"/>
              </w:rPr>
            </w:pPr>
            <w:r>
              <w:rPr>
                <w:rFonts w:ascii="Arial" w:cs="Arial" w:eastAsia="Arial" w:hAnsi="Arial"/>
                <w:sz w:val="16"/>
                <w:szCs w:val="16"/>
                <w:color w:val="auto"/>
              </w:rPr>
              <w:t>16.4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ind w:right="24"/>
              <w:spacing w:after="0"/>
              <w:rPr>
                <w:sz w:val="20"/>
                <w:szCs w:val="20"/>
                <w:color w:val="auto"/>
              </w:rPr>
            </w:pPr>
            <w:r>
              <w:rPr>
                <w:rFonts w:ascii="Arial" w:cs="Arial" w:eastAsia="Arial" w:hAnsi="Arial"/>
                <w:sz w:val="16"/>
                <w:szCs w:val="16"/>
                <w:color w:val="auto"/>
              </w:rPr>
              <w:t>57.8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43"/>
              <w:spacing w:after="0"/>
              <w:rPr>
                <w:sz w:val="20"/>
                <w:szCs w:val="20"/>
                <w:color w:val="auto"/>
              </w:rPr>
            </w:pPr>
            <w:r>
              <w:rPr>
                <w:rFonts w:ascii="Arial" w:cs="Arial" w:eastAsia="Arial" w:hAnsi="Arial"/>
                <w:sz w:val="16"/>
                <w:szCs w:val="16"/>
                <w:color w:val="auto"/>
              </w:rPr>
              <w:t>49.4</w:t>
            </w:r>
          </w:p>
        </w:tc>
        <w:tc>
          <w:tcPr>
            <w:tcW w:w="0" w:type="dxa"/>
            <w:vAlign w:val="bottom"/>
          </w:tcPr>
          <w:p>
            <w:pPr>
              <w:spacing w:after="0"/>
              <w:rPr>
                <w:sz w:val="1"/>
                <w:szCs w:val="1"/>
                <w:color w:val="auto"/>
              </w:rPr>
            </w:pPr>
          </w:p>
        </w:tc>
      </w:tr>
      <w:tr>
        <w:trPr>
          <w:trHeight w:val="24"/>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Tax benefit associated with technology innovation (b)</w:t>
            </w: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49.5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6400" w:type="dxa"/>
            <w:vAlign w:val="bottom"/>
          </w:tcPr>
          <w:p>
            <w:pPr>
              <w:ind w:left="20"/>
              <w:spacing w:after="0"/>
              <w:rPr>
                <w:sz w:val="20"/>
                <w:szCs w:val="20"/>
                <w:color w:val="auto"/>
              </w:rPr>
            </w:pPr>
            <w:r>
              <w:rPr>
                <w:rFonts w:ascii="Arial" w:cs="Arial" w:eastAsia="Arial" w:hAnsi="Arial"/>
                <w:sz w:val="16"/>
                <w:szCs w:val="16"/>
                <w:color w:val="auto"/>
              </w:rPr>
              <w:t>Non-deductible or non-taxable interest and other items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(107.1)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(46.3)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(129.9)</w:t>
            </w:r>
          </w:p>
        </w:tc>
        <w:tc>
          <w:tcPr>
            <w:tcW w:w="0" w:type="dxa"/>
            <w:vAlign w:val="bottom"/>
          </w:tcPr>
          <w:p>
            <w:pPr>
              <w:spacing w:after="0"/>
              <w:rPr>
                <w:sz w:val="1"/>
                <w:szCs w:val="1"/>
                <w:color w:val="auto"/>
              </w:rPr>
            </w:pPr>
          </w:p>
        </w:tc>
      </w:tr>
      <w:tr>
        <w:trPr>
          <w:trHeight w:val="24"/>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Enacted tax law and rate changes</w:t>
            </w: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31.7</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199"/>
        </w:trPr>
        <w:tc>
          <w:tcPr>
            <w:tcW w:w="6400" w:type="dxa"/>
            <w:vAlign w:val="bottom"/>
          </w:tcPr>
          <w:p>
            <w:pPr>
              <w:ind w:left="20"/>
              <w:spacing w:after="0"/>
              <w:rPr>
                <w:sz w:val="20"/>
                <w:szCs w:val="20"/>
                <w:color w:val="auto"/>
              </w:rPr>
            </w:pPr>
            <w:r>
              <w:rPr>
                <w:rFonts w:ascii="Arial" w:cs="Arial" w:eastAsia="Arial" w:hAnsi="Arial"/>
                <w:sz w:val="16"/>
                <w:szCs w:val="16"/>
                <w:color w:val="auto"/>
                <w:w w:val="89"/>
              </w:rPr>
              <w:t>Basis and other differences in the treatment of items associated with investments in subsidiaries and</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0" w:type="dxa"/>
            <w:vAlign w:val="bottom"/>
          </w:tcPr>
          <w:p>
            <w:pPr>
              <w:ind w:left="160"/>
              <w:spacing w:after="0"/>
              <w:rPr>
                <w:sz w:val="20"/>
                <w:szCs w:val="20"/>
                <w:color w:val="auto"/>
              </w:rPr>
            </w:pPr>
            <w:r>
              <w:rPr>
                <w:rFonts w:ascii="Arial" w:cs="Arial" w:eastAsia="Arial" w:hAnsi="Arial"/>
                <w:sz w:val="16"/>
                <w:szCs w:val="16"/>
                <w:color w:val="auto"/>
              </w:rPr>
              <w:t>affiliates (c)</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(87.3)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(166.4)</w:t>
            </w:r>
          </w:p>
        </w:tc>
        <w:tc>
          <w:tcPr>
            <w:tcW w:w="0" w:type="dxa"/>
            <w:vAlign w:val="bottom"/>
          </w:tcPr>
          <w:p>
            <w:pPr>
              <w:spacing w:after="0"/>
              <w:rPr>
                <w:sz w:val="1"/>
                <w:szCs w:val="1"/>
                <w:color w:val="auto"/>
              </w:rPr>
            </w:pPr>
          </w:p>
        </w:tc>
      </w:tr>
      <w:tr>
        <w:trPr>
          <w:trHeight w:val="24"/>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International rate differences (d)</w:t>
            </w: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5.8</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209"/>
        </w:trPr>
        <w:tc>
          <w:tcPr>
            <w:tcW w:w="6400" w:type="dxa"/>
            <w:vAlign w:val="bottom"/>
          </w:tcPr>
          <w:p>
            <w:pPr>
              <w:ind w:left="20"/>
              <w:spacing w:after="0"/>
              <w:rPr>
                <w:sz w:val="20"/>
                <w:szCs w:val="20"/>
                <w:color w:val="auto"/>
              </w:rPr>
            </w:pPr>
            <w:r>
              <w:rPr>
                <w:rFonts w:ascii="Arial" w:cs="Arial" w:eastAsia="Arial" w:hAnsi="Arial"/>
                <w:sz w:val="16"/>
                <w:szCs w:val="16"/>
                <w:color w:val="auto"/>
              </w:rPr>
              <w:t>Other, net</w:t>
            </w:r>
          </w:p>
        </w:tc>
        <w:tc>
          <w:tcPr>
            <w:tcW w:w="260" w:type="dxa"/>
            <w:vAlign w:val="bottom"/>
          </w:tcPr>
          <w:p>
            <w:pPr>
              <w:spacing w:after="0"/>
              <w:rPr>
                <w:sz w:val="18"/>
                <w:szCs w:val="18"/>
                <w:color w:val="auto"/>
              </w:rPr>
            </w:pPr>
          </w:p>
        </w:tc>
        <w:tc>
          <w:tcPr>
            <w:tcW w:w="880" w:type="dxa"/>
            <w:vAlign w:val="bottom"/>
          </w:tcPr>
          <w:p>
            <w:pPr>
              <w:jc w:val="right"/>
              <w:ind w:right="44"/>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ind w:right="44"/>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ind w:right="24"/>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43"/>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4"/>
        </w:trPr>
        <w:tc>
          <w:tcPr>
            <w:tcW w:w="6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64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Total income tax benefit (expense)</w:t>
            </w:r>
          </w:p>
        </w:tc>
        <w:tc>
          <w:tcPr>
            <w:tcW w:w="2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158.0</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77.9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(54.6)</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40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jc w:val="both"/>
        <w:ind w:left="427" w:hanging="427"/>
        <w:spacing w:after="0" w:line="250" w:lineRule="auto"/>
        <w:tabs>
          <w:tab w:leader="none" w:pos="427"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statutory or “expected” tax rates are the U.K. rates of 17.5% for the 2020 periods and 19.0% for the 2019 periods. The statutory rate for the 2020 periods represents the blended rate in effect for the year ended December 31, 2020 based on the 19.0% statutory rate that was in effect for the first quarter of 2020 and the 17.0% statutory rate that was expected to be in</w:t>
      </w:r>
    </w:p>
    <w:p>
      <w:pPr>
        <w:spacing w:after="0" w:line="170"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267"/>
          </w:cols>
          <w:pgMar w:left="313" w:top="263" w:right="319" w:bottom="1440" w:gutter="0" w:footer="0" w:header="0"/>
        </w:sectPr>
      </w:pPr>
    </w:p>
    <w:bookmarkStart w:id="35" w:name="page36"/>
    <w:bookmarkEnd w:id="35"/>
    <w:p>
      <w:pPr>
        <w:jc w:val="center"/>
        <w:ind w:right="-6"/>
        <w:spacing w:after="0"/>
        <w:rPr>
          <w:sz w:val="20"/>
          <w:szCs w:val="20"/>
          <w:color w:val="auto"/>
        </w:rPr>
      </w:pPr>
      <w:r>
        <w:rPr>
          <w:rFonts w:ascii="Arial" w:cs="Arial" w:eastAsia="Arial" w:hAnsi="Arial"/>
          <w:sz w:val="16"/>
          <w:szCs w:val="16"/>
          <w:b w:val="1"/>
          <w:bCs w:val="1"/>
          <w:color w:val="auto"/>
        </w:rPr>
        <w:t>LIBERTY GLOBAL PLC</w:t>
      </w:r>
    </w:p>
    <w:p>
      <w:pPr>
        <w:spacing w:after="0" w:line="18"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Notes to Condensed Consolidated Financial Statements — (Continued)</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June 30, 2020</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ind w:left="427"/>
        <w:spacing w:after="0" w:line="329" w:lineRule="auto"/>
        <w:rPr>
          <w:sz w:val="20"/>
          <w:szCs w:val="20"/>
          <w:color w:val="auto"/>
        </w:rPr>
      </w:pPr>
      <w:r>
        <w:rPr>
          <w:rFonts w:ascii="Arial" w:cs="Arial" w:eastAsia="Arial" w:hAnsi="Arial"/>
          <w:sz w:val="14"/>
          <w:szCs w:val="14"/>
          <w:color w:val="auto"/>
        </w:rPr>
        <w:t>effect for the remainder of 2020. In March 2020, it was announced that the U.K. corporate tax rate will remain at 19.0% and not reduce to 17.0% from April 1, 2020. The U.K. rate change was enacted on July 22, 2020; therefore, the impact on our deferred tax balances will be recorded during the third quarter of 2020.</w:t>
      </w:r>
    </w:p>
    <w:p>
      <w:pPr>
        <w:spacing w:after="0" w:line="117" w:lineRule="exact"/>
        <w:rPr>
          <w:sz w:val="20"/>
          <w:szCs w:val="20"/>
          <w:color w:val="auto"/>
        </w:rPr>
      </w:pPr>
    </w:p>
    <w:p>
      <w:pPr>
        <w:ind w:left="427" w:hanging="427"/>
        <w:spacing w:after="0"/>
        <w:tabs>
          <w:tab w:leader="none" w:pos="427" w:val="left"/>
        </w:tabs>
        <w:numPr>
          <w:ilvl w:val="0"/>
          <w:numId w:val="30"/>
        </w:numPr>
        <w:rPr>
          <w:rFonts w:ascii="Arial" w:cs="Arial" w:eastAsia="Arial" w:hAnsi="Arial"/>
          <w:sz w:val="16"/>
          <w:szCs w:val="16"/>
          <w:color w:val="auto"/>
        </w:rPr>
      </w:pPr>
      <w:r>
        <w:rPr>
          <w:rFonts w:ascii="Arial" w:cs="Arial" w:eastAsia="Arial" w:hAnsi="Arial"/>
          <w:sz w:val="16"/>
          <w:szCs w:val="16"/>
          <w:color w:val="auto"/>
        </w:rPr>
        <w:t>Amount reflects the recognition of the innovation income tax deduction in Belgium, including the one-time effect of deductions related to prior periods.</w:t>
      </w:r>
    </w:p>
    <w:p>
      <w:pPr>
        <w:spacing w:after="0" w:line="188" w:lineRule="exact"/>
        <w:rPr>
          <w:rFonts w:ascii="Arial" w:cs="Arial" w:eastAsia="Arial" w:hAnsi="Arial"/>
          <w:sz w:val="16"/>
          <w:szCs w:val="16"/>
          <w:color w:val="auto"/>
        </w:rPr>
      </w:pPr>
    </w:p>
    <w:p>
      <w:pPr>
        <w:ind w:left="427" w:hanging="427"/>
        <w:spacing w:after="0" w:line="258" w:lineRule="auto"/>
        <w:tabs>
          <w:tab w:leader="none" w:pos="427"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These amounts reflect the net impact of differences in the treatment of income and loss items between financial reporting and tax accounting related to investments in subsidiaries and affiliates including the effects of foreign earnings.</w:t>
      </w:r>
    </w:p>
    <w:p>
      <w:pPr>
        <w:spacing w:after="0" w:line="162" w:lineRule="exact"/>
        <w:rPr>
          <w:rFonts w:ascii="Arial" w:cs="Arial" w:eastAsia="Arial" w:hAnsi="Arial"/>
          <w:sz w:val="16"/>
          <w:szCs w:val="16"/>
          <w:color w:val="auto"/>
        </w:rPr>
      </w:pPr>
    </w:p>
    <w:p>
      <w:pPr>
        <w:ind w:left="427" w:hanging="427"/>
        <w:spacing w:after="0"/>
        <w:tabs>
          <w:tab w:leader="none" w:pos="427" w:val="left"/>
        </w:tabs>
        <w:numPr>
          <w:ilvl w:val="0"/>
          <w:numId w:val="30"/>
        </w:numPr>
        <w:rPr>
          <w:rFonts w:ascii="Arial" w:cs="Arial" w:eastAsia="Arial" w:hAnsi="Arial"/>
          <w:sz w:val="14"/>
          <w:szCs w:val="14"/>
          <w:color w:val="auto"/>
        </w:rPr>
      </w:pPr>
      <w:r>
        <w:rPr>
          <w:rFonts w:ascii="Arial" w:cs="Arial" w:eastAsia="Arial" w:hAnsi="Arial"/>
          <w:sz w:val="14"/>
          <w:szCs w:val="14"/>
          <w:color w:val="auto"/>
        </w:rPr>
        <w:t>Amounts reflect adjustments (either a benefit or expense) to the “expected” tax benefit (expense) for statutory rates in jurisdictions in which we operate outside of the U.K.</w:t>
      </w:r>
    </w:p>
    <w:p>
      <w:pPr>
        <w:spacing w:after="0" w:line="211" w:lineRule="exact"/>
        <w:rPr>
          <w:sz w:val="20"/>
          <w:szCs w:val="20"/>
          <w:color w:val="auto"/>
        </w:rPr>
      </w:pPr>
    </w:p>
    <w:p>
      <w:pPr>
        <w:jc w:val="both"/>
        <w:ind w:left="7" w:right="20" w:firstLine="279"/>
        <w:spacing w:after="0" w:line="329" w:lineRule="auto"/>
        <w:rPr>
          <w:sz w:val="20"/>
          <w:szCs w:val="20"/>
          <w:color w:val="auto"/>
        </w:rPr>
      </w:pPr>
      <w:r>
        <w:rPr>
          <w:rFonts w:ascii="Arial" w:cs="Arial" w:eastAsia="Arial" w:hAnsi="Arial"/>
          <w:sz w:val="14"/>
          <w:szCs w:val="14"/>
          <w:color w:val="auto"/>
        </w:rPr>
        <w:t>As of June 30, 2020, our unrecognized tax benefits of $319.1 million included $123.9 million of unrecognized tax benefits that would have a favorable impact on our effective income tax rate if ultimately recognized, after considering amounts that we would expect to be offset by valuation allowances and other factors.</w:t>
      </w:r>
    </w:p>
    <w:p>
      <w:pPr>
        <w:spacing w:after="0" w:line="117" w:lineRule="exact"/>
        <w:rPr>
          <w:sz w:val="20"/>
          <w:szCs w:val="20"/>
          <w:color w:val="auto"/>
        </w:rPr>
      </w:pPr>
    </w:p>
    <w:p>
      <w:pPr>
        <w:jc w:val="both"/>
        <w:ind w:left="7" w:firstLine="279"/>
        <w:spacing w:after="0" w:line="290" w:lineRule="auto"/>
        <w:rPr>
          <w:sz w:val="20"/>
          <w:szCs w:val="20"/>
          <w:color w:val="auto"/>
        </w:rPr>
      </w:pPr>
      <w:r>
        <w:rPr>
          <w:rFonts w:ascii="Arial" w:cs="Arial" w:eastAsia="Arial" w:hAnsi="Arial"/>
          <w:sz w:val="14"/>
          <w:szCs w:val="14"/>
          <w:color w:val="auto"/>
        </w:rPr>
        <w:t>During the next 12 months, it is reasonably possible that the resolution of ongoing examinations by tax authorities, as well as the expiration of statutes of limitation and other items, could result in reductions to our unrecognized tax benefits related to tax positions taken as of June 30, 2020. The amount of any such reductions could range up to $65.0 million, of which approximately $5.0 million would have a positive impact on our effective tax rate. Other than the potential impacts of these ongoing examinations and the expected expiration of certain statutes of limitation, we do not expect any material changes to our unrecognized tax benefits during the next 12 months. No assurance can be given as to the nature or impact of any changes in our unrecognized tax positions during the next 12 months.</w:t>
      </w:r>
    </w:p>
    <w:p>
      <w:pPr>
        <w:spacing w:after="0" w:line="144" w:lineRule="exact"/>
        <w:rPr>
          <w:sz w:val="20"/>
          <w:szCs w:val="20"/>
          <w:color w:val="auto"/>
        </w:rPr>
      </w:pPr>
    </w:p>
    <w:p>
      <w:pPr>
        <w:jc w:val="both"/>
        <w:ind w:left="7" w:firstLine="279"/>
        <w:spacing w:after="0" w:line="303" w:lineRule="auto"/>
        <w:rPr>
          <w:sz w:val="20"/>
          <w:szCs w:val="20"/>
          <w:color w:val="auto"/>
        </w:rPr>
      </w:pPr>
      <w:r>
        <w:rPr>
          <w:rFonts w:ascii="Arial" w:cs="Arial" w:eastAsia="Arial" w:hAnsi="Arial"/>
          <w:sz w:val="14"/>
          <w:szCs w:val="14"/>
          <w:color w:val="auto"/>
        </w:rPr>
        <w:t>Certain of our subsidiaries are currently involved in income tax examinations in various jurisdictions in which we operate, including the Netherlands, Poland, the U.K. and the U.S. While we do not expect adjustments from the foregoing examinations to have a material impact on our consolidated financial position, results of operations or cash flows, no assurance can be given that this will be the case given the amounts involved and the complex nature of the related issues.</w:t>
      </w:r>
    </w:p>
    <w:p>
      <w:pPr>
        <w:spacing w:after="0" w:line="129" w:lineRule="exact"/>
        <w:rPr>
          <w:sz w:val="20"/>
          <w:szCs w:val="20"/>
          <w:color w:val="auto"/>
        </w:rPr>
      </w:pPr>
    </w:p>
    <w:p>
      <w:pPr>
        <w:ind w:left="407" w:hanging="407"/>
        <w:spacing w:after="0"/>
        <w:tabs>
          <w:tab w:leader="none" w:pos="407" w:val="left"/>
        </w:tabs>
        <w:numPr>
          <w:ilvl w:val="0"/>
          <w:numId w:val="3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Equity</w:t>
      </w:r>
    </w:p>
    <w:p>
      <w:pPr>
        <w:spacing w:after="0" w:line="194" w:lineRule="exact"/>
        <w:rPr>
          <w:sz w:val="20"/>
          <w:szCs w:val="20"/>
          <w:color w:val="auto"/>
        </w:rPr>
      </w:pPr>
    </w:p>
    <w:p>
      <w:pPr>
        <w:jc w:val="both"/>
        <w:ind w:left="7" w:firstLine="279"/>
        <w:spacing w:after="0" w:line="248" w:lineRule="auto"/>
        <w:rPr>
          <w:sz w:val="20"/>
          <w:szCs w:val="20"/>
          <w:color w:val="auto"/>
        </w:rPr>
      </w:pPr>
      <w:r>
        <w:rPr>
          <w:rFonts w:ascii="Arial" w:cs="Arial" w:eastAsia="Arial" w:hAnsi="Arial"/>
          <w:sz w:val="16"/>
          <w:szCs w:val="16"/>
          <w:i w:val="1"/>
          <w:iCs w:val="1"/>
          <w:color w:val="auto"/>
        </w:rPr>
        <w:t xml:space="preserve">Share Repurchases. </w:t>
      </w:r>
      <w:r>
        <w:rPr>
          <w:rFonts w:ascii="Arial" w:cs="Arial" w:eastAsia="Arial" w:hAnsi="Arial"/>
          <w:sz w:val="16"/>
          <w:szCs w:val="16"/>
          <w:color w:val="auto"/>
        </w:rPr>
        <w:t>During the six months ended June 30, 2020, we repurchased (i) 9,000 shares of our class A ordinary shares at an average price per share of $16.33 and (ii)</w:t>
      </w:r>
      <w:r>
        <w:rPr>
          <w:rFonts w:ascii="Arial" w:cs="Arial" w:eastAsia="Arial" w:hAnsi="Arial"/>
          <w:sz w:val="16"/>
          <w:szCs w:val="16"/>
          <w:i w:val="1"/>
          <w:iCs w:val="1"/>
          <w:color w:val="auto"/>
        </w:rPr>
        <w:t xml:space="preserve"> </w:t>
      </w:r>
      <w:r>
        <w:rPr>
          <w:rFonts w:ascii="Arial" w:cs="Arial" w:eastAsia="Arial" w:hAnsi="Arial"/>
          <w:sz w:val="16"/>
          <w:szCs w:val="16"/>
          <w:color w:val="auto"/>
        </w:rPr>
        <w:t>38,823,100 shares of our class C ordinary shares at an average price per share of $18.03, for an aggregate purchase price of $700.2 million, including direct acquisition costs. In February 2020, our board of directors authorized an additional $1.0 billion for share repurchases. At June 30, 2020, the remaining amount authorized for share repurchases was $370.0 million.</w:t>
      </w:r>
    </w:p>
    <w:p>
      <w:pPr>
        <w:spacing w:after="0" w:line="356"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267"/>
          </w:cols>
          <w:pgMar w:left="313" w:top="262" w:right="319" w:bottom="1440" w:gutter="0" w:footer="0" w:header="0"/>
        </w:sectPr>
      </w:pPr>
    </w:p>
    <w:bookmarkStart w:id="36" w:name="page37"/>
    <w:bookmarkEnd w:id="36"/>
    <w:p>
      <w:pPr>
        <w:jc w:val="center"/>
        <w:ind w:right="-6"/>
        <w:spacing w:after="0"/>
        <w:rPr>
          <w:sz w:val="20"/>
          <w:szCs w:val="20"/>
          <w:color w:val="auto"/>
        </w:rPr>
      </w:pPr>
      <w:r>
        <w:rPr>
          <w:rFonts w:ascii="Arial" w:cs="Arial" w:eastAsia="Arial" w:hAnsi="Arial"/>
          <w:sz w:val="16"/>
          <w:szCs w:val="16"/>
          <w:b w:val="1"/>
          <w:bCs w:val="1"/>
          <w:color w:val="auto"/>
        </w:rPr>
        <w:t>LIBERTY GLOBAL PLC</w:t>
      </w:r>
    </w:p>
    <w:p>
      <w:pPr>
        <w:spacing w:after="0" w:line="18"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Notes to Condensed Consolidated Financial Statements — (Continued)</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June 30, 2020</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98" w:lineRule="exact"/>
        <w:rPr>
          <w:sz w:val="20"/>
          <w:szCs w:val="20"/>
          <w:color w:val="auto"/>
        </w:rPr>
      </w:pPr>
    </w:p>
    <w:p>
      <w:pPr>
        <w:ind w:left="407" w:hanging="407"/>
        <w:spacing w:after="0"/>
        <w:tabs>
          <w:tab w:leader="none" w:pos="407"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Share-based Compensation</w:t>
      </w:r>
    </w:p>
    <w:p>
      <w:pPr>
        <w:spacing w:after="0" w:line="194" w:lineRule="exact"/>
        <w:rPr>
          <w:sz w:val="20"/>
          <w:szCs w:val="20"/>
          <w:color w:val="auto"/>
        </w:rPr>
      </w:pPr>
    </w:p>
    <w:p>
      <w:pPr>
        <w:ind w:left="7" w:firstLine="279"/>
        <w:spacing w:after="0" w:line="258" w:lineRule="auto"/>
        <w:rPr>
          <w:sz w:val="20"/>
          <w:szCs w:val="20"/>
          <w:color w:val="auto"/>
        </w:rPr>
      </w:pPr>
      <w:r>
        <w:rPr>
          <w:rFonts w:ascii="Arial" w:cs="Arial" w:eastAsia="Arial" w:hAnsi="Arial"/>
          <w:sz w:val="16"/>
          <w:szCs w:val="16"/>
          <w:color w:val="auto"/>
        </w:rPr>
        <w:t>Our share-based compensation expense primarily relates to the share-based incentive awards issued by Liberty Global to its employees and employees of its subsidiaries. A summary of our aggregate share-based compensation expense is set forth below:</w:t>
      </w:r>
    </w:p>
    <w:p>
      <w:pPr>
        <w:spacing w:after="0" w:line="114"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6400" w:type="dxa"/>
            <w:vAlign w:val="bottom"/>
          </w:tcPr>
          <w:p>
            <w:pPr>
              <w:spacing w:after="0"/>
              <w:rPr>
                <w:sz w:val="15"/>
                <w:szCs w:val="15"/>
                <w:color w:val="auto"/>
              </w:rPr>
            </w:pPr>
          </w:p>
        </w:tc>
        <w:tc>
          <w:tcPr>
            <w:tcW w:w="2000" w:type="dxa"/>
            <w:vAlign w:val="bottom"/>
            <w:gridSpan w:val="4"/>
          </w:tcPr>
          <w:p>
            <w:pPr>
              <w:jc w:val="right"/>
              <w:ind w:right="104"/>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0" w:type="dxa"/>
            <w:vAlign w:val="bottom"/>
            <w:gridSpan w:val="4"/>
          </w:tcPr>
          <w:p>
            <w:pPr>
              <w:jc w:val="right"/>
              <w:ind w:right="54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2"/>
        </w:trPr>
        <w:tc>
          <w:tcPr>
            <w:tcW w:w="6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60" w:type="dxa"/>
            <w:vAlign w:val="bottom"/>
            <w:gridSpan w:val="3"/>
          </w:tcPr>
          <w:p>
            <w:pPr>
              <w:jc w:val="right"/>
              <w:ind w:right="464"/>
              <w:spacing w:after="0"/>
              <w:rPr>
                <w:sz w:val="20"/>
                <w:szCs w:val="20"/>
                <w:color w:val="auto"/>
              </w:rPr>
            </w:pPr>
            <w:r>
              <w:rPr>
                <w:rFonts w:ascii="Arial" w:cs="Arial" w:eastAsia="Arial" w:hAnsi="Arial"/>
                <w:sz w:val="14"/>
                <w:szCs w:val="14"/>
                <w:b w:val="1"/>
                <w:bCs w:val="1"/>
                <w:color w:val="auto"/>
              </w:rPr>
              <w:t>June 30,</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gridSpan w:val="3"/>
          </w:tcPr>
          <w:p>
            <w:pPr>
              <w:jc w:val="right"/>
              <w:ind w:right="22"/>
              <w:spacing w:after="0"/>
              <w:rPr>
                <w:sz w:val="20"/>
                <w:szCs w:val="20"/>
                <w:color w:val="auto"/>
              </w:rPr>
            </w:pPr>
            <w:r>
              <w:rPr>
                <w:rFonts w:ascii="Arial" w:cs="Arial" w:eastAsia="Arial" w:hAnsi="Arial"/>
                <w:sz w:val="14"/>
                <w:szCs w:val="14"/>
                <w:b w:val="1"/>
                <w:bCs w:val="1"/>
                <w:color w:val="auto"/>
              </w:rPr>
              <w:t>June 30,</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64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6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ind w:right="34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34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8"/>
        </w:trPr>
        <w:tc>
          <w:tcPr>
            <w:tcW w:w="64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6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gridSpan w:val="3"/>
          </w:tcPr>
          <w:p>
            <w:pPr>
              <w:jc w:val="right"/>
              <w:ind w:right="22"/>
              <w:spacing w:after="0"/>
              <w:rPr>
                <w:sz w:val="20"/>
                <w:szCs w:val="20"/>
                <w:color w:val="auto"/>
              </w:rPr>
            </w:pPr>
            <w:r>
              <w:rPr>
                <w:rFonts w:ascii="Arial" w:cs="Arial" w:eastAsia="Arial" w:hAnsi="Arial"/>
                <w:sz w:val="14"/>
                <w:szCs w:val="14"/>
                <w:b w:val="1"/>
                <w:bCs w:val="1"/>
                <w:color w:val="auto"/>
              </w:rPr>
              <w:t>in millions</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6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Liberty Global:</w:t>
            </w:r>
          </w:p>
        </w:tc>
        <w:tc>
          <w:tcPr>
            <w:tcW w:w="7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00" w:type="dxa"/>
            <w:vAlign w:val="bottom"/>
          </w:tcPr>
          <w:p>
            <w:pPr>
              <w:ind w:left="140"/>
              <w:spacing w:after="0"/>
              <w:rPr>
                <w:sz w:val="20"/>
                <w:szCs w:val="20"/>
                <w:color w:val="auto"/>
              </w:rPr>
            </w:pPr>
            <w:r>
              <w:rPr>
                <w:rFonts w:ascii="Arial" w:cs="Arial" w:eastAsia="Arial" w:hAnsi="Arial"/>
                <w:sz w:val="16"/>
                <w:szCs w:val="16"/>
                <w:color w:val="auto"/>
              </w:rPr>
              <w:t>Performance-based incentive awards (a)</w:t>
            </w:r>
          </w:p>
        </w:tc>
        <w:tc>
          <w:tcPr>
            <w:tcW w:w="740" w:type="dxa"/>
            <w:vAlign w:val="bottom"/>
          </w:tcPr>
          <w:p>
            <w:pPr>
              <w:jc w:val="right"/>
              <w:ind w:right="565"/>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ind w:right="43"/>
              <w:spacing w:after="0"/>
              <w:rPr>
                <w:sz w:val="20"/>
                <w:szCs w:val="20"/>
                <w:color w:val="auto"/>
              </w:rPr>
            </w:pPr>
            <w:r>
              <w:rPr>
                <w:rFonts w:ascii="Arial" w:cs="Arial" w:eastAsia="Arial" w:hAnsi="Arial"/>
                <w:sz w:val="16"/>
                <w:szCs w:val="16"/>
                <w:color w:val="auto"/>
                <w:w w:val="83"/>
              </w:rPr>
              <w:t>21.6</w:t>
            </w:r>
          </w:p>
        </w:tc>
        <w:tc>
          <w:tcPr>
            <w:tcW w:w="120" w:type="dxa"/>
            <w:vAlign w:val="bottom"/>
          </w:tcPr>
          <w:p>
            <w:pPr>
              <w:spacing w:after="0"/>
              <w:rPr>
                <w:sz w:val="18"/>
                <w:szCs w:val="18"/>
                <w:color w:val="auto"/>
              </w:rPr>
            </w:pPr>
          </w:p>
        </w:tc>
        <w:tc>
          <w:tcPr>
            <w:tcW w:w="740" w:type="dxa"/>
            <w:vAlign w:val="bottom"/>
          </w:tcPr>
          <w:p>
            <w:pPr>
              <w:jc w:val="right"/>
              <w:ind w:right="564"/>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ind w:right="43"/>
              <w:spacing w:after="0"/>
              <w:rPr>
                <w:sz w:val="20"/>
                <w:szCs w:val="20"/>
                <w:color w:val="auto"/>
              </w:rPr>
            </w:pPr>
            <w:r>
              <w:rPr>
                <w:rFonts w:ascii="Arial" w:cs="Arial" w:eastAsia="Arial" w:hAnsi="Arial"/>
                <w:sz w:val="16"/>
                <w:szCs w:val="16"/>
                <w:color w:val="auto"/>
                <w:w w:val="83"/>
              </w:rPr>
              <w:t>38.0</w:t>
            </w:r>
          </w:p>
        </w:tc>
        <w:tc>
          <w:tcPr>
            <w:tcW w:w="120" w:type="dxa"/>
            <w:vAlign w:val="bottom"/>
          </w:tcPr>
          <w:p>
            <w:pPr>
              <w:spacing w:after="0"/>
              <w:rPr>
                <w:sz w:val="18"/>
                <w:szCs w:val="18"/>
                <w:color w:val="auto"/>
              </w:rPr>
            </w:pP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24"/>
              <w:spacing w:after="0"/>
              <w:rPr>
                <w:sz w:val="20"/>
                <w:szCs w:val="20"/>
                <w:color w:val="auto"/>
              </w:rPr>
            </w:pPr>
            <w:r>
              <w:rPr>
                <w:rFonts w:ascii="Arial" w:cs="Arial" w:eastAsia="Arial" w:hAnsi="Arial"/>
                <w:sz w:val="16"/>
                <w:szCs w:val="16"/>
                <w:color w:val="auto"/>
              </w:rPr>
              <w:t>49.3</w:t>
            </w:r>
          </w:p>
        </w:tc>
        <w:tc>
          <w:tcPr>
            <w:tcW w:w="100" w:type="dxa"/>
            <w:vAlign w:val="bottom"/>
          </w:tcPr>
          <w:p>
            <w:pPr>
              <w:spacing w:after="0"/>
              <w:rPr>
                <w:sz w:val="18"/>
                <w:szCs w:val="18"/>
                <w:color w:val="auto"/>
              </w:rPr>
            </w:pP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43"/>
              <w:spacing w:after="0"/>
              <w:rPr>
                <w:sz w:val="20"/>
                <w:szCs w:val="20"/>
                <w:color w:val="auto"/>
              </w:rPr>
            </w:pPr>
            <w:r>
              <w:rPr>
                <w:rFonts w:ascii="Arial" w:cs="Arial" w:eastAsia="Arial" w:hAnsi="Arial"/>
                <w:sz w:val="16"/>
                <w:szCs w:val="16"/>
                <w:color w:val="auto"/>
              </w:rPr>
              <w:t>67.9</w:t>
            </w:r>
          </w:p>
        </w:tc>
        <w:tc>
          <w:tcPr>
            <w:tcW w:w="0" w:type="dxa"/>
            <w:vAlign w:val="bottom"/>
          </w:tcPr>
          <w:p>
            <w:pPr>
              <w:spacing w:after="0"/>
              <w:rPr>
                <w:sz w:val="1"/>
                <w:szCs w:val="1"/>
                <w:color w:val="auto"/>
              </w:rPr>
            </w:pPr>
          </w:p>
        </w:tc>
      </w:tr>
      <w:tr>
        <w:trPr>
          <w:trHeight w:val="24"/>
        </w:trPr>
        <w:tc>
          <w:tcPr>
            <w:tcW w:w="6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6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Non-performance based incentive awards (b)</w:t>
            </w:r>
          </w:p>
        </w:tc>
        <w:tc>
          <w:tcPr>
            <w:tcW w:w="7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w w:val="83"/>
              </w:rPr>
              <w:t>47.8</w:t>
            </w: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w w:val="83"/>
              </w:rPr>
              <w:t>29.0</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66.1</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51.0</w:t>
            </w:r>
          </w:p>
        </w:tc>
        <w:tc>
          <w:tcPr>
            <w:tcW w:w="0" w:type="dxa"/>
            <w:vAlign w:val="bottom"/>
          </w:tcPr>
          <w:p>
            <w:pPr>
              <w:spacing w:after="0"/>
              <w:rPr>
                <w:sz w:val="1"/>
                <w:szCs w:val="1"/>
                <w:color w:val="auto"/>
              </w:rPr>
            </w:pPr>
          </w:p>
        </w:tc>
      </w:tr>
      <w:tr>
        <w:trPr>
          <w:trHeight w:val="209"/>
        </w:trPr>
        <w:tc>
          <w:tcPr>
            <w:tcW w:w="6400" w:type="dxa"/>
            <w:vAlign w:val="bottom"/>
          </w:tcPr>
          <w:p>
            <w:pPr>
              <w:ind w:left="140"/>
              <w:spacing w:after="0"/>
              <w:rPr>
                <w:sz w:val="20"/>
                <w:szCs w:val="20"/>
                <w:color w:val="auto"/>
              </w:rPr>
            </w:pPr>
            <w:r>
              <w:rPr>
                <w:rFonts w:ascii="Arial" w:cs="Arial" w:eastAsia="Arial" w:hAnsi="Arial"/>
                <w:sz w:val="16"/>
                <w:szCs w:val="16"/>
                <w:color w:val="auto"/>
              </w:rPr>
              <w:t>Other (c)</w:t>
            </w:r>
          </w:p>
        </w:tc>
        <w:tc>
          <w:tcPr>
            <w:tcW w:w="740" w:type="dxa"/>
            <w:vAlign w:val="bottom"/>
          </w:tcPr>
          <w:p>
            <w:pPr>
              <w:spacing w:after="0"/>
              <w:rPr>
                <w:sz w:val="18"/>
                <w:szCs w:val="18"/>
                <w:color w:val="auto"/>
              </w:rPr>
            </w:pPr>
          </w:p>
        </w:tc>
        <w:tc>
          <w:tcPr>
            <w:tcW w:w="400" w:type="dxa"/>
            <w:vAlign w:val="bottom"/>
          </w:tcPr>
          <w:p>
            <w:pPr>
              <w:jc w:val="right"/>
              <w:ind w:right="43"/>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jc w:val="right"/>
              <w:ind w:right="43"/>
              <w:spacing w:after="0"/>
              <w:rPr>
                <w:sz w:val="20"/>
                <w:szCs w:val="20"/>
                <w:color w:val="auto"/>
              </w:rPr>
            </w:pPr>
            <w:r>
              <w:rPr>
                <w:rFonts w:ascii="Arial" w:cs="Arial" w:eastAsia="Arial" w:hAnsi="Arial"/>
                <w:sz w:val="16"/>
                <w:szCs w:val="16"/>
                <w:color w:val="auto"/>
                <w:w w:val="83"/>
              </w:rPr>
              <w:t>12.6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ind w:right="24"/>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43"/>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24"/>
        </w:trPr>
        <w:tc>
          <w:tcPr>
            <w:tcW w:w="64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6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Liberty Global</w:t>
            </w:r>
          </w:p>
        </w:tc>
        <w:tc>
          <w:tcPr>
            <w:tcW w:w="74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w w:val="83"/>
              </w:rPr>
              <w:t>75.4</w:t>
            </w: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w w:val="83"/>
              </w:rPr>
              <w:t>79.6</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127.6</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141.4</w:t>
            </w:r>
          </w:p>
        </w:tc>
        <w:tc>
          <w:tcPr>
            <w:tcW w:w="0" w:type="dxa"/>
            <w:vAlign w:val="bottom"/>
          </w:tcPr>
          <w:p>
            <w:pPr>
              <w:spacing w:after="0"/>
              <w:rPr>
                <w:sz w:val="1"/>
                <w:szCs w:val="1"/>
                <w:color w:val="auto"/>
              </w:rPr>
            </w:pPr>
          </w:p>
        </w:tc>
      </w:tr>
      <w:tr>
        <w:trPr>
          <w:trHeight w:val="209"/>
        </w:trPr>
        <w:tc>
          <w:tcPr>
            <w:tcW w:w="6400" w:type="dxa"/>
            <w:vAlign w:val="bottom"/>
          </w:tcPr>
          <w:p>
            <w:pPr>
              <w:ind w:left="20"/>
              <w:spacing w:after="0"/>
              <w:rPr>
                <w:sz w:val="20"/>
                <w:szCs w:val="20"/>
                <w:color w:val="auto"/>
              </w:rPr>
            </w:pPr>
            <w:r>
              <w:rPr>
                <w:rFonts w:ascii="Arial" w:cs="Arial" w:eastAsia="Arial" w:hAnsi="Arial"/>
                <w:sz w:val="16"/>
                <w:szCs w:val="16"/>
                <w:color w:val="auto"/>
              </w:rPr>
              <w:t>Other</w:t>
            </w:r>
          </w:p>
        </w:tc>
        <w:tc>
          <w:tcPr>
            <w:tcW w:w="740" w:type="dxa"/>
            <w:vAlign w:val="bottom"/>
          </w:tcPr>
          <w:p>
            <w:pPr>
              <w:spacing w:after="0"/>
              <w:rPr>
                <w:sz w:val="18"/>
                <w:szCs w:val="18"/>
                <w:color w:val="auto"/>
              </w:rPr>
            </w:pPr>
          </w:p>
        </w:tc>
        <w:tc>
          <w:tcPr>
            <w:tcW w:w="400" w:type="dxa"/>
            <w:vAlign w:val="bottom"/>
          </w:tcPr>
          <w:p>
            <w:pPr>
              <w:jc w:val="right"/>
              <w:ind w:right="43"/>
              <w:spacing w:after="0"/>
              <w:rPr>
                <w:sz w:val="20"/>
                <w:szCs w:val="20"/>
                <w:color w:val="auto"/>
              </w:rPr>
            </w:pPr>
            <w:r>
              <w:rPr>
                <w:rFonts w:ascii="Arial" w:cs="Arial" w:eastAsia="Arial" w:hAnsi="Arial"/>
                <w:sz w:val="16"/>
                <w:szCs w:val="16"/>
                <w:color w:val="auto"/>
              </w:rPr>
              <w:t>8.4</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jc w:val="right"/>
              <w:ind w:right="43"/>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ind w:right="24"/>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43"/>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4"/>
        </w:trPr>
        <w:tc>
          <w:tcPr>
            <w:tcW w:w="64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6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w:t>
            </w:r>
          </w:p>
        </w:tc>
        <w:tc>
          <w:tcPr>
            <w:tcW w:w="740" w:type="dxa"/>
            <w:vAlign w:val="bottom"/>
            <w:tcBorders>
              <w:bottom w:val="single" w:sz="8" w:color="CCEEFF"/>
            </w:tcBorders>
            <w:shd w:val="clear" w:color="auto" w:fill="CCEEFF"/>
          </w:tcPr>
          <w:p>
            <w:pPr>
              <w:jc w:val="right"/>
              <w:ind w:right="565"/>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w w:val="83"/>
              </w:rPr>
              <w:t>83.8</w:t>
            </w: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564"/>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w w:val="83"/>
              </w:rPr>
              <w:t>87.0</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139.0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154.3</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Included in:</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40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6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6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Other operating expense</w:t>
            </w:r>
          </w:p>
        </w:tc>
        <w:tc>
          <w:tcPr>
            <w:tcW w:w="740" w:type="dxa"/>
            <w:vAlign w:val="bottom"/>
            <w:tcBorders>
              <w:bottom w:val="single" w:sz="8" w:color="CCEEFF"/>
            </w:tcBorders>
            <w:shd w:val="clear" w:color="auto" w:fill="CCEEFF"/>
          </w:tcPr>
          <w:p>
            <w:pPr>
              <w:jc w:val="right"/>
              <w:ind w:right="565"/>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564"/>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9"/>
        </w:trPr>
        <w:tc>
          <w:tcPr>
            <w:tcW w:w="6400" w:type="dxa"/>
            <w:vAlign w:val="bottom"/>
          </w:tcPr>
          <w:p>
            <w:pPr>
              <w:ind w:left="140"/>
              <w:spacing w:after="0"/>
              <w:rPr>
                <w:sz w:val="20"/>
                <w:szCs w:val="20"/>
                <w:color w:val="auto"/>
              </w:rPr>
            </w:pPr>
            <w:r>
              <w:rPr>
                <w:rFonts w:ascii="Arial" w:cs="Arial" w:eastAsia="Arial" w:hAnsi="Arial"/>
                <w:sz w:val="16"/>
                <w:szCs w:val="16"/>
                <w:color w:val="auto"/>
              </w:rPr>
              <w:t>SG&amp;A expense</w:t>
            </w:r>
          </w:p>
        </w:tc>
        <w:tc>
          <w:tcPr>
            <w:tcW w:w="740" w:type="dxa"/>
            <w:vAlign w:val="bottom"/>
          </w:tcPr>
          <w:p>
            <w:pPr>
              <w:spacing w:after="0"/>
              <w:rPr>
                <w:sz w:val="18"/>
                <w:szCs w:val="18"/>
                <w:color w:val="auto"/>
              </w:rPr>
            </w:pPr>
          </w:p>
        </w:tc>
        <w:tc>
          <w:tcPr>
            <w:tcW w:w="400" w:type="dxa"/>
            <w:vAlign w:val="bottom"/>
          </w:tcPr>
          <w:p>
            <w:pPr>
              <w:jc w:val="right"/>
              <w:ind w:right="43"/>
              <w:spacing w:after="0"/>
              <w:rPr>
                <w:sz w:val="20"/>
                <w:szCs w:val="20"/>
                <w:color w:val="auto"/>
              </w:rPr>
            </w:pPr>
            <w:r>
              <w:rPr>
                <w:rFonts w:ascii="Arial" w:cs="Arial" w:eastAsia="Arial" w:hAnsi="Arial"/>
                <w:sz w:val="16"/>
                <w:szCs w:val="16"/>
                <w:color w:val="auto"/>
                <w:w w:val="83"/>
              </w:rPr>
              <w:t>82.2</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jc w:val="right"/>
              <w:ind w:right="43"/>
              <w:spacing w:after="0"/>
              <w:rPr>
                <w:sz w:val="20"/>
                <w:szCs w:val="20"/>
                <w:color w:val="auto"/>
              </w:rPr>
            </w:pPr>
            <w:r>
              <w:rPr>
                <w:rFonts w:ascii="Arial" w:cs="Arial" w:eastAsia="Arial" w:hAnsi="Arial"/>
                <w:sz w:val="16"/>
                <w:szCs w:val="16"/>
                <w:color w:val="auto"/>
                <w:w w:val="83"/>
              </w:rPr>
              <w:t>86.0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ind w:right="24"/>
              <w:spacing w:after="0"/>
              <w:rPr>
                <w:sz w:val="20"/>
                <w:szCs w:val="20"/>
                <w:color w:val="auto"/>
              </w:rPr>
            </w:pPr>
            <w:r>
              <w:rPr>
                <w:rFonts w:ascii="Arial" w:cs="Arial" w:eastAsia="Arial" w:hAnsi="Arial"/>
                <w:sz w:val="16"/>
                <w:szCs w:val="16"/>
                <w:color w:val="auto"/>
              </w:rPr>
              <w:t>136.7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43"/>
              <w:spacing w:after="0"/>
              <w:rPr>
                <w:sz w:val="20"/>
                <w:szCs w:val="20"/>
                <w:color w:val="auto"/>
              </w:rPr>
            </w:pPr>
            <w:r>
              <w:rPr>
                <w:rFonts w:ascii="Arial" w:cs="Arial" w:eastAsia="Arial" w:hAnsi="Arial"/>
                <w:sz w:val="16"/>
                <w:szCs w:val="16"/>
                <w:color w:val="auto"/>
              </w:rPr>
              <w:t>152.4</w:t>
            </w:r>
          </w:p>
        </w:tc>
        <w:tc>
          <w:tcPr>
            <w:tcW w:w="0" w:type="dxa"/>
            <w:vAlign w:val="bottom"/>
          </w:tcPr>
          <w:p>
            <w:pPr>
              <w:spacing w:after="0"/>
              <w:rPr>
                <w:sz w:val="1"/>
                <w:szCs w:val="1"/>
                <w:color w:val="auto"/>
              </w:rPr>
            </w:pPr>
          </w:p>
        </w:tc>
      </w:tr>
      <w:tr>
        <w:trPr>
          <w:trHeight w:val="24"/>
        </w:trPr>
        <w:tc>
          <w:tcPr>
            <w:tcW w:w="64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6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w:t>
            </w:r>
          </w:p>
        </w:tc>
        <w:tc>
          <w:tcPr>
            <w:tcW w:w="740" w:type="dxa"/>
            <w:vAlign w:val="bottom"/>
            <w:tcBorders>
              <w:bottom w:val="single" w:sz="8" w:color="CCEEFF"/>
            </w:tcBorders>
            <w:shd w:val="clear" w:color="auto" w:fill="CCEEFF"/>
          </w:tcPr>
          <w:p>
            <w:pPr>
              <w:jc w:val="right"/>
              <w:ind w:right="565"/>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w w:val="83"/>
              </w:rPr>
              <w:t>83.8</w:t>
            </w: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564"/>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w w:val="83"/>
              </w:rPr>
              <w:t>87.0</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139.0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154.3</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_______________</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400" w:type="dxa"/>
            <w:vAlign w:val="bottom"/>
            <w:vMerge w:val="continue"/>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ind w:left="427" w:hanging="427"/>
        <w:spacing w:after="0" w:line="308" w:lineRule="auto"/>
        <w:tabs>
          <w:tab w:leader="none" w:pos="427"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Includes share-based compensation expense related to (i) performance-based restricted share units (</w:t>
      </w:r>
      <w:r>
        <w:rPr>
          <w:rFonts w:ascii="Arial" w:cs="Arial" w:eastAsia="Arial" w:hAnsi="Arial"/>
          <w:sz w:val="14"/>
          <w:szCs w:val="14"/>
          <w:b w:val="1"/>
          <w:bCs w:val="1"/>
          <w:color w:val="auto"/>
        </w:rPr>
        <w:t>PSUs</w:t>
      </w:r>
      <w:r>
        <w:rPr>
          <w:rFonts w:ascii="Arial" w:cs="Arial" w:eastAsia="Arial" w:hAnsi="Arial"/>
          <w:sz w:val="14"/>
          <w:szCs w:val="14"/>
          <w:color w:val="auto"/>
        </w:rPr>
        <w:t xml:space="preserve">), (ii) a challenge performance award plan for certain executive officers and key employees (the </w:t>
      </w:r>
      <w:r>
        <w:rPr>
          <w:rFonts w:ascii="Arial" w:cs="Arial" w:eastAsia="Arial" w:hAnsi="Arial"/>
          <w:sz w:val="14"/>
          <w:szCs w:val="14"/>
          <w:b w:val="1"/>
          <w:bCs w:val="1"/>
          <w:color w:val="auto"/>
        </w:rPr>
        <w:t>2019 Challenge Performance Awards</w:t>
      </w:r>
      <w:r>
        <w:rPr>
          <w:rFonts w:ascii="Arial" w:cs="Arial" w:eastAsia="Arial" w:hAnsi="Arial"/>
          <w:sz w:val="14"/>
          <w:szCs w:val="14"/>
          <w:color w:val="auto"/>
        </w:rPr>
        <w:t>), which included performance-based share appreciation rights (</w:t>
      </w:r>
      <w:r>
        <w:rPr>
          <w:rFonts w:ascii="Arial" w:cs="Arial" w:eastAsia="Arial" w:hAnsi="Arial"/>
          <w:sz w:val="14"/>
          <w:szCs w:val="14"/>
          <w:b w:val="1"/>
          <w:bCs w:val="1"/>
          <w:color w:val="auto"/>
        </w:rPr>
        <w:t>PSARs</w:t>
      </w:r>
      <w:r>
        <w:rPr>
          <w:rFonts w:ascii="Arial" w:cs="Arial" w:eastAsia="Arial" w:hAnsi="Arial"/>
          <w:sz w:val="14"/>
          <w:szCs w:val="14"/>
          <w:color w:val="auto"/>
        </w:rPr>
        <w:t xml:space="preserve">) and PSUs granted in March 2019, and (iii) the performance-based portion of a performance award granted to our Chief Executive Officer in May 2019 (the </w:t>
      </w:r>
      <w:r>
        <w:rPr>
          <w:rFonts w:ascii="Arial" w:cs="Arial" w:eastAsia="Arial" w:hAnsi="Arial"/>
          <w:sz w:val="14"/>
          <w:szCs w:val="14"/>
          <w:b w:val="1"/>
          <w:bCs w:val="1"/>
          <w:color w:val="auto"/>
        </w:rPr>
        <w:t>2019 CEO Performance Award</w:t>
      </w:r>
      <w:r>
        <w:rPr>
          <w:rFonts w:ascii="Arial" w:cs="Arial" w:eastAsia="Arial" w:hAnsi="Arial"/>
          <w:sz w:val="14"/>
          <w:szCs w:val="14"/>
          <w:color w:val="auto"/>
        </w:rPr>
        <w:t>).</w:t>
      </w:r>
    </w:p>
    <w:p>
      <w:pPr>
        <w:spacing w:after="0" w:line="130" w:lineRule="exact"/>
        <w:rPr>
          <w:rFonts w:ascii="Arial" w:cs="Arial" w:eastAsia="Arial" w:hAnsi="Arial"/>
          <w:sz w:val="14"/>
          <w:szCs w:val="14"/>
          <w:color w:val="auto"/>
        </w:rPr>
      </w:pPr>
    </w:p>
    <w:p>
      <w:pPr>
        <w:jc w:val="both"/>
        <w:ind w:left="427" w:right="20" w:hanging="427"/>
        <w:spacing w:after="0" w:line="294" w:lineRule="auto"/>
        <w:tabs>
          <w:tab w:leader="none" w:pos="427"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 2019, we changed our policy to provide that all new equity grants would have ten-year contractual terms in order to more closely align with common market practice. In April 2020, the compensation committee of our board of directors approved the extension of the expiration dates of outstanding share appreciation rights (</w:t>
      </w:r>
      <w:r>
        <w:rPr>
          <w:rFonts w:ascii="Arial" w:cs="Arial" w:eastAsia="Arial" w:hAnsi="Arial"/>
          <w:sz w:val="14"/>
          <w:szCs w:val="14"/>
          <w:b w:val="1"/>
          <w:bCs w:val="1"/>
          <w:color w:val="auto"/>
        </w:rPr>
        <w:t>SARs</w:t>
      </w:r>
      <w:r>
        <w:rPr>
          <w:rFonts w:ascii="Arial" w:cs="Arial" w:eastAsia="Arial" w:hAnsi="Arial"/>
          <w:sz w:val="14"/>
          <w:szCs w:val="14"/>
          <w:color w:val="auto"/>
        </w:rPr>
        <w:t>) and director options granted in 2013 from a seven-year term to a ten-year term in order to align with this new policy. Accordingly, the Black-Scholes fair values of the outstanding awards increased, resulting in the recognition of an aggregate incremental share-based compensation expense of $18.9 million during the second quarter of 2020.</w:t>
      </w:r>
    </w:p>
    <w:p>
      <w:pPr>
        <w:spacing w:after="0" w:line="141" w:lineRule="exact"/>
        <w:rPr>
          <w:rFonts w:ascii="Arial" w:cs="Arial" w:eastAsia="Arial" w:hAnsi="Arial"/>
          <w:sz w:val="14"/>
          <w:szCs w:val="14"/>
          <w:color w:val="auto"/>
        </w:rPr>
      </w:pPr>
    </w:p>
    <w:p>
      <w:pPr>
        <w:jc w:val="both"/>
        <w:ind w:left="427" w:hanging="427"/>
        <w:spacing w:after="0" w:line="248" w:lineRule="auto"/>
        <w:tabs>
          <w:tab w:leader="none" w:pos="427"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Represents annual incentive compensation and defined contribution plan liabilities that have been or are expected to be settled with Liberty Global ordinary shares. In the case of the annual incentive compensation, shares have been or will be issued to senior management and key employees pursuant to a shareholding incentive program. The shareholding incentive program allows these employees to elect to receive up to 100% of their annual incentive compensation in ordinary shares of Liberty Global in lieu of cash.</w:t>
      </w:r>
    </w:p>
    <w:p>
      <w:pPr>
        <w:spacing w:after="0" w:line="356"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267"/>
          </w:cols>
          <w:pgMar w:left="313" w:top="263" w:right="319" w:bottom="1440" w:gutter="0" w:footer="0" w:header="0"/>
        </w:sectPr>
      </w:pPr>
    </w:p>
    <w:bookmarkStart w:id="37" w:name="page38"/>
    <w:bookmarkEnd w:id="37"/>
    <w:p>
      <w:pPr>
        <w:jc w:val="center"/>
        <w:ind w:right="-6"/>
        <w:spacing w:after="0"/>
        <w:rPr>
          <w:sz w:val="20"/>
          <w:szCs w:val="20"/>
          <w:color w:val="auto"/>
        </w:rPr>
      </w:pPr>
      <w:r>
        <w:rPr>
          <w:rFonts w:ascii="Arial" w:cs="Arial" w:eastAsia="Arial" w:hAnsi="Arial"/>
          <w:sz w:val="16"/>
          <w:szCs w:val="16"/>
          <w:b w:val="1"/>
          <w:bCs w:val="1"/>
          <w:color w:val="auto"/>
        </w:rPr>
        <w:t>LIBERTY GLOBAL PLC</w:t>
      </w:r>
    </w:p>
    <w:p>
      <w:pPr>
        <w:spacing w:after="0" w:line="18"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Notes to Condensed Consolidated Financial Statements — (Continued)</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June 30, 2020</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ind w:left="7" w:right="20" w:firstLine="279"/>
        <w:spacing w:after="0" w:line="258" w:lineRule="auto"/>
        <w:rPr>
          <w:sz w:val="20"/>
          <w:szCs w:val="20"/>
          <w:color w:val="auto"/>
        </w:rPr>
      </w:pPr>
      <w:r>
        <w:rPr>
          <w:rFonts w:ascii="Arial" w:cs="Arial" w:eastAsia="Arial" w:hAnsi="Arial"/>
          <w:sz w:val="16"/>
          <w:szCs w:val="16"/>
          <w:color w:val="auto"/>
        </w:rPr>
        <w:t>The following table provides the aggregate number of options, SARs and PSARs with respect to awards issued by Liberty Global that were (i) outstanding and (ii) exercisable as of June 30, 2020:</w:t>
      </w:r>
    </w:p>
    <w:p>
      <w:pPr>
        <w:spacing w:after="0" w:line="126" w:lineRule="exact"/>
        <w:rPr>
          <w:sz w:val="20"/>
          <w:szCs w:val="20"/>
          <w:color w:val="auto"/>
        </w:rPr>
      </w:pPr>
    </w:p>
    <w:tbl>
      <w:tblPr>
        <w:tblLayout w:type="fixed"/>
        <w:tblInd w:w="7" w:type="dxa"/>
        <w:tblCellMar>
          <w:top w:w="0" w:type="dxa"/>
          <w:left w:w="0" w:type="dxa"/>
          <w:bottom w:w="0" w:type="dxa"/>
          <w:right w:w="0" w:type="dxa"/>
        </w:tblCellMar>
      </w:tblPr>
      <w:tr>
        <w:trPr>
          <w:trHeight w:val="182"/>
        </w:trPr>
        <w:tc>
          <w:tcPr>
            <w:tcW w:w="5500" w:type="dxa"/>
            <w:vAlign w:val="bottom"/>
          </w:tcPr>
          <w:p>
            <w:pPr>
              <w:spacing w:after="0"/>
              <w:rPr>
                <w:sz w:val="15"/>
                <w:szCs w:val="15"/>
                <w:color w:val="auto"/>
              </w:rPr>
            </w:pPr>
          </w:p>
        </w:tc>
        <w:tc>
          <w:tcPr>
            <w:tcW w:w="2960" w:type="dxa"/>
            <w:vAlign w:val="bottom"/>
            <w:gridSpan w:val="5"/>
          </w:tcPr>
          <w:p>
            <w:pPr>
              <w:ind w:left="1220"/>
              <w:spacing w:after="0"/>
              <w:rPr>
                <w:sz w:val="20"/>
                <w:szCs w:val="20"/>
                <w:color w:val="auto"/>
              </w:rPr>
            </w:pPr>
            <w:r>
              <w:rPr>
                <w:rFonts w:ascii="Arial" w:cs="Arial" w:eastAsia="Arial" w:hAnsi="Arial"/>
                <w:sz w:val="14"/>
                <w:szCs w:val="14"/>
                <w:b w:val="1"/>
                <w:bCs w:val="1"/>
                <w:color w:val="auto"/>
              </w:rPr>
              <w:t>Class A</w:t>
            </w:r>
          </w:p>
        </w:tc>
        <w:tc>
          <w:tcPr>
            <w:tcW w:w="2780" w:type="dxa"/>
            <w:vAlign w:val="bottom"/>
            <w:gridSpan w:val="4"/>
          </w:tcPr>
          <w:p>
            <w:pPr>
              <w:jc w:val="right"/>
              <w:ind w:right="1084"/>
              <w:spacing w:after="0"/>
              <w:rPr>
                <w:sz w:val="20"/>
                <w:szCs w:val="20"/>
                <w:color w:val="auto"/>
              </w:rPr>
            </w:pPr>
            <w:r>
              <w:rPr>
                <w:rFonts w:ascii="Arial" w:cs="Arial" w:eastAsia="Arial" w:hAnsi="Arial"/>
                <w:sz w:val="14"/>
                <w:szCs w:val="14"/>
                <w:b w:val="1"/>
                <w:bCs w:val="1"/>
                <w:color w:val="auto"/>
              </w:rPr>
              <w:t>Class C</w:t>
            </w:r>
          </w:p>
        </w:tc>
      </w:tr>
      <w:tr>
        <w:trPr>
          <w:trHeight w:val="28"/>
        </w:trPr>
        <w:tc>
          <w:tcPr>
            <w:tcW w:w="55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77"/>
        </w:trPr>
        <w:tc>
          <w:tcPr>
            <w:tcW w:w="5500" w:type="dxa"/>
            <w:vAlign w:val="bottom"/>
          </w:tcPr>
          <w:p>
            <w:pPr>
              <w:spacing w:after="0"/>
              <w:rPr>
                <w:sz w:val="15"/>
                <w:szCs w:val="15"/>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Number of shares</w:t>
            </w:r>
          </w:p>
        </w:tc>
        <w:tc>
          <w:tcPr>
            <w:tcW w:w="120" w:type="dxa"/>
            <w:vAlign w:val="bottom"/>
          </w:tcPr>
          <w:p>
            <w:pPr>
              <w:spacing w:after="0"/>
              <w:rPr>
                <w:sz w:val="15"/>
                <w:szCs w:val="15"/>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Weighted Average</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Number of shares</w:t>
            </w:r>
          </w:p>
        </w:tc>
        <w:tc>
          <w:tcPr>
            <w:tcW w:w="120" w:type="dxa"/>
            <w:vAlign w:val="bottom"/>
          </w:tcPr>
          <w:p>
            <w:pPr>
              <w:spacing w:after="0"/>
              <w:rPr>
                <w:sz w:val="15"/>
                <w:szCs w:val="15"/>
                <w:color w:val="auto"/>
              </w:rPr>
            </w:pPr>
          </w:p>
        </w:tc>
        <w:tc>
          <w:tcPr>
            <w:tcW w:w="1220" w:type="dxa"/>
            <w:vAlign w:val="bottom"/>
          </w:tcPr>
          <w:p>
            <w:pPr>
              <w:jc w:val="right"/>
              <w:ind w:right="44"/>
              <w:spacing w:after="0"/>
              <w:rPr>
                <w:sz w:val="20"/>
                <w:szCs w:val="20"/>
                <w:color w:val="auto"/>
              </w:rPr>
            </w:pPr>
            <w:r>
              <w:rPr>
                <w:rFonts w:ascii="Arial" w:cs="Arial" w:eastAsia="Arial" w:hAnsi="Arial"/>
                <w:sz w:val="14"/>
                <w:szCs w:val="14"/>
                <w:b w:val="1"/>
                <w:bCs w:val="1"/>
                <w:color w:val="auto"/>
                <w:w w:val="88"/>
              </w:rPr>
              <w:t>Weighted Average</w:t>
            </w:r>
          </w:p>
        </w:tc>
      </w:tr>
      <w:tr>
        <w:trPr>
          <w:trHeight w:val="182"/>
        </w:trPr>
        <w:tc>
          <w:tcPr>
            <w:tcW w:w="5500" w:type="dxa"/>
            <w:vAlign w:val="bottom"/>
          </w:tcPr>
          <w:p>
            <w:pPr>
              <w:spacing w:after="0"/>
              <w:rPr>
                <w:sz w:val="15"/>
                <w:szCs w:val="15"/>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underlying awards</w:t>
            </w:r>
          </w:p>
        </w:tc>
        <w:tc>
          <w:tcPr>
            <w:tcW w:w="14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6"/>
              </w:rPr>
              <w:t>exercise or base price</w:t>
            </w:r>
          </w:p>
        </w:tc>
        <w:tc>
          <w:tcPr>
            <w:tcW w:w="14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underlying awards</w:t>
            </w: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w w:val="86"/>
              </w:rPr>
              <w:t>exercise or base price</w:t>
            </w:r>
          </w:p>
        </w:tc>
      </w:tr>
      <w:tr>
        <w:trPr>
          <w:trHeight w:val="28"/>
        </w:trPr>
        <w:tc>
          <w:tcPr>
            <w:tcW w:w="55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4"/>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Held by Liberty Global employees:</w:t>
            </w:r>
          </w:p>
        </w:tc>
        <w:tc>
          <w:tcPr>
            <w:tcW w:w="13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r>
      <w:tr>
        <w:trPr>
          <w:trHeight w:val="209"/>
        </w:trPr>
        <w:tc>
          <w:tcPr>
            <w:tcW w:w="5500" w:type="dxa"/>
            <w:vAlign w:val="bottom"/>
          </w:tcPr>
          <w:p>
            <w:pPr>
              <w:ind w:left="140"/>
              <w:spacing w:after="0"/>
              <w:rPr>
                <w:sz w:val="20"/>
                <w:szCs w:val="20"/>
                <w:color w:val="auto"/>
              </w:rPr>
            </w:pPr>
            <w:r>
              <w:rPr>
                <w:rFonts w:ascii="Arial" w:cs="Arial" w:eastAsia="Arial" w:hAnsi="Arial"/>
                <w:sz w:val="16"/>
                <w:szCs w:val="16"/>
                <w:color w:val="auto"/>
              </w:rPr>
              <w:t>Outstanding</w:t>
            </w:r>
          </w:p>
        </w:tc>
        <w:tc>
          <w:tcPr>
            <w:tcW w:w="1360" w:type="dxa"/>
            <w:vAlign w:val="bottom"/>
          </w:tcPr>
          <w:p>
            <w:pPr>
              <w:jc w:val="right"/>
              <w:ind w:right="26"/>
              <w:spacing w:after="0"/>
              <w:rPr>
                <w:sz w:val="20"/>
                <w:szCs w:val="20"/>
                <w:color w:val="auto"/>
              </w:rPr>
            </w:pPr>
            <w:r>
              <w:rPr>
                <w:rFonts w:ascii="Arial" w:cs="Arial" w:eastAsia="Arial" w:hAnsi="Arial"/>
                <w:sz w:val="16"/>
                <w:szCs w:val="16"/>
                <w:color w:val="auto"/>
              </w:rPr>
              <w:t>24,236,156</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24"/>
              <w:spacing w:after="0"/>
              <w:rPr>
                <w:sz w:val="20"/>
                <w:szCs w:val="20"/>
                <w:color w:val="auto"/>
              </w:rPr>
            </w:pPr>
            <w:r>
              <w:rPr>
                <w:rFonts w:ascii="Arial" w:cs="Arial" w:eastAsia="Arial" w:hAnsi="Arial"/>
                <w:sz w:val="16"/>
                <w:szCs w:val="16"/>
                <w:color w:val="auto"/>
              </w:rPr>
              <w:t>27.34</w:t>
            </w:r>
          </w:p>
        </w:tc>
        <w:tc>
          <w:tcPr>
            <w:tcW w:w="120" w:type="dxa"/>
            <w:vAlign w:val="bottom"/>
          </w:tcPr>
          <w:p>
            <w:pPr>
              <w:spacing w:after="0"/>
              <w:rPr>
                <w:sz w:val="18"/>
                <w:szCs w:val="18"/>
                <w:color w:val="auto"/>
              </w:rPr>
            </w:pPr>
          </w:p>
        </w:tc>
        <w:tc>
          <w:tcPr>
            <w:tcW w:w="1340" w:type="dxa"/>
            <w:vAlign w:val="bottom"/>
          </w:tcPr>
          <w:p>
            <w:pPr>
              <w:jc w:val="right"/>
              <w:ind w:right="26"/>
              <w:spacing w:after="0"/>
              <w:rPr>
                <w:sz w:val="20"/>
                <w:szCs w:val="20"/>
                <w:color w:val="auto"/>
              </w:rPr>
            </w:pPr>
            <w:r>
              <w:rPr>
                <w:rFonts w:ascii="Arial" w:cs="Arial" w:eastAsia="Arial" w:hAnsi="Arial"/>
                <w:sz w:val="16"/>
                <w:szCs w:val="16"/>
                <w:color w:val="auto"/>
              </w:rPr>
              <w:t>53,198,176</w:t>
            </w:r>
          </w:p>
        </w:tc>
        <w:tc>
          <w:tcPr>
            <w:tcW w:w="10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4"/>
              <w:spacing w:after="0"/>
              <w:rPr>
                <w:sz w:val="20"/>
                <w:szCs w:val="20"/>
                <w:color w:val="auto"/>
              </w:rPr>
            </w:pPr>
            <w:r>
              <w:rPr>
                <w:rFonts w:ascii="Arial" w:cs="Arial" w:eastAsia="Arial" w:hAnsi="Arial"/>
                <w:sz w:val="16"/>
                <w:szCs w:val="16"/>
                <w:color w:val="auto"/>
              </w:rPr>
              <w:t>26.20</w:t>
            </w:r>
          </w:p>
        </w:tc>
      </w:tr>
      <w:tr>
        <w:trPr>
          <w:trHeight w:val="64"/>
        </w:trPr>
        <w:tc>
          <w:tcPr>
            <w:tcW w:w="5500" w:type="dxa"/>
            <w:vAlign w:val="bottom"/>
            <w:tcBorders>
              <w:bottom w:val="single" w:sz="8" w:color="CCEEFF"/>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r>
      <w:tr>
        <w:trPr>
          <w:trHeight w:val="213"/>
        </w:trPr>
        <w:tc>
          <w:tcPr>
            <w:tcW w:w="5500" w:type="dxa"/>
            <w:vAlign w:val="bottom"/>
            <w:tcBorders>
              <w:bottom w:val="single" w:sz="8" w:color="CCEEFF"/>
            </w:tcBorders>
            <w:shd w:val="clear" w:color="auto" w:fill="CCEEFF"/>
          </w:tcPr>
          <w:p>
            <w:pPr>
              <w:ind w:left="140"/>
              <w:spacing w:after="0" w:line="161" w:lineRule="exact"/>
              <w:rPr>
                <w:sz w:val="20"/>
                <w:szCs w:val="20"/>
                <w:color w:val="auto"/>
              </w:rPr>
            </w:pPr>
            <w:r>
              <w:rPr>
                <w:rFonts w:ascii="Arial" w:cs="Arial" w:eastAsia="Arial" w:hAnsi="Arial"/>
                <w:sz w:val="16"/>
                <w:szCs w:val="16"/>
                <w:color w:val="auto"/>
              </w:rPr>
              <w:t>Exercisable</w:t>
            </w:r>
          </w:p>
        </w:tc>
        <w:tc>
          <w:tcPr>
            <w:tcW w:w="13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color w:val="auto"/>
              </w:rPr>
              <w:t>11,641,307</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32.54</w:t>
            </w:r>
          </w:p>
        </w:tc>
        <w:tc>
          <w:tcPr>
            <w:tcW w:w="1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color w:val="auto"/>
              </w:rPr>
              <w:t>27,367,784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30.51</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54"/>
        </w:trPr>
        <w:tc>
          <w:tcPr>
            <w:tcW w:w="55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13"/>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Held by former Liberty Global employees:</w:t>
            </w:r>
          </w:p>
        </w:tc>
        <w:tc>
          <w:tcPr>
            <w:tcW w:w="13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r>
      <w:tr>
        <w:trPr>
          <w:trHeight w:val="209"/>
        </w:trPr>
        <w:tc>
          <w:tcPr>
            <w:tcW w:w="5500" w:type="dxa"/>
            <w:vAlign w:val="bottom"/>
          </w:tcPr>
          <w:p>
            <w:pPr>
              <w:ind w:left="140"/>
              <w:spacing w:after="0"/>
              <w:rPr>
                <w:sz w:val="20"/>
                <w:szCs w:val="20"/>
                <w:color w:val="auto"/>
              </w:rPr>
            </w:pPr>
            <w:r>
              <w:rPr>
                <w:rFonts w:ascii="Arial" w:cs="Arial" w:eastAsia="Arial" w:hAnsi="Arial"/>
                <w:sz w:val="16"/>
                <w:szCs w:val="16"/>
                <w:color w:val="auto"/>
              </w:rPr>
              <w:t>Outstanding</w:t>
            </w:r>
          </w:p>
        </w:tc>
        <w:tc>
          <w:tcPr>
            <w:tcW w:w="1360" w:type="dxa"/>
            <w:vAlign w:val="bottom"/>
          </w:tcPr>
          <w:p>
            <w:pPr>
              <w:jc w:val="right"/>
              <w:ind w:right="26"/>
              <w:spacing w:after="0"/>
              <w:rPr>
                <w:sz w:val="20"/>
                <w:szCs w:val="20"/>
                <w:color w:val="auto"/>
              </w:rPr>
            </w:pPr>
            <w:r>
              <w:rPr>
                <w:rFonts w:ascii="Arial" w:cs="Arial" w:eastAsia="Arial" w:hAnsi="Arial"/>
                <w:sz w:val="16"/>
                <w:szCs w:val="16"/>
                <w:color w:val="auto"/>
              </w:rPr>
              <w:t>1,162,767</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24"/>
              <w:spacing w:after="0"/>
              <w:rPr>
                <w:sz w:val="20"/>
                <w:szCs w:val="20"/>
                <w:color w:val="auto"/>
              </w:rPr>
            </w:pPr>
            <w:r>
              <w:rPr>
                <w:rFonts w:ascii="Arial" w:cs="Arial" w:eastAsia="Arial" w:hAnsi="Arial"/>
                <w:sz w:val="16"/>
                <w:szCs w:val="16"/>
                <w:color w:val="auto"/>
              </w:rPr>
              <w:t>35.57</w:t>
            </w:r>
          </w:p>
        </w:tc>
        <w:tc>
          <w:tcPr>
            <w:tcW w:w="120" w:type="dxa"/>
            <w:vAlign w:val="bottom"/>
          </w:tcPr>
          <w:p>
            <w:pPr>
              <w:spacing w:after="0"/>
              <w:rPr>
                <w:sz w:val="18"/>
                <w:szCs w:val="18"/>
                <w:color w:val="auto"/>
              </w:rPr>
            </w:pPr>
          </w:p>
        </w:tc>
        <w:tc>
          <w:tcPr>
            <w:tcW w:w="1340" w:type="dxa"/>
            <w:vAlign w:val="bottom"/>
          </w:tcPr>
          <w:p>
            <w:pPr>
              <w:jc w:val="right"/>
              <w:ind w:right="26"/>
              <w:spacing w:after="0"/>
              <w:rPr>
                <w:sz w:val="20"/>
                <w:szCs w:val="20"/>
                <w:color w:val="auto"/>
              </w:rPr>
            </w:pPr>
            <w:r>
              <w:rPr>
                <w:rFonts w:ascii="Arial" w:cs="Arial" w:eastAsia="Arial" w:hAnsi="Arial"/>
                <w:sz w:val="16"/>
                <w:szCs w:val="16"/>
                <w:color w:val="auto"/>
              </w:rPr>
              <w:t>2,342,852</w:t>
            </w:r>
          </w:p>
        </w:tc>
        <w:tc>
          <w:tcPr>
            <w:tcW w:w="10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4"/>
              <w:spacing w:after="0"/>
              <w:rPr>
                <w:sz w:val="20"/>
                <w:szCs w:val="20"/>
                <w:color w:val="auto"/>
              </w:rPr>
            </w:pPr>
            <w:r>
              <w:rPr>
                <w:rFonts w:ascii="Arial" w:cs="Arial" w:eastAsia="Arial" w:hAnsi="Arial"/>
                <w:sz w:val="16"/>
                <w:szCs w:val="16"/>
                <w:color w:val="auto"/>
              </w:rPr>
              <w:t>34.29</w:t>
            </w:r>
          </w:p>
        </w:tc>
      </w:tr>
      <w:tr>
        <w:trPr>
          <w:trHeight w:val="64"/>
        </w:trPr>
        <w:tc>
          <w:tcPr>
            <w:tcW w:w="5500" w:type="dxa"/>
            <w:vAlign w:val="bottom"/>
            <w:tcBorders>
              <w:bottom w:val="single" w:sz="8" w:color="CCEEFF"/>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r>
      <w:tr>
        <w:trPr>
          <w:trHeight w:val="213"/>
        </w:trPr>
        <w:tc>
          <w:tcPr>
            <w:tcW w:w="5500" w:type="dxa"/>
            <w:vAlign w:val="bottom"/>
            <w:tcBorders>
              <w:bottom w:val="single" w:sz="8" w:color="CCEEFF"/>
            </w:tcBorders>
            <w:shd w:val="clear" w:color="auto" w:fill="CCEEFF"/>
          </w:tcPr>
          <w:p>
            <w:pPr>
              <w:ind w:left="140"/>
              <w:spacing w:after="0" w:line="161" w:lineRule="exact"/>
              <w:rPr>
                <w:sz w:val="20"/>
                <w:szCs w:val="20"/>
                <w:color w:val="auto"/>
              </w:rPr>
            </w:pPr>
            <w:r>
              <w:rPr>
                <w:rFonts w:ascii="Arial" w:cs="Arial" w:eastAsia="Arial" w:hAnsi="Arial"/>
                <w:sz w:val="16"/>
                <w:szCs w:val="16"/>
                <w:color w:val="auto"/>
              </w:rPr>
              <w:t>Exercisable</w:t>
            </w:r>
          </w:p>
        </w:tc>
        <w:tc>
          <w:tcPr>
            <w:tcW w:w="13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color w:val="auto"/>
              </w:rPr>
              <w:t>1,129,898</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35.57</w:t>
            </w:r>
          </w:p>
        </w:tc>
        <w:tc>
          <w:tcPr>
            <w:tcW w:w="1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color w:val="auto"/>
              </w:rPr>
              <w:t>2,277,127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34.27</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356" w:lineRule="exact"/>
        <w:rPr>
          <w:sz w:val="20"/>
          <w:szCs w:val="20"/>
          <w:color w:val="auto"/>
        </w:rPr>
      </w:pPr>
    </w:p>
    <w:p>
      <w:pPr>
        <w:ind w:left="287"/>
        <w:spacing w:after="0"/>
        <w:rPr>
          <w:sz w:val="20"/>
          <w:szCs w:val="20"/>
          <w:color w:val="auto"/>
        </w:rPr>
      </w:pPr>
      <w:r>
        <w:rPr>
          <w:rFonts w:ascii="Arial" w:cs="Arial" w:eastAsia="Arial" w:hAnsi="Arial"/>
          <w:sz w:val="16"/>
          <w:szCs w:val="16"/>
          <w:color w:val="auto"/>
        </w:rPr>
        <w:t>The following table provides the aggregate number of restricted share units (</w:t>
      </w:r>
      <w:r>
        <w:rPr>
          <w:rFonts w:ascii="Arial" w:cs="Arial" w:eastAsia="Arial" w:hAnsi="Arial"/>
          <w:sz w:val="16"/>
          <w:szCs w:val="16"/>
          <w:b w:val="1"/>
          <w:bCs w:val="1"/>
          <w:color w:val="auto"/>
        </w:rPr>
        <w:t>RSUs</w:t>
      </w:r>
      <w:r>
        <w:rPr>
          <w:rFonts w:ascii="Arial" w:cs="Arial" w:eastAsia="Arial" w:hAnsi="Arial"/>
          <w:sz w:val="16"/>
          <w:szCs w:val="16"/>
          <w:color w:val="auto"/>
        </w:rPr>
        <w:t>) and PSUs that were outstanding as of June 30, 2020:</w:t>
      </w:r>
    </w:p>
    <w:p>
      <w:pPr>
        <w:spacing w:after="0" w:line="158" w:lineRule="exact"/>
        <w:rPr>
          <w:sz w:val="20"/>
          <w:szCs w:val="20"/>
          <w:color w:val="auto"/>
        </w:rPr>
      </w:pPr>
    </w:p>
    <w:tbl>
      <w:tblPr>
        <w:tblLayout w:type="fixed"/>
        <w:tblInd w:w="7" w:type="dxa"/>
        <w:tblCellMar>
          <w:top w:w="0" w:type="dxa"/>
          <w:left w:w="0" w:type="dxa"/>
          <w:bottom w:w="0" w:type="dxa"/>
          <w:right w:w="0" w:type="dxa"/>
        </w:tblCellMar>
      </w:tblPr>
      <w:tr>
        <w:trPr>
          <w:trHeight w:val="182"/>
        </w:trPr>
        <w:tc>
          <w:tcPr>
            <w:tcW w:w="6980" w:type="dxa"/>
            <w:vAlign w:val="bottom"/>
          </w:tcPr>
          <w:p>
            <w:pPr>
              <w:spacing w:after="0"/>
              <w:rPr>
                <w:sz w:val="15"/>
                <w:szCs w:val="15"/>
                <w:color w:val="auto"/>
              </w:rPr>
            </w:pPr>
          </w:p>
        </w:tc>
        <w:tc>
          <w:tcPr>
            <w:tcW w:w="1480" w:type="dxa"/>
            <w:vAlign w:val="bottom"/>
            <w:gridSpan w:val="2"/>
          </w:tcPr>
          <w:p>
            <w:pPr>
              <w:ind w:left="440"/>
              <w:spacing w:after="0"/>
              <w:rPr>
                <w:sz w:val="20"/>
                <w:szCs w:val="20"/>
                <w:color w:val="auto"/>
              </w:rPr>
            </w:pPr>
            <w:r>
              <w:rPr>
                <w:rFonts w:ascii="Arial" w:cs="Arial" w:eastAsia="Arial" w:hAnsi="Arial"/>
                <w:sz w:val="14"/>
                <w:szCs w:val="14"/>
                <w:b w:val="1"/>
                <w:bCs w:val="1"/>
                <w:color w:val="auto"/>
              </w:rPr>
              <w:t>Class A</w:t>
            </w:r>
          </w:p>
        </w:tc>
        <w:tc>
          <w:tcPr>
            <w:tcW w:w="1440" w:type="dxa"/>
            <w:vAlign w:val="bottom"/>
            <w:gridSpan w:val="2"/>
          </w:tcPr>
          <w:p>
            <w:pPr>
              <w:ind w:left="440"/>
              <w:spacing w:after="0"/>
              <w:rPr>
                <w:sz w:val="20"/>
                <w:szCs w:val="20"/>
                <w:color w:val="auto"/>
              </w:rPr>
            </w:pPr>
            <w:r>
              <w:rPr>
                <w:rFonts w:ascii="Arial" w:cs="Arial" w:eastAsia="Arial" w:hAnsi="Arial"/>
                <w:sz w:val="14"/>
                <w:szCs w:val="14"/>
                <w:b w:val="1"/>
                <w:bCs w:val="1"/>
                <w:color w:val="auto"/>
              </w:rPr>
              <w:t>Class B</w:t>
            </w:r>
          </w:p>
        </w:tc>
        <w:tc>
          <w:tcPr>
            <w:tcW w:w="1340" w:type="dxa"/>
            <w:vAlign w:val="bottom"/>
          </w:tcPr>
          <w:p>
            <w:pPr>
              <w:jc w:val="right"/>
              <w:ind w:right="364"/>
              <w:spacing w:after="0"/>
              <w:rPr>
                <w:sz w:val="20"/>
                <w:szCs w:val="20"/>
                <w:color w:val="auto"/>
              </w:rPr>
            </w:pPr>
            <w:r>
              <w:rPr>
                <w:rFonts w:ascii="Arial" w:cs="Arial" w:eastAsia="Arial" w:hAnsi="Arial"/>
                <w:sz w:val="14"/>
                <w:szCs w:val="14"/>
                <w:b w:val="1"/>
                <w:bCs w:val="1"/>
                <w:color w:val="auto"/>
              </w:rPr>
              <w:t>Class C</w:t>
            </w:r>
          </w:p>
        </w:tc>
        <w:tc>
          <w:tcPr>
            <w:tcW w:w="0" w:type="dxa"/>
            <w:vAlign w:val="bottom"/>
          </w:tcPr>
          <w:p>
            <w:pPr>
              <w:spacing w:after="0"/>
              <w:rPr>
                <w:sz w:val="1"/>
                <w:szCs w:val="1"/>
                <w:color w:val="auto"/>
              </w:rPr>
            </w:pPr>
          </w:p>
        </w:tc>
      </w:tr>
      <w:tr>
        <w:trPr>
          <w:trHeight w:val="28"/>
        </w:trPr>
        <w:tc>
          <w:tcPr>
            <w:tcW w:w="69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Held by Liberty Global employees:</w:t>
            </w:r>
          </w:p>
        </w:tc>
        <w:tc>
          <w:tcPr>
            <w:tcW w:w="13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980" w:type="dxa"/>
            <w:vAlign w:val="bottom"/>
          </w:tcPr>
          <w:p>
            <w:pPr>
              <w:ind w:left="140"/>
              <w:spacing w:after="0"/>
              <w:rPr>
                <w:sz w:val="20"/>
                <w:szCs w:val="20"/>
                <w:color w:val="auto"/>
              </w:rPr>
            </w:pPr>
            <w:r>
              <w:rPr>
                <w:rFonts w:ascii="Arial" w:cs="Arial" w:eastAsia="Arial" w:hAnsi="Arial"/>
                <w:sz w:val="16"/>
                <w:szCs w:val="16"/>
                <w:color w:val="auto"/>
              </w:rPr>
              <w:t>RSUs</w:t>
            </w:r>
          </w:p>
        </w:tc>
        <w:tc>
          <w:tcPr>
            <w:tcW w:w="1360" w:type="dxa"/>
            <w:vAlign w:val="bottom"/>
          </w:tcPr>
          <w:p>
            <w:pPr>
              <w:jc w:val="right"/>
              <w:ind w:right="44"/>
              <w:spacing w:after="0"/>
              <w:rPr>
                <w:sz w:val="20"/>
                <w:szCs w:val="20"/>
                <w:color w:val="auto"/>
              </w:rPr>
            </w:pPr>
            <w:r>
              <w:rPr>
                <w:rFonts w:ascii="Arial" w:cs="Arial" w:eastAsia="Arial" w:hAnsi="Arial"/>
                <w:sz w:val="16"/>
                <w:szCs w:val="16"/>
                <w:color w:val="auto"/>
              </w:rPr>
              <w:t>2,523,790</w:t>
            </w:r>
          </w:p>
        </w:tc>
        <w:tc>
          <w:tcPr>
            <w:tcW w:w="1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4"/>
              <w:spacing w:after="0"/>
              <w:rPr>
                <w:sz w:val="20"/>
                <w:szCs w:val="20"/>
                <w:color w:val="auto"/>
              </w:rPr>
            </w:pPr>
            <w:r>
              <w:rPr>
                <w:rFonts w:ascii="Arial" w:cs="Arial" w:eastAsia="Arial" w:hAnsi="Arial"/>
                <w:sz w:val="16"/>
                <w:szCs w:val="16"/>
                <w:color w:val="auto"/>
              </w:rPr>
              <w:t>5,040,305</w:t>
            </w:r>
          </w:p>
        </w:tc>
        <w:tc>
          <w:tcPr>
            <w:tcW w:w="0" w:type="dxa"/>
            <w:vAlign w:val="bottom"/>
          </w:tcPr>
          <w:p>
            <w:pPr>
              <w:spacing w:after="0"/>
              <w:rPr>
                <w:sz w:val="1"/>
                <w:szCs w:val="1"/>
                <w:color w:val="auto"/>
              </w:rPr>
            </w:pPr>
          </w:p>
        </w:tc>
      </w:tr>
      <w:tr>
        <w:trPr>
          <w:trHeight w:val="64"/>
        </w:trPr>
        <w:tc>
          <w:tcPr>
            <w:tcW w:w="6980" w:type="dxa"/>
            <w:vAlign w:val="bottom"/>
            <w:tcBorders>
              <w:bottom w:val="single" w:sz="8" w:color="CCEEFF"/>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6980" w:type="dxa"/>
            <w:vAlign w:val="bottom"/>
            <w:tcBorders>
              <w:bottom w:val="single" w:sz="8" w:color="CCEEFF"/>
            </w:tcBorders>
            <w:shd w:val="clear" w:color="auto" w:fill="CCEEFF"/>
          </w:tcPr>
          <w:p>
            <w:pPr>
              <w:ind w:left="140"/>
              <w:spacing w:after="0" w:line="161" w:lineRule="exact"/>
              <w:rPr>
                <w:sz w:val="20"/>
                <w:szCs w:val="20"/>
                <w:color w:val="auto"/>
              </w:rPr>
            </w:pPr>
            <w:r>
              <w:rPr>
                <w:rFonts w:ascii="Arial" w:cs="Arial" w:eastAsia="Arial" w:hAnsi="Arial"/>
                <w:sz w:val="16"/>
                <w:szCs w:val="16"/>
                <w:color w:val="auto"/>
              </w:rPr>
              <w:t>PSUs</w:t>
            </w:r>
          </w:p>
        </w:tc>
        <w:tc>
          <w:tcPr>
            <w:tcW w:w="136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2,748,202</w:t>
            </w:r>
          </w:p>
        </w:tc>
        <w:tc>
          <w:tcPr>
            <w:tcW w:w="1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660,000</w:t>
            </w: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5,497,202</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Held by former Liberty Global employees:</w:t>
            </w: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980" w:type="dxa"/>
            <w:vAlign w:val="bottom"/>
            <w:vMerge w:val="continue"/>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69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6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RSUs</w:t>
            </w:r>
          </w:p>
        </w:tc>
        <w:tc>
          <w:tcPr>
            <w:tcW w:w="136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1,158</w:t>
            </w:r>
          </w:p>
        </w:tc>
        <w:tc>
          <w:tcPr>
            <w:tcW w:w="1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2,302</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6"/>
                <w:szCs w:val="16"/>
                <w:color w:val="auto"/>
              </w:rPr>
              <w:t>PSUs</w:t>
            </w: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980" w:type="dxa"/>
            <w:vAlign w:val="bottom"/>
            <w:vMerge w:val="continue"/>
          </w:tcPr>
          <w:p>
            <w:pPr>
              <w:spacing w:after="0"/>
              <w:rPr>
                <w:sz w:val="15"/>
                <w:szCs w:val="15"/>
                <w:color w:val="auto"/>
              </w:rPr>
            </w:pPr>
          </w:p>
        </w:tc>
        <w:tc>
          <w:tcPr>
            <w:tcW w:w="1360" w:type="dxa"/>
            <w:vAlign w:val="bottom"/>
          </w:tcPr>
          <w:p>
            <w:pPr>
              <w:jc w:val="right"/>
              <w:ind w:right="44"/>
              <w:spacing w:after="0"/>
              <w:rPr>
                <w:sz w:val="20"/>
                <w:szCs w:val="20"/>
                <w:color w:val="auto"/>
              </w:rPr>
            </w:pPr>
            <w:r>
              <w:rPr>
                <w:rFonts w:ascii="Arial" w:cs="Arial" w:eastAsia="Arial" w:hAnsi="Arial"/>
                <w:sz w:val="16"/>
                <w:szCs w:val="16"/>
                <w:color w:val="auto"/>
              </w:rPr>
              <w:t>24,521</w:t>
            </w:r>
          </w:p>
        </w:tc>
        <w:tc>
          <w:tcPr>
            <w:tcW w:w="120" w:type="dxa"/>
            <w:vAlign w:val="bottom"/>
          </w:tcPr>
          <w:p>
            <w:pPr>
              <w:spacing w:after="0"/>
              <w:rPr>
                <w:sz w:val="15"/>
                <w:szCs w:val="15"/>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4"/>
              <w:spacing w:after="0"/>
              <w:rPr>
                <w:sz w:val="20"/>
                <w:szCs w:val="20"/>
                <w:color w:val="auto"/>
              </w:rPr>
            </w:pPr>
            <w:r>
              <w:rPr>
                <w:rFonts w:ascii="Arial" w:cs="Arial" w:eastAsia="Arial" w:hAnsi="Arial"/>
                <w:sz w:val="16"/>
                <w:szCs w:val="16"/>
                <w:color w:val="auto"/>
              </w:rPr>
              <w:t>49,034</w:t>
            </w:r>
          </w:p>
        </w:tc>
        <w:tc>
          <w:tcPr>
            <w:tcW w:w="0" w:type="dxa"/>
            <w:vAlign w:val="bottom"/>
          </w:tcPr>
          <w:p>
            <w:pPr>
              <w:spacing w:after="0"/>
              <w:rPr>
                <w:sz w:val="1"/>
                <w:szCs w:val="1"/>
                <w:color w:val="auto"/>
              </w:rPr>
            </w:pPr>
          </w:p>
        </w:tc>
      </w:tr>
      <w:tr>
        <w:trPr>
          <w:trHeight w:val="24"/>
        </w:trPr>
        <w:tc>
          <w:tcPr>
            <w:tcW w:w="69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ind w:left="307" w:hanging="307"/>
        <w:spacing w:after="0"/>
        <w:tabs>
          <w:tab w:leader="none" w:pos="307" w:val="left"/>
        </w:tabs>
        <w:numPr>
          <w:ilvl w:val="0"/>
          <w:numId w:val="3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Restructuring Liability</w:t>
      </w:r>
    </w:p>
    <w:p>
      <w:pPr>
        <w:spacing w:after="0" w:line="194" w:lineRule="exact"/>
        <w:rPr>
          <w:rFonts w:ascii="Arial" w:cs="Arial" w:eastAsia="Arial" w:hAnsi="Arial"/>
          <w:sz w:val="16"/>
          <w:szCs w:val="16"/>
          <w:b w:val="1"/>
          <w:bCs w:val="1"/>
          <w:color w:val="auto"/>
        </w:rPr>
      </w:pPr>
    </w:p>
    <w:p>
      <w:pPr>
        <w:ind w:left="287"/>
        <w:spacing w:after="0"/>
        <w:rPr>
          <w:rFonts w:ascii="Arial" w:cs="Arial" w:eastAsia="Arial" w:hAnsi="Arial"/>
          <w:sz w:val="16"/>
          <w:szCs w:val="16"/>
          <w:b w:val="1"/>
          <w:bCs w:val="1"/>
          <w:color w:val="auto"/>
        </w:rPr>
      </w:pPr>
      <w:r>
        <w:rPr>
          <w:rFonts w:ascii="Arial" w:cs="Arial" w:eastAsia="Arial" w:hAnsi="Arial"/>
          <w:sz w:val="16"/>
          <w:szCs w:val="16"/>
          <w:color w:val="auto"/>
        </w:rPr>
        <w:t>A summary of changes in our restructuring liabilities during the six months ended June 30, 2020 is set forth in the table below:</w:t>
      </w:r>
    </w:p>
    <w:p>
      <w:pPr>
        <w:spacing w:after="0" w:line="140"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5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Employee</w:t>
            </w: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5"/>
        </w:trPr>
        <w:tc>
          <w:tcPr>
            <w:tcW w:w="5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4"/>
              </w:rPr>
              <w:t>severance</w:t>
            </w: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5"/>
        </w:trPr>
        <w:tc>
          <w:tcPr>
            <w:tcW w:w="5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and</w:t>
            </w:r>
          </w:p>
        </w:tc>
        <w:tc>
          <w:tcPr>
            <w:tcW w:w="300" w:type="dxa"/>
            <w:vAlign w:val="bottom"/>
          </w:tcPr>
          <w:p>
            <w:pPr>
              <w:spacing w:after="0"/>
              <w:rPr>
                <w:sz w:val="15"/>
                <w:szCs w:val="15"/>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Office</w:t>
            </w: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2"/>
        </w:trPr>
        <w:tc>
          <w:tcPr>
            <w:tcW w:w="5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termination</w:t>
            </w:r>
          </w:p>
        </w:tc>
        <w:tc>
          <w:tcPr>
            <w:tcW w:w="300" w:type="dxa"/>
            <w:vAlign w:val="bottom"/>
          </w:tcPr>
          <w:p>
            <w:pPr>
              <w:spacing w:after="0"/>
              <w:rPr>
                <w:sz w:val="15"/>
                <w:szCs w:val="15"/>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3"/>
              </w:rPr>
              <w:t>closures</w:t>
            </w:r>
          </w:p>
        </w:tc>
        <w:tc>
          <w:tcPr>
            <w:tcW w:w="1560" w:type="dxa"/>
            <w:vAlign w:val="bottom"/>
            <w:gridSpan w:val="3"/>
          </w:tcPr>
          <w:p>
            <w:pPr>
              <w:ind w:left="80"/>
              <w:spacing w:after="0"/>
              <w:rPr>
                <w:sz w:val="20"/>
                <w:szCs w:val="20"/>
                <w:color w:val="auto"/>
              </w:rPr>
            </w:pPr>
            <w:r>
              <w:rPr>
                <w:rFonts w:ascii="Arial" w:cs="Arial" w:eastAsia="Arial" w:hAnsi="Arial"/>
                <w:sz w:val="14"/>
                <w:szCs w:val="14"/>
                <w:b w:val="1"/>
                <w:bCs w:val="1"/>
                <w:color w:val="auto"/>
              </w:rPr>
              <w:t>Contract termination</w:t>
            </w:r>
          </w:p>
        </w:tc>
        <w:tc>
          <w:tcPr>
            <w:tcW w:w="320" w:type="dxa"/>
            <w:vAlign w:val="bottom"/>
          </w:tcPr>
          <w:p>
            <w:pPr>
              <w:spacing w:after="0"/>
              <w:rPr>
                <w:sz w:val="15"/>
                <w:szCs w:val="15"/>
                <w:color w:val="auto"/>
              </w:rPr>
            </w:pPr>
          </w:p>
        </w:tc>
        <w:tc>
          <w:tcPr>
            <w:tcW w:w="1120" w:type="dxa"/>
            <w:vAlign w:val="bottom"/>
          </w:tcPr>
          <w:p>
            <w:pPr>
              <w:jc w:val="right"/>
              <w:ind w:right="503"/>
              <w:spacing w:after="0"/>
              <w:rPr>
                <w:sz w:val="20"/>
                <w:szCs w:val="20"/>
                <w:color w:val="auto"/>
              </w:rPr>
            </w:pPr>
            <w:r>
              <w:rPr>
                <w:rFonts w:ascii="Arial" w:cs="Arial" w:eastAsia="Arial" w:hAnsi="Arial"/>
                <w:sz w:val="14"/>
                <w:szCs w:val="14"/>
                <w:b w:val="1"/>
                <w:bCs w:val="1"/>
                <w:color w:val="auto"/>
              </w:rPr>
              <w:t>Total</w:t>
            </w:r>
          </w:p>
        </w:tc>
      </w:tr>
      <w:tr>
        <w:trPr>
          <w:trHeight w:val="28"/>
        </w:trPr>
        <w:tc>
          <w:tcPr>
            <w:tcW w:w="50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5"/>
        </w:trPr>
        <w:tc>
          <w:tcPr>
            <w:tcW w:w="5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40" w:type="dxa"/>
            <w:vAlign w:val="bottom"/>
            <w:gridSpan w:val="3"/>
          </w:tcPr>
          <w:p>
            <w:pPr>
              <w:jc w:val="right"/>
              <w:ind w:right="344"/>
              <w:spacing w:after="0"/>
              <w:rPr>
                <w:sz w:val="20"/>
                <w:szCs w:val="20"/>
                <w:color w:val="auto"/>
              </w:rPr>
            </w:pPr>
            <w:r>
              <w:rPr>
                <w:rFonts w:ascii="Arial" w:cs="Arial" w:eastAsia="Arial" w:hAnsi="Arial"/>
                <w:sz w:val="14"/>
                <w:szCs w:val="14"/>
                <w:b w:val="1"/>
                <w:bCs w:val="1"/>
                <w:color w:val="auto"/>
              </w:rPr>
              <w:t>in millions</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60"/>
        </w:trPr>
        <w:tc>
          <w:tcPr>
            <w:tcW w:w="5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13"/>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Restructuring liability as of January 1, 2020</w:t>
            </w:r>
          </w:p>
        </w:tc>
        <w:tc>
          <w:tcPr>
            <w:tcW w:w="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19.1</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ind w:right="464"/>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10.6</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31.9</w:t>
            </w:r>
          </w:p>
        </w:tc>
      </w:tr>
      <w:tr>
        <w:trPr>
          <w:trHeight w:val="209"/>
        </w:trPr>
        <w:tc>
          <w:tcPr>
            <w:tcW w:w="5060" w:type="dxa"/>
            <w:vAlign w:val="bottom"/>
          </w:tcPr>
          <w:p>
            <w:pPr>
              <w:ind w:left="140"/>
              <w:spacing w:after="0"/>
              <w:rPr>
                <w:sz w:val="20"/>
                <w:szCs w:val="20"/>
                <w:color w:val="auto"/>
              </w:rPr>
            </w:pPr>
            <w:r>
              <w:rPr>
                <w:rFonts w:ascii="Arial" w:cs="Arial" w:eastAsia="Arial" w:hAnsi="Arial"/>
                <w:sz w:val="16"/>
                <w:szCs w:val="16"/>
                <w:color w:val="auto"/>
              </w:rPr>
              <w:t>Restructuring charges</w:t>
            </w:r>
          </w:p>
        </w:tc>
        <w:tc>
          <w:tcPr>
            <w:tcW w:w="240" w:type="dxa"/>
            <w:vAlign w:val="bottom"/>
          </w:tcPr>
          <w:p>
            <w:pPr>
              <w:spacing w:after="0"/>
              <w:rPr>
                <w:sz w:val="18"/>
                <w:szCs w:val="18"/>
                <w:color w:val="auto"/>
              </w:rPr>
            </w:pPr>
          </w:p>
        </w:tc>
        <w:tc>
          <w:tcPr>
            <w:tcW w:w="1240" w:type="dxa"/>
            <w:vAlign w:val="bottom"/>
          </w:tcPr>
          <w:p>
            <w:pPr>
              <w:jc w:val="right"/>
              <w:ind w:right="45"/>
              <w:spacing w:after="0"/>
              <w:rPr>
                <w:sz w:val="20"/>
                <w:szCs w:val="20"/>
                <w:color w:val="auto"/>
              </w:rPr>
            </w:pPr>
            <w:r>
              <w:rPr>
                <w:rFonts w:ascii="Arial" w:cs="Arial" w:eastAsia="Arial" w:hAnsi="Arial"/>
                <w:sz w:val="16"/>
                <w:szCs w:val="16"/>
                <w:color w:val="auto"/>
              </w:rPr>
              <w:t>28.3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44"/>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jc w:val="right"/>
              <w:ind w:right="22"/>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36.6</w:t>
            </w:r>
          </w:p>
        </w:tc>
      </w:tr>
      <w:tr>
        <w:trPr>
          <w:trHeight w:val="24"/>
        </w:trPr>
        <w:tc>
          <w:tcPr>
            <w:tcW w:w="5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3"/>
        </w:trPr>
        <w:tc>
          <w:tcPr>
            <w:tcW w:w="5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Cash paid</w:t>
            </w:r>
          </w:p>
        </w:tc>
        <w:tc>
          <w:tcPr>
            <w:tcW w:w="2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(39.3)</w:t>
            </w:r>
          </w:p>
        </w:tc>
      </w:tr>
      <w:tr>
        <w:trPr>
          <w:trHeight w:val="209"/>
        </w:trPr>
        <w:tc>
          <w:tcPr>
            <w:tcW w:w="5060" w:type="dxa"/>
            <w:vAlign w:val="bottom"/>
          </w:tcPr>
          <w:p>
            <w:pPr>
              <w:ind w:left="140"/>
              <w:spacing w:after="0"/>
              <w:rPr>
                <w:sz w:val="20"/>
                <w:szCs w:val="20"/>
                <w:color w:val="auto"/>
              </w:rPr>
            </w:pPr>
            <w:r>
              <w:rPr>
                <w:rFonts w:ascii="Arial" w:cs="Arial" w:eastAsia="Arial" w:hAnsi="Arial"/>
                <w:sz w:val="16"/>
                <w:szCs w:val="16"/>
                <w:color w:val="auto"/>
              </w:rPr>
              <w:t>Reclassification to held for sale (a)</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(9.4)</w:t>
            </w:r>
          </w:p>
        </w:tc>
      </w:tr>
      <w:tr>
        <w:trPr>
          <w:trHeight w:val="24"/>
        </w:trPr>
        <w:tc>
          <w:tcPr>
            <w:tcW w:w="5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3"/>
        </w:trPr>
        <w:tc>
          <w:tcPr>
            <w:tcW w:w="5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Foreign currency translation adjustments and other</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r>
      <w:tr>
        <w:trPr>
          <w:trHeight w:val="201"/>
        </w:trPr>
        <w:tc>
          <w:tcPr>
            <w:tcW w:w="5060" w:type="dxa"/>
            <w:vAlign w:val="bottom"/>
          </w:tcPr>
          <w:p>
            <w:pPr>
              <w:ind w:left="20"/>
              <w:spacing w:after="0"/>
              <w:rPr>
                <w:sz w:val="20"/>
                <w:szCs w:val="20"/>
                <w:color w:val="auto"/>
              </w:rPr>
            </w:pPr>
            <w:r>
              <w:rPr>
                <w:rFonts w:ascii="Arial" w:cs="Arial" w:eastAsia="Arial" w:hAnsi="Arial"/>
                <w:sz w:val="16"/>
                <w:szCs w:val="16"/>
                <w:color w:val="auto"/>
              </w:rPr>
              <w:t>Restructuring liability as of June 30, 2020</w:t>
            </w:r>
          </w:p>
        </w:tc>
        <w:tc>
          <w:tcPr>
            <w:tcW w:w="240" w:type="dxa"/>
            <w:vAlign w:val="bottom"/>
            <w:tcBorders>
              <w:top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ind w:right="45"/>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17"/>
                <w:szCs w:val="17"/>
                <w:color w:val="auto"/>
              </w:rPr>
            </w:pPr>
          </w:p>
        </w:tc>
        <w:tc>
          <w:tcPr>
            <w:tcW w:w="300" w:type="dxa"/>
            <w:vAlign w:val="bottom"/>
            <w:tcBorders>
              <w:top w:val="single" w:sz="8" w:color="auto"/>
            </w:tcBorders>
          </w:tcPr>
          <w:p>
            <w:pPr>
              <w:jc w:val="right"/>
              <w:ind w:right="122"/>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40" w:type="dxa"/>
            <w:vAlign w:val="bottom"/>
            <w:tcBorders>
              <w:top w:val="single" w:sz="8" w:color="auto"/>
            </w:tcBorders>
          </w:tcPr>
          <w:p>
            <w:pPr>
              <w:jc w:val="right"/>
              <w:ind w:right="464"/>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17"/>
                <w:szCs w:val="17"/>
                <w:color w:val="auto"/>
              </w:rPr>
            </w:pPr>
          </w:p>
        </w:tc>
        <w:tc>
          <w:tcPr>
            <w:tcW w:w="320" w:type="dxa"/>
            <w:vAlign w:val="bottom"/>
            <w:tcBorders>
              <w:top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19.1</w:t>
            </w:r>
          </w:p>
        </w:tc>
      </w:tr>
      <w:tr>
        <w:trPr>
          <w:trHeight w:val="64"/>
        </w:trPr>
        <w:tc>
          <w:tcPr>
            <w:tcW w:w="506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08"/>
        </w:trPr>
        <w:tc>
          <w:tcPr>
            <w:tcW w:w="5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09"/>
        </w:trPr>
        <w:tc>
          <w:tcPr>
            <w:tcW w:w="5060" w:type="dxa"/>
            <w:vAlign w:val="bottom"/>
          </w:tcPr>
          <w:p>
            <w:pPr>
              <w:ind w:left="20"/>
              <w:spacing w:after="0"/>
              <w:rPr>
                <w:sz w:val="20"/>
                <w:szCs w:val="20"/>
                <w:color w:val="auto"/>
              </w:rPr>
            </w:pPr>
            <w:r>
              <w:rPr>
                <w:rFonts w:ascii="Arial" w:cs="Arial" w:eastAsia="Arial" w:hAnsi="Arial"/>
                <w:sz w:val="16"/>
                <w:szCs w:val="16"/>
                <w:color w:val="auto"/>
              </w:rPr>
              <w:t>Current portion</w:t>
            </w: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45"/>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18"/>
                <w:szCs w:val="18"/>
                <w:color w:val="auto"/>
              </w:rPr>
            </w:pPr>
          </w:p>
        </w:tc>
        <w:tc>
          <w:tcPr>
            <w:tcW w:w="300" w:type="dxa"/>
            <w:vAlign w:val="bottom"/>
          </w:tcPr>
          <w:p>
            <w:pPr>
              <w:jc w:val="right"/>
              <w:ind w:right="122"/>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464"/>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22"/>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8"/>
                <w:szCs w:val="18"/>
                <w:color w:val="auto"/>
              </w:rPr>
            </w:pP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13.9</w:t>
            </w:r>
          </w:p>
        </w:tc>
      </w:tr>
      <w:tr>
        <w:trPr>
          <w:trHeight w:val="24"/>
        </w:trPr>
        <w:tc>
          <w:tcPr>
            <w:tcW w:w="5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3"/>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Noncurrent portion</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5.2</w:t>
            </w:r>
          </w:p>
        </w:tc>
      </w:tr>
      <w:tr>
        <w:trPr>
          <w:trHeight w:val="201"/>
        </w:trPr>
        <w:tc>
          <w:tcPr>
            <w:tcW w:w="5060" w:type="dxa"/>
            <w:vAlign w:val="bottom"/>
          </w:tcPr>
          <w:p>
            <w:pPr>
              <w:ind w:left="140"/>
              <w:spacing w:after="0"/>
              <w:rPr>
                <w:sz w:val="20"/>
                <w:szCs w:val="20"/>
                <w:color w:val="auto"/>
              </w:rPr>
            </w:pPr>
            <w:r>
              <w:rPr>
                <w:rFonts w:ascii="Arial" w:cs="Arial" w:eastAsia="Arial" w:hAnsi="Arial"/>
                <w:sz w:val="16"/>
                <w:szCs w:val="16"/>
                <w:color w:val="auto"/>
              </w:rPr>
              <w:t>Total</w:t>
            </w:r>
          </w:p>
        </w:tc>
        <w:tc>
          <w:tcPr>
            <w:tcW w:w="240" w:type="dxa"/>
            <w:vAlign w:val="bottom"/>
            <w:tcBorders>
              <w:top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ind w:right="45"/>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17"/>
                <w:szCs w:val="17"/>
                <w:color w:val="auto"/>
              </w:rPr>
            </w:pPr>
          </w:p>
        </w:tc>
        <w:tc>
          <w:tcPr>
            <w:tcW w:w="300" w:type="dxa"/>
            <w:vAlign w:val="bottom"/>
            <w:tcBorders>
              <w:top w:val="single" w:sz="8" w:color="auto"/>
            </w:tcBorders>
          </w:tcPr>
          <w:p>
            <w:pPr>
              <w:jc w:val="right"/>
              <w:ind w:right="122"/>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40" w:type="dxa"/>
            <w:vAlign w:val="bottom"/>
            <w:tcBorders>
              <w:top w:val="single" w:sz="8" w:color="auto"/>
            </w:tcBorders>
          </w:tcPr>
          <w:p>
            <w:pPr>
              <w:jc w:val="right"/>
              <w:ind w:right="464"/>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17"/>
                <w:szCs w:val="17"/>
                <w:color w:val="auto"/>
              </w:rPr>
            </w:pPr>
          </w:p>
        </w:tc>
        <w:tc>
          <w:tcPr>
            <w:tcW w:w="320" w:type="dxa"/>
            <w:vAlign w:val="bottom"/>
            <w:tcBorders>
              <w:top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19.1</w:t>
            </w:r>
          </w:p>
        </w:tc>
      </w:tr>
      <w:tr>
        <w:trPr>
          <w:trHeight w:val="24"/>
        </w:trPr>
        <w:tc>
          <w:tcPr>
            <w:tcW w:w="50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533"/>
        </w:trPr>
        <w:tc>
          <w:tcPr>
            <w:tcW w:w="5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ind w:right="765"/>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267"/>
          </w:cols>
          <w:pgMar w:left="313" w:top="263" w:right="319" w:bottom="1440" w:gutter="0" w:footer="0" w:header="0"/>
        </w:sectPr>
      </w:pPr>
    </w:p>
    <w:bookmarkStart w:id="38" w:name="page39"/>
    <w:bookmarkEnd w:id="38"/>
    <w:p>
      <w:pPr>
        <w:jc w:val="center"/>
        <w:ind w:right="-6"/>
        <w:spacing w:after="0"/>
        <w:rPr>
          <w:sz w:val="20"/>
          <w:szCs w:val="20"/>
          <w:color w:val="auto"/>
        </w:rPr>
      </w:pPr>
      <w:r>
        <w:rPr>
          <w:rFonts w:ascii="Arial" w:cs="Arial" w:eastAsia="Arial" w:hAnsi="Arial"/>
          <w:sz w:val="16"/>
          <w:szCs w:val="16"/>
          <w:b w:val="1"/>
          <w:bCs w:val="1"/>
          <w:color w:val="auto"/>
        </w:rPr>
        <w:t>LIBERTY GLOBAL PLC</w:t>
      </w:r>
    </w:p>
    <w:p>
      <w:pPr>
        <w:spacing w:after="0" w:line="18"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Notes to Condensed Consolidated Financial Statements — (Continued)</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June 30, 2020</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ind w:left="47"/>
        <w:spacing w:after="0"/>
        <w:rPr>
          <w:sz w:val="20"/>
          <w:szCs w:val="20"/>
          <w:color w:val="auto"/>
        </w:rPr>
      </w:pPr>
      <w:r>
        <w:rPr>
          <w:rFonts w:ascii="Arial" w:cs="Arial" w:eastAsia="Arial" w:hAnsi="Arial"/>
          <w:sz w:val="16"/>
          <w:szCs w:val="16"/>
          <w:color w:val="auto"/>
        </w:rPr>
        <w:t>_______________</w:t>
      </w:r>
    </w:p>
    <w:p>
      <w:pPr>
        <w:spacing w:after="0" w:line="188" w:lineRule="exact"/>
        <w:rPr>
          <w:sz w:val="20"/>
          <w:szCs w:val="20"/>
          <w:color w:val="auto"/>
        </w:rPr>
      </w:pPr>
    </w:p>
    <w:p>
      <w:pPr>
        <w:ind w:left="427" w:hanging="427"/>
        <w:spacing w:after="0" w:line="258" w:lineRule="auto"/>
        <w:tabs>
          <w:tab w:leader="none" w:pos="427"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Represents the reclassification of the restructuring liabilities associated with the U.K. JV Entities as of June 30, 2020 to liabilities associated with assets held for sale. For information regarding the held-for-sale presentation of the U.K. JV Entities, see note 4.</w:t>
      </w:r>
    </w:p>
    <w:p>
      <w:pPr>
        <w:spacing w:after="0" w:line="163" w:lineRule="exact"/>
        <w:rPr>
          <w:sz w:val="20"/>
          <w:szCs w:val="20"/>
          <w:color w:val="auto"/>
        </w:rPr>
      </w:pPr>
    </w:p>
    <w:p>
      <w:pPr>
        <w:ind w:left="47" w:firstLine="279"/>
        <w:spacing w:after="0" w:line="258" w:lineRule="auto"/>
        <w:rPr>
          <w:sz w:val="20"/>
          <w:szCs w:val="20"/>
          <w:color w:val="auto"/>
        </w:rPr>
      </w:pPr>
      <w:r>
        <w:rPr>
          <w:rFonts w:ascii="Arial" w:cs="Arial" w:eastAsia="Arial" w:hAnsi="Arial"/>
          <w:sz w:val="16"/>
          <w:szCs w:val="16"/>
          <w:color w:val="auto"/>
        </w:rPr>
        <w:t>Our restructuring charges during the six months ended June 30, 2020 included employee severance and termination costs related to certain reorganization activities of $12.7 million in Switzerland, $9.1 million in U.K./Ireland and $5.6 million in Central and Corporate.</w:t>
      </w:r>
    </w:p>
    <w:p>
      <w:pPr>
        <w:spacing w:after="0" w:line="157" w:lineRule="exact"/>
        <w:rPr>
          <w:sz w:val="20"/>
          <w:szCs w:val="20"/>
          <w:color w:val="auto"/>
        </w:rPr>
      </w:pPr>
    </w:p>
    <w:p>
      <w:pPr>
        <w:ind w:left="407" w:hanging="407"/>
        <w:spacing w:after="0"/>
        <w:tabs>
          <w:tab w:leader="none" w:pos="407" w:val="left"/>
        </w:tabs>
        <w:numPr>
          <w:ilvl w:val="0"/>
          <w:numId w:val="3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Earnings or Loss per Share</w:t>
      </w:r>
    </w:p>
    <w:p>
      <w:pPr>
        <w:spacing w:after="0" w:line="188" w:lineRule="exact"/>
        <w:rPr>
          <w:sz w:val="20"/>
          <w:szCs w:val="20"/>
          <w:color w:val="auto"/>
        </w:rPr>
      </w:pPr>
    </w:p>
    <w:p>
      <w:pPr>
        <w:jc w:val="both"/>
        <w:ind w:left="7" w:firstLine="279"/>
        <w:spacing w:after="0" w:line="254" w:lineRule="auto"/>
        <w:rPr>
          <w:sz w:val="20"/>
          <w:szCs w:val="20"/>
          <w:color w:val="auto"/>
        </w:rPr>
      </w:pPr>
      <w:r>
        <w:rPr>
          <w:rFonts w:ascii="Arial" w:cs="Arial" w:eastAsia="Arial" w:hAnsi="Arial"/>
          <w:sz w:val="16"/>
          <w:szCs w:val="16"/>
          <w:color w:val="auto"/>
        </w:rPr>
        <w:t>Basic earnings or loss per share (</w:t>
      </w:r>
      <w:r>
        <w:rPr>
          <w:rFonts w:ascii="Arial" w:cs="Arial" w:eastAsia="Arial" w:hAnsi="Arial"/>
          <w:sz w:val="16"/>
          <w:szCs w:val="16"/>
          <w:b w:val="1"/>
          <w:bCs w:val="1"/>
          <w:color w:val="auto"/>
        </w:rPr>
        <w:t>EPS</w:t>
      </w:r>
      <w:r>
        <w:rPr>
          <w:rFonts w:ascii="Arial" w:cs="Arial" w:eastAsia="Arial" w:hAnsi="Arial"/>
          <w:sz w:val="16"/>
          <w:szCs w:val="16"/>
          <w:color w:val="auto"/>
        </w:rPr>
        <w:t>) is computed by dividing net earnings or loss by the weighted average number of shares outstanding for the period. Diluted EPS presents the dilutive effect, if any, on a per share basis of potential shares (e.g., options, SARs, RSUs, restricted stock awards (</w:t>
      </w:r>
      <w:r>
        <w:rPr>
          <w:rFonts w:ascii="Arial" w:cs="Arial" w:eastAsia="Arial" w:hAnsi="Arial"/>
          <w:sz w:val="16"/>
          <w:szCs w:val="16"/>
          <w:b w:val="1"/>
          <w:bCs w:val="1"/>
          <w:color w:val="auto"/>
        </w:rPr>
        <w:t>RSAs</w:t>
      </w:r>
      <w:r>
        <w:rPr>
          <w:rFonts w:ascii="Arial" w:cs="Arial" w:eastAsia="Arial" w:hAnsi="Arial"/>
          <w:sz w:val="16"/>
          <w:szCs w:val="16"/>
          <w:color w:val="auto"/>
        </w:rPr>
        <w:t>), PSARs and PSUs) as if they had been exercised, vested or converted at the beginning of the periods presented.</w:t>
      </w:r>
    </w:p>
    <w:p>
      <w:pPr>
        <w:spacing w:after="0" w:line="166" w:lineRule="exact"/>
        <w:rPr>
          <w:sz w:val="20"/>
          <w:szCs w:val="20"/>
          <w:color w:val="auto"/>
        </w:rPr>
      </w:pPr>
    </w:p>
    <w:p>
      <w:pPr>
        <w:ind w:left="287"/>
        <w:spacing w:after="0"/>
        <w:rPr>
          <w:sz w:val="20"/>
          <w:szCs w:val="20"/>
          <w:color w:val="auto"/>
        </w:rPr>
      </w:pPr>
      <w:r>
        <w:rPr>
          <w:rFonts w:ascii="Arial" w:cs="Arial" w:eastAsia="Arial" w:hAnsi="Arial"/>
          <w:sz w:val="16"/>
          <w:szCs w:val="16"/>
          <w:color w:val="auto"/>
        </w:rPr>
        <w:t>The details of the calculations of our basic and diluted EPS are set forth below:</w:t>
      </w:r>
    </w:p>
    <w:p>
      <w:pPr>
        <w:spacing w:after="0" w:line="152" w:lineRule="exact"/>
        <w:rPr>
          <w:sz w:val="20"/>
          <w:szCs w:val="20"/>
          <w:color w:val="auto"/>
        </w:rPr>
      </w:pPr>
    </w:p>
    <w:tbl>
      <w:tblPr>
        <w:tblLayout w:type="fixed"/>
        <w:tblInd w:w="7" w:type="dxa"/>
        <w:tblCellMar>
          <w:top w:w="0" w:type="dxa"/>
          <w:left w:w="0" w:type="dxa"/>
          <w:bottom w:w="0" w:type="dxa"/>
          <w:right w:w="0" w:type="dxa"/>
        </w:tblCellMar>
      </w:tblPr>
      <w:tr>
        <w:trPr>
          <w:trHeight w:val="182"/>
        </w:trPr>
        <w:tc>
          <w:tcPr>
            <w:tcW w:w="5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80" w:type="dxa"/>
            <w:vAlign w:val="bottom"/>
            <w:gridSpan w:val="5"/>
          </w:tcPr>
          <w:p>
            <w:pPr>
              <w:ind w:left="54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5"/>
                <w:szCs w:val="15"/>
                <w:color w:val="auto"/>
              </w:rPr>
            </w:pPr>
          </w:p>
        </w:tc>
        <w:tc>
          <w:tcPr>
            <w:tcW w:w="2420" w:type="dxa"/>
            <w:vAlign w:val="bottom"/>
            <w:gridSpan w:val="4"/>
          </w:tcPr>
          <w:p>
            <w:pPr>
              <w:jc w:val="right"/>
              <w:ind w:right="764"/>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33"/>
        </w:trPr>
        <w:tc>
          <w:tcPr>
            <w:tcW w:w="5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gridSpan w:val="3"/>
          </w:tcPr>
          <w:p>
            <w:pPr>
              <w:jc w:val="right"/>
              <w:ind w:right="62"/>
              <w:spacing w:after="0"/>
              <w:rPr>
                <w:sz w:val="20"/>
                <w:szCs w:val="20"/>
                <w:color w:val="auto"/>
              </w:rPr>
            </w:pPr>
            <w:r>
              <w:rPr>
                <w:rFonts w:ascii="Arial" w:cs="Arial" w:eastAsia="Arial" w:hAnsi="Arial"/>
                <w:sz w:val="14"/>
                <w:szCs w:val="14"/>
                <w:b w:val="1"/>
                <w:bCs w:val="1"/>
                <w:color w:val="auto"/>
              </w:rPr>
              <w:t>June 30,</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20" w:type="dxa"/>
            <w:vAlign w:val="bottom"/>
            <w:gridSpan w:val="3"/>
          </w:tcPr>
          <w:p>
            <w:pPr>
              <w:jc w:val="right"/>
              <w:ind w:right="42"/>
              <w:spacing w:after="0"/>
              <w:rPr>
                <w:sz w:val="20"/>
                <w:szCs w:val="20"/>
                <w:color w:val="auto"/>
              </w:rPr>
            </w:pPr>
            <w:r>
              <w:rPr>
                <w:rFonts w:ascii="Arial" w:cs="Arial" w:eastAsia="Arial" w:hAnsi="Arial"/>
                <w:sz w:val="14"/>
                <w:szCs w:val="14"/>
                <w:b w:val="1"/>
                <w:bCs w:val="1"/>
                <w:color w:val="auto"/>
              </w:rPr>
              <w:t>June 30,</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5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5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ind w:right="46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ind w:right="46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ind w:right="46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ind w:right="44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8"/>
        </w:trPr>
        <w:tc>
          <w:tcPr>
            <w:tcW w:w="5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5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80" w:type="dxa"/>
            <w:vAlign w:val="bottom"/>
            <w:gridSpan w:val="3"/>
          </w:tcPr>
          <w:p>
            <w:pPr>
              <w:jc w:val="right"/>
              <w:ind w:right="42"/>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Numerator:</w:t>
            </w:r>
          </w:p>
        </w:tc>
        <w:tc>
          <w:tcPr>
            <w:tcW w:w="2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20" w:type="dxa"/>
            <w:vAlign w:val="bottom"/>
          </w:tcPr>
          <w:p>
            <w:pPr>
              <w:ind w:left="140"/>
              <w:spacing w:after="0"/>
              <w:rPr>
                <w:sz w:val="20"/>
                <w:szCs w:val="20"/>
                <w:color w:val="auto"/>
              </w:rPr>
            </w:pPr>
            <w:r>
              <w:rPr>
                <w:rFonts w:ascii="Arial" w:cs="Arial" w:eastAsia="Arial" w:hAnsi="Arial"/>
                <w:sz w:val="16"/>
                <w:szCs w:val="16"/>
                <w:color w:val="auto"/>
              </w:rPr>
              <w:t>Earnings (loss) from continuing operations</w:t>
            </w: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(503.8)</w:t>
            </w:r>
          </w:p>
        </w:tc>
        <w:tc>
          <w:tcPr>
            <w:tcW w:w="120" w:type="dxa"/>
            <w:vAlign w:val="bottom"/>
          </w:tcPr>
          <w:p>
            <w:pPr>
              <w:spacing w:after="0"/>
              <w:rPr>
                <w:sz w:val="18"/>
                <w:szCs w:val="18"/>
                <w:color w:val="auto"/>
              </w:rPr>
            </w:pP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(339.6)</w:t>
            </w:r>
          </w:p>
        </w:tc>
        <w:tc>
          <w:tcPr>
            <w:tcW w:w="120" w:type="dxa"/>
            <w:vAlign w:val="bottom"/>
          </w:tcPr>
          <w:p>
            <w:pPr>
              <w:spacing w:after="0"/>
              <w:rPr>
                <w:sz w:val="18"/>
                <w:szCs w:val="18"/>
                <w:color w:val="auto"/>
              </w:rPr>
            </w:pP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45"/>
              <w:spacing w:after="0"/>
              <w:rPr>
                <w:sz w:val="20"/>
                <w:szCs w:val="20"/>
                <w:color w:val="auto"/>
              </w:rPr>
            </w:pPr>
            <w:r>
              <w:rPr>
                <w:rFonts w:ascii="Arial" w:cs="Arial" w:eastAsia="Arial" w:hAnsi="Arial"/>
                <w:sz w:val="16"/>
                <w:szCs w:val="16"/>
                <w:color w:val="auto"/>
              </w:rPr>
              <w:t>513.9</w:t>
            </w:r>
          </w:p>
        </w:tc>
        <w:tc>
          <w:tcPr>
            <w:tcW w:w="100" w:type="dxa"/>
            <w:vAlign w:val="bottom"/>
          </w:tcPr>
          <w:p>
            <w:pPr>
              <w:spacing w:after="0"/>
              <w:rPr>
                <w:sz w:val="18"/>
                <w:szCs w:val="18"/>
                <w:color w:val="auto"/>
              </w:rPr>
            </w:pP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(646.5)</w:t>
            </w:r>
          </w:p>
        </w:tc>
        <w:tc>
          <w:tcPr>
            <w:tcW w:w="0" w:type="dxa"/>
            <w:vAlign w:val="bottom"/>
          </w:tcPr>
          <w:p>
            <w:pPr>
              <w:spacing w:after="0"/>
              <w:rPr>
                <w:sz w:val="1"/>
                <w:szCs w:val="1"/>
                <w:color w:val="auto"/>
              </w:rPr>
            </w:pPr>
          </w:p>
        </w:tc>
      </w:tr>
      <w:tr>
        <w:trPr>
          <w:trHeight w:val="24"/>
        </w:trPr>
        <w:tc>
          <w:tcPr>
            <w:tcW w:w="5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5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w w:val="96"/>
              </w:rPr>
              <w:t>Net earnings from continuing operations attributable to noncontrolling interests</w:t>
            </w: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(38.2)</w:t>
            </w:r>
          </w:p>
        </w:tc>
        <w:tc>
          <w:tcPr>
            <w:tcW w:w="0" w:type="dxa"/>
            <w:vAlign w:val="bottom"/>
          </w:tcPr>
          <w:p>
            <w:pPr>
              <w:spacing w:after="0"/>
              <w:rPr>
                <w:sz w:val="1"/>
                <w:szCs w:val="1"/>
                <w:color w:val="auto"/>
              </w:rPr>
            </w:pPr>
          </w:p>
        </w:tc>
      </w:tr>
      <w:tr>
        <w:trPr>
          <w:trHeight w:val="179"/>
        </w:trPr>
        <w:tc>
          <w:tcPr>
            <w:tcW w:w="5520" w:type="dxa"/>
            <w:vAlign w:val="bottom"/>
          </w:tcPr>
          <w:p>
            <w:pPr>
              <w:ind w:left="240"/>
              <w:spacing w:after="0" w:line="179" w:lineRule="exact"/>
              <w:rPr>
                <w:sz w:val="20"/>
                <w:szCs w:val="20"/>
                <w:color w:val="auto"/>
              </w:rPr>
            </w:pPr>
            <w:r>
              <w:rPr>
                <w:rFonts w:ascii="Arial" w:cs="Arial" w:eastAsia="Arial" w:hAnsi="Arial"/>
                <w:sz w:val="16"/>
                <w:szCs w:val="16"/>
                <w:color w:val="auto"/>
                <w:w w:val="98"/>
              </w:rPr>
              <w:t>Net earnings (loss) from continuing operations attributable to Liberty Global</w:t>
            </w:r>
          </w:p>
        </w:tc>
        <w:tc>
          <w:tcPr>
            <w:tcW w:w="280" w:type="dxa"/>
            <w:vAlign w:val="bottom"/>
            <w:tcBorders>
              <w:top w:val="single" w:sz="8" w:color="auto"/>
            </w:tcBorders>
            <w:vMerge w:val="restart"/>
          </w:tcPr>
          <w:p>
            <w:pPr>
              <w:jc w:val="right"/>
              <w:ind w:right="102"/>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(524.2)</w:t>
            </w:r>
          </w:p>
        </w:tc>
        <w:tc>
          <w:tcPr>
            <w:tcW w:w="120" w:type="dxa"/>
            <w:vAlign w:val="bottom"/>
          </w:tcPr>
          <w:p>
            <w:pPr>
              <w:spacing w:after="0"/>
              <w:rPr>
                <w:sz w:val="15"/>
                <w:szCs w:val="15"/>
                <w:color w:val="auto"/>
              </w:rPr>
            </w:pPr>
          </w:p>
        </w:tc>
        <w:tc>
          <w:tcPr>
            <w:tcW w:w="340" w:type="dxa"/>
            <w:vAlign w:val="bottom"/>
            <w:tcBorders>
              <w:top w:val="single" w:sz="8" w:color="auto"/>
            </w:tcBorders>
            <w:vMerge w:val="restart"/>
          </w:tcPr>
          <w:p>
            <w:pPr>
              <w:jc w:val="right"/>
              <w:ind w:right="162"/>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(369.1)</w:t>
            </w:r>
          </w:p>
        </w:tc>
        <w:tc>
          <w:tcPr>
            <w:tcW w:w="120" w:type="dxa"/>
            <w:vAlign w:val="bottom"/>
          </w:tcPr>
          <w:p>
            <w:pPr>
              <w:spacing w:after="0"/>
              <w:rPr>
                <w:sz w:val="15"/>
                <w:szCs w:val="15"/>
                <w:color w:val="auto"/>
              </w:rPr>
            </w:pPr>
          </w:p>
        </w:tc>
        <w:tc>
          <w:tcPr>
            <w:tcW w:w="340" w:type="dxa"/>
            <w:vAlign w:val="bottom"/>
            <w:tcBorders>
              <w:top w:val="single" w:sz="8" w:color="auto"/>
            </w:tcBorders>
            <w:vMerge w:val="restart"/>
          </w:tcPr>
          <w:p>
            <w:pPr>
              <w:jc w:val="right"/>
              <w:ind w:right="162"/>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vMerge w:val="restart"/>
          </w:tcPr>
          <w:p>
            <w:pPr>
              <w:jc w:val="right"/>
              <w:ind w:right="45"/>
              <w:spacing w:after="0"/>
              <w:rPr>
                <w:sz w:val="20"/>
                <w:szCs w:val="20"/>
                <w:color w:val="auto"/>
              </w:rPr>
            </w:pPr>
            <w:r>
              <w:rPr>
                <w:rFonts w:ascii="Arial" w:cs="Arial" w:eastAsia="Arial" w:hAnsi="Arial"/>
                <w:sz w:val="16"/>
                <w:szCs w:val="16"/>
                <w:color w:val="auto"/>
              </w:rPr>
              <w:t>425.6</w:t>
            </w:r>
          </w:p>
        </w:tc>
        <w:tc>
          <w:tcPr>
            <w:tcW w:w="100" w:type="dxa"/>
            <w:vAlign w:val="bottom"/>
          </w:tcPr>
          <w:p>
            <w:pPr>
              <w:spacing w:after="0"/>
              <w:rPr>
                <w:sz w:val="15"/>
                <w:szCs w:val="15"/>
                <w:color w:val="auto"/>
              </w:rPr>
            </w:pPr>
          </w:p>
        </w:tc>
        <w:tc>
          <w:tcPr>
            <w:tcW w:w="320" w:type="dxa"/>
            <w:vAlign w:val="bottom"/>
            <w:tcBorders>
              <w:top w:val="single" w:sz="8" w:color="auto"/>
            </w:tcBorders>
            <w:vMerge w:val="restart"/>
          </w:tcPr>
          <w:p>
            <w:pPr>
              <w:jc w:val="right"/>
              <w:ind w:right="142"/>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(684.7)</w:t>
            </w:r>
          </w:p>
        </w:tc>
        <w:tc>
          <w:tcPr>
            <w:tcW w:w="0" w:type="dxa"/>
            <w:vAlign w:val="bottom"/>
          </w:tcPr>
          <w:p>
            <w:pPr>
              <w:spacing w:after="0"/>
              <w:rPr>
                <w:sz w:val="1"/>
                <w:szCs w:val="1"/>
                <w:color w:val="auto"/>
              </w:rPr>
            </w:pPr>
          </w:p>
        </w:tc>
      </w:tr>
      <w:tr>
        <w:trPr>
          <w:trHeight w:val="242"/>
        </w:trPr>
        <w:tc>
          <w:tcPr>
            <w:tcW w:w="55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shareholders (basic and diluted EPS computation)</w:t>
            </w:r>
          </w:p>
        </w:tc>
        <w:tc>
          <w:tcPr>
            <w:tcW w:w="280" w:type="dxa"/>
            <w:vAlign w:val="bottom"/>
            <w:tcBorders>
              <w:bottom w:val="single" w:sz="8" w:color="auto"/>
            </w:tcBorders>
            <w:vMerge w:val="continue"/>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vMerge w:val="continue"/>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vMerge w:val="continue"/>
          </w:tcPr>
          <w:p>
            <w:pPr>
              <w:spacing w:after="0"/>
              <w:rPr>
                <w:sz w:val="21"/>
                <w:szCs w:val="21"/>
                <w:color w:val="auto"/>
              </w:rPr>
            </w:pPr>
          </w:p>
        </w:tc>
        <w:tc>
          <w:tcPr>
            <w:tcW w:w="100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vMerge w:val="continue"/>
          </w:tcPr>
          <w:p>
            <w:pPr>
              <w:spacing w:after="0"/>
              <w:rPr>
                <w:sz w:val="21"/>
                <w:szCs w:val="21"/>
                <w:color w:val="auto"/>
              </w:rPr>
            </w:pPr>
          </w:p>
        </w:tc>
        <w:tc>
          <w:tcPr>
            <w:tcW w:w="10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55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5520" w:type="dxa"/>
            <w:vAlign w:val="bottom"/>
          </w:tcPr>
          <w:p>
            <w:pPr>
              <w:ind w:left="20"/>
              <w:spacing w:after="0"/>
              <w:rPr>
                <w:sz w:val="20"/>
                <w:szCs w:val="20"/>
                <w:color w:val="auto"/>
              </w:rPr>
            </w:pPr>
            <w:r>
              <w:rPr>
                <w:rFonts w:ascii="Arial" w:cs="Arial" w:eastAsia="Arial" w:hAnsi="Arial"/>
                <w:sz w:val="16"/>
                <w:szCs w:val="16"/>
                <w:color w:val="auto"/>
              </w:rPr>
              <w:t>Denominator:</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5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5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Weighted average ordinary shares outstanding (basic EPS computation)</w:t>
            </w:r>
          </w:p>
        </w:tc>
        <w:tc>
          <w:tcPr>
            <w:tcW w:w="2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612,681,648</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w w:val="98"/>
              </w:rPr>
              <w:t>735,442,543</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w w:val="96"/>
              </w:rPr>
              <w:t>617,828,982</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w w:val="98"/>
              </w:rPr>
              <w:t>738,748,452</w:t>
            </w:r>
          </w:p>
        </w:tc>
        <w:tc>
          <w:tcPr>
            <w:tcW w:w="0" w:type="dxa"/>
            <w:vAlign w:val="bottom"/>
          </w:tcPr>
          <w:p>
            <w:pPr>
              <w:spacing w:after="0"/>
              <w:rPr>
                <w:sz w:val="1"/>
                <w:szCs w:val="1"/>
                <w:color w:val="auto"/>
              </w:rPr>
            </w:pPr>
          </w:p>
        </w:tc>
      </w:tr>
      <w:tr>
        <w:trPr>
          <w:trHeight w:val="199"/>
        </w:trPr>
        <w:tc>
          <w:tcPr>
            <w:tcW w:w="5520" w:type="dxa"/>
            <w:vAlign w:val="bottom"/>
          </w:tcPr>
          <w:p>
            <w:pPr>
              <w:ind w:left="140"/>
              <w:spacing w:after="0"/>
              <w:rPr>
                <w:sz w:val="20"/>
                <w:szCs w:val="20"/>
                <w:color w:val="auto"/>
              </w:rPr>
            </w:pPr>
            <w:r>
              <w:rPr>
                <w:rFonts w:ascii="Arial" w:cs="Arial" w:eastAsia="Arial" w:hAnsi="Arial"/>
                <w:sz w:val="16"/>
                <w:szCs w:val="16"/>
                <w:color w:val="auto"/>
                <w:w w:val="90"/>
              </w:rPr>
              <w:t>Incremental shares attributable to the assumed exercise of outstanding options and</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20" w:type="dxa"/>
            <w:vAlign w:val="bottom"/>
          </w:tcPr>
          <w:p>
            <w:pPr>
              <w:ind w:left="280"/>
              <w:spacing w:after="0"/>
              <w:rPr>
                <w:sz w:val="20"/>
                <w:szCs w:val="20"/>
                <w:color w:val="auto"/>
              </w:rPr>
            </w:pPr>
            <w:r>
              <w:rPr>
                <w:rFonts w:ascii="Arial" w:cs="Arial" w:eastAsia="Arial" w:hAnsi="Arial"/>
                <w:sz w:val="16"/>
                <w:szCs w:val="16"/>
                <w:color w:val="auto"/>
                <w:w w:val="92"/>
              </w:rPr>
              <w:t>SARs and the release of RSUs and PSUs upon vesting (treasury stock method)</w:t>
            </w:r>
          </w:p>
        </w:tc>
        <w:tc>
          <w:tcPr>
            <w:tcW w:w="2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000" w:type="dxa"/>
            <w:vAlign w:val="bottom"/>
          </w:tcPr>
          <w:p>
            <w:pPr>
              <w:jc w:val="right"/>
              <w:ind w:right="45"/>
              <w:spacing w:after="0"/>
              <w:rPr>
                <w:sz w:val="20"/>
                <w:szCs w:val="20"/>
                <w:color w:val="auto"/>
              </w:rPr>
            </w:pPr>
            <w:r>
              <w:rPr>
                <w:rFonts w:ascii="Arial" w:cs="Arial" w:eastAsia="Arial" w:hAnsi="Arial"/>
                <w:sz w:val="16"/>
                <w:szCs w:val="16"/>
                <w:color w:val="auto"/>
              </w:rPr>
              <w:t>7,322,907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
        </w:trPr>
        <w:tc>
          <w:tcPr>
            <w:tcW w:w="5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5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Weighted average ordinary shares outstanding (diluted EPS computation)</w:t>
            </w: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612,681,648</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w w:val="98"/>
              </w:rPr>
              <w:t>735,442,543</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w w:val="96"/>
              </w:rPr>
              <w:t>625,151,889</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w w:val="98"/>
              </w:rPr>
              <w:t>738,748,452</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2" w:lineRule="exact"/>
        <w:rPr>
          <w:sz w:val="20"/>
          <w:szCs w:val="20"/>
          <w:color w:val="auto"/>
        </w:rPr>
      </w:pPr>
    </w:p>
    <w:p>
      <w:pPr>
        <w:jc w:val="both"/>
        <w:ind w:left="7" w:firstLine="279"/>
        <w:spacing w:after="0" w:line="250" w:lineRule="auto"/>
        <w:rPr>
          <w:sz w:val="20"/>
          <w:szCs w:val="20"/>
          <w:color w:val="auto"/>
        </w:rPr>
      </w:pPr>
      <w:r>
        <w:rPr>
          <w:rFonts w:ascii="Arial" w:cs="Arial" w:eastAsia="Arial" w:hAnsi="Arial"/>
          <w:sz w:val="16"/>
          <w:szCs w:val="16"/>
          <w:color w:val="auto"/>
        </w:rPr>
        <w:t>A total of 58.1 million options, SARs and RSUs and 15.2 million PSARs and PSUs were excluded from the calculation of diluted earnings per share during the six months ended June 30, 2020 because their effect would have been anti-dilutive or, in the case of the PSARs and PSUs, because such awards had not yet met the applicable performance criteria.</w:t>
      </w:r>
    </w:p>
    <w:p>
      <w:pPr>
        <w:spacing w:after="0" w:line="170" w:lineRule="exact"/>
        <w:rPr>
          <w:sz w:val="20"/>
          <w:szCs w:val="20"/>
          <w:color w:val="auto"/>
        </w:rPr>
      </w:pPr>
    </w:p>
    <w:p>
      <w:pPr>
        <w:jc w:val="both"/>
        <w:ind w:left="7" w:firstLine="279"/>
        <w:spacing w:after="0" w:line="290" w:lineRule="auto"/>
        <w:rPr>
          <w:sz w:val="20"/>
          <w:szCs w:val="20"/>
          <w:color w:val="auto"/>
        </w:rPr>
      </w:pPr>
      <w:r>
        <w:rPr>
          <w:rFonts w:ascii="Arial" w:cs="Arial" w:eastAsia="Arial" w:hAnsi="Arial"/>
          <w:sz w:val="14"/>
          <w:szCs w:val="14"/>
          <w:color w:val="auto"/>
        </w:rPr>
        <w:t>We reported losses from continuing operations attributable to Liberty Global shareholders for the three months ended June 30, 2020 and the three and six months ended June 30, 2019. Therefore, the potentially dilutive effect at June 30, 2020 and 2019 of the following items was not included in the computation of diluted loss from continuing operations attributable to Liberty Global shareholders per share for such periods because their inclusion would have been anti-dilutive to the computation or, in the case of certain PSARs and PSUs, because such awards had not yet met the applicable performance criteria: (i) the aggregate number of shares issuable pursuant to outstanding options, SARs, RSUs and RSAs of 77.2 million and 65.7 million, respectively, and (ii) the aggregate number of shares issuable pursuant to PSARs and PSUs of 20.3 million and 27.8 million, respectively.</w:t>
      </w:r>
    </w:p>
    <w:p>
      <w:pPr>
        <w:spacing w:after="0" w:line="330"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267"/>
          </w:cols>
          <w:pgMar w:left="313" w:top="263" w:right="319" w:bottom="1440" w:gutter="0" w:footer="0" w:header="0"/>
        </w:sectPr>
      </w:pPr>
    </w:p>
    <w:bookmarkStart w:id="39" w:name="page40"/>
    <w:bookmarkEnd w:id="39"/>
    <w:p>
      <w:pPr>
        <w:jc w:val="center"/>
        <w:ind w:right="-6"/>
        <w:spacing w:after="0"/>
        <w:rPr>
          <w:sz w:val="20"/>
          <w:szCs w:val="20"/>
          <w:color w:val="auto"/>
        </w:rPr>
      </w:pPr>
      <w:r>
        <w:rPr>
          <w:rFonts w:ascii="Arial" w:cs="Arial" w:eastAsia="Arial" w:hAnsi="Arial"/>
          <w:sz w:val="16"/>
          <w:szCs w:val="16"/>
          <w:b w:val="1"/>
          <w:bCs w:val="1"/>
          <w:color w:val="auto"/>
        </w:rPr>
        <w:t>LIBERTY GLOBAL PLC</w:t>
      </w:r>
    </w:p>
    <w:p>
      <w:pPr>
        <w:spacing w:after="0" w:line="18"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Notes to Condensed Consolidated Financial Statements — (Continued)</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June 30, 2020</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98" w:lineRule="exact"/>
        <w:rPr>
          <w:sz w:val="20"/>
          <w:szCs w:val="20"/>
          <w:color w:val="auto"/>
        </w:rPr>
      </w:pPr>
    </w:p>
    <w:p>
      <w:pPr>
        <w:ind w:left="407" w:hanging="407"/>
        <w:spacing w:after="0"/>
        <w:tabs>
          <w:tab w:leader="none" w:pos="407"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Commitments and Contingencies</w:t>
      </w:r>
    </w:p>
    <w:p>
      <w:pPr>
        <w:spacing w:after="0" w:line="194" w:lineRule="exact"/>
        <w:rPr>
          <w:sz w:val="20"/>
          <w:szCs w:val="20"/>
          <w:color w:val="auto"/>
        </w:rPr>
      </w:pPr>
    </w:p>
    <w:p>
      <w:pPr>
        <w:ind w:left="147"/>
        <w:spacing w:after="0"/>
        <w:rPr>
          <w:sz w:val="20"/>
          <w:szCs w:val="20"/>
          <w:color w:val="auto"/>
        </w:rPr>
      </w:pPr>
      <w:r>
        <w:rPr>
          <w:rFonts w:ascii="Arial" w:cs="Arial" w:eastAsia="Arial" w:hAnsi="Arial"/>
          <w:sz w:val="16"/>
          <w:szCs w:val="16"/>
          <w:b w:val="1"/>
          <w:bCs w:val="1"/>
          <w:i w:val="1"/>
          <w:iCs w:val="1"/>
          <w:color w:val="auto"/>
        </w:rPr>
        <w:t>Commitments</w:t>
      </w:r>
    </w:p>
    <w:p>
      <w:pPr>
        <w:spacing w:after="0" w:line="188" w:lineRule="exact"/>
        <w:rPr>
          <w:sz w:val="20"/>
          <w:szCs w:val="20"/>
          <w:color w:val="auto"/>
        </w:rPr>
      </w:pPr>
    </w:p>
    <w:p>
      <w:pPr>
        <w:jc w:val="both"/>
        <w:ind w:left="7" w:firstLine="279"/>
        <w:spacing w:after="0" w:line="290" w:lineRule="auto"/>
        <w:rPr>
          <w:sz w:val="20"/>
          <w:szCs w:val="20"/>
          <w:color w:val="auto"/>
        </w:rPr>
      </w:pPr>
      <w:r>
        <w:rPr>
          <w:rFonts w:ascii="Arial" w:cs="Arial" w:eastAsia="Arial" w:hAnsi="Arial"/>
          <w:sz w:val="14"/>
          <w:szCs w:val="14"/>
          <w:color w:val="auto"/>
        </w:rPr>
        <w:t>In the normal course of business, we have entered into agreements that commit our company to make cash payments in future periods with respect to programming contracts, network and connectivity commitments, purchases of customer premises and other equipment and services and other items. The following table sets forth the U.S. dollar equivalents of such commitments as of June 30, 2020. Due to the held-for-sale presentation of the U.K. JV Entities at June 30, 2020, the amounts presented below do not include the contractual commitments of these entities. For information regarding the held-for-sale presentation of the U.K. JV Entities, see note 4. The commitments included in this table do not reflect any liabilities that are included on our June 30, 2020 condensed consolidated balance sheet.</w:t>
      </w:r>
    </w:p>
    <w:p>
      <w:pPr>
        <w:spacing w:after="0" w:line="107" w:lineRule="exact"/>
        <w:rPr>
          <w:sz w:val="20"/>
          <w:szCs w:val="20"/>
          <w:color w:val="auto"/>
        </w:rPr>
      </w:pPr>
    </w:p>
    <w:tbl>
      <w:tblPr>
        <w:tblLayout w:type="fixed"/>
        <w:tblInd w:w="7" w:type="dxa"/>
        <w:tblCellMar>
          <w:top w:w="0" w:type="dxa"/>
          <w:left w:w="0" w:type="dxa"/>
          <w:bottom w:w="0" w:type="dxa"/>
          <w:right w:w="0" w:type="dxa"/>
        </w:tblCellMar>
      </w:tblPr>
      <w:tr>
        <w:trPr>
          <w:trHeight w:val="182"/>
        </w:trPr>
        <w:tc>
          <w:tcPr>
            <w:tcW w:w="2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40" w:type="dxa"/>
            <w:vAlign w:val="bottom"/>
            <w:gridSpan w:val="5"/>
          </w:tcPr>
          <w:p>
            <w:pPr>
              <w:ind w:left="660"/>
              <w:spacing w:after="0"/>
              <w:rPr>
                <w:sz w:val="20"/>
                <w:szCs w:val="20"/>
                <w:color w:val="auto"/>
              </w:rPr>
            </w:pPr>
            <w:r>
              <w:rPr>
                <w:rFonts w:ascii="Arial" w:cs="Arial" w:eastAsia="Arial" w:hAnsi="Arial"/>
                <w:sz w:val="14"/>
                <w:szCs w:val="14"/>
                <w:b w:val="1"/>
                <w:bCs w:val="1"/>
                <w:color w:val="auto"/>
                <w:w w:val="92"/>
              </w:rPr>
              <w:t>Payments due during:</w:t>
            </w: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8"/>
        </w:trPr>
        <w:tc>
          <w:tcPr>
            <w:tcW w:w="22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7"/>
        </w:trPr>
        <w:tc>
          <w:tcPr>
            <w:tcW w:w="2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Remainder</w:t>
            </w: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182"/>
        </w:trPr>
        <w:tc>
          <w:tcPr>
            <w:tcW w:w="2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of 2020</w:t>
            </w:r>
          </w:p>
        </w:tc>
        <w:tc>
          <w:tcPr>
            <w:tcW w:w="240" w:type="dxa"/>
            <w:vAlign w:val="bottom"/>
          </w:tcPr>
          <w:p>
            <w:pPr>
              <w:spacing w:after="0"/>
              <w:rPr>
                <w:sz w:val="15"/>
                <w:szCs w:val="15"/>
                <w:color w:val="auto"/>
              </w:rPr>
            </w:pPr>
          </w:p>
        </w:tc>
        <w:tc>
          <w:tcPr>
            <w:tcW w:w="800" w:type="dxa"/>
            <w:vAlign w:val="bottom"/>
          </w:tcPr>
          <w:p>
            <w:pPr>
              <w:jc w:val="right"/>
              <w:ind w:right="30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30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30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304"/>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84"/>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Thereafter</w:t>
            </w:r>
          </w:p>
        </w:tc>
        <w:tc>
          <w:tcPr>
            <w:tcW w:w="220" w:type="dxa"/>
            <w:vAlign w:val="bottom"/>
          </w:tcPr>
          <w:p>
            <w:pPr>
              <w:spacing w:after="0"/>
              <w:rPr>
                <w:sz w:val="15"/>
                <w:szCs w:val="15"/>
                <w:color w:val="auto"/>
              </w:rPr>
            </w:pPr>
          </w:p>
        </w:tc>
        <w:tc>
          <w:tcPr>
            <w:tcW w:w="780" w:type="dxa"/>
            <w:vAlign w:val="bottom"/>
          </w:tcPr>
          <w:p>
            <w:pPr>
              <w:jc w:val="right"/>
              <w:ind w:right="264"/>
              <w:spacing w:after="0"/>
              <w:rPr>
                <w:sz w:val="20"/>
                <w:szCs w:val="20"/>
                <w:color w:val="auto"/>
              </w:rPr>
            </w:pPr>
            <w:r>
              <w:rPr>
                <w:rFonts w:ascii="Arial" w:cs="Arial" w:eastAsia="Arial" w:hAnsi="Arial"/>
                <w:sz w:val="14"/>
                <w:szCs w:val="14"/>
                <w:b w:val="1"/>
                <w:bCs w:val="1"/>
                <w:color w:val="auto"/>
              </w:rPr>
              <w:t>Total</w:t>
            </w:r>
          </w:p>
        </w:tc>
      </w:tr>
      <w:tr>
        <w:trPr>
          <w:trHeight w:val="28"/>
        </w:trPr>
        <w:tc>
          <w:tcPr>
            <w:tcW w:w="22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85"/>
        </w:trPr>
        <w:tc>
          <w:tcPr>
            <w:tcW w:w="2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3"/>
          </w:tcPr>
          <w:p>
            <w:pPr>
              <w:jc w:val="right"/>
              <w:ind w:right="42"/>
              <w:spacing w:after="0"/>
              <w:rPr>
                <w:sz w:val="20"/>
                <w:szCs w:val="20"/>
                <w:color w:val="auto"/>
              </w:rPr>
            </w:pPr>
            <w:r>
              <w:rPr>
                <w:rFonts w:ascii="Arial" w:cs="Arial" w:eastAsia="Arial" w:hAnsi="Arial"/>
                <w:sz w:val="14"/>
                <w:szCs w:val="14"/>
                <w:b w:val="1"/>
                <w:bCs w:val="1"/>
                <w:color w:val="auto"/>
              </w:rPr>
              <w:t>in millions</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33"/>
        </w:trPr>
        <w:tc>
          <w:tcPr>
            <w:tcW w:w="2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99"/>
        </w:trPr>
        <w:tc>
          <w:tcPr>
            <w:tcW w:w="2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Network and connectivity</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0"/>
        </w:trPr>
        <w:tc>
          <w:tcPr>
            <w:tcW w:w="22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commitments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78.9</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86.2</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64.9</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41.5</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35.8</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34.4</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681.2</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1,022.9</w:t>
            </w:r>
          </w:p>
        </w:tc>
      </w:tr>
      <w:tr>
        <w:trPr>
          <w:trHeight w:val="209"/>
        </w:trPr>
        <w:tc>
          <w:tcPr>
            <w:tcW w:w="2260" w:type="dxa"/>
            <w:vAlign w:val="bottom"/>
          </w:tcPr>
          <w:p>
            <w:pPr>
              <w:ind w:left="20"/>
              <w:spacing w:after="0"/>
              <w:rPr>
                <w:sz w:val="20"/>
                <w:szCs w:val="20"/>
                <w:color w:val="auto"/>
              </w:rPr>
            </w:pPr>
            <w:r>
              <w:rPr>
                <w:rFonts w:ascii="Arial" w:cs="Arial" w:eastAsia="Arial" w:hAnsi="Arial"/>
                <w:sz w:val="16"/>
                <w:szCs w:val="16"/>
                <w:color w:val="auto"/>
              </w:rPr>
              <w:t>Programming commitments</w:t>
            </w:r>
          </w:p>
        </w:tc>
        <w:tc>
          <w:tcPr>
            <w:tcW w:w="160" w:type="dxa"/>
            <w:vAlign w:val="bottom"/>
          </w:tcPr>
          <w:p>
            <w:pPr>
              <w:spacing w:after="0"/>
              <w:rPr>
                <w:sz w:val="18"/>
                <w:szCs w:val="18"/>
                <w:color w:val="auto"/>
              </w:rPr>
            </w:pPr>
          </w:p>
        </w:tc>
        <w:tc>
          <w:tcPr>
            <w:tcW w:w="980" w:type="dxa"/>
            <w:vAlign w:val="bottom"/>
          </w:tcPr>
          <w:p>
            <w:pPr>
              <w:jc w:val="right"/>
              <w:ind w:right="45"/>
              <w:spacing w:after="0"/>
              <w:rPr>
                <w:sz w:val="20"/>
                <w:szCs w:val="20"/>
                <w:color w:val="auto"/>
              </w:rPr>
            </w:pPr>
            <w:r>
              <w:rPr>
                <w:rFonts w:ascii="Arial" w:cs="Arial" w:eastAsia="Arial" w:hAnsi="Arial"/>
                <w:sz w:val="16"/>
                <w:szCs w:val="16"/>
                <w:color w:val="auto"/>
              </w:rPr>
              <w:t>152.1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44"/>
              <w:spacing w:after="0"/>
              <w:rPr>
                <w:sz w:val="20"/>
                <w:szCs w:val="20"/>
                <w:color w:val="auto"/>
              </w:rPr>
            </w:pPr>
            <w:r>
              <w:rPr>
                <w:rFonts w:ascii="Arial" w:cs="Arial" w:eastAsia="Arial" w:hAnsi="Arial"/>
                <w:sz w:val="16"/>
                <w:szCs w:val="16"/>
                <w:color w:val="auto"/>
              </w:rPr>
              <w:t>171.2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45"/>
              <w:spacing w:after="0"/>
              <w:rPr>
                <w:sz w:val="20"/>
                <w:szCs w:val="20"/>
                <w:color w:val="auto"/>
              </w:rPr>
            </w:pPr>
            <w:r>
              <w:rPr>
                <w:rFonts w:ascii="Arial" w:cs="Arial" w:eastAsia="Arial" w:hAnsi="Arial"/>
                <w:sz w:val="16"/>
                <w:szCs w:val="16"/>
                <w:color w:val="auto"/>
              </w:rPr>
              <w:t>84.1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45"/>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ind w:right="44"/>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24"/>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24"/>
              <w:spacing w:after="0"/>
              <w:rPr>
                <w:sz w:val="20"/>
                <w:szCs w:val="20"/>
                <w:color w:val="auto"/>
              </w:rPr>
            </w:pPr>
            <w:r>
              <w:rPr>
                <w:rFonts w:ascii="Arial" w:cs="Arial" w:eastAsia="Arial" w:hAnsi="Arial"/>
                <w:sz w:val="16"/>
                <w:szCs w:val="16"/>
                <w:color w:val="auto"/>
              </w:rPr>
              <w:t>16.1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44"/>
              <w:spacing w:after="0"/>
              <w:rPr>
                <w:sz w:val="20"/>
                <w:szCs w:val="20"/>
                <w:color w:val="auto"/>
              </w:rPr>
            </w:pPr>
            <w:r>
              <w:rPr>
                <w:rFonts w:ascii="Arial" w:cs="Arial" w:eastAsia="Arial" w:hAnsi="Arial"/>
                <w:sz w:val="16"/>
                <w:szCs w:val="16"/>
                <w:color w:val="auto"/>
              </w:rPr>
              <w:t>473.6</w:t>
            </w:r>
          </w:p>
        </w:tc>
      </w:tr>
      <w:tr>
        <w:trPr>
          <w:trHeight w:val="24"/>
        </w:trPr>
        <w:tc>
          <w:tcPr>
            <w:tcW w:w="2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13"/>
        </w:trPr>
        <w:tc>
          <w:tcPr>
            <w:tcW w:w="2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Purchase commitments</w:t>
            </w: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250.6</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170.1</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43.5</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30.7</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17.3</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14.5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537.4</w:t>
            </w:r>
          </w:p>
        </w:tc>
      </w:tr>
      <w:tr>
        <w:trPr>
          <w:trHeight w:val="209"/>
        </w:trPr>
        <w:tc>
          <w:tcPr>
            <w:tcW w:w="2260" w:type="dxa"/>
            <w:vAlign w:val="bottom"/>
          </w:tcPr>
          <w:p>
            <w:pPr>
              <w:ind w:left="20"/>
              <w:spacing w:after="0"/>
              <w:rPr>
                <w:sz w:val="20"/>
                <w:szCs w:val="20"/>
                <w:color w:val="auto"/>
              </w:rPr>
            </w:pPr>
            <w:r>
              <w:rPr>
                <w:rFonts w:ascii="Arial" w:cs="Arial" w:eastAsia="Arial" w:hAnsi="Arial"/>
                <w:sz w:val="16"/>
                <w:szCs w:val="16"/>
                <w:color w:val="auto"/>
              </w:rPr>
              <w:t>Other commitments</w:t>
            </w:r>
          </w:p>
        </w:tc>
        <w:tc>
          <w:tcPr>
            <w:tcW w:w="160" w:type="dxa"/>
            <w:vAlign w:val="bottom"/>
          </w:tcPr>
          <w:p>
            <w:pPr>
              <w:spacing w:after="0"/>
              <w:rPr>
                <w:sz w:val="18"/>
                <w:szCs w:val="18"/>
                <w:color w:val="auto"/>
              </w:rPr>
            </w:pPr>
          </w:p>
        </w:tc>
        <w:tc>
          <w:tcPr>
            <w:tcW w:w="980" w:type="dxa"/>
            <w:vAlign w:val="bottom"/>
          </w:tcPr>
          <w:p>
            <w:pPr>
              <w:jc w:val="right"/>
              <w:ind w:right="45"/>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44"/>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45"/>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45"/>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ind w:right="44"/>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24"/>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24"/>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44"/>
              <w:spacing w:after="0"/>
              <w:rPr>
                <w:sz w:val="20"/>
                <w:szCs w:val="20"/>
                <w:color w:val="auto"/>
              </w:rPr>
            </w:pPr>
            <w:r>
              <w:rPr>
                <w:rFonts w:ascii="Arial" w:cs="Arial" w:eastAsia="Arial" w:hAnsi="Arial"/>
                <w:sz w:val="16"/>
                <w:szCs w:val="16"/>
                <w:color w:val="auto"/>
              </w:rPr>
              <w:t>15.2</w:t>
            </w:r>
          </w:p>
        </w:tc>
      </w:tr>
      <w:tr>
        <w:trPr>
          <w:trHeight w:val="24"/>
        </w:trPr>
        <w:tc>
          <w:tcPr>
            <w:tcW w:w="22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29"/>
        </w:trPr>
        <w:tc>
          <w:tcPr>
            <w:tcW w:w="2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485.7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430.6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195.5</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96.1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68.8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63.2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709.2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2,049.1</w:t>
            </w: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362" w:lineRule="exact"/>
        <w:rPr>
          <w:sz w:val="20"/>
          <w:szCs w:val="20"/>
          <w:color w:val="auto"/>
        </w:rPr>
      </w:pPr>
    </w:p>
    <w:p>
      <w:pPr>
        <w:jc w:val="both"/>
        <w:ind w:left="7" w:firstLine="279"/>
        <w:spacing w:after="0" w:line="246" w:lineRule="auto"/>
        <w:rPr>
          <w:sz w:val="20"/>
          <w:szCs w:val="20"/>
          <w:color w:val="auto"/>
        </w:rPr>
      </w:pPr>
      <w:r>
        <w:rPr>
          <w:rFonts w:ascii="Arial" w:cs="Arial" w:eastAsia="Arial" w:hAnsi="Arial"/>
          <w:sz w:val="16"/>
          <w:szCs w:val="16"/>
          <w:color w:val="auto"/>
        </w:rPr>
        <w:t>Network and connectivity commitments include Telenet’s commitments for certain operating costs associated with its leased network. Telenet’s commitments for certain operating costs are subject to adjustment based on changes in the network operating costs incurred by Telenet with respect to its own networks. These potential adjustments are not subject to reasonable estimation and, therefore, are not included in the above table. The amounts reflected in the above table with respect to certain of our mobile virtual network operator (</w:t>
      </w:r>
      <w:r>
        <w:rPr>
          <w:rFonts w:ascii="Arial" w:cs="Arial" w:eastAsia="Arial" w:hAnsi="Arial"/>
          <w:sz w:val="16"/>
          <w:szCs w:val="16"/>
          <w:b w:val="1"/>
          <w:bCs w:val="1"/>
          <w:color w:val="auto"/>
        </w:rPr>
        <w:t>MVNO</w:t>
      </w:r>
      <w:r>
        <w:rPr>
          <w:rFonts w:ascii="Arial" w:cs="Arial" w:eastAsia="Arial" w:hAnsi="Arial"/>
          <w:sz w:val="16"/>
          <w:szCs w:val="16"/>
          <w:color w:val="auto"/>
        </w:rPr>
        <w:t>) commitments represent fixed minimum amounts payable under these agreements and, therefore, may be significantly less than the actual amounts we ultimately pay in these periods.</w:t>
      </w:r>
    </w:p>
    <w:p>
      <w:pPr>
        <w:spacing w:after="0" w:line="174" w:lineRule="exact"/>
        <w:rPr>
          <w:sz w:val="20"/>
          <w:szCs w:val="20"/>
          <w:color w:val="auto"/>
        </w:rPr>
      </w:pPr>
    </w:p>
    <w:p>
      <w:pPr>
        <w:jc w:val="both"/>
        <w:ind w:left="7" w:firstLine="279"/>
        <w:spacing w:after="0" w:line="286" w:lineRule="auto"/>
        <w:rPr>
          <w:sz w:val="20"/>
          <w:szCs w:val="20"/>
          <w:color w:val="auto"/>
        </w:rPr>
      </w:pPr>
      <w:r>
        <w:rPr>
          <w:rFonts w:ascii="Arial" w:cs="Arial" w:eastAsia="Arial" w:hAnsi="Arial"/>
          <w:sz w:val="14"/>
          <w:szCs w:val="14"/>
          <w:color w:val="auto"/>
        </w:rPr>
        <w:t>Programming commitments consist of obligations associated with certain of our programming, studio output and sports rights contracts that are enforceable and legally binding on us as we have agreed to pay minimum fees without regard to (i) the actual number of subscribers to the programming services, (ii) whether we terminate service to a portion of our subscribers or dispose of a portion of our distribution systems or (iii) whether we discontinue our premium sports services. Programming commitments do not include increases in future periods associated with contractual inflation or other price adjustments that are not fixed. Accordingly, the amounts reflected in the above table with respect to these contracts are significantly less than the amounts we expect to pay in these periods under these contracts. Historically, payments to programming vendors have represented a significant portion of our operating costs, and we expect this will continue to be the case in future periods. In this regard, our total programming and copyright costs (including amounts related to the U.K. JV Entities) aggregated $832.6 million and $847.0 million during the six months ended June 30, 2020 and 2019, respectively.</w:t>
      </w:r>
    </w:p>
    <w:p>
      <w:pPr>
        <w:spacing w:after="0" w:line="146" w:lineRule="exact"/>
        <w:rPr>
          <w:sz w:val="20"/>
          <w:szCs w:val="20"/>
          <w:color w:val="auto"/>
        </w:rPr>
      </w:pPr>
    </w:p>
    <w:p>
      <w:pPr>
        <w:ind w:left="287"/>
        <w:spacing w:after="0"/>
        <w:rPr>
          <w:sz w:val="20"/>
          <w:szCs w:val="20"/>
          <w:color w:val="auto"/>
        </w:rPr>
      </w:pPr>
      <w:r>
        <w:rPr>
          <w:rFonts w:ascii="Arial" w:cs="Arial" w:eastAsia="Arial" w:hAnsi="Arial"/>
          <w:sz w:val="16"/>
          <w:szCs w:val="16"/>
          <w:color w:val="auto"/>
        </w:rPr>
        <w:t>Programming costs include (i) agreements to distribute channels to our customers, (ii) exhibition rights of programming content and (iii) sports rights.</w:t>
      </w:r>
    </w:p>
    <w:p>
      <w:pPr>
        <w:spacing w:after="0" w:line="188" w:lineRule="exact"/>
        <w:rPr>
          <w:sz w:val="20"/>
          <w:szCs w:val="20"/>
          <w:color w:val="auto"/>
        </w:rPr>
      </w:pPr>
    </w:p>
    <w:p>
      <w:pPr>
        <w:jc w:val="both"/>
        <w:ind w:left="7" w:firstLine="279"/>
        <w:spacing w:after="0" w:line="303" w:lineRule="auto"/>
        <w:rPr>
          <w:sz w:val="20"/>
          <w:szCs w:val="20"/>
          <w:color w:val="auto"/>
        </w:rPr>
      </w:pPr>
      <w:r>
        <w:rPr>
          <w:rFonts w:ascii="Arial" w:cs="Arial" w:eastAsia="Arial" w:hAnsi="Arial"/>
          <w:sz w:val="14"/>
          <w:szCs w:val="14"/>
          <w:i w:val="1"/>
          <w:iCs w:val="1"/>
          <w:color w:val="auto"/>
        </w:rPr>
        <w:t>Channel Distribution Agreements</w:t>
      </w:r>
      <w:r>
        <w:rPr>
          <w:rFonts w:ascii="Arial" w:cs="Arial" w:eastAsia="Arial" w:hAnsi="Arial"/>
          <w:sz w:val="14"/>
          <w:szCs w:val="14"/>
          <w:color w:val="auto"/>
        </w:rPr>
        <w:t>. Our channel distribution agreements are generally multi-year contracts for which we are charged either (i) variable rates based upon the</w:t>
      </w:r>
      <w:r>
        <w:rPr>
          <w:rFonts w:ascii="Arial" w:cs="Arial" w:eastAsia="Arial" w:hAnsi="Arial"/>
          <w:sz w:val="14"/>
          <w:szCs w:val="14"/>
          <w:i w:val="1"/>
          <w:iCs w:val="1"/>
          <w:color w:val="auto"/>
        </w:rPr>
        <w:t xml:space="preserve"> </w:t>
      </w:r>
      <w:r>
        <w:rPr>
          <w:rFonts w:ascii="Arial" w:cs="Arial" w:eastAsia="Arial" w:hAnsi="Arial"/>
          <w:sz w:val="14"/>
          <w:szCs w:val="14"/>
          <w:color w:val="auto"/>
        </w:rPr>
        <w:t>number of subscribers or (ii) on a flat fee basis. Certain of our variable rate contracts require minimum guarantees. Programming costs under such arrangements are recorded in operating costs and expenses in our condensed consolidated statement of operations when the programming is available for viewing.</w:t>
      </w:r>
    </w:p>
    <w:p>
      <w:pPr>
        <w:spacing w:after="0" w:line="135" w:lineRule="exact"/>
        <w:rPr>
          <w:sz w:val="20"/>
          <w:szCs w:val="20"/>
          <w:color w:val="auto"/>
        </w:rPr>
      </w:pPr>
    </w:p>
    <w:p>
      <w:pPr>
        <w:jc w:val="both"/>
        <w:ind w:left="7" w:firstLine="279"/>
        <w:spacing w:after="0" w:line="250" w:lineRule="auto"/>
        <w:rPr>
          <w:sz w:val="20"/>
          <w:szCs w:val="20"/>
          <w:color w:val="auto"/>
        </w:rPr>
      </w:pPr>
      <w:r>
        <w:rPr>
          <w:rFonts w:ascii="Arial" w:cs="Arial" w:eastAsia="Arial" w:hAnsi="Arial"/>
          <w:sz w:val="16"/>
          <w:szCs w:val="16"/>
          <w:i w:val="1"/>
          <w:iCs w:val="1"/>
          <w:color w:val="auto"/>
        </w:rPr>
        <w:t>Exhibition Rights</w:t>
      </w:r>
      <w:r>
        <w:rPr>
          <w:rFonts w:ascii="Arial" w:cs="Arial" w:eastAsia="Arial" w:hAnsi="Arial"/>
          <w:sz w:val="16"/>
          <w:szCs w:val="16"/>
          <w:color w:val="auto"/>
        </w:rPr>
        <w:t>. Our agreements for exhibition rights are generally multi-year license agreements for which we are typically charged either (i) a percentage of the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earned per program or (ii) a flat fee per program. The current and long-term portions of our exhibition rights acquired under licenses are recorded as other current assets and other assets, net, respectively, on our</w:t>
      </w:r>
    </w:p>
    <w:p>
      <w:pPr>
        <w:spacing w:after="0" w:line="170"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267"/>
          </w:cols>
          <w:pgMar w:left="313" w:top="263" w:right="319" w:bottom="1440" w:gutter="0" w:footer="0" w:header="0"/>
        </w:sectPr>
      </w:pPr>
    </w:p>
    <w:bookmarkStart w:id="40" w:name="page41"/>
    <w:bookmarkEnd w:id="40"/>
    <w:p>
      <w:pPr>
        <w:jc w:val="center"/>
        <w:spacing w:after="0"/>
        <w:rPr>
          <w:sz w:val="20"/>
          <w:szCs w:val="20"/>
          <w:color w:val="auto"/>
        </w:rPr>
      </w:pPr>
      <w:r>
        <w:rPr>
          <w:rFonts w:ascii="Arial" w:cs="Arial" w:eastAsia="Arial" w:hAnsi="Arial"/>
          <w:sz w:val="16"/>
          <w:szCs w:val="16"/>
          <w:b w:val="1"/>
          <w:bCs w:val="1"/>
          <w:color w:val="auto"/>
        </w:rPr>
        <w:t>LIBERTY GLOBAL PLC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June 30, 2020</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jc w:val="both"/>
        <w:ind w:right="20"/>
        <w:spacing w:after="0" w:line="250" w:lineRule="auto"/>
        <w:rPr>
          <w:sz w:val="20"/>
          <w:szCs w:val="20"/>
          <w:color w:val="auto"/>
        </w:rPr>
      </w:pPr>
      <w:r>
        <w:rPr>
          <w:rFonts w:ascii="Arial" w:cs="Arial" w:eastAsia="Arial" w:hAnsi="Arial"/>
          <w:sz w:val="16"/>
          <w:szCs w:val="16"/>
          <w:color w:val="auto"/>
        </w:rPr>
        <w:t>condensed consolidated balance sheet when the license period begins and the program is available for its first showing. Capitalized exhibition rights are amortized based on the projected future showings of the content using a straight-line or accelerated method of amortization, as appropriate. Exhibition rights are regularly reviewed for impairment and held at the lower of unamortized cost or estimated net realizable value.</w:t>
      </w:r>
    </w:p>
    <w:p>
      <w:pPr>
        <w:spacing w:after="0" w:line="170" w:lineRule="exact"/>
        <w:rPr>
          <w:sz w:val="20"/>
          <w:szCs w:val="20"/>
          <w:color w:val="auto"/>
        </w:rPr>
      </w:pPr>
    </w:p>
    <w:p>
      <w:pPr>
        <w:jc w:val="both"/>
        <w:ind w:firstLine="279"/>
        <w:spacing w:after="0" w:line="248" w:lineRule="auto"/>
        <w:rPr>
          <w:sz w:val="20"/>
          <w:szCs w:val="20"/>
          <w:color w:val="auto"/>
        </w:rPr>
      </w:pPr>
      <w:r>
        <w:rPr>
          <w:rFonts w:ascii="Arial" w:cs="Arial" w:eastAsia="Arial" w:hAnsi="Arial"/>
          <w:sz w:val="16"/>
          <w:szCs w:val="16"/>
          <w:i w:val="1"/>
          <w:iCs w:val="1"/>
          <w:color w:val="auto"/>
        </w:rPr>
        <w:t>Sports Rights</w:t>
      </w:r>
      <w:r>
        <w:rPr>
          <w:rFonts w:ascii="Arial" w:cs="Arial" w:eastAsia="Arial" w:hAnsi="Arial"/>
          <w:sz w:val="16"/>
          <w:szCs w:val="16"/>
          <w:color w:val="auto"/>
        </w:rPr>
        <w:t>. Our sports rights agreements are generally multi-year contracts for which we are typically charged a flat fee per season. We typically pay for sports rights in</w:t>
      </w:r>
      <w:r>
        <w:rPr>
          <w:rFonts w:ascii="Arial" w:cs="Arial" w:eastAsia="Arial" w:hAnsi="Arial"/>
          <w:sz w:val="16"/>
          <w:szCs w:val="16"/>
          <w:i w:val="1"/>
          <w:iCs w:val="1"/>
          <w:color w:val="auto"/>
        </w:rPr>
        <w:t xml:space="preserve"> </w:t>
      </w:r>
      <w:r>
        <w:rPr>
          <w:rFonts w:ascii="Arial" w:cs="Arial" w:eastAsia="Arial" w:hAnsi="Arial"/>
          <w:sz w:val="16"/>
          <w:szCs w:val="16"/>
          <w:color w:val="auto"/>
        </w:rPr>
        <w:t>advance of the respective season. The current and long-term portions of any payments made in advance of the respective season are recorded as other current assets and other assets, net, respectively, on our condensed consolidated balance sheet and are amortized on a straight-line basis over the respective sporting season. Sports rights are regularly reviewed for impairment and held at the lower of unamortized cost or estimated net realizable value.</w:t>
      </w:r>
    </w:p>
    <w:p>
      <w:pPr>
        <w:spacing w:after="0" w:line="170" w:lineRule="exact"/>
        <w:rPr>
          <w:sz w:val="20"/>
          <w:szCs w:val="20"/>
          <w:color w:val="auto"/>
        </w:rPr>
      </w:pPr>
    </w:p>
    <w:p>
      <w:pPr>
        <w:jc w:val="both"/>
        <w:ind w:firstLine="279"/>
        <w:spacing w:after="0" w:line="258" w:lineRule="auto"/>
        <w:rPr>
          <w:sz w:val="20"/>
          <w:szCs w:val="20"/>
          <w:color w:val="auto"/>
        </w:rPr>
      </w:pPr>
      <w:r>
        <w:rPr>
          <w:rFonts w:ascii="Arial" w:cs="Arial" w:eastAsia="Arial" w:hAnsi="Arial"/>
          <w:sz w:val="16"/>
          <w:szCs w:val="16"/>
          <w:color w:val="auto"/>
        </w:rPr>
        <w:t>Purchase commitments include unconditional and legally binding obligations related to (i) the purchase of customer premises and other equipment and (ii) certain service-related commitments, including call center, information technology and maintenance services.</w:t>
      </w:r>
    </w:p>
    <w:p>
      <w:pPr>
        <w:spacing w:after="0" w:line="163" w:lineRule="exact"/>
        <w:rPr>
          <w:sz w:val="20"/>
          <w:szCs w:val="20"/>
          <w:color w:val="auto"/>
        </w:rPr>
      </w:pPr>
    </w:p>
    <w:p>
      <w:pPr>
        <w:jc w:val="both"/>
        <w:ind w:firstLine="279"/>
        <w:spacing w:after="0" w:line="250" w:lineRule="auto"/>
        <w:rPr>
          <w:sz w:val="20"/>
          <w:szCs w:val="20"/>
          <w:color w:val="auto"/>
        </w:rPr>
      </w:pPr>
      <w:r>
        <w:rPr>
          <w:rFonts w:ascii="Arial" w:cs="Arial" w:eastAsia="Arial" w:hAnsi="Arial"/>
          <w:sz w:val="16"/>
          <w:szCs w:val="16"/>
          <w:color w:val="auto"/>
        </w:rPr>
        <w:t>In addition to the commitments set forth in the table above, we have significant commitments under (i) derivative instruments and (ii) defined benefit plans and similar agreements, pursuant to which we expect to make payments in future periods. For information regarding our derivative instruments, including the net cash paid or received in connection with these instruments during the six months ended June 30, 2020 and 2019, see note 6.</w:t>
      </w:r>
    </w:p>
    <w:p>
      <w:pPr>
        <w:spacing w:after="0" w:line="170" w:lineRule="exact"/>
        <w:rPr>
          <w:sz w:val="20"/>
          <w:szCs w:val="20"/>
          <w:color w:val="auto"/>
        </w:rPr>
      </w:pPr>
    </w:p>
    <w:p>
      <w:pPr>
        <w:jc w:val="both"/>
        <w:ind w:firstLine="279"/>
        <w:spacing w:after="0" w:line="250" w:lineRule="auto"/>
        <w:rPr>
          <w:sz w:val="20"/>
          <w:szCs w:val="20"/>
          <w:color w:val="auto"/>
        </w:rPr>
      </w:pPr>
      <w:r>
        <w:rPr>
          <w:rFonts w:ascii="Arial" w:cs="Arial" w:eastAsia="Arial" w:hAnsi="Arial"/>
          <w:sz w:val="16"/>
          <w:szCs w:val="16"/>
          <w:color w:val="auto"/>
        </w:rPr>
        <w:t>We also have commitments pursuant to agreements with, and obligations imposed by, franchise authorities and municipalities, which may include obligations in certain markets to move aerial cable to underground ducts or to upgrade, rebuild or extend portions of our broadband communication systems. Such amounts are not included in the above table because they are not fixed or determinable.</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Guarantees and Other Credit Enhancements</w:t>
      </w:r>
    </w:p>
    <w:p>
      <w:pPr>
        <w:spacing w:after="0" w:line="188" w:lineRule="exact"/>
        <w:rPr>
          <w:sz w:val="20"/>
          <w:szCs w:val="20"/>
          <w:color w:val="auto"/>
        </w:rPr>
      </w:pPr>
    </w:p>
    <w:p>
      <w:pPr>
        <w:jc w:val="both"/>
        <w:ind w:right="20" w:firstLine="279"/>
        <w:spacing w:after="0" w:line="250" w:lineRule="auto"/>
        <w:rPr>
          <w:sz w:val="20"/>
          <w:szCs w:val="20"/>
          <w:color w:val="auto"/>
        </w:rPr>
      </w:pPr>
      <w:r>
        <w:rPr>
          <w:rFonts w:ascii="Arial" w:cs="Arial" w:eastAsia="Arial" w:hAnsi="Arial"/>
          <w:sz w:val="16"/>
          <w:szCs w:val="16"/>
          <w:color w:val="auto"/>
        </w:rPr>
        <w:t>In the ordinary course of business, we may provide (i) indemnifications to our lenders, our vendors and certain other parties and (ii) performance and/or financial guarantees to local municipalities, our customers and vendors. Historically, these arrangements have not resulted in our company making any material payments and we do not believe that they will result in material payments in the future.</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Legal and Regulatory Proceedings and Other Contingencies</w:t>
      </w:r>
    </w:p>
    <w:p>
      <w:pPr>
        <w:spacing w:after="0" w:line="182" w:lineRule="exact"/>
        <w:rPr>
          <w:sz w:val="20"/>
          <w:szCs w:val="20"/>
          <w:color w:val="auto"/>
        </w:rPr>
      </w:pPr>
    </w:p>
    <w:p>
      <w:pPr>
        <w:jc w:val="both"/>
        <w:ind w:firstLine="279"/>
        <w:spacing w:after="0" w:line="282" w:lineRule="auto"/>
        <w:rPr>
          <w:sz w:val="20"/>
          <w:szCs w:val="20"/>
          <w:color w:val="auto"/>
        </w:rPr>
      </w:pPr>
      <w:r>
        <w:rPr>
          <w:rFonts w:ascii="Arial" w:cs="Arial" w:eastAsia="Arial" w:hAnsi="Arial"/>
          <w:sz w:val="14"/>
          <w:szCs w:val="14"/>
          <w:i w:val="1"/>
          <w:iCs w:val="1"/>
          <w:color w:val="auto"/>
        </w:rPr>
        <w:t xml:space="preserve">Interkabel Acquisition. </w:t>
      </w:r>
      <w:r>
        <w:rPr>
          <w:rFonts w:ascii="Arial" w:cs="Arial" w:eastAsia="Arial" w:hAnsi="Arial"/>
          <w:sz w:val="14"/>
          <w:szCs w:val="14"/>
          <w:color w:val="auto"/>
        </w:rPr>
        <w:t>On November 26, 2007, Telenet and four associations of municipalities in Belgium, which we refer to as the pure intercommunales or the “</w:t>
      </w:r>
      <w:r>
        <w:rPr>
          <w:rFonts w:ascii="Arial" w:cs="Arial" w:eastAsia="Arial" w:hAnsi="Arial"/>
          <w:sz w:val="14"/>
          <w:szCs w:val="14"/>
          <w:b w:val="1"/>
          <w:bCs w:val="1"/>
          <w:color w:val="auto"/>
        </w:rPr>
        <w:t>PICs</w:t>
      </w:r>
      <w:r>
        <w:rPr>
          <w:rFonts w:ascii="Arial" w:cs="Arial" w:eastAsia="Arial" w:hAnsi="Arial"/>
          <w:sz w:val="14"/>
          <w:szCs w:val="14"/>
          <w:color w:val="auto"/>
        </w:rPr>
        <w:t>,”</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announced a non-binding agreement-in-principle to transfer the analog and digital television activities of the PICs, including all existing subscribers, to Telenet. Subsequently, Telenet and the PICs entered into a binding agreement (the </w:t>
      </w:r>
      <w:r>
        <w:rPr>
          <w:rFonts w:ascii="Arial" w:cs="Arial" w:eastAsia="Arial" w:hAnsi="Arial"/>
          <w:sz w:val="14"/>
          <w:szCs w:val="14"/>
          <w:b w:val="1"/>
          <w:bCs w:val="1"/>
          <w:color w:val="auto"/>
        </w:rPr>
        <w:t>2008 PICs Agreement</w:t>
      </w:r>
      <w:r>
        <w:rPr>
          <w:rFonts w:ascii="Arial" w:cs="Arial" w:eastAsia="Arial" w:hAnsi="Arial"/>
          <w:sz w:val="14"/>
          <w:szCs w:val="14"/>
          <w:color w:val="auto"/>
        </w:rPr>
        <w:t>), which closed effective October 1, 2008. Beginning in December 2007, Proximus NV/SA (</w:t>
      </w:r>
      <w:r>
        <w:rPr>
          <w:rFonts w:ascii="Arial" w:cs="Arial" w:eastAsia="Arial" w:hAnsi="Arial"/>
          <w:sz w:val="14"/>
          <w:szCs w:val="14"/>
          <w:b w:val="1"/>
          <w:bCs w:val="1"/>
          <w:color w:val="auto"/>
        </w:rPr>
        <w:t>Proximus</w:t>
      </w:r>
      <w:r>
        <w:rPr>
          <w:rFonts w:ascii="Arial" w:cs="Arial" w:eastAsia="Arial" w:hAnsi="Arial"/>
          <w:sz w:val="14"/>
          <w:szCs w:val="14"/>
          <w:color w:val="auto"/>
        </w:rPr>
        <w:t xml:space="preserve">), the incumbent telecommunications operator in Belgium, instituted several proceedings seeking to block implementation of these agreements. Proximus lodged summary proceedings with the President of the Court of First Instance of Antwerp to obtain a provisional injunction preventing the PICs from effecting the agreement-in-principle and initiated a civil procedure on the merits claiming the annulment of the agreement-in-principle. In March 2008, the President of the Court of First Instance of Antwerp ruled in favor of Proximus in the summary proceedings, which ruling was overturned by the Court of Appeal of Antwerp in June 2008. Proximus brought this appeal judgment before the Cour de Cassation (the </w:t>
      </w:r>
      <w:r>
        <w:rPr>
          <w:rFonts w:ascii="Arial" w:cs="Arial" w:eastAsia="Arial" w:hAnsi="Arial"/>
          <w:sz w:val="14"/>
          <w:szCs w:val="14"/>
          <w:b w:val="1"/>
          <w:bCs w:val="1"/>
          <w:color w:val="auto"/>
        </w:rPr>
        <w:t>Belgian Supreme Court</w:t>
      </w:r>
      <w:r>
        <w:rPr>
          <w:rFonts w:ascii="Arial" w:cs="Arial" w:eastAsia="Arial" w:hAnsi="Arial"/>
          <w:sz w:val="14"/>
          <w:szCs w:val="14"/>
          <w:color w:val="auto"/>
        </w:rPr>
        <w:t>), which confirmed the appeal judgment in September 2010. On April 6, 2009, the Court of First Instance of Antwerp ruled in favor of the PICs and Telenet in the civil procedure on the merits, dismissing Proximus’s request for the rescission of the agreement-in-principle and the 2008 PICs Agreement. On June 12, 2009, Proximus appealed this judgment with the Court of Appeal of Antwerp. In this appeal, Proximus is now also seeking compensation for damages. While these proceedings were suspended indefinitely, other proceedings were initiated, which resulted in a ruling by the Belgian Council of State in May 2014 annulling (i) the decision of the PICs not to organize a public market consultation and (ii) the decision from the PICs’ board of directors to approve the 2008 PICs Agreement. In December 2015, Proximus resumed the civil proceedings pending with the Court of Appeal of Antwerp seeking to have the 2008 PICs Agreement annulled and claiming damages of €1.4 billion ($1.6 billion).</w:t>
      </w:r>
    </w:p>
    <w:p>
      <w:pPr>
        <w:spacing w:after="0" w:line="153" w:lineRule="exact"/>
        <w:rPr>
          <w:sz w:val="20"/>
          <w:szCs w:val="20"/>
          <w:color w:val="auto"/>
        </w:rPr>
      </w:pPr>
    </w:p>
    <w:p>
      <w:pPr>
        <w:jc w:val="both"/>
        <w:ind w:firstLine="279"/>
        <w:spacing w:after="0" w:line="258" w:lineRule="auto"/>
        <w:rPr>
          <w:sz w:val="20"/>
          <w:szCs w:val="20"/>
          <w:color w:val="auto"/>
        </w:rPr>
      </w:pPr>
      <w:r>
        <w:rPr>
          <w:rFonts w:ascii="Arial" w:cs="Arial" w:eastAsia="Arial" w:hAnsi="Arial"/>
          <w:sz w:val="16"/>
          <w:szCs w:val="16"/>
          <w:color w:val="auto"/>
        </w:rPr>
        <w:t>In December 2017, the Court of Appeals of Antwerp issued a judgment rejecting Proximus’ claims. In June 2019, Proximus filed an appeal of the Court of Appeals of Antwerp’s judgment with the Belgian Supreme Court. No assurance can be given as to</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260"/>
          </w:cols>
          <w:pgMar w:left="320" w:top="263" w:right="319" w:bottom="1440" w:gutter="0" w:footer="0" w:header="0"/>
        </w:sectPr>
      </w:pPr>
    </w:p>
    <w:bookmarkStart w:id="41" w:name="page42"/>
    <w:bookmarkEnd w:id="41"/>
    <w:p>
      <w:pPr>
        <w:jc w:val="center"/>
        <w:spacing w:after="0"/>
        <w:rPr>
          <w:sz w:val="20"/>
          <w:szCs w:val="20"/>
          <w:color w:val="auto"/>
        </w:rPr>
      </w:pPr>
      <w:r>
        <w:rPr>
          <w:rFonts w:ascii="Arial" w:cs="Arial" w:eastAsia="Arial" w:hAnsi="Arial"/>
          <w:sz w:val="16"/>
          <w:szCs w:val="16"/>
          <w:b w:val="1"/>
          <w:bCs w:val="1"/>
          <w:color w:val="auto"/>
        </w:rPr>
        <w:t>LIBERTY GLOBAL PLC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June 30, 2020</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jc w:val="both"/>
        <w:spacing w:after="0" w:line="294" w:lineRule="auto"/>
        <w:rPr>
          <w:sz w:val="20"/>
          <w:szCs w:val="20"/>
          <w:color w:val="auto"/>
        </w:rPr>
      </w:pPr>
      <w:r>
        <w:rPr>
          <w:rFonts w:ascii="Arial" w:cs="Arial" w:eastAsia="Arial" w:hAnsi="Arial"/>
          <w:sz w:val="14"/>
          <w:szCs w:val="14"/>
          <w:color w:val="auto"/>
        </w:rPr>
        <w:t>the outcome of these or other proceedings. However, an unfavorable outcome of existing or future proceedings could potentially lead to the annulment of the 2008 PICs Agreement and/or to an obligation of Telenet to pay compensation for damages, subject to the relevant provisions of the 2008 PICs Agreement, which stipulate that Telenet is responsible for damages in excess of €20.0 million ($22.5 million). We do not expect the ultimate resolution of this matter to have a material impact on our results of operations, cash flows or financial position. No amounts have been accrued by us with respect to this matter as the likelihood of loss is not considered to be probable.</w:t>
      </w:r>
    </w:p>
    <w:p>
      <w:pPr>
        <w:spacing w:after="0" w:line="136" w:lineRule="exact"/>
        <w:rPr>
          <w:sz w:val="20"/>
          <w:szCs w:val="20"/>
          <w:color w:val="auto"/>
        </w:rPr>
      </w:pPr>
    </w:p>
    <w:p>
      <w:pPr>
        <w:jc w:val="both"/>
        <w:ind w:firstLine="279"/>
        <w:spacing w:after="0" w:line="284" w:lineRule="auto"/>
        <w:rPr>
          <w:sz w:val="20"/>
          <w:szCs w:val="20"/>
          <w:color w:val="auto"/>
        </w:rPr>
      </w:pPr>
      <w:r>
        <w:rPr>
          <w:rFonts w:ascii="Arial" w:cs="Arial" w:eastAsia="Arial" w:hAnsi="Arial"/>
          <w:sz w:val="14"/>
          <w:szCs w:val="14"/>
          <w:i w:val="1"/>
          <w:iCs w:val="1"/>
          <w:color w:val="auto"/>
        </w:rPr>
        <w:t xml:space="preserve">Telekom Deutschland Litigation. </w:t>
      </w:r>
      <w:r>
        <w:rPr>
          <w:rFonts w:ascii="Arial" w:cs="Arial" w:eastAsia="Arial" w:hAnsi="Arial"/>
          <w:sz w:val="14"/>
          <w:szCs w:val="14"/>
          <w:color w:val="auto"/>
        </w:rPr>
        <w:t>On December 28, 2012, Unitymedia filed a lawsuit against Telekom Deutschland GmbH (</w:t>
      </w:r>
      <w:r>
        <w:rPr>
          <w:rFonts w:ascii="Arial" w:cs="Arial" w:eastAsia="Arial" w:hAnsi="Arial"/>
          <w:sz w:val="14"/>
          <w:szCs w:val="14"/>
          <w:b w:val="1"/>
          <w:bCs w:val="1"/>
          <w:color w:val="auto"/>
        </w:rPr>
        <w:t>Telekom Deutschland</w:t>
      </w:r>
      <w:r>
        <w:rPr>
          <w:rFonts w:ascii="Arial" w:cs="Arial" w:eastAsia="Arial" w:hAnsi="Arial"/>
          <w:sz w:val="14"/>
          <w:szCs w:val="14"/>
          <w:color w:val="auto"/>
        </w:rPr>
        <w:t>) in which Unitymedia asserts</w:t>
      </w:r>
      <w:r>
        <w:rPr>
          <w:rFonts w:ascii="Arial" w:cs="Arial" w:eastAsia="Arial" w:hAnsi="Arial"/>
          <w:sz w:val="14"/>
          <w:szCs w:val="14"/>
          <w:i w:val="1"/>
          <w:iCs w:val="1"/>
          <w:color w:val="auto"/>
        </w:rPr>
        <w:t xml:space="preserve"> </w:t>
      </w:r>
      <w:r>
        <w:rPr>
          <w:rFonts w:ascii="Arial" w:cs="Arial" w:eastAsia="Arial" w:hAnsi="Arial"/>
          <w:sz w:val="14"/>
          <w:szCs w:val="14"/>
          <w:color w:val="auto"/>
        </w:rPr>
        <w:t>that it pays excessive prices for the co-use of Telekom Deutschland’s cable ducts in Unitymedia’s footprint. The Federal Network Agency approved rates for the co-use of certain ducts of Telekom Deutschland in March 2011. Based in part on these approved rates, Unitymedia sought a reduction of the annual lease fees by approximately five-sixths. In addition, Unitymedia is seeking the return of similarly calculated overpayments from 2009 through the ultimate settlement date, plus accrued interest. In October 2016, the first instance court dismissed this action, and in March 2018, the court of appeal dismissed Unitymedia’s appeal of the first instance court’s decision and did not grant permission to appeal further to the Federal Court of Justice. Unitymedia has filed a motion with the Federal Court of Justice to grant permission to appeal. The resolution of this matter may take several years and no assurance can be given that Unitymedia’s claims will be successful. In connection with our sale of the Vodafone Disposal Group, we will only share in 50% of any amounts recovered, plus 50% of the net present value of certain cost savings in future periods that are attributable to the favorable resolution of this matter, less 50% of associated legal or other third-party fees paid post-completion of the sale of the Vodafone Disposal Group. Any amount we may recover related to this matter will not be reflected in our consolidated financial statements until such time as the final disposition of this matter has been reached.</w:t>
      </w:r>
    </w:p>
    <w:p>
      <w:pPr>
        <w:spacing w:after="0" w:line="143" w:lineRule="exact"/>
        <w:rPr>
          <w:sz w:val="20"/>
          <w:szCs w:val="20"/>
          <w:color w:val="auto"/>
        </w:rPr>
      </w:pPr>
    </w:p>
    <w:p>
      <w:pPr>
        <w:jc w:val="both"/>
        <w:ind w:firstLine="279"/>
        <w:spacing w:after="0" w:line="286" w:lineRule="auto"/>
        <w:rPr>
          <w:sz w:val="20"/>
          <w:szCs w:val="20"/>
          <w:color w:val="auto"/>
        </w:rPr>
      </w:pPr>
      <w:r>
        <w:rPr>
          <w:rFonts w:ascii="Arial" w:cs="Arial" w:eastAsia="Arial" w:hAnsi="Arial"/>
          <w:sz w:val="14"/>
          <w:szCs w:val="14"/>
          <w:i w:val="1"/>
          <w:iCs w:val="1"/>
          <w:color w:val="auto"/>
        </w:rPr>
        <w:t xml:space="preserve">Belgium Regulatory Developments. </w:t>
      </w:r>
      <w:r>
        <w:rPr>
          <w:rFonts w:ascii="Arial" w:cs="Arial" w:eastAsia="Arial" w:hAnsi="Arial"/>
          <w:sz w:val="14"/>
          <w:szCs w:val="14"/>
          <w:color w:val="auto"/>
        </w:rPr>
        <w:t>In June 2018, the Belgisch Instituut voor Post en Telecommunicatie and the regional regulators for the media sectors (together, the</w:t>
      </w:r>
      <w:r>
        <w:rPr>
          <w:rFonts w:ascii="Arial" w:cs="Arial" w:eastAsia="Arial" w:hAnsi="Arial"/>
          <w:sz w:val="14"/>
          <w:szCs w:val="14"/>
          <w:i w:val="1"/>
          <w:iCs w:val="1"/>
          <w:color w:val="auto"/>
        </w:rPr>
        <w:t xml:space="preserve"> </w:t>
      </w:r>
      <w:r>
        <w:rPr>
          <w:rFonts w:ascii="Arial" w:cs="Arial" w:eastAsia="Arial" w:hAnsi="Arial"/>
          <w:sz w:val="14"/>
          <w:szCs w:val="14"/>
          <w:b w:val="1"/>
          <w:bCs w:val="1"/>
          <w:color w:val="auto"/>
        </w:rPr>
        <w:t>Belgium</w:t>
      </w:r>
      <w:r>
        <w:rPr>
          <w:rFonts w:ascii="Arial" w:cs="Arial" w:eastAsia="Arial" w:hAnsi="Arial"/>
          <w:sz w:val="14"/>
          <w:szCs w:val="14"/>
          <w:i w:val="1"/>
          <w:iCs w:val="1"/>
          <w:color w:val="auto"/>
        </w:rPr>
        <w:t xml:space="preserve"> </w:t>
      </w:r>
      <w:r>
        <w:rPr>
          <w:rFonts w:ascii="Arial" w:cs="Arial" w:eastAsia="Arial" w:hAnsi="Arial"/>
          <w:sz w:val="14"/>
          <w:szCs w:val="14"/>
          <w:b w:val="1"/>
          <w:bCs w:val="1"/>
          <w:color w:val="auto"/>
        </w:rPr>
        <w:t>Regulatory Authorities</w:t>
      </w:r>
      <w:r>
        <w:rPr>
          <w:rFonts w:ascii="Arial" w:cs="Arial" w:eastAsia="Arial" w:hAnsi="Arial"/>
          <w:sz w:val="14"/>
          <w:szCs w:val="14"/>
          <w:color w:val="auto"/>
        </w:rPr>
        <w:t>) adopted a new decision finding that Telenet has significant market power in the wholesale broadband market (the</w:t>
      </w:r>
      <w:r>
        <w:rPr>
          <w:rFonts w:ascii="Arial" w:cs="Arial" w:eastAsia="Arial" w:hAnsi="Arial"/>
          <w:sz w:val="14"/>
          <w:szCs w:val="14"/>
          <w:b w:val="1"/>
          <w:bCs w:val="1"/>
          <w:color w:val="auto"/>
        </w:rPr>
        <w:t xml:space="preserve"> 2018 Decision</w:t>
      </w:r>
      <w:r>
        <w:rPr>
          <w:rFonts w:ascii="Arial" w:cs="Arial" w:eastAsia="Arial" w:hAnsi="Arial"/>
          <w:sz w:val="14"/>
          <w:szCs w:val="14"/>
          <w:color w:val="auto"/>
        </w:rPr>
        <w:t>). The 2018 Decision</w:t>
      </w:r>
      <w:r>
        <w:rPr>
          <w:rFonts w:ascii="Arial" w:cs="Arial" w:eastAsia="Arial" w:hAnsi="Arial"/>
          <w:sz w:val="14"/>
          <w:szCs w:val="14"/>
          <w:b w:val="1"/>
          <w:bCs w:val="1"/>
          <w:color w:val="auto"/>
        </w:rPr>
        <w:t xml:space="preserve"> </w:t>
      </w:r>
      <w:r>
        <w:rPr>
          <w:rFonts w:ascii="Arial" w:cs="Arial" w:eastAsia="Arial" w:hAnsi="Arial"/>
          <w:sz w:val="14"/>
          <w:szCs w:val="14"/>
          <w:color w:val="auto"/>
        </w:rPr>
        <w:t>imposes on Telenet the obligations to (i) provide third-party operators with access to the digital television platform (including basic digital video and analog video) and (ii) make available to third-party operators a bitstream offer of broadband internet access (including fixed-line telephony as an option). Unlike prior decisions, the 2018 Decision no longer applies “retail minus” pricing on Telenet; however, as of August 1, 2018, this decision imposed a 17% interim price reduction in monthly wholesale cable access prices. On May 26, 2020, the Belgium Regulatory Authorities adopted a final decision regarding the “reasonable access tariffs” to replace the interim prices, which represents an estimated decrease of 11.5%, as compared to the initial August 1, 2018 interim rates, and is applicable as of July 1, 2020. These rates are expected to evolve over time due to, among other reasons, broadband capacity usage.</w:t>
      </w:r>
    </w:p>
    <w:p>
      <w:pPr>
        <w:spacing w:after="0" w:line="147" w:lineRule="exact"/>
        <w:rPr>
          <w:sz w:val="20"/>
          <w:szCs w:val="20"/>
          <w:color w:val="auto"/>
        </w:rPr>
      </w:pPr>
    </w:p>
    <w:p>
      <w:pPr>
        <w:jc w:val="both"/>
        <w:ind w:firstLine="279"/>
        <w:spacing w:after="0" w:line="284" w:lineRule="auto"/>
        <w:rPr>
          <w:sz w:val="20"/>
          <w:szCs w:val="20"/>
          <w:color w:val="auto"/>
        </w:rPr>
      </w:pPr>
      <w:r>
        <w:rPr>
          <w:rFonts w:ascii="Arial" w:cs="Arial" w:eastAsia="Arial" w:hAnsi="Arial"/>
          <w:sz w:val="14"/>
          <w:szCs w:val="14"/>
          <w:color w:val="auto"/>
        </w:rPr>
        <w:t>The 2018 Decision aims to, and in its application, may strengthen Telenet’s competitors by granting them resale access to Telenet’s network to offer competing products and services notwithstanding Telenet’s substantial historical financial outlays in developing the infrastructure. In addition, any resale access granted to competitors could (i) limit the bandwidth available to Telenet to provide new or expanded products and services to the customers served by its network and (ii) adversely impact Telenet’s ability to maintain or increase its revenue and cash flows. The extent of any such adverse impacts ultimately will be dependent on the extent that competitors take advantage of the resale access afforded to Telenet’s network, the rates that Telenet receives for such access and other competitive factors or market developments. Telenet considers the 2018 Decision to be inconsistent with the principle of technology-neutral regulation and the European Single Market Strategy to stimulate further investments in broadband networks. Telenet challenged the 2018 Decision in the Brussels Court of Appeal. In September 2019, the Brussels Court of Appeal upheld the 2018 Decision, and consequently, the above-mentioned obligations stemming from the 2018 Decision remain in place. Telenet is currently considering whether to appeal the decision further.</w:t>
      </w:r>
    </w:p>
    <w:p>
      <w:pPr>
        <w:spacing w:after="0" w:line="110" w:lineRule="exact"/>
        <w:rPr>
          <w:sz w:val="20"/>
          <w:szCs w:val="20"/>
          <w:color w:val="auto"/>
        </w:rPr>
      </w:pPr>
    </w:p>
    <w:p>
      <w:pPr>
        <w:jc w:val="both"/>
        <w:ind w:firstLine="279"/>
        <w:spacing w:after="0" w:line="287" w:lineRule="auto"/>
        <w:rPr>
          <w:sz w:val="20"/>
          <w:szCs w:val="20"/>
          <w:color w:val="auto"/>
        </w:rPr>
      </w:pPr>
      <w:r>
        <w:rPr>
          <w:rFonts w:ascii="Arial" w:cs="Arial" w:eastAsia="Arial" w:hAnsi="Arial"/>
          <w:sz w:val="14"/>
          <w:szCs w:val="14"/>
          <w:i w:val="1"/>
          <w:iCs w:val="1"/>
          <w:color w:val="auto"/>
        </w:rPr>
        <w:t xml:space="preserve">Virgin Media VAT Matters. </w:t>
      </w:r>
      <w:r>
        <w:rPr>
          <w:rFonts w:ascii="Arial" w:cs="Arial" w:eastAsia="Arial" w:hAnsi="Arial"/>
          <w:sz w:val="14"/>
          <w:szCs w:val="14"/>
          <w:color w:val="auto"/>
        </w:rPr>
        <w:t>Virgin Media’s application of VAT with respect to certain revenue generating activities has been challenged by the U.K. tax authorities (</w:t>
      </w:r>
      <w:r>
        <w:rPr>
          <w:rFonts w:ascii="Arial" w:cs="Arial" w:eastAsia="Arial" w:hAnsi="Arial"/>
          <w:sz w:val="14"/>
          <w:szCs w:val="14"/>
          <w:b w:val="1"/>
          <w:bCs w:val="1"/>
          <w:color w:val="auto"/>
        </w:rPr>
        <w:t>HMRC</w:t>
      </w:r>
      <w:r>
        <w:rPr>
          <w:rFonts w:ascii="Arial" w:cs="Arial" w:eastAsia="Arial" w:hAnsi="Arial"/>
          <w:sz w:val="14"/>
          <w:szCs w:val="14"/>
          <w:color w:val="auto"/>
        </w:rPr>
        <w:t>).</w:t>
      </w:r>
      <w:r>
        <w:rPr>
          <w:rFonts w:ascii="Arial" w:cs="Arial" w:eastAsia="Arial" w:hAnsi="Arial"/>
          <w:sz w:val="14"/>
          <w:szCs w:val="14"/>
          <w:i w:val="1"/>
          <w:iCs w:val="1"/>
          <w:color w:val="auto"/>
        </w:rPr>
        <w:t xml:space="preserve"> </w:t>
      </w:r>
      <w:r>
        <w:rPr>
          <w:rFonts w:ascii="Arial" w:cs="Arial" w:eastAsia="Arial" w:hAnsi="Arial"/>
          <w:sz w:val="14"/>
          <w:szCs w:val="14"/>
          <w:color w:val="auto"/>
        </w:rPr>
        <w:t>HMRC claimed that amounts charged to certain Virgin Media customers for payment handling services are subject to VAT, while Virgin Media took the position that such charges were exempt from VAT under existing law. At the time of HMRC’s initial challenge in 2009, Virgin Media remitted all related VAT amounts claimed by HMRC, and continued to make such VAT payments pending a ruling on Virgin Media’s appeal to the First Tier Tribunal. As the likelihood of loss was not considered probable and Virgin Media believed that the amounts paid would be recoverable, such amounts were recorded as a receivable on our consolidated balance sheet. In January 2020, the First Tier Tribunal rejected our appeal and ruled in favor of HMRC. Accordingly, during the fourth quarter of 2019 we recorded a net provision for litigation of £41.3 million ($54.0 million at the applicable rate). Virgin Media is seeking permission to appeal the case to the Upper Tribunal and the timing of the final outcome of the litigation matter remains uncertain.</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260"/>
          </w:cols>
          <w:pgMar w:left="320" w:top="263" w:right="319" w:bottom="1440" w:gutter="0" w:footer="0" w:header="0"/>
        </w:sectPr>
      </w:pPr>
    </w:p>
    <w:bookmarkStart w:id="42" w:name="page43"/>
    <w:bookmarkEnd w:id="42"/>
    <w:p>
      <w:pPr>
        <w:jc w:val="center"/>
        <w:spacing w:after="0"/>
        <w:rPr>
          <w:sz w:val="20"/>
          <w:szCs w:val="20"/>
          <w:color w:val="auto"/>
        </w:rPr>
      </w:pPr>
      <w:r>
        <w:rPr>
          <w:rFonts w:ascii="Arial" w:cs="Arial" w:eastAsia="Arial" w:hAnsi="Arial"/>
          <w:sz w:val="16"/>
          <w:szCs w:val="16"/>
          <w:b w:val="1"/>
          <w:bCs w:val="1"/>
          <w:color w:val="auto"/>
        </w:rPr>
        <w:t>LIBERTY GLOBAL PLC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June 30, 2020</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firstLine="279"/>
        <w:spacing w:after="0" w:line="282" w:lineRule="auto"/>
        <w:rPr>
          <w:sz w:val="20"/>
          <w:szCs w:val="20"/>
          <w:color w:val="auto"/>
        </w:rPr>
      </w:pPr>
      <w:r>
        <w:rPr>
          <w:rFonts w:ascii="Arial" w:cs="Arial" w:eastAsia="Arial" w:hAnsi="Arial"/>
          <w:sz w:val="14"/>
          <w:szCs w:val="14"/>
          <w:color w:val="auto"/>
        </w:rPr>
        <w:t>In a separate matter, on March 19, 2014, the U.K. government announced a change in legislation with respect to the charging of VAT in connection with prompt payment discounts such as those that we offer to our fixed-line telephony customers. This change, which took effect on May 1, 2014, impacted our company and some of our competitors. HMRC issued a decision in the fourth quarter of 2015 challenging our application of the prompt payment discount rules prior to the May 1, 2014 change in legislation. We appealed this decision. As part of the appeal process, we were required to make aggregate payments of £67.0 million ($99.1 million at the respective transaction dates), comprising (i) the challenged amount of £63.7 million (which we paid during the fourth quarter of 2015) and (ii) related interest of £3.3 million (which we paid during the first quarter of 2016). No provision was recorded by our company at that time as the likelihood of loss was not considered to be probable. The aggregate amount paid does not include penalties, which could be significant in the event that penalties were to be assessed. In September 2018, the court rejected our appeal and ruled in favor of HMRC. Accordingly, during the third quarter of 2018, we recorded a provision for litigation of £63.7 million ($83.1 million at the average rate for the period) and related interest expense of £3.3 million ($4.4 million at the average rate for the period) in our condensed consolidated statement of operations. The First Tier Tribunal gave permission to appeal to the Upper Tribunal and we submitted grounds for appeal on February 22, 2019. In April 2020, the Upper Tribunal rejected our appeal, ruling in favor of HMRC. Virgin Media is currently seeking permission to appeal to the Court of Appeal; however, no assurance can be given as to the ultimate outcome of this matter.</w:t>
      </w:r>
    </w:p>
    <w:p>
      <w:pPr>
        <w:spacing w:after="0" w:line="147" w:lineRule="exact"/>
        <w:rPr>
          <w:sz w:val="20"/>
          <w:szCs w:val="20"/>
          <w:color w:val="auto"/>
        </w:rPr>
      </w:pPr>
    </w:p>
    <w:p>
      <w:pPr>
        <w:jc w:val="both"/>
        <w:ind w:firstLine="279"/>
        <w:spacing w:after="0" w:line="286" w:lineRule="auto"/>
        <w:rPr>
          <w:sz w:val="20"/>
          <w:szCs w:val="20"/>
          <w:color w:val="auto"/>
        </w:rPr>
      </w:pPr>
      <w:r>
        <w:rPr>
          <w:rFonts w:ascii="Arial" w:cs="Arial" w:eastAsia="Arial" w:hAnsi="Arial"/>
          <w:sz w:val="14"/>
          <w:szCs w:val="14"/>
          <w:i w:val="1"/>
          <w:iCs w:val="1"/>
          <w:color w:val="auto"/>
        </w:rPr>
        <w:t>UPC Austria Matter</w:t>
      </w:r>
      <w:r>
        <w:rPr>
          <w:rFonts w:ascii="Arial" w:cs="Arial" w:eastAsia="Arial" w:hAnsi="Arial"/>
          <w:sz w:val="14"/>
          <w:szCs w:val="14"/>
          <w:color w:val="auto"/>
        </w:rPr>
        <w:t>. On July 31 2018, we completed the sale of our Austrian operations, “</w:t>
      </w:r>
      <w:r>
        <w:rPr>
          <w:rFonts w:ascii="Arial" w:cs="Arial" w:eastAsia="Arial" w:hAnsi="Arial"/>
          <w:sz w:val="14"/>
          <w:szCs w:val="14"/>
          <w:b w:val="1"/>
          <w:bCs w:val="1"/>
          <w:color w:val="auto"/>
        </w:rPr>
        <w:t>UPC Austria</w:t>
      </w:r>
      <w:r>
        <w:rPr>
          <w:rFonts w:ascii="Arial" w:cs="Arial" w:eastAsia="Arial" w:hAnsi="Arial"/>
          <w:sz w:val="14"/>
          <w:szCs w:val="14"/>
          <w:color w:val="auto"/>
        </w:rPr>
        <w:t>,” to Deutsche Telekom AG (</w:t>
      </w:r>
      <w:r>
        <w:rPr>
          <w:rFonts w:ascii="Arial" w:cs="Arial" w:eastAsia="Arial" w:hAnsi="Arial"/>
          <w:sz w:val="14"/>
          <w:szCs w:val="14"/>
          <w:b w:val="1"/>
          <w:bCs w:val="1"/>
          <w:color w:val="auto"/>
        </w:rPr>
        <w:t>Deutsche Telekom</w:t>
      </w:r>
      <w:r>
        <w:rPr>
          <w:rFonts w:ascii="Arial" w:cs="Arial" w:eastAsia="Arial" w:hAnsi="Arial"/>
          <w:sz w:val="14"/>
          <w:szCs w:val="14"/>
          <w:color w:val="auto"/>
        </w:rPr>
        <w:t>). In October of 2019,</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we received notification under the terms of the relevant acquisition agreements from Deutsche Telekom and its subsidiary T-Mobile Austria Holding GmbH (together, the </w:t>
      </w:r>
      <w:r>
        <w:rPr>
          <w:rFonts w:ascii="Arial" w:cs="Arial" w:eastAsia="Arial" w:hAnsi="Arial"/>
          <w:sz w:val="14"/>
          <w:szCs w:val="14"/>
          <w:b w:val="1"/>
          <w:bCs w:val="1"/>
          <w:color w:val="auto"/>
        </w:rPr>
        <w:t>UPC</w:t>
      </w:r>
      <w:r>
        <w:rPr>
          <w:rFonts w:ascii="Arial" w:cs="Arial" w:eastAsia="Arial" w:hAnsi="Arial"/>
          <w:sz w:val="14"/>
          <w:szCs w:val="14"/>
          <w:color w:val="auto"/>
        </w:rPr>
        <w:t xml:space="preserve"> </w:t>
      </w:r>
      <w:r>
        <w:rPr>
          <w:rFonts w:ascii="Arial" w:cs="Arial" w:eastAsia="Arial" w:hAnsi="Arial"/>
          <w:sz w:val="14"/>
          <w:szCs w:val="14"/>
          <w:b w:val="1"/>
          <w:bCs w:val="1"/>
          <w:color w:val="auto"/>
        </w:rPr>
        <w:t>Austria Sale Counterparties</w:t>
      </w:r>
      <w:r>
        <w:rPr>
          <w:rFonts w:ascii="Arial" w:cs="Arial" w:eastAsia="Arial" w:hAnsi="Arial"/>
          <w:sz w:val="14"/>
          <w:szCs w:val="14"/>
          <w:color w:val="auto"/>
        </w:rPr>
        <w:t>), asserting claims of approximately €70.5 million ($79.3 million) together with an invitation to engage in amicable discussions to resolve the matter in</w:t>
      </w:r>
      <w:r>
        <w:rPr>
          <w:rFonts w:ascii="Arial" w:cs="Arial" w:eastAsia="Arial" w:hAnsi="Arial"/>
          <w:sz w:val="14"/>
          <w:szCs w:val="14"/>
          <w:b w:val="1"/>
          <w:bCs w:val="1"/>
          <w:color w:val="auto"/>
        </w:rPr>
        <w:t xml:space="preserve"> </w:t>
      </w:r>
      <w:r>
        <w:rPr>
          <w:rFonts w:ascii="Arial" w:cs="Arial" w:eastAsia="Arial" w:hAnsi="Arial"/>
          <w:sz w:val="14"/>
          <w:szCs w:val="14"/>
          <w:color w:val="auto"/>
        </w:rPr>
        <w:t>a time and cost effective manner. We since received further asserted claims of approximately €20.6 million ($23.2 million). Discussions regarding the claims are preliminary and no amounts have been accrued by our company with respect to this matter as the likelihood of loss is not considered to be probable at this stage. We are unable to provide any meaningful estimate of a possible range of loss because, among other reasons, (i) we believe the assertions are unsupported and/or exaggerated, (ii) there are significant factual matters to be resolved and (iii) the matter is in a preliminary stage and we have yet to engage in detail with the UPC Austria Sale Counterparties. The acquisition agreement provides for arbitration of disputes in the event the parties are unable to resolve any differences. We intend to vigorously defend this matter.</w:t>
      </w:r>
    </w:p>
    <w:p>
      <w:pPr>
        <w:spacing w:after="0" w:line="147" w:lineRule="exact"/>
        <w:rPr>
          <w:sz w:val="20"/>
          <w:szCs w:val="20"/>
          <w:color w:val="auto"/>
        </w:rPr>
      </w:pPr>
    </w:p>
    <w:p>
      <w:pPr>
        <w:jc w:val="both"/>
        <w:ind w:firstLine="279"/>
        <w:spacing w:after="0" w:line="248" w:lineRule="auto"/>
        <w:rPr>
          <w:sz w:val="20"/>
          <w:szCs w:val="20"/>
          <w:color w:val="auto"/>
        </w:rPr>
      </w:pPr>
      <w:r>
        <w:rPr>
          <w:rFonts w:ascii="Arial" w:cs="Arial" w:eastAsia="Arial" w:hAnsi="Arial"/>
          <w:sz w:val="16"/>
          <w:szCs w:val="16"/>
          <w:i w:val="1"/>
          <w:iCs w:val="1"/>
          <w:color w:val="auto"/>
        </w:rPr>
        <w:t xml:space="preserve">Other Contingency Matters. </w:t>
      </w:r>
      <w:r>
        <w:rPr>
          <w:rFonts w:ascii="Arial" w:cs="Arial" w:eastAsia="Arial" w:hAnsi="Arial"/>
          <w:sz w:val="16"/>
          <w:szCs w:val="16"/>
          <w:color w:val="auto"/>
        </w:rPr>
        <w:t>In connection with the dispositions of certain of our operations, we provided tax indemnities to the counterparties for certain tax liabilities that</w:t>
      </w:r>
      <w:r>
        <w:rPr>
          <w:rFonts w:ascii="Arial" w:cs="Arial" w:eastAsia="Arial" w:hAnsi="Arial"/>
          <w:sz w:val="16"/>
          <w:szCs w:val="16"/>
          <w:i w:val="1"/>
          <w:iCs w:val="1"/>
          <w:color w:val="auto"/>
        </w:rPr>
        <w:t xml:space="preserve"> </w:t>
      </w:r>
      <w:r>
        <w:rPr>
          <w:rFonts w:ascii="Arial" w:cs="Arial" w:eastAsia="Arial" w:hAnsi="Arial"/>
          <w:sz w:val="16"/>
          <w:szCs w:val="16"/>
          <w:color w:val="auto"/>
        </w:rPr>
        <w:t>could arise from the period we owned the respective operations, subject to certain thresholds. While we have not received notification from the counterparties for indemnification, it is reasonably possible that we could, and the amounts involved could be significant. No amounts have been accrued by our company as the likelihood of any loss is not considered to be probable.</w:t>
      </w:r>
    </w:p>
    <w:p>
      <w:pPr>
        <w:spacing w:after="0" w:line="170" w:lineRule="exact"/>
        <w:rPr>
          <w:sz w:val="20"/>
          <w:szCs w:val="20"/>
          <w:color w:val="auto"/>
        </w:rPr>
      </w:pPr>
    </w:p>
    <w:p>
      <w:pPr>
        <w:jc w:val="both"/>
        <w:ind w:firstLine="279"/>
        <w:spacing w:after="0" w:line="286" w:lineRule="auto"/>
        <w:rPr>
          <w:sz w:val="20"/>
          <w:szCs w:val="20"/>
          <w:color w:val="auto"/>
        </w:rPr>
      </w:pPr>
      <w:r>
        <w:rPr>
          <w:rFonts w:ascii="Arial" w:cs="Arial" w:eastAsia="Arial" w:hAnsi="Arial"/>
          <w:sz w:val="14"/>
          <w:szCs w:val="14"/>
          <w:i w:val="1"/>
          <w:iCs w:val="1"/>
          <w:color w:val="auto"/>
        </w:rPr>
        <w:t xml:space="preserve">Other Regulatory Matters. </w:t>
      </w:r>
      <w:r>
        <w:rPr>
          <w:rFonts w:ascii="Arial" w:cs="Arial" w:eastAsia="Arial" w:hAnsi="Arial"/>
          <w:sz w:val="14"/>
          <w:szCs w:val="14"/>
          <w:color w:val="auto"/>
        </w:rPr>
        <w:t>Video distribution, broadband internet, fixed-line telephony, mobile and content businesses are regulated in each of the countries in which we or our</w:t>
      </w:r>
      <w:r>
        <w:rPr>
          <w:rFonts w:ascii="Arial" w:cs="Arial" w:eastAsia="Arial" w:hAnsi="Arial"/>
          <w:sz w:val="14"/>
          <w:szCs w:val="14"/>
          <w:i w:val="1"/>
          <w:iCs w:val="1"/>
          <w:color w:val="auto"/>
        </w:rPr>
        <w:t xml:space="preserve"> </w:t>
      </w:r>
      <w:r>
        <w:rPr>
          <w:rFonts w:ascii="Arial" w:cs="Arial" w:eastAsia="Arial" w:hAnsi="Arial"/>
          <w:sz w:val="14"/>
          <w:szCs w:val="14"/>
          <w:color w:val="auto"/>
        </w:rPr>
        <w:t>affiliates operate. The scope of regulation varies from country to country, although in some significant respects regulation in European markets is harmonized under the regulatory structure of the European Union (</w:t>
      </w:r>
      <w:r>
        <w:rPr>
          <w:rFonts w:ascii="Arial" w:cs="Arial" w:eastAsia="Arial" w:hAnsi="Arial"/>
          <w:sz w:val="14"/>
          <w:szCs w:val="14"/>
          <w:b w:val="1"/>
          <w:bCs w:val="1"/>
          <w:color w:val="auto"/>
        </w:rPr>
        <w:t>E.U.</w:t>
      </w:r>
      <w:r>
        <w:rPr>
          <w:rFonts w:ascii="Arial" w:cs="Arial" w:eastAsia="Arial" w:hAnsi="Arial"/>
          <w:sz w:val="14"/>
          <w:szCs w:val="14"/>
          <w:color w:val="auto"/>
        </w:rPr>
        <w:t>) Adverse regulatory developments could subject our businesses to a number of risks. Regulation, including conditions imposed on us by competition or other authorities as a requirement to close acquisitions or dispositions, could limit growth, revenue and the number and types of services offered and could lead to increased operating costs and property and equipment additions. In addition, regulation may restrict our operations and subject them to further competitive pressure, including pricing restrictions, interconnect and other access obligations, and restrictions or controls on content, including content provided by third parties. Failure to comply with current or future regulation could expose our businesses to various penalties.</w:t>
      </w:r>
    </w:p>
    <w:p>
      <w:pPr>
        <w:spacing w:after="0" w:line="146" w:lineRule="exact"/>
        <w:rPr>
          <w:sz w:val="20"/>
          <w:szCs w:val="20"/>
          <w:color w:val="auto"/>
        </w:rPr>
      </w:pPr>
    </w:p>
    <w:p>
      <w:pPr>
        <w:jc w:val="both"/>
        <w:ind w:right="20" w:firstLine="279"/>
        <w:spacing w:after="0" w:line="245" w:lineRule="auto"/>
        <w:rPr>
          <w:sz w:val="20"/>
          <w:szCs w:val="20"/>
          <w:color w:val="auto"/>
        </w:rPr>
      </w:pPr>
      <w:r>
        <w:rPr>
          <w:rFonts w:ascii="Arial" w:cs="Arial" w:eastAsia="Arial" w:hAnsi="Arial"/>
          <w:sz w:val="16"/>
          <w:szCs w:val="16"/>
          <w:color w:val="auto"/>
        </w:rPr>
        <w:t>Effective April 1, 2017, the rateable value of our existing network and other assets in the U.K. increased significantly. This increase affects the amount we pay for network infrastructure charges as the annual amount payable to the U.K. government is calculated by applying a percentage multiplier to the rateable value of assets. This change has and will continue to significantly increase our network infrastructure charges. As compared to 2019, we expect the aggregate amount of this increase will be approximately £16 million ($20 million) in 2020. Beyond 2020, we expect further but declining increases to these charges through the first quarter of 2022. We continue to believe that these increases are excessive and retain the right of appeal should more favorable agreements be reached with other operators. The rateable value of our network and other assets in the U.K. remains subject to review by the U.K. government.</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260"/>
          </w:cols>
          <w:pgMar w:left="320" w:top="263" w:right="319" w:bottom="1440" w:gutter="0" w:footer="0" w:header="0"/>
        </w:sectPr>
      </w:pPr>
    </w:p>
    <w:bookmarkStart w:id="43" w:name="page44"/>
    <w:bookmarkEnd w:id="43"/>
    <w:p>
      <w:pPr>
        <w:jc w:val="center"/>
        <w:ind w:right="-6"/>
        <w:spacing w:after="0"/>
        <w:rPr>
          <w:sz w:val="20"/>
          <w:szCs w:val="20"/>
          <w:color w:val="auto"/>
        </w:rPr>
      </w:pPr>
      <w:r>
        <w:rPr>
          <w:rFonts w:ascii="Arial" w:cs="Arial" w:eastAsia="Arial" w:hAnsi="Arial"/>
          <w:sz w:val="16"/>
          <w:szCs w:val="16"/>
          <w:b w:val="1"/>
          <w:bCs w:val="1"/>
          <w:color w:val="auto"/>
        </w:rPr>
        <w:t>LIBERTY GLOBAL PLC</w:t>
      </w:r>
    </w:p>
    <w:p>
      <w:pPr>
        <w:spacing w:after="0" w:line="18"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Notes to Condensed Consolidated Financial Statements — (Continued)</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June 30, 2020</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98" w:lineRule="exact"/>
        <w:rPr>
          <w:sz w:val="20"/>
          <w:szCs w:val="20"/>
          <w:color w:val="auto"/>
        </w:rPr>
      </w:pPr>
    </w:p>
    <w:p>
      <w:pPr>
        <w:jc w:val="both"/>
        <w:ind w:left="7" w:firstLine="279"/>
        <w:spacing w:after="0" w:line="292" w:lineRule="auto"/>
        <w:rPr>
          <w:sz w:val="20"/>
          <w:szCs w:val="20"/>
          <w:color w:val="auto"/>
        </w:rPr>
      </w:pPr>
      <w:r>
        <w:rPr>
          <w:rFonts w:ascii="Arial" w:cs="Arial" w:eastAsia="Arial" w:hAnsi="Arial"/>
          <w:sz w:val="14"/>
          <w:szCs w:val="14"/>
          <w:color w:val="auto"/>
        </w:rPr>
        <w:t>The U.K. Office of Communications (</w:t>
      </w:r>
      <w:r>
        <w:rPr>
          <w:rFonts w:ascii="Arial" w:cs="Arial" w:eastAsia="Arial" w:hAnsi="Arial"/>
          <w:sz w:val="14"/>
          <w:szCs w:val="14"/>
          <w:b w:val="1"/>
          <w:bCs w:val="1"/>
          <w:color w:val="auto"/>
        </w:rPr>
        <w:t>Ofcom</w:t>
      </w:r>
      <w:r>
        <w:rPr>
          <w:rFonts w:ascii="Arial" w:cs="Arial" w:eastAsia="Arial" w:hAnsi="Arial"/>
          <w:sz w:val="14"/>
          <w:szCs w:val="14"/>
          <w:color w:val="auto"/>
        </w:rPr>
        <w:t>) is the key regulatory authority for the communications sector in which we operate in the U.K. Ofcom has recently issued new regulatory requirements that, effective in February 2020, obligate us to (i) alert customers who are approaching the end of a minimum contract term to the fact that their contract period is coming to an end and to set out the best new price that we can offer them and (ii) once a year, alert customers who are out of contract to that fact and again confirm the best new price we can offer them. In both cases, we must also set out the price available to new customers for an equivalent service offering. These requirements could have a material adverse impact on our operating results in 2020 and future periods.</w:t>
      </w:r>
    </w:p>
    <w:p>
      <w:pPr>
        <w:spacing w:after="0" w:line="144" w:lineRule="exact"/>
        <w:rPr>
          <w:sz w:val="20"/>
          <w:szCs w:val="20"/>
          <w:color w:val="auto"/>
        </w:rPr>
      </w:pPr>
    </w:p>
    <w:p>
      <w:pPr>
        <w:jc w:val="both"/>
        <w:ind w:left="7" w:firstLine="279"/>
        <w:spacing w:after="0" w:line="287" w:lineRule="auto"/>
        <w:rPr>
          <w:sz w:val="20"/>
          <w:szCs w:val="20"/>
          <w:color w:val="auto"/>
        </w:rPr>
      </w:pPr>
      <w:r>
        <w:rPr>
          <w:rFonts w:ascii="Arial" w:cs="Arial" w:eastAsia="Arial" w:hAnsi="Arial"/>
          <w:sz w:val="14"/>
          <w:szCs w:val="14"/>
          <w:color w:val="auto"/>
        </w:rPr>
        <w:t>In late February 2020, we became aware that one of our databases did not have adequate access security protection and was accessed without permission. We immediately took remedial actions, ceased access to the database and commenced an investigation. The information in the database did not include any individual’s passwords or financial details, such as credit card information, or bank account numbers. We have taken steps to inform those individuals impacted and relevant regulatory authorities. The database had information pertaining to approximately 900,000 individuals (including customers and non-customers), representing a number that would be less than 15% of our total customer base. We do not expect this incident to have a material adverse impact on our results of operations, cash flows or financial condition for any fiscal period and given the preliminary nature of the matter we are unable to provide a meaningful estimate of a possible range of loss, if any.</w:t>
      </w:r>
    </w:p>
    <w:p>
      <w:pPr>
        <w:spacing w:after="0" w:line="148" w:lineRule="exact"/>
        <w:rPr>
          <w:sz w:val="20"/>
          <w:szCs w:val="20"/>
          <w:color w:val="auto"/>
        </w:rPr>
      </w:pPr>
    </w:p>
    <w:p>
      <w:pPr>
        <w:jc w:val="both"/>
        <w:ind w:left="7" w:firstLine="279"/>
        <w:spacing w:after="0" w:line="245" w:lineRule="auto"/>
        <w:rPr>
          <w:sz w:val="20"/>
          <w:szCs w:val="20"/>
          <w:color w:val="auto"/>
        </w:rPr>
      </w:pPr>
      <w:r>
        <w:rPr>
          <w:rFonts w:ascii="Arial" w:cs="Arial" w:eastAsia="Arial" w:hAnsi="Arial"/>
          <w:sz w:val="16"/>
          <w:szCs w:val="16"/>
          <w:color w:val="auto"/>
        </w:rPr>
        <w:t>In addition to the foregoing items, we have contingent liabilities related to matters arising in the ordinary course of business including (i) legal proceedings, (ii) issues involving VAT and wage, property, withholding and other tax issues and (iii) disputes over interconnection, programming, copyright and channel carriage fees. While we generally expect that the amounts required to satisfy these contingencies will not materially differ from any estimated amounts we have accrued, no assurance can be given that the resolution of one or more of these contingencies will not result in a material impact on our results of operations, cash flows or financial position in any given period. Due, in general, to the complexity of the issues involved and, in certain cases, the lack of a clear basis for predicting outcomes, we cannot provide a meaningful range of potential losses or cash outflows that might result from any unfavorable outcomes.</w:t>
      </w:r>
    </w:p>
    <w:p>
      <w:pPr>
        <w:spacing w:after="0" w:line="124" w:lineRule="exact"/>
        <w:rPr>
          <w:sz w:val="20"/>
          <w:szCs w:val="20"/>
          <w:color w:val="auto"/>
        </w:rPr>
      </w:pPr>
    </w:p>
    <w:p>
      <w:pPr>
        <w:ind w:left="407" w:hanging="407"/>
        <w:spacing w:after="0"/>
        <w:tabs>
          <w:tab w:leader="none" w:pos="407" w:val="left"/>
        </w:tabs>
        <w:numPr>
          <w:ilvl w:val="0"/>
          <w:numId w:val="3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Segment Reporting</w:t>
      </w:r>
    </w:p>
    <w:p>
      <w:pPr>
        <w:spacing w:after="0" w:line="194" w:lineRule="exact"/>
        <w:rPr>
          <w:sz w:val="20"/>
          <w:szCs w:val="20"/>
          <w:color w:val="auto"/>
        </w:rPr>
      </w:pPr>
    </w:p>
    <w:p>
      <w:pPr>
        <w:jc w:val="both"/>
        <w:ind w:left="7" w:firstLine="279"/>
        <w:spacing w:after="0" w:line="290" w:lineRule="auto"/>
        <w:rPr>
          <w:sz w:val="20"/>
          <w:szCs w:val="20"/>
          <w:color w:val="auto"/>
        </w:rPr>
      </w:pPr>
      <w:r>
        <w:rPr>
          <w:rFonts w:ascii="Arial" w:cs="Arial" w:eastAsia="Arial" w:hAnsi="Arial"/>
          <w:sz w:val="14"/>
          <w:szCs w:val="14"/>
          <w:color w:val="auto"/>
        </w:rPr>
        <w:t>We generally identify our reportable segments as (i) those consolidated subsidiaries that represent 10% or more of our revenue, Adjusted EBITDA (as defined below and as previously referred to as “Adjusted OIBDA”) or total assets or (ii) those equity method affiliates where our investment or share of revenue or Adjusted EBITDA represents 10% or more of our total assets, revenue or Adjusted EBITDA, respectively. In certain cases, we may elect to include an operating segment in our segment disclosure that does not meet the above-described criteria for a reportable segment. We evaluate performance and make decisions about allocating resources to our operating segments based on financial measures such as revenue and Adjusted EBITDA. In addition, we review non-financial measures such as customer growth, as appropriate.</w:t>
      </w:r>
    </w:p>
    <w:p>
      <w:pPr>
        <w:spacing w:after="0" w:line="144" w:lineRule="exact"/>
        <w:rPr>
          <w:sz w:val="20"/>
          <w:szCs w:val="20"/>
          <w:color w:val="auto"/>
        </w:rPr>
      </w:pPr>
    </w:p>
    <w:p>
      <w:pPr>
        <w:jc w:val="both"/>
        <w:ind w:left="7" w:firstLine="279"/>
        <w:spacing w:after="0" w:line="306" w:lineRule="auto"/>
        <w:rPr>
          <w:sz w:val="20"/>
          <w:szCs w:val="20"/>
          <w:color w:val="auto"/>
        </w:rPr>
      </w:pPr>
      <w:r>
        <w:rPr>
          <w:rFonts w:ascii="Arial" w:cs="Arial" w:eastAsia="Arial" w:hAnsi="Arial"/>
          <w:sz w:val="13"/>
          <w:szCs w:val="13"/>
          <w:color w:val="auto"/>
        </w:rPr>
        <w:t>Adjusted EBITDA is the primary measure used by our chief operating decision maker to evaluate segment operating performance and is also a key factor that is used by our internal decision makers to (i) determine how to allocate resources to segments and (ii) evaluate the effectiveness of our management for purposes of annual and other incentive compensation plans. As we use the term, “</w:t>
      </w:r>
      <w:r>
        <w:rPr>
          <w:rFonts w:ascii="Arial" w:cs="Arial" w:eastAsia="Arial" w:hAnsi="Arial"/>
          <w:sz w:val="13"/>
          <w:szCs w:val="13"/>
          <w:b w:val="1"/>
          <w:bCs w:val="1"/>
          <w:color w:val="auto"/>
        </w:rPr>
        <w:t>Adjusted EBITDA</w:t>
      </w:r>
      <w:r>
        <w:rPr>
          <w:rFonts w:ascii="Arial" w:cs="Arial" w:eastAsia="Arial" w:hAnsi="Arial"/>
          <w:sz w:val="13"/>
          <w:szCs w:val="13"/>
          <w:color w:val="auto"/>
        </w:rPr>
        <w:t>” is defined as earnings (loss) from continuing operations before net income tax benefit (expense), other non-operating income or expenses, net share of results of affiliates, net gains (losses) on extinguishment of debt, net realized and unrealized gains (losses) due to changes in fair value of certain investments and debt, net foreign currency gains (losses), net gains (losses) on derivative instruments, net interest expense, depreciation and amortization, share-based compensation, provisions and provision releases related to significant litigation and impairment, restructuring and other operating items. Other operating items include (a) gains and losses on the disposition of long-lived assets, (b) third-party costs directly associated with successful and unsuccessful acquisitions and dispositions, including legal, advisory and due diligence fees, as applicable, and (c) other acquisition-related items, such as gains and losses on the settlement of contingent consideration. Our internal decision makers believe Adjusted EBITDA is a meaningful measure because it represents a transparent view of our recurring operating performance that is unaffected by our capital structure and allows management to (1) readily view operating trends, (2) perform analytical comparisons and benchmarking between segments and (3) identify strategies to improve operating performance in the different countries in which we operate. A reconciliation of Adjusted EBITDA from continuing operations to earnings (loss) from continuing operations is presented below.</w:t>
      </w:r>
    </w:p>
    <w:p>
      <w:pPr>
        <w:spacing w:after="0" w:line="323"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267"/>
          </w:cols>
          <w:pgMar w:left="313" w:top="263" w:right="319" w:bottom="1440" w:gutter="0" w:footer="0" w:header="0"/>
        </w:sectPr>
      </w:pPr>
    </w:p>
    <w:bookmarkStart w:id="44" w:name="page45"/>
    <w:bookmarkEnd w:id="44"/>
    <w:p>
      <w:pPr>
        <w:jc w:val="center"/>
        <w:spacing w:after="0"/>
        <w:rPr>
          <w:sz w:val="20"/>
          <w:szCs w:val="20"/>
          <w:color w:val="auto"/>
        </w:rPr>
      </w:pPr>
      <w:r>
        <w:rPr>
          <w:rFonts w:ascii="Arial" w:cs="Arial" w:eastAsia="Arial" w:hAnsi="Arial"/>
          <w:sz w:val="16"/>
          <w:szCs w:val="16"/>
          <w:b w:val="1"/>
          <w:bCs w:val="1"/>
          <w:color w:val="auto"/>
        </w:rPr>
        <w:t>LIBERTY GLOBAL PLC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June 30, 2020</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As of June 30, 2020, our reportable segments are as follows:</w:t>
      </w:r>
    </w:p>
    <w:p>
      <w:pPr>
        <w:spacing w:after="0" w:line="182"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Consolidated:</w:t>
      </w:r>
    </w:p>
    <w:p>
      <w:pPr>
        <w:spacing w:after="0" w:line="101" w:lineRule="exact"/>
        <w:rPr>
          <w:sz w:val="20"/>
          <w:szCs w:val="20"/>
          <w:color w:val="auto"/>
        </w:rPr>
      </w:pPr>
    </w:p>
    <w:p>
      <w:pPr>
        <w:ind w:left="600" w:hanging="328"/>
        <w:spacing w:after="0"/>
        <w:tabs>
          <w:tab w:leader="none" w:pos="6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U.K./Ireland</w:t>
      </w:r>
    </w:p>
    <w:p>
      <w:pPr>
        <w:spacing w:after="0" w:line="12" w:lineRule="exact"/>
        <w:rPr>
          <w:rFonts w:ascii="Arial" w:cs="Arial" w:eastAsia="Arial" w:hAnsi="Arial"/>
          <w:sz w:val="16"/>
          <w:szCs w:val="16"/>
          <w:color w:val="auto"/>
        </w:rPr>
      </w:pPr>
    </w:p>
    <w:p>
      <w:pPr>
        <w:ind w:left="600" w:hanging="328"/>
        <w:spacing w:after="0"/>
        <w:tabs>
          <w:tab w:leader="none" w:pos="6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Belgium</w:t>
      </w:r>
    </w:p>
    <w:p>
      <w:pPr>
        <w:spacing w:after="0" w:line="2" w:lineRule="exact"/>
        <w:rPr>
          <w:rFonts w:ascii="Arial" w:cs="Arial" w:eastAsia="Arial" w:hAnsi="Arial"/>
          <w:sz w:val="16"/>
          <w:szCs w:val="16"/>
          <w:color w:val="auto"/>
        </w:rPr>
      </w:pPr>
    </w:p>
    <w:p>
      <w:pPr>
        <w:ind w:left="600" w:hanging="328"/>
        <w:spacing w:after="0"/>
        <w:tabs>
          <w:tab w:leader="none" w:pos="6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Switzerland</w:t>
      </w:r>
    </w:p>
    <w:p>
      <w:pPr>
        <w:spacing w:after="0" w:line="2" w:lineRule="exact"/>
        <w:rPr>
          <w:rFonts w:ascii="Arial" w:cs="Arial" w:eastAsia="Arial" w:hAnsi="Arial"/>
          <w:sz w:val="16"/>
          <w:szCs w:val="16"/>
          <w:color w:val="auto"/>
        </w:rPr>
      </w:pPr>
    </w:p>
    <w:p>
      <w:pPr>
        <w:ind w:left="600" w:hanging="328"/>
        <w:spacing w:after="0"/>
        <w:tabs>
          <w:tab w:leader="none" w:pos="6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Central and Eastern Europe</w:t>
      </w:r>
    </w:p>
    <w:p>
      <w:pPr>
        <w:spacing w:after="0" w:line="172"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Nonconsolidated:</w:t>
      </w:r>
    </w:p>
    <w:p>
      <w:pPr>
        <w:spacing w:after="0" w:line="101" w:lineRule="exact"/>
        <w:rPr>
          <w:sz w:val="20"/>
          <w:szCs w:val="20"/>
          <w:color w:val="auto"/>
        </w:rPr>
      </w:pPr>
    </w:p>
    <w:p>
      <w:pPr>
        <w:ind w:left="600" w:hanging="328"/>
        <w:spacing w:after="0"/>
        <w:tabs>
          <w:tab w:leader="none" w:pos="600" w:val="left"/>
        </w:tabs>
        <w:numPr>
          <w:ilvl w:val="0"/>
          <w:numId w:val="40"/>
        </w:numPr>
        <w:rPr>
          <w:rFonts w:ascii="Arial" w:cs="Arial" w:eastAsia="Arial" w:hAnsi="Arial"/>
          <w:sz w:val="16"/>
          <w:szCs w:val="16"/>
          <w:b w:val="1"/>
          <w:bCs w:val="1"/>
          <w:color w:val="auto"/>
        </w:rPr>
      </w:pPr>
      <w:r>
        <w:rPr>
          <w:rFonts w:ascii="Arial" w:cs="Arial" w:eastAsia="Arial" w:hAnsi="Arial"/>
          <w:sz w:val="16"/>
          <w:szCs w:val="16"/>
          <w:color w:val="auto"/>
        </w:rPr>
        <w:t>VodafoneZiggo JV</w:t>
      </w:r>
    </w:p>
    <w:p>
      <w:pPr>
        <w:spacing w:after="0" w:line="188" w:lineRule="exact"/>
        <w:rPr>
          <w:sz w:val="20"/>
          <w:szCs w:val="20"/>
          <w:color w:val="auto"/>
        </w:rPr>
      </w:pPr>
    </w:p>
    <w:p>
      <w:pPr>
        <w:jc w:val="both"/>
        <w:ind w:firstLine="279"/>
        <w:spacing w:after="0" w:line="258" w:lineRule="auto"/>
        <w:rPr>
          <w:sz w:val="20"/>
          <w:szCs w:val="20"/>
          <w:color w:val="auto"/>
        </w:rPr>
      </w:pPr>
      <w:r>
        <w:rPr>
          <w:rFonts w:ascii="Arial" w:cs="Arial" w:eastAsia="Arial" w:hAnsi="Arial"/>
          <w:sz w:val="16"/>
          <w:szCs w:val="16"/>
          <w:color w:val="auto"/>
        </w:rPr>
        <w:t>All of our reportable segments derive their revenue primarily from residential and B2B communications services, including broadband internet, video, fixed-line telephony and mobile services.</w:t>
      </w:r>
    </w:p>
    <w:p>
      <w:pPr>
        <w:spacing w:after="0" w:line="157" w:lineRule="exact"/>
        <w:rPr>
          <w:sz w:val="20"/>
          <w:szCs w:val="20"/>
          <w:color w:val="auto"/>
        </w:rPr>
      </w:pPr>
    </w:p>
    <w:p>
      <w:pPr>
        <w:jc w:val="both"/>
        <w:ind w:firstLine="279"/>
        <w:spacing w:after="0" w:line="250" w:lineRule="auto"/>
        <w:rPr>
          <w:sz w:val="20"/>
          <w:szCs w:val="20"/>
          <w:color w:val="auto"/>
        </w:rPr>
      </w:pPr>
      <w:r>
        <w:rPr>
          <w:rFonts w:ascii="Arial" w:cs="Arial" w:eastAsia="Arial" w:hAnsi="Arial"/>
          <w:sz w:val="16"/>
          <w:szCs w:val="16"/>
          <w:color w:val="auto"/>
        </w:rPr>
        <w:t>Our central and corporate functions (</w:t>
      </w:r>
      <w:r>
        <w:rPr>
          <w:rFonts w:ascii="Arial" w:cs="Arial" w:eastAsia="Arial" w:hAnsi="Arial"/>
          <w:sz w:val="16"/>
          <w:szCs w:val="16"/>
          <w:b w:val="1"/>
          <w:bCs w:val="1"/>
          <w:color w:val="auto"/>
        </w:rPr>
        <w:t>Central and Corporate</w:t>
      </w:r>
      <w:r>
        <w:rPr>
          <w:rFonts w:ascii="Arial" w:cs="Arial" w:eastAsia="Arial" w:hAnsi="Arial"/>
          <w:sz w:val="16"/>
          <w:szCs w:val="16"/>
          <w:color w:val="auto"/>
        </w:rPr>
        <w:t>) primarily include (i) revenue earned from services provided to the VodafoneZiggo JV and various third parties related to transitional service agreements, (ii) revenue from sales of customer premises equipment to the VodafoneZiggo JV, (iii) costs associated with certain centralized functions, including billing systems, network operations, technology, marketing, facilities, finance and other administrative functions, and (iv) less significant consolidated operating segments that provide programming and other services.</w:t>
      </w:r>
    </w:p>
    <w:p>
      <w:pPr>
        <w:spacing w:after="0" w:line="170" w:lineRule="exact"/>
        <w:rPr>
          <w:sz w:val="20"/>
          <w:szCs w:val="20"/>
          <w:color w:val="auto"/>
        </w:rPr>
      </w:pPr>
    </w:p>
    <w:p>
      <w:pPr>
        <w:jc w:val="both"/>
        <w:ind w:firstLine="279"/>
        <w:spacing w:after="0" w:line="290" w:lineRule="auto"/>
        <w:rPr>
          <w:sz w:val="20"/>
          <w:szCs w:val="20"/>
          <w:color w:val="auto"/>
        </w:rPr>
      </w:pPr>
      <w:r>
        <w:rPr>
          <w:rFonts w:ascii="Arial" w:cs="Arial" w:eastAsia="Arial" w:hAnsi="Arial"/>
          <w:sz w:val="14"/>
          <w:szCs w:val="14"/>
          <w:color w:val="auto"/>
        </w:rPr>
        <w:t>During the fourth quarter of 2019, we changed the presentation of certain costs related to our centrally-managed technology and innovation function. These costs, which were previously included in Central and Corporate, are now allocated to our consolidated reportable segments. This change, which we refer to as the “</w:t>
      </w:r>
      <w:r>
        <w:rPr>
          <w:rFonts w:ascii="Arial" w:cs="Arial" w:eastAsia="Arial" w:hAnsi="Arial"/>
          <w:sz w:val="14"/>
          <w:szCs w:val="14"/>
          <w:b w:val="1"/>
          <w:bCs w:val="1"/>
          <w:color w:val="auto"/>
        </w:rPr>
        <w:t>Centrally-held Cost Allocation</w:t>
      </w:r>
      <w:r>
        <w:rPr>
          <w:rFonts w:ascii="Arial" w:cs="Arial" w:eastAsia="Arial" w:hAnsi="Arial"/>
          <w:sz w:val="14"/>
          <w:szCs w:val="14"/>
          <w:color w:val="auto"/>
        </w:rPr>
        <w:t>,” was made as a result of internal changes with respect to the way in which our chief operating decision maker evaluates the Adjusted EBITDA of our operating segments. Segment information for the three and six months ended June 30, 2019 has been revised to reflect this change. The following table provides a summary of the impact on the Adjusted EBITDA of our consolidated reportable segments and Central and Corporate that resulted from the Centrally-held Cost Allocation.</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160" w:type="dxa"/>
            <w:vAlign w:val="bottom"/>
            <w:gridSpan w:val="4"/>
          </w:tcPr>
          <w:p>
            <w:pPr>
              <w:jc w:val="right"/>
              <w:ind w:right="145"/>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0" w:type="dxa"/>
            <w:vAlign w:val="bottom"/>
            <w:gridSpan w:val="4"/>
          </w:tcPr>
          <w:p>
            <w:pPr>
              <w:jc w:val="right"/>
              <w:ind w:right="664"/>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2"/>
        </w:trPr>
        <w:tc>
          <w:tcPr>
            <w:tcW w:w="40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80" w:type="dxa"/>
            <w:vAlign w:val="bottom"/>
            <w:gridSpan w:val="3"/>
          </w:tcPr>
          <w:p>
            <w:pPr>
              <w:jc w:val="right"/>
              <w:ind w:right="525"/>
              <w:spacing w:after="0"/>
              <w:rPr>
                <w:sz w:val="20"/>
                <w:szCs w:val="20"/>
                <w:color w:val="auto"/>
              </w:rPr>
            </w:pPr>
            <w:r>
              <w:rPr>
                <w:rFonts w:ascii="Arial" w:cs="Arial" w:eastAsia="Arial" w:hAnsi="Arial"/>
                <w:sz w:val="14"/>
                <w:szCs w:val="14"/>
                <w:b w:val="1"/>
                <w:bCs w:val="1"/>
                <w:color w:val="auto"/>
              </w:rPr>
              <w:t>June 30,</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gridSpan w:val="3"/>
          </w:tcPr>
          <w:p>
            <w:pPr>
              <w:jc w:val="right"/>
              <w:ind w:right="62"/>
              <w:spacing w:after="0"/>
              <w:rPr>
                <w:sz w:val="20"/>
                <w:szCs w:val="20"/>
                <w:color w:val="auto"/>
              </w:rPr>
            </w:pPr>
            <w:r>
              <w:rPr>
                <w:rFonts w:ascii="Arial" w:cs="Arial" w:eastAsia="Arial" w:hAnsi="Arial"/>
                <w:sz w:val="14"/>
                <w:szCs w:val="14"/>
                <w:b w:val="1"/>
                <w:bCs w:val="1"/>
                <w:color w:val="auto"/>
              </w:rPr>
              <w:t>June 30,</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40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4080" w:type="dxa"/>
            <w:vAlign w:val="bottom"/>
          </w:tcPr>
          <w:p>
            <w:pPr>
              <w:spacing w:after="0"/>
              <w:rPr>
                <w:sz w:val="17"/>
                <w:szCs w:val="17"/>
                <w:color w:val="auto"/>
              </w:rPr>
            </w:pPr>
          </w:p>
        </w:tc>
        <w:tc>
          <w:tcPr>
            <w:tcW w:w="26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jc w:val="right"/>
              <w:ind w:right="38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ind w:right="40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8"/>
        </w:trPr>
        <w:tc>
          <w:tcPr>
            <w:tcW w:w="40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40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20" w:type="dxa"/>
            <w:vAlign w:val="bottom"/>
            <w:gridSpan w:val="3"/>
          </w:tcPr>
          <w:p>
            <w:pPr>
              <w:jc w:val="right"/>
              <w:ind w:right="42"/>
              <w:spacing w:after="0"/>
              <w:rPr>
                <w:sz w:val="20"/>
                <w:szCs w:val="20"/>
                <w:color w:val="auto"/>
              </w:rPr>
            </w:pPr>
            <w:r>
              <w:rPr>
                <w:rFonts w:ascii="Arial" w:cs="Arial" w:eastAsia="Arial" w:hAnsi="Arial"/>
                <w:sz w:val="14"/>
                <w:szCs w:val="14"/>
                <w:b w:val="1"/>
                <w:bCs w:val="1"/>
                <w:color w:val="auto"/>
              </w:rPr>
              <w:t>in millions</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40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Increase (decrease) to Adjusted EBITDA:</w:t>
            </w:r>
          </w:p>
        </w:tc>
        <w:tc>
          <w:tcPr>
            <w:tcW w:w="19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80" w:type="dxa"/>
            <w:vAlign w:val="bottom"/>
          </w:tcPr>
          <w:p>
            <w:pPr>
              <w:ind w:left="140"/>
              <w:spacing w:after="0"/>
              <w:rPr>
                <w:sz w:val="20"/>
                <w:szCs w:val="20"/>
                <w:color w:val="auto"/>
              </w:rPr>
            </w:pPr>
            <w:r>
              <w:rPr>
                <w:rFonts w:ascii="Arial" w:cs="Arial" w:eastAsia="Arial" w:hAnsi="Arial"/>
                <w:sz w:val="16"/>
                <w:szCs w:val="16"/>
                <w:color w:val="auto"/>
              </w:rPr>
              <w:t>U.K./Ireland</w:t>
            </w:r>
          </w:p>
        </w:tc>
        <w:tc>
          <w:tcPr>
            <w:tcW w:w="2680" w:type="dxa"/>
            <w:vAlign w:val="bottom"/>
            <w:gridSpan w:val="2"/>
          </w:tcPr>
          <w:p>
            <w:pPr>
              <w:jc w:val="right"/>
              <w:ind w:right="606"/>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w w:val="90"/>
              </w:rPr>
              <w:t>(12.3)</w:t>
            </w:r>
          </w:p>
        </w:tc>
        <w:tc>
          <w:tcPr>
            <w:tcW w:w="120" w:type="dxa"/>
            <w:vAlign w:val="bottom"/>
          </w:tcPr>
          <w:p>
            <w:pPr>
              <w:spacing w:after="0"/>
              <w:rPr>
                <w:sz w:val="18"/>
                <w:szCs w:val="18"/>
                <w:color w:val="auto"/>
              </w:rPr>
            </w:pPr>
          </w:p>
        </w:tc>
        <w:tc>
          <w:tcPr>
            <w:tcW w:w="800" w:type="dxa"/>
            <w:vAlign w:val="bottom"/>
          </w:tcPr>
          <w:p>
            <w:pPr>
              <w:jc w:val="right"/>
              <w:ind w:right="625"/>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w w:val="90"/>
              </w:rPr>
              <w:t>(15.7)</w:t>
            </w:r>
          </w:p>
        </w:tc>
        <w:tc>
          <w:tcPr>
            <w:tcW w:w="100" w:type="dxa"/>
            <w:vAlign w:val="bottom"/>
          </w:tcPr>
          <w:p>
            <w:pPr>
              <w:spacing w:after="0"/>
              <w:rPr>
                <w:sz w:val="18"/>
                <w:szCs w:val="18"/>
                <w:color w:val="auto"/>
              </w:rPr>
            </w:pPr>
          </w:p>
        </w:tc>
        <w:tc>
          <w:tcPr>
            <w:tcW w:w="360" w:type="dxa"/>
            <w:vAlign w:val="bottom"/>
          </w:tcPr>
          <w:p>
            <w:pPr>
              <w:jc w:val="right"/>
              <w:ind w:right="182"/>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(24.4)</w:t>
            </w:r>
          </w:p>
        </w:tc>
        <w:tc>
          <w:tcPr>
            <w:tcW w:w="120" w:type="dxa"/>
            <w:vAlign w:val="bottom"/>
          </w:tcPr>
          <w:p>
            <w:pPr>
              <w:spacing w:after="0"/>
              <w:rPr>
                <w:sz w:val="18"/>
                <w:szCs w:val="18"/>
                <w:color w:val="auto"/>
              </w:rPr>
            </w:pP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(31.8)</w:t>
            </w:r>
          </w:p>
        </w:tc>
        <w:tc>
          <w:tcPr>
            <w:tcW w:w="0" w:type="dxa"/>
            <w:vAlign w:val="bottom"/>
          </w:tcPr>
          <w:p>
            <w:pPr>
              <w:spacing w:after="0"/>
              <w:rPr>
                <w:sz w:val="1"/>
                <w:szCs w:val="1"/>
                <w:color w:val="auto"/>
              </w:rPr>
            </w:pPr>
          </w:p>
        </w:tc>
      </w:tr>
      <w:tr>
        <w:trPr>
          <w:trHeight w:val="24"/>
        </w:trPr>
        <w:tc>
          <w:tcPr>
            <w:tcW w:w="40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4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Switzerland</w:t>
            </w:r>
          </w:p>
        </w:tc>
        <w:tc>
          <w:tcPr>
            <w:tcW w:w="19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209"/>
        </w:trPr>
        <w:tc>
          <w:tcPr>
            <w:tcW w:w="4080" w:type="dxa"/>
            <w:vAlign w:val="bottom"/>
          </w:tcPr>
          <w:p>
            <w:pPr>
              <w:ind w:left="140"/>
              <w:spacing w:after="0"/>
              <w:rPr>
                <w:sz w:val="20"/>
                <w:szCs w:val="20"/>
                <w:color w:val="auto"/>
              </w:rPr>
            </w:pPr>
            <w:r>
              <w:rPr>
                <w:rFonts w:ascii="Arial" w:cs="Arial" w:eastAsia="Arial" w:hAnsi="Arial"/>
                <w:sz w:val="16"/>
                <w:szCs w:val="16"/>
                <w:color w:val="auto"/>
              </w:rPr>
              <w:t>Central and Eastern Europe</w:t>
            </w:r>
          </w:p>
        </w:tc>
        <w:tc>
          <w:tcPr>
            <w:tcW w:w="1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4"/>
        </w:trPr>
        <w:tc>
          <w:tcPr>
            <w:tcW w:w="40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4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Central and Corporate</w:t>
            </w:r>
          </w:p>
        </w:tc>
        <w:tc>
          <w:tcPr>
            <w:tcW w:w="19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19.8</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29.4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39.2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55.8</w:t>
            </w:r>
          </w:p>
        </w:tc>
        <w:tc>
          <w:tcPr>
            <w:tcW w:w="0" w:type="dxa"/>
            <w:vAlign w:val="bottom"/>
          </w:tcPr>
          <w:p>
            <w:pPr>
              <w:spacing w:after="0"/>
              <w:rPr>
                <w:sz w:val="1"/>
                <w:szCs w:val="1"/>
                <w:color w:val="auto"/>
              </w:rPr>
            </w:pPr>
          </w:p>
        </w:tc>
      </w:tr>
      <w:tr>
        <w:trPr>
          <w:trHeight w:val="201"/>
        </w:trPr>
        <w:tc>
          <w:tcPr>
            <w:tcW w:w="4080" w:type="dxa"/>
            <w:vAlign w:val="bottom"/>
          </w:tcPr>
          <w:p>
            <w:pPr>
              <w:ind w:left="220"/>
              <w:spacing w:after="0"/>
              <w:rPr>
                <w:sz w:val="20"/>
                <w:szCs w:val="20"/>
                <w:color w:val="auto"/>
              </w:rPr>
            </w:pPr>
            <w:r>
              <w:rPr>
                <w:rFonts w:ascii="Arial" w:cs="Arial" w:eastAsia="Arial" w:hAnsi="Arial"/>
                <w:sz w:val="16"/>
                <w:szCs w:val="16"/>
                <w:color w:val="auto"/>
              </w:rPr>
              <w:t>Total Liberty Global</w:t>
            </w:r>
          </w:p>
        </w:tc>
        <w:tc>
          <w:tcPr>
            <w:tcW w:w="1900" w:type="dxa"/>
            <w:vAlign w:val="bottom"/>
          </w:tcPr>
          <w:p>
            <w:pPr>
              <w:spacing w:after="0"/>
              <w:rPr>
                <w:sz w:val="17"/>
                <w:szCs w:val="17"/>
                <w:color w:val="auto"/>
              </w:rPr>
            </w:pPr>
          </w:p>
        </w:tc>
        <w:tc>
          <w:tcPr>
            <w:tcW w:w="780" w:type="dxa"/>
            <w:vAlign w:val="bottom"/>
            <w:tcBorders>
              <w:top w:val="single" w:sz="8" w:color="auto"/>
            </w:tcBorders>
          </w:tcPr>
          <w:p>
            <w:pPr>
              <w:jc w:val="right"/>
              <w:ind w:right="606"/>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tcBorders>
          </w:tcPr>
          <w:p>
            <w:pPr>
              <w:jc w:val="right"/>
              <w:ind w:right="24"/>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tcBorders>
              <w:top w:val="single" w:sz="8" w:color="auto"/>
            </w:tcBorders>
          </w:tcPr>
          <w:p>
            <w:pPr>
              <w:jc w:val="right"/>
              <w:ind w:right="625"/>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360" w:type="dxa"/>
            <w:vAlign w:val="bottom"/>
            <w:tcBorders>
              <w:top w:val="single" w:sz="8" w:color="auto"/>
            </w:tcBorders>
          </w:tcPr>
          <w:p>
            <w:pPr>
              <w:jc w:val="right"/>
              <w:ind w:right="182"/>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25"/>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340" w:type="dxa"/>
            <w:vAlign w:val="bottom"/>
            <w:tcBorders>
              <w:top w:val="single" w:sz="8" w:color="auto"/>
            </w:tcBorders>
          </w:tcPr>
          <w:p>
            <w:pPr>
              <w:jc w:val="right"/>
              <w:ind w:right="162"/>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2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
        </w:trPr>
        <w:tc>
          <w:tcPr>
            <w:tcW w:w="4080" w:type="dxa"/>
            <w:vAlign w:val="bottom"/>
          </w:tcPr>
          <w:p>
            <w:pPr>
              <w:spacing w:after="0"/>
              <w:rPr>
                <w:sz w:val="2"/>
                <w:szCs w:val="2"/>
                <w:color w:val="auto"/>
              </w:rPr>
            </w:pPr>
          </w:p>
        </w:tc>
        <w:tc>
          <w:tcPr>
            <w:tcW w:w="1900" w:type="dxa"/>
            <w:vAlign w:val="bottom"/>
            <w:vMerge w:val="restart"/>
          </w:tcPr>
          <w:p>
            <w:pPr>
              <w:jc w:val="right"/>
              <w:ind w:right="205"/>
              <w:spacing w:after="0"/>
              <w:rPr>
                <w:sz w:val="20"/>
                <w:szCs w:val="20"/>
                <w:color w:val="auto"/>
              </w:rPr>
            </w:pPr>
            <w:r>
              <w:rPr>
                <w:rFonts w:ascii="Arial" w:cs="Arial" w:eastAsia="Arial" w:hAnsi="Arial"/>
                <w:sz w:val="16"/>
                <w:szCs w:val="16"/>
                <w:color w:val="auto"/>
              </w:rPr>
              <w:t>43</w:t>
            </w: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900" w:type="dxa"/>
            <w:vAlign w:val="bottom"/>
            <w:vMerge w:val="continue"/>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9"/>
        </w:trPr>
        <w:tc>
          <w:tcPr>
            <w:tcW w:w="408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263" w:right="319" w:bottom="1440" w:gutter="0" w:footer="0" w:header="0"/>
        </w:sectPr>
      </w:pPr>
    </w:p>
    <w:bookmarkStart w:id="45" w:name="page46"/>
    <w:bookmarkEnd w:id="45"/>
    <w:p>
      <w:pPr>
        <w:jc w:val="center"/>
        <w:ind w:right="-6"/>
        <w:spacing w:after="0"/>
        <w:rPr>
          <w:sz w:val="20"/>
          <w:szCs w:val="20"/>
          <w:color w:val="auto"/>
        </w:rPr>
      </w:pPr>
      <w:r>
        <w:rPr>
          <w:rFonts w:ascii="Arial" w:cs="Arial" w:eastAsia="Arial" w:hAnsi="Arial"/>
          <w:sz w:val="16"/>
          <w:szCs w:val="16"/>
          <w:b w:val="1"/>
          <w:bCs w:val="1"/>
          <w:color w:val="auto"/>
        </w:rPr>
        <w:t>LIBERTY GLOBAL PLC</w:t>
      </w:r>
    </w:p>
    <w:p>
      <w:pPr>
        <w:spacing w:after="0" w:line="18"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Notes to Condensed Consolidated Financial Statements — (Continued)</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June 30, 2020</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ind w:left="147"/>
        <w:spacing w:after="0"/>
        <w:rPr>
          <w:sz w:val="20"/>
          <w:szCs w:val="20"/>
          <w:color w:val="auto"/>
        </w:rPr>
      </w:pPr>
      <w:r>
        <w:rPr>
          <w:rFonts w:ascii="Arial" w:cs="Arial" w:eastAsia="Arial" w:hAnsi="Arial"/>
          <w:sz w:val="16"/>
          <w:szCs w:val="16"/>
          <w:b w:val="1"/>
          <w:bCs w:val="1"/>
          <w:i w:val="1"/>
          <w:iCs w:val="1"/>
          <w:color w:val="auto"/>
        </w:rPr>
        <w:t>Performance Measures of Our Reportable Segments</w:t>
      </w:r>
    </w:p>
    <w:p>
      <w:pPr>
        <w:spacing w:after="0" w:line="188" w:lineRule="exact"/>
        <w:rPr>
          <w:sz w:val="20"/>
          <w:szCs w:val="20"/>
          <w:color w:val="auto"/>
        </w:rPr>
      </w:pPr>
    </w:p>
    <w:p>
      <w:pPr>
        <w:jc w:val="both"/>
        <w:ind w:left="7" w:firstLine="279"/>
        <w:spacing w:after="0" w:line="245" w:lineRule="auto"/>
        <w:rPr>
          <w:sz w:val="20"/>
          <w:szCs w:val="20"/>
          <w:color w:val="auto"/>
        </w:rPr>
      </w:pPr>
      <w:r>
        <w:rPr>
          <w:rFonts w:ascii="Arial" w:cs="Arial" w:eastAsia="Arial" w:hAnsi="Arial"/>
          <w:sz w:val="16"/>
          <w:szCs w:val="16"/>
          <w:color w:val="auto"/>
        </w:rPr>
        <w:t>The amounts presented below represent 100% of each of our reportable segment’s revenue and Adjusted EBITDA. As we have the ability to control Telenet, we consolidate 100% of Telenet’s revenue and expenses in our condensed consolidated statements of operations despite the fact that third parties own a significant interest. The noncontrolling owners’ interests in the operating results of Telenet and other less significant majority-owned subsidiaries are reflected in net earnings or loss attributable to noncontrolling interests in our condensed consolidated statements of operations. Similarly, despite only holding a 50% noncontrolling interest in the VodafoneZiggo JV, we present 100% of its revenue and Adjusted EBITDA in the tables below. Our share of the VodafoneZiggo JV's operating results is included in share of results of affiliates, net, in our condensed consolidated statements of operations.</w:t>
      </w:r>
    </w:p>
    <w:p>
      <w:pPr>
        <w:spacing w:after="0" w:line="139" w:lineRule="exact"/>
        <w:rPr>
          <w:sz w:val="20"/>
          <w:szCs w:val="20"/>
          <w:color w:val="auto"/>
        </w:rPr>
      </w:pPr>
    </w:p>
    <w:tbl>
      <w:tblPr>
        <w:tblLayout w:type="fixed"/>
        <w:tblInd w:w="7" w:type="dxa"/>
        <w:tblCellMar>
          <w:top w:w="0" w:type="dxa"/>
          <w:left w:w="0" w:type="dxa"/>
          <w:bottom w:w="0" w:type="dxa"/>
          <w:right w:w="0" w:type="dxa"/>
        </w:tblCellMar>
      </w:tblPr>
      <w:tr>
        <w:trPr>
          <w:trHeight w:val="182"/>
        </w:trPr>
        <w:tc>
          <w:tcPr>
            <w:tcW w:w="5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gridSpan w:val="3"/>
          </w:tcPr>
          <w:p>
            <w:pPr>
              <w:jc w:val="center"/>
              <w:ind w:left="465"/>
              <w:spacing w:after="0"/>
              <w:rPr>
                <w:sz w:val="20"/>
                <w:szCs w:val="20"/>
                <w:color w:val="auto"/>
              </w:rPr>
            </w:pPr>
            <w:r>
              <w:rPr>
                <w:rFonts w:ascii="Arial" w:cs="Arial" w:eastAsia="Arial" w:hAnsi="Arial"/>
                <w:sz w:val="14"/>
                <w:szCs w:val="14"/>
                <w:b w:val="1"/>
                <w:bCs w:val="1"/>
                <w:color w:val="auto"/>
                <w:w w:val="89"/>
              </w:rPr>
              <w:t>Revenue</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59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5"/>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5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0"/>
              </w:rPr>
              <w:t>Three months ended</w:t>
            </w:r>
          </w:p>
        </w:tc>
        <w:tc>
          <w:tcPr>
            <w:tcW w:w="360" w:type="dxa"/>
            <w:vAlign w:val="bottom"/>
          </w:tcPr>
          <w:p>
            <w:pPr>
              <w:spacing w:after="0"/>
              <w:rPr>
                <w:sz w:val="15"/>
                <w:szCs w:val="15"/>
                <w:color w:val="auto"/>
              </w:rPr>
            </w:pPr>
          </w:p>
        </w:tc>
        <w:tc>
          <w:tcPr>
            <w:tcW w:w="2200" w:type="dxa"/>
            <w:vAlign w:val="bottom"/>
            <w:gridSpan w:val="4"/>
          </w:tcPr>
          <w:p>
            <w:pPr>
              <w:jc w:val="center"/>
              <w:ind w:right="263"/>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82"/>
        </w:trPr>
        <w:tc>
          <w:tcPr>
            <w:tcW w:w="5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gridSpan w:val="3"/>
          </w:tcPr>
          <w:p>
            <w:pPr>
              <w:jc w:val="center"/>
              <w:ind w:left="625"/>
              <w:spacing w:after="0"/>
              <w:rPr>
                <w:sz w:val="20"/>
                <w:szCs w:val="20"/>
                <w:color w:val="auto"/>
              </w:rPr>
            </w:pPr>
            <w:r>
              <w:rPr>
                <w:rFonts w:ascii="Arial" w:cs="Arial" w:eastAsia="Arial" w:hAnsi="Arial"/>
                <w:sz w:val="14"/>
                <w:szCs w:val="14"/>
                <w:b w:val="1"/>
                <w:bCs w:val="1"/>
                <w:color w:val="auto"/>
                <w:w w:val="85"/>
              </w:rPr>
              <w:t>June 30,</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gridSpan w:val="3"/>
          </w:tcPr>
          <w:p>
            <w:pPr>
              <w:jc w:val="center"/>
              <w:ind w:left="525"/>
              <w:spacing w:after="0"/>
              <w:rPr>
                <w:sz w:val="20"/>
                <w:szCs w:val="20"/>
                <w:color w:val="auto"/>
              </w:rPr>
            </w:pPr>
            <w:r>
              <w:rPr>
                <w:rFonts w:ascii="Arial" w:cs="Arial" w:eastAsia="Arial" w:hAnsi="Arial"/>
                <w:sz w:val="14"/>
                <w:szCs w:val="14"/>
                <w:b w:val="1"/>
                <w:bCs w:val="1"/>
                <w:color w:val="auto"/>
                <w:w w:val="89"/>
              </w:rPr>
              <w:t>June 30,</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59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5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40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40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jc w:val="right"/>
              <w:ind w:right="38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40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8"/>
        </w:trPr>
        <w:tc>
          <w:tcPr>
            <w:tcW w:w="59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5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3"/>
          </w:tcPr>
          <w:p>
            <w:pPr>
              <w:jc w:val="center"/>
              <w:ind w:left="485"/>
              <w:spacing w:after="0"/>
              <w:rPr>
                <w:sz w:val="20"/>
                <w:szCs w:val="20"/>
                <w:color w:val="auto"/>
              </w:rPr>
            </w:pPr>
            <w:r>
              <w:rPr>
                <w:rFonts w:ascii="Arial" w:cs="Arial" w:eastAsia="Arial" w:hAnsi="Arial"/>
                <w:sz w:val="14"/>
                <w:szCs w:val="14"/>
                <w:b w:val="1"/>
                <w:bCs w:val="1"/>
                <w:color w:val="auto"/>
                <w:w w:val="89"/>
              </w:rPr>
              <w:t>in millions</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U.K./Ireland</w:t>
            </w:r>
          </w:p>
        </w:tc>
        <w:tc>
          <w:tcPr>
            <w:tcW w:w="28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1,531.8</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1,644.0</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3,152.4</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3,305.3</w:t>
            </w:r>
          </w:p>
        </w:tc>
        <w:tc>
          <w:tcPr>
            <w:tcW w:w="0" w:type="dxa"/>
            <w:vAlign w:val="bottom"/>
          </w:tcPr>
          <w:p>
            <w:pPr>
              <w:spacing w:after="0"/>
              <w:rPr>
                <w:sz w:val="1"/>
                <w:szCs w:val="1"/>
                <w:color w:val="auto"/>
              </w:rPr>
            </w:pPr>
          </w:p>
        </w:tc>
      </w:tr>
      <w:tr>
        <w:trPr>
          <w:trHeight w:val="209"/>
        </w:trPr>
        <w:tc>
          <w:tcPr>
            <w:tcW w:w="5980" w:type="dxa"/>
            <w:vAlign w:val="bottom"/>
          </w:tcPr>
          <w:p>
            <w:pPr>
              <w:ind w:left="20"/>
              <w:spacing w:after="0"/>
              <w:rPr>
                <w:sz w:val="20"/>
                <w:szCs w:val="20"/>
                <w:color w:val="auto"/>
              </w:rPr>
            </w:pPr>
            <w:r>
              <w:rPr>
                <w:rFonts w:ascii="Arial" w:cs="Arial" w:eastAsia="Arial" w:hAnsi="Arial"/>
                <w:sz w:val="16"/>
                <w:szCs w:val="16"/>
                <w:color w:val="auto"/>
              </w:rPr>
              <w:t>Belgium</w:t>
            </w:r>
          </w:p>
        </w:tc>
        <w:tc>
          <w:tcPr>
            <w:tcW w:w="280" w:type="dxa"/>
            <w:vAlign w:val="bottom"/>
          </w:tcPr>
          <w:p>
            <w:pPr>
              <w:spacing w:after="0"/>
              <w:rPr>
                <w:sz w:val="18"/>
                <w:szCs w:val="18"/>
                <w:color w:val="auto"/>
              </w:rPr>
            </w:pPr>
          </w:p>
        </w:tc>
        <w:tc>
          <w:tcPr>
            <w:tcW w:w="960" w:type="dxa"/>
            <w:vAlign w:val="bottom"/>
          </w:tcPr>
          <w:p>
            <w:pPr>
              <w:jc w:val="right"/>
              <w:ind w:right="25"/>
              <w:spacing w:after="0"/>
              <w:rPr>
                <w:sz w:val="20"/>
                <w:szCs w:val="20"/>
                <w:color w:val="auto"/>
              </w:rPr>
            </w:pPr>
            <w:r>
              <w:rPr>
                <w:rFonts w:ascii="Arial" w:cs="Arial" w:eastAsia="Arial" w:hAnsi="Arial"/>
                <w:sz w:val="16"/>
                <w:szCs w:val="16"/>
                <w:color w:val="auto"/>
              </w:rPr>
              <w:t>682.5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45"/>
              <w:spacing w:after="0"/>
              <w:rPr>
                <w:sz w:val="20"/>
                <w:szCs w:val="20"/>
                <w:color w:val="auto"/>
              </w:rPr>
            </w:pPr>
            <w:r>
              <w:rPr>
                <w:rFonts w:ascii="Arial" w:cs="Arial" w:eastAsia="Arial" w:hAnsi="Arial"/>
                <w:sz w:val="16"/>
                <w:szCs w:val="16"/>
                <w:color w:val="auto"/>
              </w:rPr>
              <w:t>713.2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25"/>
              <w:spacing w:after="0"/>
              <w:rPr>
                <w:sz w:val="20"/>
                <w:szCs w:val="20"/>
                <w:color w:val="auto"/>
              </w:rPr>
            </w:pPr>
            <w:r>
              <w:rPr>
                <w:rFonts w:ascii="Arial" w:cs="Arial" w:eastAsia="Arial" w:hAnsi="Arial"/>
                <w:sz w:val="16"/>
                <w:szCs w:val="16"/>
                <w:color w:val="auto"/>
              </w:rPr>
              <w:t>1,400.6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23"/>
              <w:spacing w:after="0"/>
              <w:rPr>
                <w:sz w:val="20"/>
                <w:szCs w:val="20"/>
                <w:color w:val="auto"/>
              </w:rPr>
            </w:pPr>
            <w:r>
              <w:rPr>
                <w:rFonts w:ascii="Arial" w:cs="Arial" w:eastAsia="Arial" w:hAnsi="Arial"/>
                <w:sz w:val="16"/>
                <w:szCs w:val="16"/>
                <w:color w:val="auto"/>
              </w:rPr>
              <w:t>1,425.1</w:t>
            </w:r>
          </w:p>
        </w:tc>
        <w:tc>
          <w:tcPr>
            <w:tcW w:w="0" w:type="dxa"/>
            <w:vAlign w:val="bottom"/>
          </w:tcPr>
          <w:p>
            <w:pPr>
              <w:spacing w:after="0"/>
              <w:rPr>
                <w:sz w:val="1"/>
                <w:szCs w:val="1"/>
                <w:color w:val="auto"/>
              </w:rPr>
            </w:pPr>
          </w:p>
        </w:tc>
      </w:tr>
      <w:tr>
        <w:trPr>
          <w:trHeight w:val="24"/>
        </w:trPr>
        <w:tc>
          <w:tcPr>
            <w:tcW w:w="5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Switzerland</w:t>
            </w: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299.1</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315.0</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615.9</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631.0</w:t>
            </w:r>
          </w:p>
        </w:tc>
        <w:tc>
          <w:tcPr>
            <w:tcW w:w="0" w:type="dxa"/>
            <w:vAlign w:val="bottom"/>
          </w:tcPr>
          <w:p>
            <w:pPr>
              <w:spacing w:after="0"/>
              <w:rPr>
                <w:sz w:val="1"/>
                <w:szCs w:val="1"/>
                <w:color w:val="auto"/>
              </w:rPr>
            </w:pPr>
          </w:p>
        </w:tc>
      </w:tr>
      <w:tr>
        <w:trPr>
          <w:trHeight w:val="209"/>
        </w:trPr>
        <w:tc>
          <w:tcPr>
            <w:tcW w:w="5980" w:type="dxa"/>
            <w:vAlign w:val="bottom"/>
          </w:tcPr>
          <w:p>
            <w:pPr>
              <w:ind w:left="20"/>
              <w:spacing w:after="0"/>
              <w:rPr>
                <w:sz w:val="20"/>
                <w:szCs w:val="20"/>
                <w:color w:val="auto"/>
              </w:rPr>
            </w:pPr>
            <w:r>
              <w:rPr>
                <w:rFonts w:ascii="Arial" w:cs="Arial" w:eastAsia="Arial" w:hAnsi="Arial"/>
                <w:sz w:val="16"/>
                <w:szCs w:val="16"/>
                <w:color w:val="auto"/>
              </w:rPr>
              <w:t>Central and Eastern Europe</w:t>
            </w:r>
          </w:p>
        </w:tc>
        <w:tc>
          <w:tcPr>
            <w:tcW w:w="280" w:type="dxa"/>
            <w:vAlign w:val="bottom"/>
          </w:tcPr>
          <w:p>
            <w:pPr>
              <w:spacing w:after="0"/>
              <w:rPr>
                <w:sz w:val="18"/>
                <w:szCs w:val="18"/>
                <w:color w:val="auto"/>
              </w:rPr>
            </w:pPr>
          </w:p>
        </w:tc>
        <w:tc>
          <w:tcPr>
            <w:tcW w:w="960" w:type="dxa"/>
            <w:vAlign w:val="bottom"/>
          </w:tcPr>
          <w:p>
            <w:pPr>
              <w:jc w:val="right"/>
              <w:ind w:right="25"/>
              <w:spacing w:after="0"/>
              <w:rPr>
                <w:sz w:val="20"/>
                <w:szCs w:val="20"/>
                <w:color w:val="auto"/>
              </w:rPr>
            </w:pPr>
            <w:r>
              <w:rPr>
                <w:rFonts w:ascii="Arial" w:cs="Arial" w:eastAsia="Arial" w:hAnsi="Arial"/>
                <w:sz w:val="16"/>
                <w:szCs w:val="16"/>
                <w:color w:val="auto"/>
              </w:rPr>
              <w:t>116.2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45"/>
              <w:spacing w:after="0"/>
              <w:rPr>
                <w:sz w:val="20"/>
                <w:szCs w:val="20"/>
                <w:color w:val="auto"/>
              </w:rPr>
            </w:pPr>
            <w:r>
              <w:rPr>
                <w:rFonts w:ascii="Arial" w:cs="Arial" w:eastAsia="Arial" w:hAnsi="Arial"/>
                <w:sz w:val="16"/>
                <w:szCs w:val="16"/>
                <w:color w:val="auto"/>
              </w:rPr>
              <w:t>119.1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25"/>
              <w:spacing w:after="0"/>
              <w:rPr>
                <w:sz w:val="20"/>
                <w:szCs w:val="20"/>
                <w:color w:val="auto"/>
              </w:rPr>
            </w:pPr>
            <w:r>
              <w:rPr>
                <w:rFonts w:ascii="Arial" w:cs="Arial" w:eastAsia="Arial" w:hAnsi="Arial"/>
                <w:sz w:val="16"/>
                <w:szCs w:val="16"/>
                <w:color w:val="auto"/>
              </w:rPr>
              <w:t>235.3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23"/>
              <w:spacing w:after="0"/>
              <w:rPr>
                <w:sz w:val="20"/>
                <w:szCs w:val="20"/>
                <w:color w:val="auto"/>
              </w:rPr>
            </w:pPr>
            <w:r>
              <w:rPr>
                <w:rFonts w:ascii="Arial" w:cs="Arial" w:eastAsia="Arial" w:hAnsi="Arial"/>
                <w:sz w:val="16"/>
                <w:szCs w:val="16"/>
                <w:color w:val="auto"/>
              </w:rPr>
              <w:t>238.2</w:t>
            </w:r>
          </w:p>
        </w:tc>
        <w:tc>
          <w:tcPr>
            <w:tcW w:w="0" w:type="dxa"/>
            <w:vAlign w:val="bottom"/>
          </w:tcPr>
          <w:p>
            <w:pPr>
              <w:spacing w:after="0"/>
              <w:rPr>
                <w:sz w:val="1"/>
                <w:szCs w:val="1"/>
                <w:color w:val="auto"/>
              </w:rPr>
            </w:pPr>
          </w:p>
        </w:tc>
      </w:tr>
      <w:tr>
        <w:trPr>
          <w:trHeight w:val="24"/>
        </w:trPr>
        <w:tc>
          <w:tcPr>
            <w:tcW w:w="5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Central and Corporate</w:t>
            </w: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93.7</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60.2</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194.9</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120.9</w:t>
            </w:r>
          </w:p>
        </w:tc>
        <w:tc>
          <w:tcPr>
            <w:tcW w:w="0" w:type="dxa"/>
            <w:vAlign w:val="bottom"/>
          </w:tcPr>
          <w:p>
            <w:pPr>
              <w:spacing w:after="0"/>
              <w:rPr>
                <w:sz w:val="1"/>
                <w:szCs w:val="1"/>
                <w:color w:val="auto"/>
              </w:rPr>
            </w:pPr>
          </w:p>
        </w:tc>
      </w:tr>
      <w:tr>
        <w:trPr>
          <w:trHeight w:val="209"/>
        </w:trPr>
        <w:tc>
          <w:tcPr>
            <w:tcW w:w="5980" w:type="dxa"/>
            <w:vAlign w:val="bottom"/>
          </w:tcPr>
          <w:p>
            <w:pPr>
              <w:ind w:left="20"/>
              <w:spacing w:after="0"/>
              <w:rPr>
                <w:sz w:val="20"/>
                <w:szCs w:val="20"/>
                <w:color w:val="auto"/>
              </w:rPr>
            </w:pPr>
            <w:r>
              <w:rPr>
                <w:rFonts w:ascii="Arial" w:cs="Arial" w:eastAsia="Arial" w:hAnsi="Arial"/>
                <w:sz w:val="16"/>
                <w:szCs w:val="16"/>
                <w:color w:val="auto"/>
              </w:rPr>
              <w:t>Intersegment eliminations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4"/>
        </w:trPr>
        <w:tc>
          <w:tcPr>
            <w:tcW w:w="5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5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2,722.9</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2,850.4</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5,598.7</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5,718.4</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59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VodafoneZiggo JV</w:t>
            </w:r>
          </w:p>
        </w:tc>
        <w:tc>
          <w:tcPr>
            <w:tcW w:w="28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1,081.6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1,084.5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2,178.7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2,178.4</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2"/>
        </w:trPr>
        <w:tc>
          <w:tcPr>
            <w:tcW w:w="5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6"/>
              </w:rPr>
              <w:t>Adjusted EBITDA</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59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5"/>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5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0"/>
              </w:rPr>
              <w:t>Three months ended</w:t>
            </w:r>
          </w:p>
        </w:tc>
        <w:tc>
          <w:tcPr>
            <w:tcW w:w="360" w:type="dxa"/>
            <w:vAlign w:val="bottom"/>
          </w:tcPr>
          <w:p>
            <w:pPr>
              <w:spacing w:after="0"/>
              <w:rPr>
                <w:sz w:val="15"/>
                <w:szCs w:val="15"/>
                <w:color w:val="auto"/>
              </w:rPr>
            </w:pPr>
          </w:p>
        </w:tc>
        <w:tc>
          <w:tcPr>
            <w:tcW w:w="2200" w:type="dxa"/>
            <w:vAlign w:val="bottom"/>
            <w:gridSpan w:val="4"/>
          </w:tcPr>
          <w:p>
            <w:pPr>
              <w:jc w:val="center"/>
              <w:ind w:right="263"/>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82"/>
        </w:trPr>
        <w:tc>
          <w:tcPr>
            <w:tcW w:w="5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gridSpan w:val="3"/>
          </w:tcPr>
          <w:p>
            <w:pPr>
              <w:jc w:val="center"/>
              <w:ind w:left="625"/>
              <w:spacing w:after="0"/>
              <w:rPr>
                <w:sz w:val="20"/>
                <w:szCs w:val="20"/>
                <w:color w:val="auto"/>
              </w:rPr>
            </w:pPr>
            <w:r>
              <w:rPr>
                <w:rFonts w:ascii="Arial" w:cs="Arial" w:eastAsia="Arial" w:hAnsi="Arial"/>
                <w:sz w:val="14"/>
                <w:szCs w:val="14"/>
                <w:b w:val="1"/>
                <w:bCs w:val="1"/>
                <w:color w:val="auto"/>
                <w:w w:val="85"/>
              </w:rPr>
              <w:t>June 30,</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gridSpan w:val="3"/>
          </w:tcPr>
          <w:p>
            <w:pPr>
              <w:jc w:val="center"/>
              <w:ind w:left="525"/>
              <w:spacing w:after="0"/>
              <w:rPr>
                <w:sz w:val="20"/>
                <w:szCs w:val="20"/>
                <w:color w:val="auto"/>
              </w:rPr>
            </w:pPr>
            <w:r>
              <w:rPr>
                <w:rFonts w:ascii="Arial" w:cs="Arial" w:eastAsia="Arial" w:hAnsi="Arial"/>
                <w:sz w:val="14"/>
                <w:szCs w:val="14"/>
                <w:b w:val="1"/>
                <w:bCs w:val="1"/>
                <w:color w:val="auto"/>
                <w:w w:val="89"/>
              </w:rPr>
              <w:t>June 30,</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59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5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40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2019 (a)</w:t>
            </w:r>
          </w:p>
        </w:tc>
        <w:tc>
          <w:tcPr>
            <w:tcW w:w="360" w:type="dxa"/>
            <w:vAlign w:val="bottom"/>
          </w:tcPr>
          <w:p>
            <w:pPr>
              <w:spacing w:after="0"/>
              <w:rPr>
                <w:sz w:val="17"/>
                <w:szCs w:val="17"/>
                <w:color w:val="auto"/>
              </w:rPr>
            </w:pPr>
          </w:p>
        </w:tc>
        <w:tc>
          <w:tcPr>
            <w:tcW w:w="860" w:type="dxa"/>
            <w:vAlign w:val="bottom"/>
          </w:tcPr>
          <w:p>
            <w:pPr>
              <w:jc w:val="right"/>
              <w:ind w:right="38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303"/>
              <w:spacing w:after="0"/>
              <w:rPr>
                <w:sz w:val="20"/>
                <w:szCs w:val="20"/>
                <w:color w:val="auto"/>
              </w:rPr>
            </w:pPr>
            <w:r>
              <w:rPr>
                <w:rFonts w:ascii="Arial" w:cs="Arial" w:eastAsia="Arial" w:hAnsi="Arial"/>
                <w:sz w:val="14"/>
                <w:szCs w:val="14"/>
                <w:b w:val="1"/>
                <w:bCs w:val="1"/>
                <w:color w:val="auto"/>
              </w:rPr>
              <w:t>2019 (a)</w:t>
            </w:r>
          </w:p>
        </w:tc>
        <w:tc>
          <w:tcPr>
            <w:tcW w:w="0" w:type="dxa"/>
            <w:vAlign w:val="bottom"/>
          </w:tcPr>
          <w:p>
            <w:pPr>
              <w:spacing w:after="0"/>
              <w:rPr>
                <w:sz w:val="1"/>
                <w:szCs w:val="1"/>
                <w:color w:val="auto"/>
              </w:rPr>
            </w:pPr>
          </w:p>
        </w:tc>
      </w:tr>
      <w:tr>
        <w:trPr>
          <w:trHeight w:val="28"/>
        </w:trPr>
        <w:tc>
          <w:tcPr>
            <w:tcW w:w="59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5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3"/>
          </w:tcPr>
          <w:p>
            <w:pPr>
              <w:jc w:val="center"/>
              <w:ind w:left="485"/>
              <w:spacing w:after="0"/>
              <w:rPr>
                <w:sz w:val="20"/>
                <w:szCs w:val="20"/>
                <w:color w:val="auto"/>
              </w:rPr>
            </w:pPr>
            <w:r>
              <w:rPr>
                <w:rFonts w:ascii="Arial" w:cs="Arial" w:eastAsia="Arial" w:hAnsi="Arial"/>
                <w:sz w:val="14"/>
                <w:szCs w:val="14"/>
                <w:b w:val="1"/>
                <w:bCs w:val="1"/>
                <w:color w:val="auto"/>
                <w:w w:val="89"/>
              </w:rPr>
              <w:t>in millions</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U.K./Ireland</w:t>
            </w:r>
          </w:p>
        </w:tc>
        <w:tc>
          <w:tcPr>
            <w:tcW w:w="28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654.9</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687.5</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1,310.3</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1,379.7</w:t>
            </w:r>
          </w:p>
        </w:tc>
        <w:tc>
          <w:tcPr>
            <w:tcW w:w="0" w:type="dxa"/>
            <w:vAlign w:val="bottom"/>
          </w:tcPr>
          <w:p>
            <w:pPr>
              <w:spacing w:after="0"/>
              <w:rPr>
                <w:sz w:val="1"/>
                <w:szCs w:val="1"/>
                <w:color w:val="auto"/>
              </w:rPr>
            </w:pPr>
          </w:p>
        </w:tc>
      </w:tr>
      <w:tr>
        <w:trPr>
          <w:trHeight w:val="209"/>
        </w:trPr>
        <w:tc>
          <w:tcPr>
            <w:tcW w:w="5980" w:type="dxa"/>
            <w:vAlign w:val="bottom"/>
          </w:tcPr>
          <w:p>
            <w:pPr>
              <w:ind w:left="20"/>
              <w:spacing w:after="0"/>
              <w:rPr>
                <w:sz w:val="20"/>
                <w:szCs w:val="20"/>
                <w:color w:val="auto"/>
              </w:rPr>
            </w:pPr>
            <w:r>
              <w:rPr>
                <w:rFonts w:ascii="Arial" w:cs="Arial" w:eastAsia="Arial" w:hAnsi="Arial"/>
                <w:sz w:val="16"/>
                <w:szCs w:val="16"/>
                <w:color w:val="auto"/>
              </w:rPr>
              <w:t>Belgium</w:t>
            </w:r>
          </w:p>
        </w:tc>
        <w:tc>
          <w:tcPr>
            <w:tcW w:w="280" w:type="dxa"/>
            <w:vAlign w:val="bottom"/>
          </w:tcPr>
          <w:p>
            <w:pPr>
              <w:spacing w:after="0"/>
              <w:rPr>
                <w:sz w:val="18"/>
                <w:szCs w:val="18"/>
                <w:color w:val="auto"/>
              </w:rPr>
            </w:pPr>
          </w:p>
        </w:tc>
        <w:tc>
          <w:tcPr>
            <w:tcW w:w="960" w:type="dxa"/>
            <w:vAlign w:val="bottom"/>
          </w:tcPr>
          <w:p>
            <w:pPr>
              <w:jc w:val="right"/>
              <w:ind w:right="25"/>
              <w:spacing w:after="0"/>
              <w:rPr>
                <w:sz w:val="20"/>
                <w:szCs w:val="20"/>
                <w:color w:val="auto"/>
              </w:rPr>
            </w:pPr>
            <w:r>
              <w:rPr>
                <w:rFonts w:ascii="Arial" w:cs="Arial" w:eastAsia="Arial" w:hAnsi="Arial"/>
                <w:sz w:val="16"/>
                <w:szCs w:val="16"/>
                <w:color w:val="auto"/>
              </w:rPr>
              <w:t>354.1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45"/>
              <w:spacing w:after="0"/>
              <w:rPr>
                <w:sz w:val="20"/>
                <w:szCs w:val="20"/>
                <w:color w:val="auto"/>
              </w:rPr>
            </w:pPr>
            <w:r>
              <w:rPr>
                <w:rFonts w:ascii="Arial" w:cs="Arial" w:eastAsia="Arial" w:hAnsi="Arial"/>
                <w:sz w:val="16"/>
                <w:szCs w:val="16"/>
                <w:color w:val="auto"/>
              </w:rPr>
              <w:t>349.4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25"/>
              <w:spacing w:after="0"/>
              <w:rPr>
                <w:sz w:val="20"/>
                <w:szCs w:val="20"/>
                <w:color w:val="auto"/>
              </w:rPr>
            </w:pPr>
            <w:r>
              <w:rPr>
                <w:rFonts w:ascii="Arial" w:cs="Arial" w:eastAsia="Arial" w:hAnsi="Arial"/>
                <w:sz w:val="16"/>
                <w:szCs w:val="16"/>
                <w:color w:val="auto"/>
              </w:rPr>
              <w:t>685.7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23"/>
              <w:spacing w:after="0"/>
              <w:rPr>
                <w:sz w:val="20"/>
                <w:szCs w:val="20"/>
                <w:color w:val="auto"/>
              </w:rPr>
            </w:pPr>
            <w:r>
              <w:rPr>
                <w:rFonts w:ascii="Arial" w:cs="Arial" w:eastAsia="Arial" w:hAnsi="Arial"/>
                <w:sz w:val="16"/>
                <w:szCs w:val="16"/>
                <w:color w:val="auto"/>
              </w:rPr>
              <w:t>688.4</w:t>
            </w:r>
          </w:p>
        </w:tc>
        <w:tc>
          <w:tcPr>
            <w:tcW w:w="0" w:type="dxa"/>
            <w:vAlign w:val="bottom"/>
          </w:tcPr>
          <w:p>
            <w:pPr>
              <w:spacing w:after="0"/>
              <w:rPr>
                <w:sz w:val="1"/>
                <w:szCs w:val="1"/>
                <w:color w:val="auto"/>
              </w:rPr>
            </w:pPr>
          </w:p>
        </w:tc>
      </w:tr>
      <w:tr>
        <w:trPr>
          <w:trHeight w:val="24"/>
        </w:trPr>
        <w:tc>
          <w:tcPr>
            <w:tcW w:w="5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Switzerland</w:t>
            </w: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150.9</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159.8</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285.0</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316.1</w:t>
            </w:r>
          </w:p>
        </w:tc>
        <w:tc>
          <w:tcPr>
            <w:tcW w:w="0" w:type="dxa"/>
            <w:vAlign w:val="bottom"/>
          </w:tcPr>
          <w:p>
            <w:pPr>
              <w:spacing w:after="0"/>
              <w:rPr>
                <w:sz w:val="1"/>
                <w:szCs w:val="1"/>
                <w:color w:val="auto"/>
              </w:rPr>
            </w:pPr>
          </w:p>
        </w:tc>
      </w:tr>
      <w:tr>
        <w:trPr>
          <w:trHeight w:val="209"/>
        </w:trPr>
        <w:tc>
          <w:tcPr>
            <w:tcW w:w="5980" w:type="dxa"/>
            <w:vAlign w:val="bottom"/>
          </w:tcPr>
          <w:p>
            <w:pPr>
              <w:ind w:left="20"/>
              <w:spacing w:after="0"/>
              <w:rPr>
                <w:sz w:val="20"/>
                <w:szCs w:val="20"/>
                <w:color w:val="auto"/>
              </w:rPr>
            </w:pPr>
            <w:r>
              <w:rPr>
                <w:rFonts w:ascii="Arial" w:cs="Arial" w:eastAsia="Arial" w:hAnsi="Arial"/>
                <w:sz w:val="16"/>
                <w:szCs w:val="16"/>
                <w:color w:val="auto"/>
              </w:rPr>
              <w:t>Central and Eastern Europe</w:t>
            </w:r>
          </w:p>
        </w:tc>
        <w:tc>
          <w:tcPr>
            <w:tcW w:w="280" w:type="dxa"/>
            <w:vAlign w:val="bottom"/>
          </w:tcPr>
          <w:p>
            <w:pPr>
              <w:spacing w:after="0"/>
              <w:rPr>
                <w:sz w:val="18"/>
                <w:szCs w:val="18"/>
                <w:color w:val="auto"/>
              </w:rPr>
            </w:pPr>
          </w:p>
        </w:tc>
        <w:tc>
          <w:tcPr>
            <w:tcW w:w="960" w:type="dxa"/>
            <w:vAlign w:val="bottom"/>
          </w:tcPr>
          <w:p>
            <w:pPr>
              <w:jc w:val="right"/>
              <w:ind w:right="25"/>
              <w:spacing w:after="0"/>
              <w:rPr>
                <w:sz w:val="20"/>
                <w:szCs w:val="20"/>
                <w:color w:val="auto"/>
              </w:rPr>
            </w:pPr>
            <w:r>
              <w:rPr>
                <w:rFonts w:ascii="Arial" w:cs="Arial" w:eastAsia="Arial" w:hAnsi="Arial"/>
                <w:sz w:val="16"/>
                <w:szCs w:val="16"/>
                <w:color w:val="auto"/>
              </w:rPr>
              <w:t>52.7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45"/>
              <w:spacing w:after="0"/>
              <w:rPr>
                <w:sz w:val="20"/>
                <w:szCs w:val="20"/>
                <w:color w:val="auto"/>
              </w:rPr>
            </w:pPr>
            <w:r>
              <w:rPr>
                <w:rFonts w:ascii="Arial" w:cs="Arial" w:eastAsia="Arial" w:hAnsi="Arial"/>
                <w:sz w:val="16"/>
                <w:szCs w:val="16"/>
                <w:color w:val="auto"/>
              </w:rPr>
              <w:t>54.1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25"/>
              <w:spacing w:after="0"/>
              <w:rPr>
                <w:sz w:val="20"/>
                <w:szCs w:val="20"/>
                <w:color w:val="auto"/>
              </w:rPr>
            </w:pPr>
            <w:r>
              <w:rPr>
                <w:rFonts w:ascii="Arial" w:cs="Arial" w:eastAsia="Arial" w:hAnsi="Arial"/>
                <w:sz w:val="16"/>
                <w:szCs w:val="16"/>
                <w:color w:val="auto"/>
              </w:rPr>
              <w:t>107.0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23"/>
              <w:spacing w:after="0"/>
              <w:rPr>
                <w:sz w:val="20"/>
                <w:szCs w:val="20"/>
                <w:color w:val="auto"/>
              </w:rPr>
            </w:pPr>
            <w:r>
              <w:rPr>
                <w:rFonts w:ascii="Arial" w:cs="Arial" w:eastAsia="Arial" w:hAnsi="Arial"/>
                <w:sz w:val="16"/>
                <w:szCs w:val="16"/>
                <w:color w:val="auto"/>
              </w:rPr>
              <w:t>107.8</w:t>
            </w:r>
          </w:p>
        </w:tc>
        <w:tc>
          <w:tcPr>
            <w:tcW w:w="0" w:type="dxa"/>
            <w:vAlign w:val="bottom"/>
          </w:tcPr>
          <w:p>
            <w:pPr>
              <w:spacing w:after="0"/>
              <w:rPr>
                <w:sz w:val="1"/>
                <w:szCs w:val="1"/>
                <w:color w:val="auto"/>
              </w:rPr>
            </w:pPr>
          </w:p>
        </w:tc>
      </w:tr>
      <w:tr>
        <w:trPr>
          <w:trHeight w:val="24"/>
        </w:trPr>
        <w:tc>
          <w:tcPr>
            <w:tcW w:w="5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Central and Corporate</w:t>
            </w: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(60.1)</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(49.2)</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(119.4)</w:t>
            </w:r>
          </w:p>
        </w:tc>
        <w:tc>
          <w:tcPr>
            <w:tcW w:w="0" w:type="dxa"/>
            <w:vAlign w:val="bottom"/>
          </w:tcPr>
          <w:p>
            <w:pPr>
              <w:spacing w:after="0"/>
              <w:rPr>
                <w:sz w:val="1"/>
                <w:szCs w:val="1"/>
                <w:color w:val="auto"/>
              </w:rPr>
            </w:pPr>
          </w:p>
        </w:tc>
      </w:tr>
      <w:tr>
        <w:trPr>
          <w:trHeight w:val="209"/>
        </w:trPr>
        <w:tc>
          <w:tcPr>
            <w:tcW w:w="5980" w:type="dxa"/>
            <w:vAlign w:val="bottom"/>
          </w:tcPr>
          <w:p>
            <w:pPr>
              <w:ind w:left="20"/>
              <w:spacing w:after="0"/>
              <w:rPr>
                <w:sz w:val="20"/>
                <w:szCs w:val="20"/>
                <w:color w:val="auto"/>
              </w:rPr>
            </w:pPr>
            <w:r>
              <w:rPr>
                <w:rFonts w:ascii="Arial" w:cs="Arial" w:eastAsia="Arial" w:hAnsi="Arial"/>
                <w:sz w:val="16"/>
                <w:szCs w:val="16"/>
                <w:color w:val="auto"/>
              </w:rPr>
              <w:t>Intersegment eliminations (b)</w:t>
            </w: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40" w:type="dxa"/>
            <w:vAlign w:val="bottom"/>
          </w:tcPr>
          <w:p>
            <w:pPr>
              <w:jc w:val="right"/>
              <w:ind w:right="23"/>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4"/>
        </w:trPr>
        <w:tc>
          <w:tcPr>
            <w:tcW w:w="5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5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1,188.5</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1,190.7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2,338.8</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2,374.0</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59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VodafoneZiggo JV</w:t>
            </w:r>
          </w:p>
        </w:tc>
        <w:tc>
          <w:tcPr>
            <w:tcW w:w="28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531.5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487.6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1,034.3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981.4</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59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427" w:hanging="427"/>
        <w:spacing w:after="0"/>
        <w:tabs>
          <w:tab w:leader="none" w:pos="427" w:val="left"/>
        </w:tabs>
        <w:numPr>
          <w:ilvl w:val="0"/>
          <w:numId w:val="41"/>
        </w:numPr>
        <w:rPr>
          <w:rFonts w:ascii="Arial" w:cs="Arial" w:eastAsia="Arial" w:hAnsi="Arial"/>
          <w:sz w:val="16"/>
          <w:szCs w:val="16"/>
          <w:color w:val="auto"/>
        </w:rPr>
      </w:pPr>
      <w:r>
        <w:rPr>
          <w:rFonts w:ascii="Arial" w:cs="Arial" w:eastAsia="Arial" w:hAnsi="Arial"/>
          <w:sz w:val="16"/>
          <w:szCs w:val="16"/>
          <w:color w:val="auto"/>
        </w:rPr>
        <w:t>Amounts have been revised to reflect the retrospective impact of the Centrally-held Cost Allocation, as described above.</w:t>
      </w:r>
    </w:p>
    <w:p>
      <w:pPr>
        <w:spacing w:after="0" w:line="188" w:lineRule="exact"/>
        <w:rPr>
          <w:rFonts w:ascii="Arial" w:cs="Arial" w:eastAsia="Arial" w:hAnsi="Arial"/>
          <w:sz w:val="16"/>
          <w:szCs w:val="16"/>
          <w:color w:val="auto"/>
        </w:rPr>
      </w:pPr>
    </w:p>
    <w:p>
      <w:pPr>
        <w:ind w:left="427" w:right="20" w:hanging="427"/>
        <w:spacing w:after="0" w:line="258" w:lineRule="auto"/>
        <w:tabs>
          <w:tab w:leader="none" w:pos="427" w:val="left"/>
        </w:tabs>
        <w:numPr>
          <w:ilvl w:val="0"/>
          <w:numId w:val="41"/>
        </w:numPr>
        <w:rPr>
          <w:rFonts w:ascii="Arial" w:cs="Arial" w:eastAsia="Arial" w:hAnsi="Arial"/>
          <w:sz w:val="16"/>
          <w:szCs w:val="16"/>
          <w:color w:val="auto"/>
        </w:rPr>
      </w:pPr>
      <w:r>
        <w:rPr>
          <w:rFonts w:ascii="Arial" w:cs="Arial" w:eastAsia="Arial" w:hAnsi="Arial"/>
          <w:sz w:val="16"/>
          <w:szCs w:val="16"/>
          <w:color w:val="auto"/>
        </w:rPr>
        <w:t>Amount for the 2019 six-month period is related to transactions between our continuing and discontinued operations prior to the disposal dates of such discontinued operations.</w:t>
      </w:r>
    </w:p>
    <w:p>
      <w:pPr>
        <w:spacing w:after="0" w:line="349"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267"/>
          </w:cols>
          <w:pgMar w:left="313" w:top="263" w:right="319" w:bottom="1440" w:gutter="0" w:footer="0" w:header="0"/>
        </w:sectPr>
      </w:pPr>
    </w:p>
    <w:bookmarkStart w:id="46" w:name="page47"/>
    <w:bookmarkEnd w:id="46"/>
    <w:p>
      <w:pPr>
        <w:jc w:val="center"/>
        <w:ind w:right="20"/>
        <w:spacing w:after="0"/>
        <w:rPr>
          <w:sz w:val="20"/>
          <w:szCs w:val="20"/>
          <w:color w:val="auto"/>
        </w:rPr>
      </w:pPr>
      <w:r>
        <w:rPr>
          <w:rFonts w:ascii="Arial" w:cs="Arial" w:eastAsia="Arial" w:hAnsi="Arial"/>
          <w:sz w:val="16"/>
          <w:szCs w:val="16"/>
          <w:b w:val="1"/>
          <w:bCs w:val="1"/>
          <w:color w:val="auto"/>
        </w:rPr>
        <w:t>LIBERTY GLOBAL PLC</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Notes to Condensed Consolidated Financial Statements — (Continued)</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June 30, 2020</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following table provides a reconciliation of earnings (loss) from continuing operations to Adjusted EBITDA:</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4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5"/>
                <w:szCs w:val="15"/>
                <w:color w:val="auto"/>
              </w:rPr>
            </w:pPr>
          </w:p>
        </w:tc>
        <w:tc>
          <w:tcPr>
            <w:tcW w:w="2200" w:type="dxa"/>
            <w:vAlign w:val="bottom"/>
            <w:gridSpan w:val="4"/>
          </w:tcPr>
          <w:p>
            <w:pPr>
              <w:jc w:val="right"/>
              <w:ind w:right="66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2"/>
        </w:trPr>
        <w:tc>
          <w:tcPr>
            <w:tcW w:w="5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gridSpan w:val="3"/>
          </w:tcPr>
          <w:p>
            <w:pPr>
              <w:jc w:val="right"/>
              <w:ind w:right="82"/>
              <w:spacing w:after="0"/>
              <w:rPr>
                <w:sz w:val="20"/>
                <w:szCs w:val="20"/>
                <w:color w:val="auto"/>
              </w:rPr>
            </w:pPr>
            <w:r>
              <w:rPr>
                <w:rFonts w:ascii="Arial" w:cs="Arial" w:eastAsia="Arial" w:hAnsi="Arial"/>
                <w:sz w:val="14"/>
                <w:szCs w:val="14"/>
                <w:b w:val="1"/>
                <w:bCs w:val="1"/>
                <w:color w:val="auto"/>
              </w:rPr>
              <w:t>June 30,</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gridSpan w:val="3"/>
          </w:tcPr>
          <w:p>
            <w:pPr>
              <w:jc w:val="right"/>
              <w:ind w:right="62"/>
              <w:spacing w:after="0"/>
              <w:rPr>
                <w:sz w:val="20"/>
                <w:szCs w:val="20"/>
                <w:color w:val="auto"/>
              </w:rPr>
            </w:pPr>
            <w:r>
              <w:rPr>
                <w:rFonts w:ascii="Arial" w:cs="Arial" w:eastAsia="Arial" w:hAnsi="Arial"/>
                <w:sz w:val="14"/>
                <w:szCs w:val="14"/>
                <w:b w:val="1"/>
                <w:bCs w:val="1"/>
                <w:color w:val="auto"/>
              </w:rPr>
              <w:t>June 30,</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59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5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40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ind w:right="40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jc w:val="right"/>
              <w:ind w:right="38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ind w:right="40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8"/>
        </w:trPr>
        <w:tc>
          <w:tcPr>
            <w:tcW w:w="59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5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gridSpan w:val="3"/>
          </w:tcPr>
          <w:p>
            <w:pPr>
              <w:jc w:val="right"/>
              <w:ind w:right="42"/>
              <w:spacing w:after="0"/>
              <w:rPr>
                <w:sz w:val="20"/>
                <w:szCs w:val="20"/>
                <w:color w:val="auto"/>
              </w:rPr>
            </w:pPr>
            <w:r>
              <w:rPr>
                <w:rFonts w:ascii="Arial" w:cs="Arial" w:eastAsia="Arial" w:hAnsi="Arial"/>
                <w:sz w:val="14"/>
                <w:szCs w:val="14"/>
                <w:b w:val="1"/>
                <w:bCs w:val="1"/>
                <w:color w:val="auto"/>
              </w:rPr>
              <w:t>in millions</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Earnings (loss) from continuing operations</w:t>
            </w:r>
          </w:p>
        </w:tc>
        <w:tc>
          <w:tcPr>
            <w:tcW w:w="28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(503.8)</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(339.6)</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513.9</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(646.5)</w:t>
            </w:r>
          </w:p>
        </w:tc>
        <w:tc>
          <w:tcPr>
            <w:tcW w:w="0" w:type="dxa"/>
            <w:vAlign w:val="bottom"/>
          </w:tcPr>
          <w:p>
            <w:pPr>
              <w:spacing w:after="0"/>
              <w:rPr>
                <w:sz w:val="1"/>
                <w:szCs w:val="1"/>
                <w:color w:val="auto"/>
              </w:rPr>
            </w:pPr>
          </w:p>
        </w:tc>
      </w:tr>
      <w:tr>
        <w:trPr>
          <w:trHeight w:val="209"/>
        </w:trPr>
        <w:tc>
          <w:tcPr>
            <w:tcW w:w="5980" w:type="dxa"/>
            <w:vAlign w:val="bottom"/>
          </w:tcPr>
          <w:p>
            <w:pPr>
              <w:ind w:left="20"/>
              <w:spacing w:after="0"/>
              <w:rPr>
                <w:sz w:val="20"/>
                <w:szCs w:val="20"/>
                <w:color w:val="auto"/>
              </w:rPr>
            </w:pPr>
            <w:r>
              <w:rPr>
                <w:rFonts w:ascii="Arial" w:cs="Arial" w:eastAsia="Arial" w:hAnsi="Arial"/>
                <w:sz w:val="16"/>
                <w:szCs w:val="16"/>
                <w:color w:val="auto"/>
              </w:rPr>
              <w:t>Income tax expense (benefit)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(158.0)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26.8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(77.9)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54.6</w:t>
            </w:r>
          </w:p>
        </w:tc>
        <w:tc>
          <w:tcPr>
            <w:tcW w:w="0" w:type="dxa"/>
            <w:vAlign w:val="bottom"/>
          </w:tcPr>
          <w:p>
            <w:pPr>
              <w:spacing w:after="0"/>
              <w:rPr>
                <w:sz w:val="1"/>
                <w:szCs w:val="1"/>
                <w:color w:val="auto"/>
              </w:rPr>
            </w:pPr>
          </w:p>
        </w:tc>
      </w:tr>
      <w:tr>
        <w:trPr>
          <w:trHeight w:val="24"/>
        </w:trPr>
        <w:tc>
          <w:tcPr>
            <w:tcW w:w="5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income, net</w:t>
            </w: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(61.9)</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(39.0)</w:t>
            </w:r>
          </w:p>
        </w:tc>
        <w:tc>
          <w:tcPr>
            <w:tcW w:w="0" w:type="dxa"/>
            <w:vAlign w:val="bottom"/>
          </w:tcPr>
          <w:p>
            <w:pPr>
              <w:spacing w:after="0"/>
              <w:rPr>
                <w:sz w:val="1"/>
                <w:szCs w:val="1"/>
                <w:color w:val="auto"/>
              </w:rPr>
            </w:pPr>
          </w:p>
        </w:tc>
      </w:tr>
      <w:tr>
        <w:trPr>
          <w:trHeight w:val="209"/>
        </w:trPr>
        <w:tc>
          <w:tcPr>
            <w:tcW w:w="5980" w:type="dxa"/>
            <w:vAlign w:val="bottom"/>
          </w:tcPr>
          <w:p>
            <w:pPr>
              <w:ind w:left="20"/>
              <w:spacing w:after="0"/>
              <w:rPr>
                <w:sz w:val="20"/>
                <w:szCs w:val="20"/>
                <w:color w:val="auto"/>
              </w:rPr>
            </w:pPr>
            <w:r>
              <w:rPr>
                <w:rFonts w:ascii="Arial" w:cs="Arial" w:eastAsia="Arial" w:hAnsi="Arial"/>
                <w:sz w:val="16"/>
                <w:szCs w:val="16"/>
                <w:color w:val="auto"/>
              </w:rPr>
              <w:t>Share of results of affiliates, net</w:t>
            </w:r>
          </w:p>
        </w:tc>
        <w:tc>
          <w:tcPr>
            <w:tcW w:w="280" w:type="dxa"/>
            <w:vAlign w:val="bottom"/>
          </w:tcPr>
          <w:p>
            <w:pPr>
              <w:spacing w:after="0"/>
              <w:rPr>
                <w:sz w:val="18"/>
                <w:szCs w:val="18"/>
                <w:color w:val="auto"/>
              </w:rPr>
            </w:pPr>
          </w:p>
        </w:tc>
        <w:tc>
          <w:tcPr>
            <w:tcW w:w="960" w:type="dxa"/>
            <w:vAlign w:val="bottom"/>
          </w:tcPr>
          <w:p>
            <w:pPr>
              <w:jc w:val="right"/>
              <w:ind w:right="24"/>
              <w:spacing w:after="0"/>
              <w:rPr>
                <w:sz w:val="20"/>
                <w:szCs w:val="20"/>
                <w:color w:val="auto"/>
              </w:rPr>
            </w:pPr>
            <w:r>
              <w:rPr>
                <w:rFonts w:ascii="Arial" w:cs="Arial" w:eastAsia="Arial" w:hAnsi="Arial"/>
                <w:sz w:val="16"/>
                <w:szCs w:val="16"/>
                <w:color w:val="auto"/>
              </w:rPr>
              <w:t>105.4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69.3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24"/>
              <w:spacing w:after="0"/>
              <w:rPr>
                <w:sz w:val="20"/>
                <w:szCs w:val="20"/>
                <w:color w:val="auto"/>
              </w:rPr>
            </w:pPr>
            <w:r>
              <w:rPr>
                <w:rFonts w:ascii="Arial" w:cs="Arial" w:eastAsia="Arial" w:hAnsi="Arial"/>
                <w:sz w:val="16"/>
                <w:szCs w:val="16"/>
                <w:color w:val="auto"/>
              </w:rPr>
              <w:t>72.0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140.2</w:t>
            </w:r>
          </w:p>
        </w:tc>
        <w:tc>
          <w:tcPr>
            <w:tcW w:w="0" w:type="dxa"/>
            <w:vAlign w:val="bottom"/>
          </w:tcPr>
          <w:p>
            <w:pPr>
              <w:spacing w:after="0"/>
              <w:rPr>
                <w:sz w:val="1"/>
                <w:szCs w:val="1"/>
                <w:color w:val="auto"/>
              </w:rPr>
            </w:pPr>
          </w:p>
        </w:tc>
      </w:tr>
      <w:tr>
        <w:trPr>
          <w:trHeight w:val="24"/>
        </w:trPr>
        <w:tc>
          <w:tcPr>
            <w:tcW w:w="5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Losses on debt extinguishment, net</w:t>
            </w: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165.6</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48.3</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220.1</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48.8</w:t>
            </w:r>
          </w:p>
        </w:tc>
        <w:tc>
          <w:tcPr>
            <w:tcW w:w="0" w:type="dxa"/>
            <w:vAlign w:val="bottom"/>
          </w:tcPr>
          <w:p>
            <w:pPr>
              <w:spacing w:after="0"/>
              <w:rPr>
                <w:sz w:val="1"/>
                <w:szCs w:val="1"/>
                <w:color w:val="auto"/>
              </w:rPr>
            </w:pPr>
          </w:p>
        </w:tc>
      </w:tr>
      <w:tr>
        <w:trPr>
          <w:trHeight w:val="199"/>
        </w:trPr>
        <w:tc>
          <w:tcPr>
            <w:tcW w:w="5980" w:type="dxa"/>
            <w:vAlign w:val="bottom"/>
          </w:tcPr>
          <w:p>
            <w:pPr>
              <w:ind w:left="20"/>
              <w:spacing w:after="0"/>
              <w:rPr>
                <w:sz w:val="20"/>
                <w:szCs w:val="20"/>
                <w:color w:val="auto"/>
              </w:rPr>
            </w:pPr>
            <w:r>
              <w:rPr>
                <w:rFonts w:ascii="Arial" w:cs="Arial" w:eastAsia="Arial" w:hAnsi="Arial"/>
                <w:sz w:val="16"/>
                <w:szCs w:val="16"/>
                <w:color w:val="auto"/>
                <w:w w:val="88"/>
              </w:rPr>
              <w:t>Realized and unrealized losses (gains) due to changes in fair values of certain investments and</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80" w:type="dxa"/>
            <w:vAlign w:val="bottom"/>
          </w:tcPr>
          <w:p>
            <w:pPr>
              <w:ind w:left="160"/>
              <w:spacing w:after="0"/>
              <w:rPr>
                <w:sz w:val="20"/>
                <w:szCs w:val="20"/>
                <w:color w:val="auto"/>
              </w:rPr>
            </w:pPr>
            <w:r>
              <w:rPr>
                <w:rFonts w:ascii="Arial" w:cs="Arial" w:eastAsia="Arial" w:hAnsi="Arial"/>
                <w:sz w:val="16"/>
                <w:szCs w:val="16"/>
                <w:color w:val="auto"/>
              </w:rPr>
              <w:t>debt, net</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(152.3)</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138.7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jc w:val="right"/>
              <w:ind w:right="24"/>
              <w:spacing w:after="0"/>
              <w:rPr>
                <w:sz w:val="20"/>
                <w:szCs w:val="20"/>
                <w:color w:val="auto"/>
              </w:rPr>
            </w:pPr>
            <w:r>
              <w:rPr>
                <w:rFonts w:ascii="Arial" w:cs="Arial" w:eastAsia="Arial" w:hAnsi="Arial"/>
                <w:sz w:val="16"/>
                <w:szCs w:val="16"/>
                <w:color w:val="auto"/>
              </w:rPr>
              <w:t>377.5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146.9</w:t>
            </w:r>
          </w:p>
        </w:tc>
        <w:tc>
          <w:tcPr>
            <w:tcW w:w="0" w:type="dxa"/>
            <w:vAlign w:val="bottom"/>
          </w:tcPr>
          <w:p>
            <w:pPr>
              <w:spacing w:after="0"/>
              <w:rPr>
                <w:sz w:val="1"/>
                <w:szCs w:val="1"/>
                <w:color w:val="auto"/>
              </w:rPr>
            </w:pPr>
          </w:p>
        </w:tc>
      </w:tr>
      <w:tr>
        <w:trPr>
          <w:trHeight w:val="24"/>
        </w:trPr>
        <w:tc>
          <w:tcPr>
            <w:tcW w:w="5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Foreign currency transactions losses (gains), net</w:t>
            </w: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478.0</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27.0</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86.3</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(111.6)</w:t>
            </w:r>
          </w:p>
        </w:tc>
        <w:tc>
          <w:tcPr>
            <w:tcW w:w="0" w:type="dxa"/>
            <w:vAlign w:val="bottom"/>
          </w:tcPr>
          <w:p>
            <w:pPr>
              <w:spacing w:after="0"/>
              <w:rPr>
                <w:sz w:val="1"/>
                <w:szCs w:val="1"/>
                <w:color w:val="auto"/>
              </w:rPr>
            </w:pPr>
          </w:p>
        </w:tc>
      </w:tr>
      <w:tr>
        <w:trPr>
          <w:trHeight w:val="209"/>
        </w:trPr>
        <w:tc>
          <w:tcPr>
            <w:tcW w:w="5980" w:type="dxa"/>
            <w:vAlign w:val="bottom"/>
          </w:tcPr>
          <w:p>
            <w:pPr>
              <w:ind w:left="20"/>
              <w:spacing w:after="0"/>
              <w:rPr>
                <w:sz w:val="20"/>
                <w:szCs w:val="20"/>
                <w:color w:val="auto"/>
              </w:rPr>
            </w:pPr>
            <w:r>
              <w:rPr>
                <w:rFonts w:ascii="Arial" w:cs="Arial" w:eastAsia="Arial" w:hAnsi="Arial"/>
                <w:sz w:val="16"/>
                <w:szCs w:val="16"/>
                <w:color w:val="auto"/>
              </w:rPr>
              <w:t>Realized and unrealized losses (gains) on derivative instruments, net</w:t>
            </w:r>
          </w:p>
        </w:tc>
        <w:tc>
          <w:tcPr>
            <w:tcW w:w="280" w:type="dxa"/>
            <w:vAlign w:val="bottom"/>
          </w:tcPr>
          <w:p>
            <w:pPr>
              <w:spacing w:after="0"/>
              <w:rPr>
                <w:sz w:val="18"/>
                <w:szCs w:val="18"/>
                <w:color w:val="auto"/>
              </w:rPr>
            </w:pPr>
          </w:p>
        </w:tc>
        <w:tc>
          <w:tcPr>
            <w:tcW w:w="960" w:type="dxa"/>
            <w:vAlign w:val="bottom"/>
          </w:tcPr>
          <w:p>
            <w:pPr>
              <w:jc w:val="right"/>
              <w:ind w:right="24"/>
              <w:spacing w:after="0"/>
              <w:rPr>
                <w:sz w:val="20"/>
                <w:szCs w:val="20"/>
                <w:color w:val="auto"/>
              </w:rPr>
            </w:pPr>
            <w:r>
              <w:rPr>
                <w:rFonts w:ascii="Arial" w:cs="Arial" w:eastAsia="Arial" w:hAnsi="Arial"/>
                <w:sz w:val="16"/>
                <w:szCs w:val="16"/>
                <w:color w:val="auto"/>
              </w:rPr>
              <w:t>319.7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(152.9)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(917.6)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(70.1)</w:t>
            </w:r>
          </w:p>
        </w:tc>
        <w:tc>
          <w:tcPr>
            <w:tcW w:w="0" w:type="dxa"/>
            <w:vAlign w:val="bottom"/>
          </w:tcPr>
          <w:p>
            <w:pPr>
              <w:spacing w:after="0"/>
              <w:rPr>
                <w:sz w:val="1"/>
                <w:szCs w:val="1"/>
                <w:color w:val="auto"/>
              </w:rPr>
            </w:pPr>
          </w:p>
        </w:tc>
      </w:tr>
      <w:tr>
        <w:trPr>
          <w:trHeight w:val="24"/>
        </w:trPr>
        <w:tc>
          <w:tcPr>
            <w:tcW w:w="5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281.7</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363.6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595.0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730.9</w:t>
            </w:r>
          </w:p>
        </w:tc>
        <w:tc>
          <w:tcPr>
            <w:tcW w:w="0" w:type="dxa"/>
            <w:vAlign w:val="bottom"/>
          </w:tcPr>
          <w:p>
            <w:pPr>
              <w:spacing w:after="0"/>
              <w:rPr>
                <w:sz w:val="1"/>
                <w:szCs w:val="1"/>
                <w:color w:val="auto"/>
              </w:rPr>
            </w:pPr>
          </w:p>
        </w:tc>
      </w:tr>
      <w:tr>
        <w:trPr>
          <w:trHeight w:val="201"/>
        </w:trPr>
        <w:tc>
          <w:tcPr>
            <w:tcW w:w="5980" w:type="dxa"/>
            <w:vAlign w:val="bottom"/>
          </w:tcPr>
          <w:p>
            <w:pPr>
              <w:ind w:left="140"/>
              <w:spacing w:after="0"/>
              <w:rPr>
                <w:sz w:val="20"/>
                <w:szCs w:val="20"/>
                <w:color w:val="auto"/>
              </w:rPr>
            </w:pPr>
            <w:r>
              <w:rPr>
                <w:rFonts w:ascii="Arial" w:cs="Arial" w:eastAsia="Arial" w:hAnsi="Arial"/>
                <w:sz w:val="16"/>
                <w:szCs w:val="16"/>
                <w:color w:val="auto"/>
              </w:rPr>
              <w:t>Operating income</w:t>
            </w: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24"/>
              <w:spacing w:after="0"/>
              <w:rPr>
                <w:sz w:val="20"/>
                <w:szCs w:val="20"/>
                <w:color w:val="auto"/>
              </w:rPr>
            </w:pPr>
            <w:r>
              <w:rPr>
                <w:rFonts w:ascii="Arial" w:cs="Arial" w:eastAsia="Arial" w:hAnsi="Arial"/>
                <w:sz w:val="16"/>
                <w:szCs w:val="16"/>
                <w:color w:val="auto"/>
              </w:rPr>
              <w:t>526.8</w:t>
            </w: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148.7</w:t>
            </w: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24"/>
              <w:spacing w:after="0"/>
              <w:rPr>
                <w:sz w:val="20"/>
                <w:szCs w:val="20"/>
                <w:color w:val="auto"/>
              </w:rPr>
            </w:pPr>
            <w:r>
              <w:rPr>
                <w:rFonts w:ascii="Arial" w:cs="Arial" w:eastAsia="Arial" w:hAnsi="Arial"/>
                <w:sz w:val="16"/>
                <w:szCs w:val="16"/>
                <w:color w:val="auto"/>
              </w:rPr>
              <w:t>807.4</w:t>
            </w: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254.2</w:t>
            </w:r>
          </w:p>
        </w:tc>
        <w:tc>
          <w:tcPr>
            <w:tcW w:w="0" w:type="dxa"/>
            <w:vAlign w:val="bottom"/>
          </w:tcPr>
          <w:p>
            <w:pPr>
              <w:spacing w:after="0"/>
              <w:rPr>
                <w:sz w:val="1"/>
                <w:szCs w:val="1"/>
                <w:color w:val="auto"/>
              </w:rPr>
            </w:pPr>
          </w:p>
        </w:tc>
      </w:tr>
      <w:tr>
        <w:trPr>
          <w:trHeight w:val="24"/>
        </w:trPr>
        <w:tc>
          <w:tcPr>
            <w:tcW w:w="5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Impairment, restructuring and other operating items, net</w:t>
            </w: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32.2</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33.2</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63.2</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104.1</w:t>
            </w:r>
          </w:p>
        </w:tc>
        <w:tc>
          <w:tcPr>
            <w:tcW w:w="0" w:type="dxa"/>
            <w:vAlign w:val="bottom"/>
          </w:tcPr>
          <w:p>
            <w:pPr>
              <w:spacing w:after="0"/>
              <w:rPr>
                <w:sz w:val="1"/>
                <w:szCs w:val="1"/>
                <w:color w:val="auto"/>
              </w:rPr>
            </w:pPr>
          </w:p>
        </w:tc>
      </w:tr>
      <w:tr>
        <w:trPr>
          <w:trHeight w:val="209"/>
        </w:trPr>
        <w:tc>
          <w:tcPr>
            <w:tcW w:w="598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18"/>
                <w:szCs w:val="18"/>
                <w:color w:val="auto"/>
              </w:rPr>
            </w:pPr>
          </w:p>
        </w:tc>
        <w:tc>
          <w:tcPr>
            <w:tcW w:w="960" w:type="dxa"/>
            <w:vAlign w:val="bottom"/>
          </w:tcPr>
          <w:p>
            <w:pPr>
              <w:jc w:val="right"/>
              <w:ind w:right="24"/>
              <w:spacing w:after="0"/>
              <w:rPr>
                <w:sz w:val="20"/>
                <w:szCs w:val="20"/>
                <w:color w:val="auto"/>
              </w:rPr>
            </w:pPr>
            <w:r>
              <w:rPr>
                <w:rFonts w:ascii="Arial" w:cs="Arial" w:eastAsia="Arial" w:hAnsi="Arial"/>
                <w:sz w:val="16"/>
                <w:szCs w:val="16"/>
                <w:color w:val="auto"/>
              </w:rPr>
              <w:t>545.7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921.8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24"/>
              <w:spacing w:after="0"/>
              <w:rPr>
                <w:sz w:val="20"/>
                <w:szCs w:val="20"/>
                <w:color w:val="auto"/>
              </w:rPr>
            </w:pPr>
            <w:r>
              <w:rPr>
                <w:rFonts w:ascii="Arial" w:cs="Arial" w:eastAsia="Arial" w:hAnsi="Arial"/>
                <w:sz w:val="16"/>
                <w:szCs w:val="16"/>
                <w:color w:val="auto"/>
              </w:rPr>
              <w:t>1,329.2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1,861.4</w:t>
            </w:r>
          </w:p>
        </w:tc>
        <w:tc>
          <w:tcPr>
            <w:tcW w:w="0" w:type="dxa"/>
            <w:vAlign w:val="bottom"/>
          </w:tcPr>
          <w:p>
            <w:pPr>
              <w:spacing w:after="0"/>
              <w:rPr>
                <w:sz w:val="1"/>
                <w:szCs w:val="1"/>
                <w:color w:val="auto"/>
              </w:rPr>
            </w:pPr>
          </w:p>
        </w:tc>
      </w:tr>
      <w:tr>
        <w:trPr>
          <w:trHeight w:val="24"/>
        </w:trPr>
        <w:tc>
          <w:tcPr>
            <w:tcW w:w="5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Share-based compensation expense</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83.8</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87.0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139.0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154.3</w:t>
            </w:r>
          </w:p>
        </w:tc>
        <w:tc>
          <w:tcPr>
            <w:tcW w:w="0" w:type="dxa"/>
            <w:vAlign w:val="bottom"/>
          </w:tcPr>
          <w:p>
            <w:pPr>
              <w:spacing w:after="0"/>
              <w:rPr>
                <w:sz w:val="1"/>
                <w:szCs w:val="1"/>
                <w:color w:val="auto"/>
              </w:rPr>
            </w:pPr>
          </w:p>
        </w:tc>
      </w:tr>
      <w:tr>
        <w:trPr>
          <w:trHeight w:val="201"/>
        </w:trPr>
        <w:tc>
          <w:tcPr>
            <w:tcW w:w="5980" w:type="dxa"/>
            <w:vAlign w:val="bottom"/>
          </w:tcPr>
          <w:p>
            <w:pPr>
              <w:ind w:left="140"/>
              <w:spacing w:after="0"/>
              <w:rPr>
                <w:sz w:val="20"/>
                <w:szCs w:val="20"/>
                <w:color w:val="auto"/>
              </w:rPr>
            </w:pPr>
            <w:r>
              <w:rPr>
                <w:rFonts w:ascii="Arial" w:cs="Arial" w:eastAsia="Arial" w:hAnsi="Arial"/>
                <w:sz w:val="16"/>
                <w:szCs w:val="16"/>
                <w:color w:val="auto"/>
              </w:rPr>
              <w:t>Adjusted EBITDA</w:t>
            </w:r>
          </w:p>
        </w:tc>
        <w:tc>
          <w:tcPr>
            <w:tcW w:w="280" w:type="dxa"/>
            <w:vAlign w:val="bottom"/>
            <w:tcBorders>
              <w:top w:val="single" w:sz="8" w:color="auto"/>
            </w:tcBorders>
          </w:tcPr>
          <w:p>
            <w:pPr>
              <w:jc w:val="right"/>
              <w:ind w:right="102"/>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24"/>
              <w:spacing w:after="0"/>
              <w:rPr>
                <w:sz w:val="20"/>
                <w:szCs w:val="20"/>
                <w:color w:val="auto"/>
              </w:rPr>
            </w:pPr>
            <w:r>
              <w:rPr>
                <w:rFonts w:ascii="Arial" w:cs="Arial" w:eastAsia="Arial" w:hAnsi="Arial"/>
                <w:sz w:val="16"/>
                <w:szCs w:val="16"/>
                <w:color w:val="auto"/>
              </w:rPr>
              <w:t>1,188.5</w:t>
            </w:r>
          </w:p>
        </w:tc>
        <w:tc>
          <w:tcPr>
            <w:tcW w:w="120" w:type="dxa"/>
            <w:vAlign w:val="bottom"/>
          </w:tcPr>
          <w:p>
            <w:pPr>
              <w:spacing w:after="0"/>
              <w:rPr>
                <w:sz w:val="17"/>
                <w:szCs w:val="17"/>
                <w:color w:val="auto"/>
              </w:rPr>
            </w:pPr>
          </w:p>
        </w:tc>
        <w:tc>
          <w:tcPr>
            <w:tcW w:w="360" w:type="dxa"/>
            <w:vAlign w:val="bottom"/>
            <w:tcBorders>
              <w:top w:val="single" w:sz="8" w:color="auto"/>
            </w:tcBorders>
          </w:tcPr>
          <w:p>
            <w:pPr>
              <w:jc w:val="right"/>
              <w:ind w:right="182"/>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1,190.7</w:t>
            </w:r>
          </w:p>
        </w:tc>
        <w:tc>
          <w:tcPr>
            <w:tcW w:w="100" w:type="dxa"/>
            <w:vAlign w:val="bottom"/>
          </w:tcPr>
          <w:p>
            <w:pPr>
              <w:spacing w:after="0"/>
              <w:rPr>
                <w:sz w:val="17"/>
                <w:szCs w:val="17"/>
                <w:color w:val="auto"/>
              </w:rPr>
            </w:pPr>
          </w:p>
        </w:tc>
        <w:tc>
          <w:tcPr>
            <w:tcW w:w="360" w:type="dxa"/>
            <w:vAlign w:val="bottom"/>
            <w:tcBorders>
              <w:top w:val="single" w:sz="8" w:color="auto"/>
            </w:tcBorders>
          </w:tcPr>
          <w:p>
            <w:pPr>
              <w:jc w:val="right"/>
              <w:ind w:right="182"/>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24"/>
              <w:spacing w:after="0"/>
              <w:rPr>
                <w:sz w:val="20"/>
                <w:szCs w:val="20"/>
                <w:color w:val="auto"/>
              </w:rPr>
            </w:pPr>
            <w:r>
              <w:rPr>
                <w:rFonts w:ascii="Arial" w:cs="Arial" w:eastAsia="Arial" w:hAnsi="Arial"/>
                <w:sz w:val="16"/>
                <w:szCs w:val="16"/>
                <w:color w:val="auto"/>
              </w:rPr>
              <w:t>2,338.8</w:t>
            </w:r>
          </w:p>
        </w:tc>
        <w:tc>
          <w:tcPr>
            <w:tcW w:w="120" w:type="dxa"/>
            <w:vAlign w:val="bottom"/>
          </w:tcPr>
          <w:p>
            <w:pPr>
              <w:spacing w:after="0"/>
              <w:rPr>
                <w:sz w:val="17"/>
                <w:szCs w:val="17"/>
                <w:color w:val="auto"/>
              </w:rPr>
            </w:pPr>
          </w:p>
        </w:tc>
        <w:tc>
          <w:tcPr>
            <w:tcW w:w="340" w:type="dxa"/>
            <w:vAlign w:val="bottom"/>
            <w:tcBorders>
              <w:top w:val="single" w:sz="8" w:color="auto"/>
            </w:tcBorders>
          </w:tcPr>
          <w:p>
            <w:pPr>
              <w:jc w:val="right"/>
              <w:ind w:right="162"/>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2,374.0</w:t>
            </w:r>
          </w:p>
        </w:tc>
        <w:tc>
          <w:tcPr>
            <w:tcW w:w="0" w:type="dxa"/>
            <w:vAlign w:val="bottom"/>
          </w:tcPr>
          <w:p>
            <w:pPr>
              <w:spacing w:after="0"/>
              <w:rPr>
                <w:sz w:val="1"/>
                <w:szCs w:val="1"/>
                <w:color w:val="auto"/>
              </w:rPr>
            </w:pPr>
          </w:p>
        </w:tc>
      </w:tr>
      <w:tr>
        <w:trPr>
          <w:trHeight w:val="24"/>
        </w:trPr>
        <w:tc>
          <w:tcPr>
            <w:tcW w:w="5980" w:type="dxa"/>
            <w:vAlign w:val="bottom"/>
            <w:vMerge w:val="restart"/>
          </w:tcPr>
          <w:p>
            <w:pPr>
              <w:ind w:left="5540"/>
              <w:spacing w:after="0"/>
              <w:rPr>
                <w:sz w:val="20"/>
                <w:szCs w:val="20"/>
                <w:color w:val="auto"/>
              </w:rPr>
            </w:pPr>
            <w:r>
              <w:rPr>
                <w:rFonts w:ascii="Arial" w:cs="Arial" w:eastAsia="Arial" w:hAnsi="Arial"/>
                <w:sz w:val="16"/>
                <w:szCs w:val="16"/>
                <w:color w:val="auto"/>
              </w:rPr>
              <w:t>45</w:t>
            </w: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98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9"/>
        </w:trPr>
        <w:tc>
          <w:tcPr>
            <w:tcW w:w="59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263" w:right="319" w:bottom="1440" w:gutter="0" w:footer="0" w:header="0"/>
        </w:sectPr>
      </w:pPr>
    </w:p>
    <w:bookmarkStart w:id="47" w:name="page48"/>
    <w:bookmarkEnd w:id="47"/>
    <w:p>
      <w:pPr>
        <w:jc w:val="center"/>
        <w:ind w:right="-6"/>
        <w:spacing w:after="0"/>
        <w:rPr>
          <w:sz w:val="20"/>
          <w:szCs w:val="20"/>
          <w:color w:val="auto"/>
        </w:rPr>
      </w:pPr>
      <w:r>
        <w:rPr>
          <w:rFonts w:ascii="Arial" w:cs="Arial" w:eastAsia="Arial" w:hAnsi="Arial"/>
          <w:sz w:val="16"/>
          <w:szCs w:val="16"/>
          <w:b w:val="1"/>
          <w:bCs w:val="1"/>
          <w:color w:val="auto"/>
        </w:rPr>
        <w:t>LIBERTY GLOBAL PLC</w:t>
      </w:r>
    </w:p>
    <w:p>
      <w:pPr>
        <w:spacing w:after="0" w:line="18"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Notes to Condensed Consolidated Financial Statements — (Continued)</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June 30, 2020</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ind w:left="147"/>
        <w:spacing w:after="0"/>
        <w:rPr>
          <w:sz w:val="20"/>
          <w:szCs w:val="20"/>
          <w:color w:val="auto"/>
        </w:rPr>
      </w:pPr>
      <w:r>
        <w:rPr>
          <w:rFonts w:ascii="Arial" w:cs="Arial" w:eastAsia="Arial" w:hAnsi="Arial"/>
          <w:sz w:val="16"/>
          <w:szCs w:val="16"/>
          <w:b w:val="1"/>
          <w:bCs w:val="1"/>
          <w:i w:val="1"/>
          <w:iCs w:val="1"/>
          <w:color w:val="auto"/>
        </w:rPr>
        <w:t>Property and Equipment Additions of our Reportable Segments</w:t>
      </w:r>
    </w:p>
    <w:p>
      <w:pPr>
        <w:spacing w:after="0" w:line="188" w:lineRule="exact"/>
        <w:rPr>
          <w:sz w:val="20"/>
          <w:szCs w:val="20"/>
          <w:color w:val="auto"/>
        </w:rPr>
      </w:pPr>
    </w:p>
    <w:p>
      <w:pPr>
        <w:jc w:val="both"/>
        <w:ind w:left="7" w:firstLine="279"/>
        <w:spacing w:after="0" w:line="250" w:lineRule="auto"/>
        <w:rPr>
          <w:sz w:val="20"/>
          <w:szCs w:val="20"/>
          <w:color w:val="auto"/>
        </w:rPr>
      </w:pPr>
      <w:r>
        <w:rPr>
          <w:rFonts w:ascii="Arial" w:cs="Arial" w:eastAsia="Arial" w:hAnsi="Arial"/>
          <w:sz w:val="16"/>
          <w:szCs w:val="16"/>
          <w:color w:val="auto"/>
        </w:rPr>
        <w:t>The property and equipment additions of our reportable segments (including capital additions financed under vendor financing or finance lease arrangements) are presented below and reconciled to the capital expenditure amounts included in our condensed consolidated statements of cash flows. For additional information concerning capital additions financed under vendor financing and finance lease arrangements, see notes 8 and 10.</w:t>
      </w:r>
    </w:p>
    <w:p>
      <w:pPr>
        <w:spacing w:after="0" w:line="121"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Six months ended</w:t>
      </w:r>
    </w:p>
    <w:p>
      <w:pPr>
        <w:spacing w:after="0" w:line="21"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5511165</wp:posOffset>
            </wp:positionH>
            <wp:positionV relativeFrom="paragraph">
              <wp:posOffset>26035</wp:posOffset>
            </wp:positionV>
            <wp:extent cx="164020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40205" cy="7620"/>
                    </a:xfrm>
                    <a:prstGeom prst="rect">
                      <a:avLst/>
                    </a:prstGeom>
                    <a:noFill/>
                  </pic:spPr>
                </pic:pic>
              </a:graphicData>
            </a:graphic>
          </wp:anchor>
        </w:drawing>
      </w:r>
    </w:p>
    <w:p>
      <w:pPr>
        <w:spacing w:after="0" w:line="55" w:lineRule="exact"/>
        <w:rPr>
          <w:sz w:val="20"/>
          <w:szCs w:val="20"/>
          <w:color w:val="auto"/>
        </w:rPr>
      </w:pPr>
    </w:p>
    <w:tbl>
      <w:tblPr>
        <w:tblLayout w:type="fixed"/>
        <w:tblInd w:w="7" w:type="dxa"/>
        <w:tblCellMar>
          <w:top w:w="0" w:type="dxa"/>
          <w:left w:w="0" w:type="dxa"/>
          <w:bottom w:w="0" w:type="dxa"/>
          <w:right w:w="0" w:type="dxa"/>
        </w:tblCellMar>
      </w:tblPr>
      <w:tr>
        <w:trPr>
          <w:trHeight w:val="182"/>
        </w:trPr>
        <w:tc>
          <w:tcPr>
            <w:tcW w:w="8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40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jc w:val="right"/>
              <w:ind w:right="40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8"/>
        </w:trPr>
        <w:tc>
          <w:tcPr>
            <w:tcW w:w="86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8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3"/>
          </w:tcPr>
          <w:p>
            <w:pPr>
              <w:jc w:val="right"/>
              <w:ind w:right="42"/>
              <w:spacing w:after="0"/>
              <w:rPr>
                <w:sz w:val="20"/>
                <w:szCs w:val="20"/>
                <w:color w:val="auto"/>
              </w:rPr>
            </w:pPr>
            <w:r>
              <w:rPr>
                <w:rFonts w:ascii="Arial" w:cs="Arial" w:eastAsia="Arial" w:hAnsi="Arial"/>
                <w:sz w:val="14"/>
                <w:szCs w:val="14"/>
                <w:b w:val="1"/>
                <w:bCs w:val="1"/>
                <w:color w:val="auto"/>
              </w:rPr>
              <w:t>in millions</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8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U.K./Ireland</w:t>
            </w:r>
          </w:p>
        </w:tc>
        <w:tc>
          <w:tcPr>
            <w:tcW w:w="28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669.4</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766.7</w:t>
            </w:r>
          </w:p>
        </w:tc>
        <w:tc>
          <w:tcPr>
            <w:tcW w:w="0" w:type="dxa"/>
            <w:vAlign w:val="bottom"/>
          </w:tcPr>
          <w:p>
            <w:pPr>
              <w:spacing w:after="0"/>
              <w:rPr>
                <w:sz w:val="1"/>
                <w:szCs w:val="1"/>
                <w:color w:val="auto"/>
              </w:rPr>
            </w:pPr>
          </w:p>
        </w:tc>
      </w:tr>
      <w:tr>
        <w:trPr>
          <w:trHeight w:val="209"/>
        </w:trPr>
        <w:tc>
          <w:tcPr>
            <w:tcW w:w="8680" w:type="dxa"/>
            <w:vAlign w:val="bottom"/>
          </w:tcPr>
          <w:p>
            <w:pPr>
              <w:ind w:left="20"/>
              <w:spacing w:after="0"/>
              <w:rPr>
                <w:sz w:val="20"/>
                <w:szCs w:val="20"/>
                <w:color w:val="auto"/>
              </w:rPr>
            </w:pPr>
            <w:r>
              <w:rPr>
                <w:rFonts w:ascii="Arial" w:cs="Arial" w:eastAsia="Arial" w:hAnsi="Arial"/>
                <w:sz w:val="16"/>
                <w:szCs w:val="16"/>
                <w:color w:val="auto"/>
              </w:rPr>
              <w:t>Belgium</w:t>
            </w:r>
          </w:p>
        </w:tc>
        <w:tc>
          <w:tcPr>
            <w:tcW w:w="280" w:type="dxa"/>
            <w:vAlign w:val="bottom"/>
          </w:tcPr>
          <w:p>
            <w:pPr>
              <w:spacing w:after="0"/>
              <w:rPr>
                <w:sz w:val="18"/>
                <w:szCs w:val="18"/>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251.9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275.1</w:t>
            </w:r>
          </w:p>
        </w:tc>
        <w:tc>
          <w:tcPr>
            <w:tcW w:w="0" w:type="dxa"/>
            <w:vAlign w:val="bottom"/>
          </w:tcPr>
          <w:p>
            <w:pPr>
              <w:spacing w:after="0"/>
              <w:rPr>
                <w:sz w:val="1"/>
                <w:szCs w:val="1"/>
                <w:color w:val="auto"/>
              </w:rPr>
            </w:pPr>
          </w:p>
        </w:tc>
      </w:tr>
      <w:tr>
        <w:trPr>
          <w:trHeight w:val="24"/>
        </w:trPr>
        <w:tc>
          <w:tcPr>
            <w:tcW w:w="8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8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Switzerland</w:t>
            </w: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123.8</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135.9</w:t>
            </w:r>
          </w:p>
        </w:tc>
        <w:tc>
          <w:tcPr>
            <w:tcW w:w="0" w:type="dxa"/>
            <w:vAlign w:val="bottom"/>
          </w:tcPr>
          <w:p>
            <w:pPr>
              <w:spacing w:after="0"/>
              <w:rPr>
                <w:sz w:val="1"/>
                <w:szCs w:val="1"/>
                <w:color w:val="auto"/>
              </w:rPr>
            </w:pPr>
          </w:p>
        </w:tc>
      </w:tr>
      <w:tr>
        <w:trPr>
          <w:trHeight w:val="209"/>
        </w:trPr>
        <w:tc>
          <w:tcPr>
            <w:tcW w:w="8680" w:type="dxa"/>
            <w:vAlign w:val="bottom"/>
          </w:tcPr>
          <w:p>
            <w:pPr>
              <w:ind w:left="20"/>
              <w:spacing w:after="0"/>
              <w:rPr>
                <w:sz w:val="20"/>
                <w:szCs w:val="20"/>
                <w:color w:val="auto"/>
              </w:rPr>
            </w:pPr>
            <w:r>
              <w:rPr>
                <w:rFonts w:ascii="Arial" w:cs="Arial" w:eastAsia="Arial" w:hAnsi="Arial"/>
                <w:sz w:val="16"/>
                <w:szCs w:val="16"/>
                <w:color w:val="auto"/>
              </w:rPr>
              <w:t>Central and Eastern Europe</w:t>
            </w:r>
          </w:p>
        </w:tc>
        <w:tc>
          <w:tcPr>
            <w:tcW w:w="280" w:type="dxa"/>
            <w:vAlign w:val="bottom"/>
          </w:tcPr>
          <w:p>
            <w:pPr>
              <w:spacing w:after="0"/>
              <w:rPr>
                <w:sz w:val="18"/>
                <w:szCs w:val="18"/>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39.8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41.4</w:t>
            </w:r>
          </w:p>
        </w:tc>
        <w:tc>
          <w:tcPr>
            <w:tcW w:w="0" w:type="dxa"/>
            <w:vAlign w:val="bottom"/>
          </w:tcPr>
          <w:p>
            <w:pPr>
              <w:spacing w:after="0"/>
              <w:rPr>
                <w:sz w:val="1"/>
                <w:szCs w:val="1"/>
                <w:color w:val="auto"/>
              </w:rPr>
            </w:pPr>
          </w:p>
        </w:tc>
      </w:tr>
      <w:tr>
        <w:trPr>
          <w:trHeight w:val="24"/>
        </w:trPr>
        <w:tc>
          <w:tcPr>
            <w:tcW w:w="8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8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Central and Corporate (a)</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157.5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162.2</w:t>
            </w:r>
          </w:p>
        </w:tc>
        <w:tc>
          <w:tcPr>
            <w:tcW w:w="0" w:type="dxa"/>
            <w:vAlign w:val="bottom"/>
          </w:tcPr>
          <w:p>
            <w:pPr>
              <w:spacing w:after="0"/>
              <w:rPr>
                <w:sz w:val="1"/>
                <w:szCs w:val="1"/>
                <w:color w:val="auto"/>
              </w:rPr>
            </w:pPr>
          </w:p>
        </w:tc>
      </w:tr>
      <w:tr>
        <w:trPr>
          <w:trHeight w:val="201"/>
        </w:trPr>
        <w:tc>
          <w:tcPr>
            <w:tcW w:w="8680" w:type="dxa"/>
            <w:vAlign w:val="bottom"/>
          </w:tcPr>
          <w:p>
            <w:pPr>
              <w:ind w:left="140"/>
              <w:spacing w:after="0"/>
              <w:rPr>
                <w:sz w:val="20"/>
                <w:szCs w:val="20"/>
                <w:color w:val="auto"/>
              </w:rPr>
            </w:pPr>
            <w:r>
              <w:rPr>
                <w:rFonts w:ascii="Arial" w:cs="Arial" w:eastAsia="Arial" w:hAnsi="Arial"/>
                <w:sz w:val="16"/>
                <w:szCs w:val="16"/>
                <w:color w:val="auto"/>
              </w:rPr>
              <w:t>Total property and equipment additions</w:t>
            </w: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1,242.4</w:t>
            </w: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1,381.3</w:t>
            </w:r>
          </w:p>
        </w:tc>
        <w:tc>
          <w:tcPr>
            <w:tcW w:w="0" w:type="dxa"/>
            <w:vAlign w:val="bottom"/>
          </w:tcPr>
          <w:p>
            <w:pPr>
              <w:spacing w:after="0"/>
              <w:rPr>
                <w:sz w:val="1"/>
                <w:szCs w:val="1"/>
                <w:color w:val="auto"/>
              </w:rPr>
            </w:pPr>
          </w:p>
        </w:tc>
      </w:tr>
      <w:tr>
        <w:trPr>
          <w:trHeight w:val="24"/>
        </w:trPr>
        <w:tc>
          <w:tcPr>
            <w:tcW w:w="8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8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 acquired under capital-related vendor financing arrangements</w:t>
            </w: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(702.9)</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(926.3)</w:t>
            </w:r>
          </w:p>
        </w:tc>
        <w:tc>
          <w:tcPr>
            <w:tcW w:w="0" w:type="dxa"/>
            <w:vAlign w:val="bottom"/>
          </w:tcPr>
          <w:p>
            <w:pPr>
              <w:spacing w:after="0"/>
              <w:rPr>
                <w:sz w:val="1"/>
                <w:szCs w:val="1"/>
                <w:color w:val="auto"/>
              </w:rPr>
            </w:pPr>
          </w:p>
        </w:tc>
      </w:tr>
      <w:tr>
        <w:trPr>
          <w:trHeight w:val="209"/>
        </w:trPr>
        <w:tc>
          <w:tcPr>
            <w:tcW w:w="8680" w:type="dxa"/>
            <w:vAlign w:val="bottom"/>
          </w:tcPr>
          <w:p>
            <w:pPr>
              <w:ind w:left="20"/>
              <w:spacing w:after="0"/>
              <w:rPr>
                <w:sz w:val="20"/>
                <w:szCs w:val="20"/>
                <w:color w:val="auto"/>
              </w:rPr>
            </w:pPr>
            <w:r>
              <w:rPr>
                <w:rFonts w:ascii="Arial" w:cs="Arial" w:eastAsia="Arial" w:hAnsi="Arial"/>
                <w:sz w:val="16"/>
                <w:szCs w:val="16"/>
                <w:color w:val="auto"/>
              </w:rPr>
              <w:t>Assets acquired under finance leases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r>
        <w:trPr>
          <w:trHeight w:val="24"/>
        </w:trPr>
        <w:tc>
          <w:tcPr>
            <w:tcW w:w="8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8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Changes in current liabilities related to capital expenditures</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127.3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210.5</w:t>
            </w:r>
          </w:p>
        </w:tc>
        <w:tc>
          <w:tcPr>
            <w:tcW w:w="0" w:type="dxa"/>
            <w:vAlign w:val="bottom"/>
          </w:tcPr>
          <w:p>
            <w:pPr>
              <w:spacing w:after="0"/>
              <w:rPr>
                <w:sz w:val="1"/>
                <w:szCs w:val="1"/>
                <w:color w:val="auto"/>
              </w:rPr>
            </w:pPr>
          </w:p>
        </w:tc>
      </w:tr>
      <w:tr>
        <w:trPr>
          <w:trHeight w:val="201"/>
        </w:trPr>
        <w:tc>
          <w:tcPr>
            <w:tcW w:w="8680" w:type="dxa"/>
            <w:vAlign w:val="bottom"/>
          </w:tcPr>
          <w:p>
            <w:pPr>
              <w:ind w:left="220"/>
              <w:spacing w:after="0"/>
              <w:rPr>
                <w:sz w:val="20"/>
                <w:szCs w:val="20"/>
                <w:color w:val="auto"/>
              </w:rPr>
            </w:pPr>
            <w:r>
              <w:rPr>
                <w:rFonts w:ascii="Arial" w:cs="Arial" w:eastAsia="Arial" w:hAnsi="Arial"/>
                <w:sz w:val="16"/>
                <w:szCs w:val="16"/>
                <w:color w:val="auto"/>
              </w:rPr>
              <w:t>Total capital expenditures, net</w:t>
            </w:r>
          </w:p>
        </w:tc>
        <w:tc>
          <w:tcPr>
            <w:tcW w:w="280" w:type="dxa"/>
            <w:vAlign w:val="bottom"/>
            <w:tcBorders>
              <w:top w:val="single" w:sz="8" w:color="auto"/>
            </w:tcBorders>
          </w:tcPr>
          <w:p>
            <w:pPr>
              <w:jc w:val="right"/>
              <w:ind w:right="102"/>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649.6</w:t>
            </w:r>
          </w:p>
        </w:tc>
        <w:tc>
          <w:tcPr>
            <w:tcW w:w="120" w:type="dxa"/>
            <w:vAlign w:val="bottom"/>
          </w:tcPr>
          <w:p>
            <w:pPr>
              <w:spacing w:after="0"/>
              <w:rPr>
                <w:sz w:val="17"/>
                <w:szCs w:val="17"/>
                <w:color w:val="auto"/>
              </w:rPr>
            </w:pPr>
          </w:p>
        </w:tc>
        <w:tc>
          <w:tcPr>
            <w:tcW w:w="360" w:type="dxa"/>
            <w:vAlign w:val="bottom"/>
            <w:tcBorders>
              <w:top w:val="single" w:sz="8" w:color="auto"/>
            </w:tcBorders>
          </w:tcPr>
          <w:p>
            <w:pPr>
              <w:jc w:val="right"/>
              <w:ind w:right="182"/>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632.9</w:t>
            </w:r>
          </w:p>
        </w:tc>
        <w:tc>
          <w:tcPr>
            <w:tcW w:w="0" w:type="dxa"/>
            <w:vAlign w:val="bottom"/>
          </w:tcPr>
          <w:p>
            <w:pPr>
              <w:spacing w:after="0"/>
              <w:rPr>
                <w:sz w:val="1"/>
                <w:szCs w:val="1"/>
                <w:color w:val="auto"/>
              </w:rPr>
            </w:pPr>
          </w:p>
        </w:tc>
      </w:tr>
      <w:tr>
        <w:trPr>
          <w:trHeight w:val="64"/>
        </w:trPr>
        <w:tc>
          <w:tcPr>
            <w:tcW w:w="86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86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8680" w:type="dxa"/>
            <w:vAlign w:val="bottom"/>
          </w:tcPr>
          <w:p>
            <w:pPr>
              <w:ind w:left="20"/>
              <w:spacing w:after="0"/>
              <w:rPr>
                <w:sz w:val="20"/>
                <w:szCs w:val="20"/>
                <w:color w:val="auto"/>
              </w:rPr>
            </w:pPr>
            <w:r>
              <w:rPr>
                <w:rFonts w:ascii="Arial" w:cs="Arial" w:eastAsia="Arial" w:hAnsi="Arial"/>
                <w:sz w:val="16"/>
                <w:szCs w:val="16"/>
                <w:color w:val="auto"/>
              </w:rPr>
              <w:t>Capital expenditures, net:</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8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8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Third-party payments</w:t>
            </w:r>
          </w:p>
        </w:tc>
        <w:tc>
          <w:tcPr>
            <w:tcW w:w="28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650.9</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691.2</w:t>
            </w:r>
          </w:p>
        </w:tc>
        <w:tc>
          <w:tcPr>
            <w:tcW w:w="0" w:type="dxa"/>
            <w:vAlign w:val="bottom"/>
          </w:tcPr>
          <w:p>
            <w:pPr>
              <w:spacing w:after="0"/>
              <w:rPr>
                <w:sz w:val="1"/>
                <w:szCs w:val="1"/>
                <w:color w:val="auto"/>
              </w:rPr>
            </w:pPr>
          </w:p>
        </w:tc>
      </w:tr>
      <w:tr>
        <w:trPr>
          <w:trHeight w:val="209"/>
        </w:trPr>
        <w:tc>
          <w:tcPr>
            <w:tcW w:w="8680" w:type="dxa"/>
            <w:vAlign w:val="bottom"/>
          </w:tcPr>
          <w:p>
            <w:pPr>
              <w:ind w:left="140"/>
              <w:spacing w:after="0"/>
              <w:rPr>
                <w:sz w:val="20"/>
                <w:szCs w:val="20"/>
                <w:color w:val="auto"/>
              </w:rPr>
            </w:pPr>
            <w:r>
              <w:rPr>
                <w:rFonts w:ascii="Arial" w:cs="Arial" w:eastAsia="Arial" w:hAnsi="Arial"/>
                <w:sz w:val="16"/>
                <w:szCs w:val="16"/>
                <w:color w:val="auto"/>
              </w:rPr>
              <w:t>Proceeds received for transfers to related parties (b)</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(58.3)</w:t>
            </w:r>
          </w:p>
        </w:tc>
        <w:tc>
          <w:tcPr>
            <w:tcW w:w="0" w:type="dxa"/>
            <w:vAlign w:val="bottom"/>
          </w:tcPr>
          <w:p>
            <w:pPr>
              <w:spacing w:after="0"/>
              <w:rPr>
                <w:sz w:val="1"/>
                <w:szCs w:val="1"/>
                <w:color w:val="auto"/>
              </w:rPr>
            </w:pPr>
          </w:p>
        </w:tc>
      </w:tr>
      <w:tr>
        <w:trPr>
          <w:trHeight w:val="24"/>
        </w:trPr>
        <w:tc>
          <w:tcPr>
            <w:tcW w:w="8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8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capital expenditures, net</w:t>
            </w:r>
          </w:p>
        </w:tc>
        <w:tc>
          <w:tcPr>
            <w:tcW w:w="28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649.6</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632.9</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8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8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equipment additions - VodafoneZiggo JV</w:t>
            </w:r>
          </w:p>
        </w:tc>
        <w:tc>
          <w:tcPr>
            <w:tcW w:w="28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472.4</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426.5</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868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427" w:hanging="427"/>
        <w:spacing w:after="0" w:line="258" w:lineRule="auto"/>
        <w:tabs>
          <w:tab w:leader="none" w:pos="427"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Includes (i) property and equipment additions representing centrally-owned assets that benefit our operating segments and (ii) the net impact of certain centrally-procured network equipment that is ultimately transferred to our operating segments.</w:t>
      </w:r>
    </w:p>
    <w:p>
      <w:pPr>
        <w:spacing w:after="0" w:line="162" w:lineRule="exact"/>
        <w:rPr>
          <w:rFonts w:ascii="Arial" w:cs="Arial" w:eastAsia="Arial" w:hAnsi="Arial"/>
          <w:sz w:val="16"/>
          <w:szCs w:val="16"/>
          <w:color w:val="auto"/>
        </w:rPr>
      </w:pPr>
    </w:p>
    <w:p>
      <w:pPr>
        <w:ind w:left="427" w:hanging="427"/>
        <w:spacing w:after="0"/>
        <w:tabs>
          <w:tab w:leader="none" w:pos="427" w:val="left"/>
        </w:tabs>
        <w:numPr>
          <w:ilvl w:val="0"/>
          <w:numId w:val="42"/>
        </w:numPr>
        <w:rPr>
          <w:rFonts w:ascii="Arial" w:cs="Arial" w:eastAsia="Arial" w:hAnsi="Arial"/>
          <w:sz w:val="14"/>
          <w:szCs w:val="14"/>
          <w:color w:val="auto"/>
        </w:rPr>
      </w:pPr>
      <w:r>
        <w:rPr>
          <w:rFonts w:ascii="Arial" w:cs="Arial" w:eastAsia="Arial" w:hAnsi="Arial"/>
          <w:sz w:val="14"/>
          <w:szCs w:val="14"/>
          <w:color w:val="auto"/>
        </w:rPr>
        <w:t>Primarily relates to transfers of centrally-procured property and equipment to the VodafoneZiggo JV and, for the 2019 period, our discontinued operations.</w:t>
      </w:r>
    </w:p>
    <w:p>
      <w:pPr>
        <w:spacing w:after="0" w:line="397"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267"/>
          </w:cols>
          <w:pgMar w:left="313" w:top="263" w:right="319" w:bottom="1440" w:gutter="0" w:footer="0" w:header="0"/>
        </w:sectPr>
      </w:pPr>
    </w:p>
    <w:bookmarkStart w:id="48" w:name="page49"/>
    <w:bookmarkEnd w:id="48"/>
    <w:p>
      <w:pPr>
        <w:jc w:val="center"/>
        <w:ind w:right="-6"/>
        <w:spacing w:after="0"/>
        <w:rPr>
          <w:sz w:val="20"/>
          <w:szCs w:val="20"/>
          <w:color w:val="auto"/>
        </w:rPr>
      </w:pPr>
      <w:r>
        <w:rPr>
          <w:rFonts w:ascii="Arial" w:cs="Arial" w:eastAsia="Arial" w:hAnsi="Arial"/>
          <w:sz w:val="16"/>
          <w:szCs w:val="16"/>
          <w:b w:val="1"/>
          <w:bCs w:val="1"/>
          <w:color w:val="auto"/>
        </w:rPr>
        <w:t>LIBERTY GLOBAL PLC</w:t>
      </w:r>
    </w:p>
    <w:p>
      <w:pPr>
        <w:spacing w:after="0" w:line="18"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Notes to Condensed Consolidated Financial Statements — (Continued)</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June 30, 2020</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ind w:left="147"/>
        <w:spacing w:after="0"/>
        <w:rPr>
          <w:sz w:val="20"/>
          <w:szCs w:val="20"/>
          <w:color w:val="auto"/>
        </w:rPr>
      </w:pPr>
      <w:r>
        <w:rPr>
          <w:rFonts w:ascii="Arial" w:cs="Arial" w:eastAsia="Arial" w:hAnsi="Arial"/>
          <w:sz w:val="16"/>
          <w:szCs w:val="16"/>
          <w:b w:val="1"/>
          <w:bCs w:val="1"/>
          <w:i w:val="1"/>
          <w:iCs w:val="1"/>
          <w:color w:val="auto"/>
        </w:rPr>
        <w:t>Revenue by Major Category</w:t>
      </w:r>
    </w:p>
    <w:p>
      <w:pPr>
        <w:spacing w:after="0" w:line="188" w:lineRule="exact"/>
        <w:rPr>
          <w:sz w:val="20"/>
          <w:szCs w:val="20"/>
          <w:color w:val="auto"/>
        </w:rPr>
      </w:pPr>
    </w:p>
    <w:p>
      <w:pPr>
        <w:ind w:left="287"/>
        <w:spacing w:after="0"/>
        <w:rPr>
          <w:sz w:val="20"/>
          <w:szCs w:val="20"/>
          <w:color w:val="auto"/>
        </w:rPr>
      </w:pPr>
      <w:r>
        <w:rPr>
          <w:rFonts w:ascii="Arial" w:cs="Arial" w:eastAsia="Arial" w:hAnsi="Arial"/>
          <w:sz w:val="16"/>
          <w:szCs w:val="16"/>
          <w:color w:val="auto"/>
        </w:rPr>
        <w:t>Our revenue by major category for our consolidated reportable segments is set forth below:</w:t>
      </w:r>
    </w:p>
    <w:p>
      <w:pPr>
        <w:spacing w:after="0" w:line="140"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5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4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5"/>
                <w:szCs w:val="15"/>
                <w:color w:val="auto"/>
              </w:rPr>
            </w:pPr>
          </w:p>
        </w:tc>
        <w:tc>
          <w:tcPr>
            <w:tcW w:w="2200" w:type="dxa"/>
            <w:vAlign w:val="bottom"/>
            <w:gridSpan w:val="4"/>
          </w:tcPr>
          <w:p>
            <w:pPr>
              <w:jc w:val="right"/>
              <w:ind w:right="66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2"/>
        </w:trPr>
        <w:tc>
          <w:tcPr>
            <w:tcW w:w="5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gridSpan w:val="3"/>
          </w:tcPr>
          <w:p>
            <w:pPr>
              <w:jc w:val="right"/>
              <w:ind w:right="82"/>
              <w:spacing w:after="0"/>
              <w:rPr>
                <w:sz w:val="20"/>
                <w:szCs w:val="20"/>
                <w:color w:val="auto"/>
              </w:rPr>
            </w:pPr>
            <w:r>
              <w:rPr>
                <w:rFonts w:ascii="Arial" w:cs="Arial" w:eastAsia="Arial" w:hAnsi="Arial"/>
                <w:sz w:val="14"/>
                <w:szCs w:val="14"/>
                <w:b w:val="1"/>
                <w:bCs w:val="1"/>
                <w:color w:val="auto"/>
              </w:rPr>
              <w:t>June 30,</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gridSpan w:val="3"/>
          </w:tcPr>
          <w:p>
            <w:pPr>
              <w:jc w:val="right"/>
              <w:ind w:right="62"/>
              <w:spacing w:after="0"/>
              <w:rPr>
                <w:sz w:val="20"/>
                <w:szCs w:val="20"/>
                <w:color w:val="auto"/>
              </w:rPr>
            </w:pPr>
            <w:r>
              <w:rPr>
                <w:rFonts w:ascii="Arial" w:cs="Arial" w:eastAsia="Arial" w:hAnsi="Arial"/>
                <w:sz w:val="14"/>
                <w:szCs w:val="14"/>
                <w:b w:val="1"/>
                <w:bCs w:val="1"/>
                <w:color w:val="auto"/>
              </w:rPr>
              <w:t>June 30,</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59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5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40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ind w:right="40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jc w:val="right"/>
              <w:ind w:right="38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ind w:right="40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8"/>
        </w:trPr>
        <w:tc>
          <w:tcPr>
            <w:tcW w:w="59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5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gridSpan w:val="3"/>
          </w:tcPr>
          <w:p>
            <w:pPr>
              <w:jc w:val="right"/>
              <w:ind w:right="42"/>
              <w:spacing w:after="0"/>
              <w:rPr>
                <w:sz w:val="20"/>
                <w:szCs w:val="20"/>
                <w:color w:val="auto"/>
              </w:rPr>
            </w:pPr>
            <w:r>
              <w:rPr>
                <w:rFonts w:ascii="Arial" w:cs="Arial" w:eastAsia="Arial" w:hAnsi="Arial"/>
                <w:sz w:val="14"/>
                <w:szCs w:val="14"/>
                <w:b w:val="1"/>
                <w:bCs w:val="1"/>
                <w:color w:val="auto"/>
              </w:rPr>
              <w:t>in millions</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9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Residential revenue:</w:t>
            </w: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tcPr>
          <w:p>
            <w:pPr>
              <w:ind w:left="140"/>
              <w:spacing w:after="0"/>
              <w:rPr>
                <w:sz w:val="20"/>
                <w:szCs w:val="20"/>
                <w:color w:val="auto"/>
              </w:rPr>
            </w:pPr>
            <w:r>
              <w:rPr>
                <w:rFonts w:ascii="Arial" w:cs="Arial" w:eastAsia="Arial" w:hAnsi="Arial"/>
                <w:sz w:val="16"/>
                <w:szCs w:val="16"/>
                <w:color w:val="auto"/>
              </w:rPr>
              <w:t>Residential cable revenue (a):</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5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5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Subscription revenue (b):</w:t>
            </w: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tcPr>
          <w:p>
            <w:pPr>
              <w:ind w:left="320"/>
              <w:spacing w:after="0"/>
              <w:rPr>
                <w:sz w:val="20"/>
                <w:szCs w:val="20"/>
                <w:color w:val="auto"/>
              </w:rPr>
            </w:pPr>
            <w:r>
              <w:rPr>
                <w:rFonts w:ascii="Arial" w:cs="Arial" w:eastAsia="Arial" w:hAnsi="Arial"/>
                <w:sz w:val="16"/>
                <w:szCs w:val="16"/>
                <w:color w:val="auto"/>
              </w:rPr>
              <w:t>Broadband internet</w:t>
            </w: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4"/>
              <w:spacing w:after="0"/>
              <w:rPr>
                <w:sz w:val="20"/>
                <w:szCs w:val="20"/>
                <w:color w:val="auto"/>
              </w:rPr>
            </w:pPr>
            <w:r>
              <w:rPr>
                <w:rFonts w:ascii="Arial" w:cs="Arial" w:eastAsia="Arial" w:hAnsi="Arial"/>
                <w:sz w:val="16"/>
                <w:szCs w:val="16"/>
                <w:color w:val="auto"/>
              </w:rPr>
              <w:t>781.0</w:t>
            </w:r>
          </w:p>
        </w:tc>
        <w:tc>
          <w:tcPr>
            <w:tcW w:w="120" w:type="dxa"/>
            <w:vAlign w:val="bottom"/>
          </w:tcPr>
          <w:p>
            <w:pPr>
              <w:spacing w:after="0"/>
              <w:rPr>
                <w:sz w:val="18"/>
                <w:szCs w:val="18"/>
                <w:color w:val="auto"/>
              </w:rPr>
            </w:pPr>
          </w:p>
        </w:tc>
        <w:tc>
          <w:tcPr>
            <w:tcW w:w="360" w:type="dxa"/>
            <w:vAlign w:val="bottom"/>
          </w:tcPr>
          <w:p>
            <w:pPr>
              <w:jc w:val="right"/>
              <w:ind w:right="182"/>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799.5</w:t>
            </w:r>
          </w:p>
        </w:tc>
        <w:tc>
          <w:tcPr>
            <w:tcW w:w="100" w:type="dxa"/>
            <w:vAlign w:val="bottom"/>
          </w:tcPr>
          <w:p>
            <w:pPr>
              <w:spacing w:after="0"/>
              <w:rPr>
                <w:sz w:val="18"/>
                <w:szCs w:val="18"/>
                <w:color w:val="auto"/>
              </w:rPr>
            </w:pPr>
          </w:p>
        </w:tc>
        <w:tc>
          <w:tcPr>
            <w:tcW w:w="360" w:type="dxa"/>
            <w:vAlign w:val="bottom"/>
          </w:tcPr>
          <w:p>
            <w:pPr>
              <w:jc w:val="right"/>
              <w:ind w:right="182"/>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4"/>
              <w:spacing w:after="0"/>
              <w:rPr>
                <w:sz w:val="20"/>
                <w:szCs w:val="20"/>
                <w:color w:val="auto"/>
              </w:rPr>
            </w:pPr>
            <w:r>
              <w:rPr>
                <w:rFonts w:ascii="Arial" w:cs="Arial" w:eastAsia="Arial" w:hAnsi="Arial"/>
                <w:sz w:val="16"/>
                <w:szCs w:val="16"/>
                <w:color w:val="auto"/>
              </w:rPr>
              <w:t>1,577.8</w:t>
            </w:r>
          </w:p>
        </w:tc>
        <w:tc>
          <w:tcPr>
            <w:tcW w:w="120" w:type="dxa"/>
            <w:vAlign w:val="bottom"/>
          </w:tcPr>
          <w:p>
            <w:pPr>
              <w:spacing w:after="0"/>
              <w:rPr>
                <w:sz w:val="18"/>
                <w:szCs w:val="18"/>
                <w:color w:val="auto"/>
              </w:rPr>
            </w:pP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1,602.3</w:t>
            </w:r>
          </w:p>
        </w:tc>
        <w:tc>
          <w:tcPr>
            <w:tcW w:w="0" w:type="dxa"/>
            <w:vAlign w:val="bottom"/>
          </w:tcPr>
          <w:p>
            <w:pPr>
              <w:spacing w:after="0"/>
              <w:rPr>
                <w:sz w:val="1"/>
                <w:szCs w:val="1"/>
                <w:color w:val="auto"/>
              </w:rPr>
            </w:pPr>
          </w:p>
        </w:tc>
      </w:tr>
      <w:tr>
        <w:trPr>
          <w:trHeight w:val="24"/>
        </w:trPr>
        <w:tc>
          <w:tcPr>
            <w:tcW w:w="5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59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Video</w:t>
            </w: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633.6</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676.6</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1,316.7</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1,368.7</w:t>
            </w:r>
          </w:p>
        </w:tc>
        <w:tc>
          <w:tcPr>
            <w:tcW w:w="0" w:type="dxa"/>
            <w:vAlign w:val="bottom"/>
          </w:tcPr>
          <w:p>
            <w:pPr>
              <w:spacing w:after="0"/>
              <w:rPr>
                <w:sz w:val="1"/>
                <w:szCs w:val="1"/>
                <w:color w:val="auto"/>
              </w:rPr>
            </w:pPr>
          </w:p>
        </w:tc>
      </w:tr>
      <w:tr>
        <w:trPr>
          <w:trHeight w:val="209"/>
        </w:trPr>
        <w:tc>
          <w:tcPr>
            <w:tcW w:w="5980" w:type="dxa"/>
            <w:vAlign w:val="bottom"/>
          </w:tcPr>
          <w:p>
            <w:pPr>
              <w:ind w:left="320"/>
              <w:spacing w:after="0"/>
              <w:rPr>
                <w:sz w:val="20"/>
                <w:szCs w:val="20"/>
                <w:color w:val="auto"/>
              </w:rPr>
            </w:pPr>
            <w:r>
              <w:rPr>
                <w:rFonts w:ascii="Arial" w:cs="Arial" w:eastAsia="Arial" w:hAnsi="Arial"/>
                <w:sz w:val="16"/>
                <w:szCs w:val="16"/>
                <w:color w:val="auto"/>
              </w:rPr>
              <w:t>Fixed-line telephony</w:t>
            </w:r>
          </w:p>
        </w:tc>
        <w:tc>
          <w:tcPr>
            <w:tcW w:w="280" w:type="dxa"/>
            <w:vAlign w:val="bottom"/>
          </w:tcPr>
          <w:p>
            <w:pPr>
              <w:spacing w:after="0"/>
              <w:rPr>
                <w:sz w:val="18"/>
                <w:szCs w:val="18"/>
                <w:color w:val="auto"/>
              </w:rPr>
            </w:pPr>
          </w:p>
        </w:tc>
        <w:tc>
          <w:tcPr>
            <w:tcW w:w="960" w:type="dxa"/>
            <w:vAlign w:val="bottom"/>
          </w:tcPr>
          <w:p>
            <w:pPr>
              <w:jc w:val="right"/>
              <w:ind w:right="24"/>
              <w:spacing w:after="0"/>
              <w:rPr>
                <w:sz w:val="20"/>
                <w:szCs w:val="20"/>
                <w:color w:val="auto"/>
              </w:rPr>
            </w:pPr>
            <w:r>
              <w:rPr>
                <w:rFonts w:ascii="Arial" w:cs="Arial" w:eastAsia="Arial" w:hAnsi="Arial"/>
                <w:sz w:val="16"/>
                <w:szCs w:val="16"/>
                <w:color w:val="auto"/>
              </w:rPr>
              <w:t>328.3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360.4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24"/>
              <w:spacing w:after="0"/>
              <w:rPr>
                <w:sz w:val="20"/>
                <w:szCs w:val="20"/>
                <w:color w:val="auto"/>
              </w:rPr>
            </w:pPr>
            <w:r>
              <w:rPr>
                <w:rFonts w:ascii="Arial" w:cs="Arial" w:eastAsia="Arial" w:hAnsi="Arial"/>
                <w:sz w:val="16"/>
                <w:szCs w:val="16"/>
                <w:color w:val="auto"/>
              </w:rPr>
              <w:t>666.5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729.2</w:t>
            </w:r>
          </w:p>
        </w:tc>
        <w:tc>
          <w:tcPr>
            <w:tcW w:w="0" w:type="dxa"/>
            <w:vAlign w:val="bottom"/>
          </w:tcPr>
          <w:p>
            <w:pPr>
              <w:spacing w:after="0"/>
              <w:rPr>
                <w:sz w:val="1"/>
                <w:szCs w:val="1"/>
                <w:color w:val="auto"/>
              </w:rPr>
            </w:pPr>
          </w:p>
        </w:tc>
      </w:tr>
      <w:tr>
        <w:trPr>
          <w:trHeight w:val="24"/>
        </w:trPr>
        <w:tc>
          <w:tcPr>
            <w:tcW w:w="5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9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Total subscription revenue</w:t>
            </w: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1,742.9</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1,836.5</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3,561.0</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3,700.2</w:t>
            </w:r>
          </w:p>
        </w:tc>
        <w:tc>
          <w:tcPr>
            <w:tcW w:w="0" w:type="dxa"/>
            <w:vAlign w:val="bottom"/>
          </w:tcPr>
          <w:p>
            <w:pPr>
              <w:spacing w:after="0"/>
              <w:rPr>
                <w:sz w:val="1"/>
                <w:szCs w:val="1"/>
                <w:color w:val="auto"/>
              </w:rPr>
            </w:pPr>
          </w:p>
        </w:tc>
      </w:tr>
      <w:tr>
        <w:trPr>
          <w:trHeight w:val="209"/>
        </w:trPr>
        <w:tc>
          <w:tcPr>
            <w:tcW w:w="5980" w:type="dxa"/>
            <w:vAlign w:val="bottom"/>
          </w:tcPr>
          <w:p>
            <w:pPr>
              <w:ind w:left="220"/>
              <w:spacing w:after="0"/>
              <w:rPr>
                <w:sz w:val="20"/>
                <w:szCs w:val="20"/>
                <w:color w:val="auto"/>
              </w:rPr>
            </w:pPr>
            <w:r>
              <w:rPr>
                <w:rFonts w:ascii="Arial" w:cs="Arial" w:eastAsia="Arial" w:hAnsi="Arial"/>
                <w:sz w:val="16"/>
                <w:szCs w:val="16"/>
                <w:color w:val="auto"/>
              </w:rPr>
              <w:t>Non-subscription revenue</w:t>
            </w:r>
          </w:p>
        </w:tc>
        <w:tc>
          <w:tcPr>
            <w:tcW w:w="280" w:type="dxa"/>
            <w:vAlign w:val="bottom"/>
          </w:tcPr>
          <w:p>
            <w:pPr>
              <w:spacing w:after="0"/>
              <w:rPr>
                <w:sz w:val="18"/>
                <w:szCs w:val="18"/>
                <w:color w:val="auto"/>
              </w:rPr>
            </w:pPr>
          </w:p>
        </w:tc>
        <w:tc>
          <w:tcPr>
            <w:tcW w:w="960" w:type="dxa"/>
            <w:vAlign w:val="bottom"/>
          </w:tcPr>
          <w:p>
            <w:pPr>
              <w:jc w:val="right"/>
              <w:ind w:right="24"/>
              <w:spacing w:after="0"/>
              <w:rPr>
                <w:sz w:val="20"/>
                <w:szCs w:val="20"/>
                <w:color w:val="auto"/>
              </w:rPr>
            </w:pPr>
            <w:r>
              <w:rPr>
                <w:rFonts w:ascii="Arial" w:cs="Arial" w:eastAsia="Arial" w:hAnsi="Arial"/>
                <w:sz w:val="16"/>
                <w:szCs w:val="16"/>
                <w:color w:val="auto"/>
              </w:rPr>
              <w:t>35.6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44.5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24"/>
              <w:spacing w:after="0"/>
              <w:rPr>
                <w:sz w:val="20"/>
                <w:szCs w:val="20"/>
                <w:color w:val="auto"/>
              </w:rPr>
            </w:pPr>
            <w:r>
              <w:rPr>
                <w:rFonts w:ascii="Arial" w:cs="Arial" w:eastAsia="Arial" w:hAnsi="Arial"/>
                <w:sz w:val="16"/>
                <w:szCs w:val="16"/>
                <w:color w:val="auto"/>
              </w:rPr>
              <w:t>88.6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98.5</w:t>
            </w:r>
          </w:p>
        </w:tc>
        <w:tc>
          <w:tcPr>
            <w:tcW w:w="0" w:type="dxa"/>
            <w:vAlign w:val="bottom"/>
          </w:tcPr>
          <w:p>
            <w:pPr>
              <w:spacing w:after="0"/>
              <w:rPr>
                <w:sz w:val="1"/>
                <w:szCs w:val="1"/>
                <w:color w:val="auto"/>
              </w:rPr>
            </w:pPr>
          </w:p>
        </w:tc>
      </w:tr>
      <w:tr>
        <w:trPr>
          <w:trHeight w:val="24"/>
        </w:trPr>
        <w:tc>
          <w:tcPr>
            <w:tcW w:w="5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5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residential cable revenue</w:t>
            </w: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1,778.5</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1,881.0</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3,649.6</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3,798.7</w:t>
            </w:r>
          </w:p>
        </w:tc>
        <w:tc>
          <w:tcPr>
            <w:tcW w:w="0" w:type="dxa"/>
            <w:vAlign w:val="bottom"/>
          </w:tcPr>
          <w:p>
            <w:pPr>
              <w:spacing w:after="0"/>
              <w:rPr>
                <w:sz w:val="1"/>
                <w:szCs w:val="1"/>
                <w:color w:val="auto"/>
              </w:rPr>
            </w:pPr>
          </w:p>
        </w:tc>
      </w:tr>
      <w:tr>
        <w:trPr>
          <w:trHeight w:val="189"/>
        </w:trPr>
        <w:tc>
          <w:tcPr>
            <w:tcW w:w="5980" w:type="dxa"/>
            <w:vAlign w:val="bottom"/>
          </w:tcPr>
          <w:p>
            <w:pPr>
              <w:ind w:left="140"/>
              <w:spacing w:after="0"/>
              <w:rPr>
                <w:sz w:val="20"/>
                <w:szCs w:val="20"/>
                <w:color w:val="auto"/>
              </w:rPr>
            </w:pPr>
            <w:r>
              <w:rPr>
                <w:rFonts w:ascii="Arial" w:cs="Arial" w:eastAsia="Arial" w:hAnsi="Arial"/>
                <w:sz w:val="16"/>
                <w:szCs w:val="16"/>
                <w:color w:val="auto"/>
              </w:rPr>
              <w:t>Residential mobile revenue (c):</w:t>
            </w: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59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5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Subscription revenue (b)</w:t>
            </w: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227.3</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231.4</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463.2</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459.4</w:t>
            </w:r>
          </w:p>
        </w:tc>
        <w:tc>
          <w:tcPr>
            <w:tcW w:w="0" w:type="dxa"/>
            <w:vAlign w:val="bottom"/>
          </w:tcPr>
          <w:p>
            <w:pPr>
              <w:spacing w:after="0"/>
              <w:rPr>
                <w:sz w:val="1"/>
                <w:szCs w:val="1"/>
                <w:color w:val="auto"/>
              </w:rPr>
            </w:pPr>
          </w:p>
        </w:tc>
      </w:tr>
      <w:tr>
        <w:trPr>
          <w:trHeight w:val="209"/>
        </w:trPr>
        <w:tc>
          <w:tcPr>
            <w:tcW w:w="5980" w:type="dxa"/>
            <w:vAlign w:val="bottom"/>
          </w:tcPr>
          <w:p>
            <w:pPr>
              <w:ind w:left="220"/>
              <w:spacing w:after="0"/>
              <w:rPr>
                <w:sz w:val="20"/>
                <w:szCs w:val="20"/>
                <w:color w:val="auto"/>
              </w:rPr>
            </w:pPr>
            <w:r>
              <w:rPr>
                <w:rFonts w:ascii="Arial" w:cs="Arial" w:eastAsia="Arial" w:hAnsi="Arial"/>
                <w:sz w:val="16"/>
                <w:szCs w:val="16"/>
                <w:color w:val="auto"/>
              </w:rPr>
              <w:t>Non-subscription revenue</w:t>
            </w:r>
          </w:p>
        </w:tc>
        <w:tc>
          <w:tcPr>
            <w:tcW w:w="280" w:type="dxa"/>
            <w:vAlign w:val="bottom"/>
          </w:tcPr>
          <w:p>
            <w:pPr>
              <w:spacing w:after="0"/>
              <w:rPr>
                <w:sz w:val="18"/>
                <w:szCs w:val="18"/>
                <w:color w:val="auto"/>
              </w:rPr>
            </w:pPr>
          </w:p>
        </w:tc>
        <w:tc>
          <w:tcPr>
            <w:tcW w:w="960" w:type="dxa"/>
            <w:vAlign w:val="bottom"/>
          </w:tcPr>
          <w:p>
            <w:pPr>
              <w:jc w:val="right"/>
              <w:ind w:right="24"/>
              <w:spacing w:after="0"/>
              <w:rPr>
                <w:sz w:val="20"/>
                <w:szCs w:val="20"/>
                <w:color w:val="auto"/>
              </w:rPr>
            </w:pPr>
            <w:r>
              <w:rPr>
                <w:rFonts w:ascii="Arial" w:cs="Arial" w:eastAsia="Arial" w:hAnsi="Arial"/>
                <w:sz w:val="16"/>
                <w:szCs w:val="16"/>
                <w:color w:val="auto"/>
              </w:rPr>
              <w:t>129.7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173.3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24"/>
              <w:spacing w:after="0"/>
              <w:rPr>
                <w:sz w:val="20"/>
                <w:szCs w:val="20"/>
                <w:color w:val="auto"/>
              </w:rPr>
            </w:pPr>
            <w:r>
              <w:rPr>
                <w:rFonts w:ascii="Arial" w:cs="Arial" w:eastAsia="Arial" w:hAnsi="Arial"/>
                <w:sz w:val="16"/>
                <w:szCs w:val="16"/>
                <w:color w:val="auto"/>
              </w:rPr>
              <w:t>275.0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330.0</w:t>
            </w:r>
          </w:p>
        </w:tc>
        <w:tc>
          <w:tcPr>
            <w:tcW w:w="0" w:type="dxa"/>
            <w:vAlign w:val="bottom"/>
          </w:tcPr>
          <w:p>
            <w:pPr>
              <w:spacing w:after="0"/>
              <w:rPr>
                <w:sz w:val="1"/>
                <w:szCs w:val="1"/>
                <w:color w:val="auto"/>
              </w:rPr>
            </w:pPr>
          </w:p>
        </w:tc>
      </w:tr>
      <w:tr>
        <w:trPr>
          <w:trHeight w:val="24"/>
        </w:trPr>
        <w:tc>
          <w:tcPr>
            <w:tcW w:w="5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59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Total residential mobile revenue</w:t>
            </w: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357.0</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404.7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738.2</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789.4</w:t>
            </w:r>
          </w:p>
        </w:tc>
        <w:tc>
          <w:tcPr>
            <w:tcW w:w="0" w:type="dxa"/>
            <w:vAlign w:val="bottom"/>
          </w:tcPr>
          <w:p>
            <w:pPr>
              <w:spacing w:after="0"/>
              <w:rPr>
                <w:sz w:val="1"/>
                <w:szCs w:val="1"/>
                <w:color w:val="auto"/>
              </w:rPr>
            </w:pPr>
          </w:p>
        </w:tc>
      </w:tr>
      <w:tr>
        <w:trPr>
          <w:trHeight w:val="201"/>
        </w:trPr>
        <w:tc>
          <w:tcPr>
            <w:tcW w:w="5980" w:type="dxa"/>
            <w:vAlign w:val="bottom"/>
          </w:tcPr>
          <w:p>
            <w:pPr>
              <w:ind w:left="420"/>
              <w:spacing w:after="0"/>
              <w:rPr>
                <w:sz w:val="20"/>
                <w:szCs w:val="20"/>
                <w:color w:val="auto"/>
              </w:rPr>
            </w:pPr>
            <w:r>
              <w:rPr>
                <w:rFonts w:ascii="Arial" w:cs="Arial" w:eastAsia="Arial" w:hAnsi="Arial"/>
                <w:sz w:val="16"/>
                <w:szCs w:val="16"/>
                <w:color w:val="auto"/>
              </w:rPr>
              <w:t>Total residential revenue</w:t>
            </w: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24"/>
              <w:spacing w:after="0"/>
              <w:rPr>
                <w:sz w:val="20"/>
                <w:szCs w:val="20"/>
                <w:color w:val="auto"/>
              </w:rPr>
            </w:pPr>
            <w:r>
              <w:rPr>
                <w:rFonts w:ascii="Arial" w:cs="Arial" w:eastAsia="Arial" w:hAnsi="Arial"/>
                <w:sz w:val="16"/>
                <w:szCs w:val="16"/>
                <w:color w:val="auto"/>
              </w:rPr>
              <w:t>2,135.5</w:t>
            </w: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2,285.7</w:t>
            </w: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24"/>
              <w:spacing w:after="0"/>
              <w:rPr>
                <w:sz w:val="20"/>
                <w:szCs w:val="20"/>
                <w:color w:val="auto"/>
              </w:rPr>
            </w:pPr>
            <w:r>
              <w:rPr>
                <w:rFonts w:ascii="Arial" w:cs="Arial" w:eastAsia="Arial" w:hAnsi="Arial"/>
                <w:sz w:val="16"/>
                <w:szCs w:val="16"/>
                <w:color w:val="auto"/>
              </w:rPr>
              <w:t>4,387.8</w:t>
            </w: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4,588.1</w:t>
            </w:r>
          </w:p>
        </w:tc>
        <w:tc>
          <w:tcPr>
            <w:tcW w:w="0" w:type="dxa"/>
            <w:vAlign w:val="bottom"/>
          </w:tcPr>
          <w:p>
            <w:pPr>
              <w:spacing w:after="0"/>
              <w:rPr>
                <w:sz w:val="1"/>
                <w:szCs w:val="1"/>
                <w:color w:val="auto"/>
              </w:rPr>
            </w:pPr>
          </w:p>
        </w:tc>
      </w:tr>
      <w:tr>
        <w:trPr>
          <w:trHeight w:val="24"/>
        </w:trPr>
        <w:tc>
          <w:tcPr>
            <w:tcW w:w="5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B2B revenue (d):</w:t>
            </w: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980" w:type="dxa"/>
            <w:vAlign w:val="bottom"/>
          </w:tcPr>
          <w:p>
            <w:pPr>
              <w:ind w:left="140"/>
              <w:spacing w:after="0"/>
              <w:rPr>
                <w:sz w:val="20"/>
                <w:szCs w:val="20"/>
                <w:color w:val="auto"/>
              </w:rPr>
            </w:pPr>
            <w:r>
              <w:rPr>
                <w:rFonts w:ascii="Arial" w:cs="Arial" w:eastAsia="Arial" w:hAnsi="Arial"/>
                <w:sz w:val="16"/>
                <w:szCs w:val="16"/>
                <w:color w:val="auto"/>
              </w:rPr>
              <w:t>Subscription revenue</w:t>
            </w:r>
          </w:p>
        </w:tc>
        <w:tc>
          <w:tcPr>
            <w:tcW w:w="280" w:type="dxa"/>
            <w:vAlign w:val="bottom"/>
          </w:tcPr>
          <w:p>
            <w:pPr>
              <w:spacing w:after="0"/>
              <w:rPr>
                <w:sz w:val="18"/>
                <w:szCs w:val="18"/>
                <w:color w:val="auto"/>
              </w:rPr>
            </w:pPr>
          </w:p>
        </w:tc>
        <w:tc>
          <w:tcPr>
            <w:tcW w:w="960" w:type="dxa"/>
            <w:vAlign w:val="bottom"/>
          </w:tcPr>
          <w:p>
            <w:pPr>
              <w:jc w:val="right"/>
              <w:ind w:right="24"/>
              <w:spacing w:after="0"/>
              <w:rPr>
                <w:sz w:val="20"/>
                <w:szCs w:val="20"/>
                <w:color w:val="auto"/>
              </w:rPr>
            </w:pPr>
            <w:r>
              <w:rPr>
                <w:rFonts w:ascii="Arial" w:cs="Arial" w:eastAsia="Arial" w:hAnsi="Arial"/>
                <w:sz w:val="16"/>
                <w:szCs w:val="16"/>
                <w:color w:val="auto"/>
              </w:rPr>
              <w:t>123.4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116.8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24"/>
              <w:spacing w:after="0"/>
              <w:rPr>
                <w:sz w:val="20"/>
                <w:szCs w:val="20"/>
                <w:color w:val="auto"/>
              </w:rPr>
            </w:pPr>
            <w:r>
              <w:rPr>
                <w:rFonts w:ascii="Arial" w:cs="Arial" w:eastAsia="Arial" w:hAnsi="Arial"/>
                <w:sz w:val="16"/>
                <w:szCs w:val="16"/>
                <w:color w:val="auto"/>
              </w:rPr>
              <w:t>248.0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230.6</w:t>
            </w:r>
          </w:p>
        </w:tc>
        <w:tc>
          <w:tcPr>
            <w:tcW w:w="0" w:type="dxa"/>
            <w:vAlign w:val="bottom"/>
          </w:tcPr>
          <w:p>
            <w:pPr>
              <w:spacing w:after="0"/>
              <w:rPr>
                <w:sz w:val="1"/>
                <w:szCs w:val="1"/>
                <w:color w:val="auto"/>
              </w:rPr>
            </w:pPr>
          </w:p>
        </w:tc>
      </w:tr>
      <w:tr>
        <w:trPr>
          <w:trHeight w:val="24"/>
        </w:trPr>
        <w:tc>
          <w:tcPr>
            <w:tcW w:w="5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5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Non-subscription revenue</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338.2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357.2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687.7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729.2</w:t>
            </w:r>
          </w:p>
        </w:tc>
        <w:tc>
          <w:tcPr>
            <w:tcW w:w="0" w:type="dxa"/>
            <w:vAlign w:val="bottom"/>
          </w:tcPr>
          <w:p>
            <w:pPr>
              <w:spacing w:after="0"/>
              <w:rPr>
                <w:sz w:val="1"/>
                <w:szCs w:val="1"/>
                <w:color w:val="auto"/>
              </w:rPr>
            </w:pPr>
          </w:p>
        </w:tc>
      </w:tr>
      <w:tr>
        <w:trPr>
          <w:trHeight w:val="201"/>
        </w:trPr>
        <w:tc>
          <w:tcPr>
            <w:tcW w:w="5980" w:type="dxa"/>
            <w:vAlign w:val="bottom"/>
          </w:tcPr>
          <w:p>
            <w:pPr>
              <w:ind w:left="220"/>
              <w:spacing w:after="0"/>
              <w:rPr>
                <w:sz w:val="20"/>
                <w:szCs w:val="20"/>
                <w:color w:val="auto"/>
              </w:rPr>
            </w:pPr>
            <w:r>
              <w:rPr>
                <w:rFonts w:ascii="Arial" w:cs="Arial" w:eastAsia="Arial" w:hAnsi="Arial"/>
                <w:sz w:val="16"/>
                <w:szCs w:val="16"/>
                <w:color w:val="auto"/>
              </w:rPr>
              <w:t>Total B2B revenue</w:t>
            </w: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24"/>
              <w:spacing w:after="0"/>
              <w:rPr>
                <w:sz w:val="20"/>
                <w:szCs w:val="20"/>
                <w:color w:val="auto"/>
              </w:rPr>
            </w:pPr>
            <w:r>
              <w:rPr>
                <w:rFonts w:ascii="Arial" w:cs="Arial" w:eastAsia="Arial" w:hAnsi="Arial"/>
                <w:sz w:val="16"/>
                <w:szCs w:val="16"/>
                <w:color w:val="auto"/>
              </w:rPr>
              <w:t>461.6</w:t>
            </w: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474.0</w:t>
            </w: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24"/>
              <w:spacing w:after="0"/>
              <w:rPr>
                <w:sz w:val="20"/>
                <w:szCs w:val="20"/>
                <w:color w:val="auto"/>
              </w:rPr>
            </w:pPr>
            <w:r>
              <w:rPr>
                <w:rFonts w:ascii="Arial" w:cs="Arial" w:eastAsia="Arial" w:hAnsi="Arial"/>
                <w:sz w:val="16"/>
                <w:szCs w:val="16"/>
                <w:color w:val="auto"/>
              </w:rPr>
              <w:t>935.7</w:t>
            </w: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959.8</w:t>
            </w:r>
          </w:p>
        </w:tc>
        <w:tc>
          <w:tcPr>
            <w:tcW w:w="0" w:type="dxa"/>
            <w:vAlign w:val="bottom"/>
          </w:tcPr>
          <w:p>
            <w:pPr>
              <w:spacing w:after="0"/>
              <w:rPr>
                <w:sz w:val="1"/>
                <w:szCs w:val="1"/>
                <w:color w:val="auto"/>
              </w:rPr>
            </w:pPr>
          </w:p>
        </w:tc>
      </w:tr>
      <w:tr>
        <w:trPr>
          <w:trHeight w:val="24"/>
        </w:trPr>
        <w:tc>
          <w:tcPr>
            <w:tcW w:w="5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revenue (e)</w:t>
            </w: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125.8</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90.7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275.2</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170.5</w:t>
            </w:r>
          </w:p>
        </w:tc>
        <w:tc>
          <w:tcPr>
            <w:tcW w:w="0" w:type="dxa"/>
            <w:vAlign w:val="bottom"/>
          </w:tcPr>
          <w:p>
            <w:pPr>
              <w:spacing w:after="0"/>
              <w:rPr>
                <w:sz w:val="1"/>
                <w:szCs w:val="1"/>
                <w:color w:val="auto"/>
              </w:rPr>
            </w:pPr>
          </w:p>
        </w:tc>
      </w:tr>
      <w:tr>
        <w:trPr>
          <w:trHeight w:val="201"/>
        </w:trPr>
        <w:tc>
          <w:tcPr>
            <w:tcW w:w="5980" w:type="dxa"/>
            <w:vAlign w:val="bottom"/>
          </w:tcPr>
          <w:p>
            <w:pPr>
              <w:ind w:left="420"/>
              <w:spacing w:after="0"/>
              <w:rPr>
                <w:sz w:val="20"/>
                <w:szCs w:val="20"/>
                <w:color w:val="auto"/>
              </w:rPr>
            </w:pPr>
            <w:r>
              <w:rPr>
                <w:rFonts w:ascii="Arial" w:cs="Arial" w:eastAsia="Arial" w:hAnsi="Arial"/>
                <w:sz w:val="16"/>
                <w:szCs w:val="16"/>
                <w:color w:val="auto"/>
              </w:rPr>
              <w:t>Total</w:t>
            </w:r>
          </w:p>
        </w:tc>
        <w:tc>
          <w:tcPr>
            <w:tcW w:w="280" w:type="dxa"/>
            <w:vAlign w:val="bottom"/>
            <w:tcBorders>
              <w:top w:val="single" w:sz="8" w:color="auto"/>
            </w:tcBorders>
          </w:tcPr>
          <w:p>
            <w:pPr>
              <w:jc w:val="right"/>
              <w:ind w:right="102"/>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24"/>
              <w:spacing w:after="0"/>
              <w:rPr>
                <w:sz w:val="20"/>
                <w:szCs w:val="20"/>
                <w:color w:val="auto"/>
              </w:rPr>
            </w:pPr>
            <w:r>
              <w:rPr>
                <w:rFonts w:ascii="Arial" w:cs="Arial" w:eastAsia="Arial" w:hAnsi="Arial"/>
                <w:sz w:val="16"/>
                <w:szCs w:val="16"/>
                <w:color w:val="auto"/>
              </w:rPr>
              <w:t>2,722.9</w:t>
            </w:r>
          </w:p>
        </w:tc>
        <w:tc>
          <w:tcPr>
            <w:tcW w:w="120" w:type="dxa"/>
            <w:vAlign w:val="bottom"/>
          </w:tcPr>
          <w:p>
            <w:pPr>
              <w:spacing w:after="0"/>
              <w:rPr>
                <w:sz w:val="17"/>
                <w:szCs w:val="17"/>
                <w:color w:val="auto"/>
              </w:rPr>
            </w:pPr>
          </w:p>
        </w:tc>
        <w:tc>
          <w:tcPr>
            <w:tcW w:w="360" w:type="dxa"/>
            <w:vAlign w:val="bottom"/>
            <w:tcBorders>
              <w:top w:val="single" w:sz="8" w:color="auto"/>
            </w:tcBorders>
          </w:tcPr>
          <w:p>
            <w:pPr>
              <w:jc w:val="right"/>
              <w:ind w:right="182"/>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2,850.4</w:t>
            </w:r>
          </w:p>
        </w:tc>
        <w:tc>
          <w:tcPr>
            <w:tcW w:w="100" w:type="dxa"/>
            <w:vAlign w:val="bottom"/>
          </w:tcPr>
          <w:p>
            <w:pPr>
              <w:spacing w:after="0"/>
              <w:rPr>
                <w:sz w:val="17"/>
                <w:szCs w:val="17"/>
                <w:color w:val="auto"/>
              </w:rPr>
            </w:pPr>
          </w:p>
        </w:tc>
        <w:tc>
          <w:tcPr>
            <w:tcW w:w="360" w:type="dxa"/>
            <w:vAlign w:val="bottom"/>
            <w:tcBorders>
              <w:top w:val="single" w:sz="8" w:color="auto"/>
            </w:tcBorders>
          </w:tcPr>
          <w:p>
            <w:pPr>
              <w:jc w:val="right"/>
              <w:ind w:right="182"/>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24"/>
              <w:spacing w:after="0"/>
              <w:rPr>
                <w:sz w:val="20"/>
                <w:szCs w:val="20"/>
                <w:color w:val="auto"/>
              </w:rPr>
            </w:pPr>
            <w:r>
              <w:rPr>
                <w:rFonts w:ascii="Arial" w:cs="Arial" w:eastAsia="Arial" w:hAnsi="Arial"/>
                <w:sz w:val="16"/>
                <w:szCs w:val="16"/>
                <w:color w:val="auto"/>
              </w:rPr>
              <w:t>5,598.7</w:t>
            </w:r>
          </w:p>
        </w:tc>
        <w:tc>
          <w:tcPr>
            <w:tcW w:w="120" w:type="dxa"/>
            <w:vAlign w:val="bottom"/>
          </w:tcPr>
          <w:p>
            <w:pPr>
              <w:spacing w:after="0"/>
              <w:rPr>
                <w:sz w:val="17"/>
                <w:szCs w:val="17"/>
                <w:color w:val="auto"/>
              </w:rPr>
            </w:pPr>
          </w:p>
        </w:tc>
        <w:tc>
          <w:tcPr>
            <w:tcW w:w="340" w:type="dxa"/>
            <w:vAlign w:val="bottom"/>
            <w:tcBorders>
              <w:top w:val="single" w:sz="8" w:color="auto"/>
            </w:tcBorders>
          </w:tcPr>
          <w:p>
            <w:pPr>
              <w:jc w:val="right"/>
              <w:ind w:right="162"/>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5,718.4</w:t>
            </w:r>
          </w:p>
        </w:tc>
        <w:tc>
          <w:tcPr>
            <w:tcW w:w="0" w:type="dxa"/>
            <w:vAlign w:val="bottom"/>
          </w:tcPr>
          <w:p>
            <w:pPr>
              <w:spacing w:after="0"/>
              <w:rPr>
                <w:sz w:val="1"/>
                <w:szCs w:val="1"/>
                <w:color w:val="auto"/>
              </w:rPr>
            </w:pPr>
          </w:p>
        </w:tc>
      </w:tr>
      <w:tr>
        <w:trPr>
          <w:trHeight w:val="24"/>
        </w:trPr>
        <w:tc>
          <w:tcPr>
            <w:tcW w:w="5980" w:type="dxa"/>
            <w:vAlign w:val="bottom"/>
            <w:vMerge w:val="restart"/>
          </w:tcPr>
          <w:p>
            <w:pPr>
              <w:spacing w:after="0"/>
              <w:rPr>
                <w:sz w:val="20"/>
                <w:szCs w:val="20"/>
                <w:color w:val="auto"/>
              </w:rPr>
            </w:pPr>
            <w:r>
              <w:rPr>
                <w:rFonts w:ascii="Arial" w:cs="Arial" w:eastAsia="Arial" w:hAnsi="Arial"/>
                <w:sz w:val="16"/>
                <w:szCs w:val="16"/>
                <w:color w:val="auto"/>
              </w:rPr>
              <w:t>_______________</w:t>
            </w: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98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598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427" w:hanging="427"/>
        <w:spacing w:after="0" w:line="329" w:lineRule="auto"/>
        <w:tabs>
          <w:tab w:leader="none" w:pos="427" w:val="left"/>
        </w:tabs>
        <w:numPr>
          <w:ilvl w:val="0"/>
          <w:numId w:val="43"/>
        </w:numPr>
        <w:rPr>
          <w:rFonts w:ascii="Arial" w:cs="Arial" w:eastAsia="Arial" w:hAnsi="Arial"/>
          <w:sz w:val="14"/>
          <w:szCs w:val="14"/>
          <w:color w:val="auto"/>
        </w:rPr>
      </w:pPr>
      <w:r>
        <w:rPr>
          <w:rFonts w:ascii="Arial" w:cs="Arial" w:eastAsia="Arial" w:hAnsi="Arial"/>
          <w:sz w:val="14"/>
          <w:szCs w:val="14"/>
          <w:color w:val="auto"/>
        </w:rPr>
        <w:t>Residential cable subscription revenue includes amounts received from subscribers for ongoing services and the recognition of deferred installation revenue over the associated contract period. Residential cable non-subscription revenue includes, among other items, channel carriage fees, late fees and revenue from the sale of equipment.</w:t>
      </w:r>
    </w:p>
    <w:p>
      <w:pPr>
        <w:spacing w:after="0" w:line="117" w:lineRule="exact"/>
        <w:rPr>
          <w:rFonts w:ascii="Arial" w:cs="Arial" w:eastAsia="Arial" w:hAnsi="Arial"/>
          <w:sz w:val="14"/>
          <w:szCs w:val="14"/>
          <w:color w:val="auto"/>
        </w:rPr>
      </w:pPr>
    </w:p>
    <w:p>
      <w:pPr>
        <w:jc w:val="both"/>
        <w:ind w:left="427" w:right="20" w:hanging="427"/>
        <w:spacing w:after="0" w:line="250" w:lineRule="auto"/>
        <w:tabs>
          <w:tab w:leader="none" w:pos="427"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Residential subscription revenue from subscribers who purchase bundled services at a discounted rate is generally allocated proportionally to each service based on the standalone price for each individual service. As a result, changes in the standalone pricing of our cable and mobile products or the composition of bundles can contribute to changes in our product revenue categories from period to period.</w:t>
      </w:r>
    </w:p>
    <w:p>
      <w:pPr>
        <w:spacing w:after="0" w:line="169" w:lineRule="exact"/>
        <w:rPr>
          <w:rFonts w:ascii="Arial" w:cs="Arial" w:eastAsia="Arial" w:hAnsi="Arial"/>
          <w:sz w:val="16"/>
          <w:szCs w:val="16"/>
          <w:color w:val="auto"/>
        </w:rPr>
      </w:pPr>
    </w:p>
    <w:p>
      <w:pPr>
        <w:ind w:left="427" w:right="20" w:hanging="427"/>
        <w:spacing w:after="0" w:line="258" w:lineRule="auto"/>
        <w:tabs>
          <w:tab w:leader="none" w:pos="427"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Residential mobile subscription revenue includes amounts received from subscribers for ongoing services. Residential mobile non-subscription revenue includes, among other items, interconnect revenue and revenue from sales of mobile handsets and other devices.</w:t>
      </w:r>
    </w:p>
    <w:p>
      <w:pPr>
        <w:spacing w:after="0" w:line="156" w:lineRule="exact"/>
        <w:rPr>
          <w:rFonts w:ascii="Arial" w:cs="Arial" w:eastAsia="Arial" w:hAnsi="Arial"/>
          <w:sz w:val="16"/>
          <w:szCs w:val="16"/>
          <w:color w:val="auto"/>
        </w:rPr>
      </w:pPr>
    </w:p>
    <w:p>
      <w:pPr>
        <w:jc w:val="both"/>
        <w:ind w:left="427" w:hanging="427"/>
        <w:spacing w:after="0" w:line="297" w:lineRule="auto"/>
        <w:tabs>
          <w:tab w:leader="none" w:pos="427" w:val="left"/>
        </w:tabs>
        <w:numPr>
          <w:ilvl w:val="0"/>
          <w:numId w:val="43"/>
        </w:numPr>
        <w:rPr>
          <w:rFonts w:ascii="Arial" w:cs="Arial" w:eastAsia="Arial" w:hAnsi="Arial"/>
          <w:sz w:val="14"/>
          <w:szCs w:val="14"/>
          <w:color w:val="auto"/>
        </w:rPr>
      </w:pPr>
      <w:r>
        <w:rPr>
          <w:rFonts w:ascii="Arial" w:cs="Arial" w:eastAsia="Arial" w:hAnsi="Arial"/>
          <w:sz w:val="14"/>
          <w:szCs w:val="14"/>
          <w:color w:val="auto"/>
        </w:rPr>
        <w:t>B2B subscription revenue represents revenue from services to certain small or home office (</w:t>
      </w:r>
      <w:r>
        <w:rPr>
          <w:rFonts w:ascii="Arial" w:cs="Arial" w:eastAsia="Arial" w:hAnsi="Arial"/>
          <w:sz w:val="14"/>
          <w:szCs w:val="14"/>
          <w:b w:val="1"/>
          <w:bCs w:val="1"/>
          <w:color w:val="auto"/>
        </w:rPr>
        <w:t>SOHO</w:t>
      </w:r>
      <w:r>
        <w:rPr>
          <w:rFonts w:ascii="Arial" w:cs="Arial" w:eastAsia="Arial" w:hAnsi="Arial"/>
          <w:sz w:val="14"/>
          <w:szCs w:val="14"/>
          <w:color w:val="auto"/>
        </w:rPr>
        <w:t>) subscribers. SOHO subscribers pay a premium price to receive expanded service levels along with broadband internet, video, fixed-line telephony or mobile services that are the same or similar to the mass marketed products offered to our residential subscribers. B2B non-subscription revenue includes (i) revenue from business broadband internet, video, fixed-line telephony, mobile and data services offered to medium to large enterprises and, on a wholesale basis, to other operators and (ii) revenue from long-term leases of portions of our network.</w:t>
      </w:r>
    </w:p>
    <w:p>
      <w:pPr>
        <w:spacing w:after="0" w:line="140"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267"/>
          </w:cols>
          <w:pgMar w:left="313" w:top="263" w:right="319" w:bottom="1440" w:gutter="0" w:footer="0" w:header="0"/>
        </w:sectPr>
      </w:pPr>
    </w:p>
    <w:bookmarkStart w:id="49" w:name="page50"/>
    <w:bookmarkEnd w:id="49"/>
    <w:p>
      <w:pPr>
        <w:jc w:val="center"/>
        <w:ind w:right="-6"/>
        <w:spacing w:after="0"/>
        <w:rPr>
          <w:sz w:val="20"/>
          <w:szCs w:val="20"/>
          <w:color w:val="auto"/>
        </w:rPr>
      </w:pPr>
      <w:r>
        <w:rPr>
          <w:rFonts w:ascii="Arial" w:cs="Arial" w:eastAsia="Arial" w:hAnsi="Arial"/>
          <w:sz w:val="16"/>
          <w:szCs w:val="16"/>
          <w:b w:val="1"/>
          <w:bCs w:val="1"/>
          <w:color w:val="auto"/>
        </w:rPr>
        <w:t>LIBERTY GLOBAL PLC</w:t>
      </w:r>
    </w:p>
    <w:p>
      <w:pPr>
        <w:spacing w:after="0" w:line="18"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Notes to Condensed Consolidated Financial Statements — (Continued)</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June 30, 2020</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27" w:right="20" w:hanging="427"/>
        <w:spacing w:after="0" w:line="258" w:lineRule="auto"/>
        <w:tabs>
          <w:tab w:leader="none" w:pos="427" w:val="left"/>
        </w:tabs>
        <w:numPr>
          <w:ilvl w:val="0"/>
          <w:numId w:val="44"/>
        </w:numPr>
        <w:rPr>
          <w:rFonts w:ascii="Arial" w:cs="Arial" w:eastAsia="Arial" w:hAnsi="Arial"/>
          <w:sz w:val="16"/>
          <w:szCs w:val="16"/>
          <w:color w:val="auto"/>
        </w:rPr>
      </w:pPr>
      <w:r>
        <w:rPr>
          <w:rFonts w:ascii="Arial" w:cs="Arial" w:eastAsia="Arial" w:hAnsi="Arial"/>
          <w:sz w:val="16"/>
          <w:szCs w:val="16"/>
          <w:color w:val="auto"/>
        </w:rPr>
        <w:t>Other revenue includes, among other items, (i) revenue earned from transitional and other services provided to various third parties, (ii) revenue earned from the JV Services and the sale of customer premises equipment to the VodafoneZiggo JV and (iii) broadcasting revenue in Belgium and Ireland.</w:t>
      </w:r>
    </w:p>
    <w:p>
      <w:pPr>
        <w:spacing w:after="0" w:line="163" w:lineRule="exact"/>
        <w:rPr>
          <w:sz w:val="20"/>
          <w:szCs w:val="20"/>
          <w:color w:val="auto"/>
        </w:rPr>
      </w:pPr>
    </w:p>
    <w:p>
      <w:pPr>
        <w:ind w:left="147"/>
        <w:spacing w:after="0"/>
        <w:rPr>
          <w:sz w:val="20"/>
          <w:szCs w:val="20"/>
          <w:color w:val="auto"/>
        </w:rPr>
      </w:pPr>
      <w:r>
        <w:rPr>
          <w:rFonts w:ascii="Arial" w:cs="Arial" w:eastAsia="Arial" w:hAnsi="Arial"/>
          <w:sz w:val="16"/>
          <w:szCs w:val="16"/>
          <w:b w:val="1"/>
          <w:bCs w:val="1"/>
          <w:i w:val="1"/>
          <w:iCs w:val="1"/>
          <w:color w:val="auto"/>
        </w:rPr>
        <w:t>Geographic Segments</w:t>
      </w:r>
    </w:p>
    <w:p>
      <w:pPr>
        <w:spacing w:after="0" w:line="188" w:lineRule="exact"/>
        <w:rPr>
          <w:sz w:val="20"/>
          <w:szCs w:val="20"/>
          <w:color w:val="auto"/>
        </w:rPr>
      </w:pPr>
    </w:p>
    <w:p>
      <w:pPr>
        <w:ind w:left="287"/>
        <w:spacing w:after="0"/>
        <w:rPr>
          <w:sz w:val="20"/>
          <w:szCs w:val="20"/>
          <w:color w:val="auto"/>
        </w:rPr>
      </w:pPr>
      <w:r>
        <w:rPr>
          <w:rFonts w:ascii="Arial" w:cs="Arial" w:eastAsia="Arial" w:hAnsi="Arial"/>
          <w:sz w:val="16"/>
          <w:szCs w:val="16"/>
          <w:color w:val="auto"/>
        </w:rPr>
        <w:t>The revenue of our geographic segments is set forth below:</w:t>
      </w:r>
    </w:p>
    <w:p>
      <w:pPr>
        <w:spacing w:after="0" w:line="140"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41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4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5"/>
                <w:szCs w:val="15"/>
                <w:color w:val="auto"/>
              </w:rPr>
            </w:pPr>
          </w:p>
        </w:tc>
        <w:tc>
          <w:tcPr>
            <w:tcW w:w="2200" w:type="dxa"/>
            <w:vAlign w:val="bottom"/>
            <w:gridSpan w:val="4"/>
          </w:tcPr>
          <w:p>
            <w:pPr>
              <w:jc w:val="right"/>
              <w:ind w:right="66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2"/>
        </w:trPr>
        <w:tc>
          <w:tcPr>
            <w:tcW w:w="41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gridSpan w:val="3"/>
          </w:tcPr>
          <w:p>
            <w:pPr>
              <w:jc w:val="right"/>
              <w:ind w:right="82"/>
              <w:spacing w:after="0"/>
              <w:rPr>
                <w:sz w:val="20"/>
                <w:szCs w:val="20"/>
                <w:color w:val="auto"/>
              </w:rPr>
            </w:pPr>
            <w:r>
              <w:rPr>
                <w:rFonts w:ascii="Arial" w:cs="Arial" w:eastAsia="Arial" w:hAnsi="Arial"/>
                <w:sz w:val="14"/>
                <w:szCs w:val="14"/>
                <w:b w:val="1"/>
                <w:bCs w:val="1"/>
                <w:color w:val="auto"/>
              </w:rPr>
              <w:t>June 30,</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gridSpan w:val="3"/>
          </w:tcPr>
          <w:p>
            <w:pPr>
              <w:jc w:val="right"/>
              <w:ind w:right="62"/>
              <w:spacing w:after="0"/>
              <w:rPr>
                <w:sz w:val="20"/>
                <w:szCs w:val="20"/>
                <w:color w:val="auto"/>
              </w:rPr>
            </w:pPr>
            <w:r>
              <w:rPr>
                <w:rFonts w:ascii="Arial" w:cs="Arial" w:eastAsia="Arial" w:hAnsi="Arial"/>
                <w:sz w:val="14"/>
                <w:szCs w:val="14"/>
                <w:b w:val="1"/>
                <w:bCs w:val="1"/>
                <w:color w:val="auto"/>
              </w:rPr>
              <w:t>June 30,</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4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41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40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ind w:right="40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jc w:val="right"/>
              <w:ind w:right="38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ind w:right="40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8"/>
        </w:trPr>
        <w:tc>
          <w:tcPr>
            <w:tcW w:w="4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41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gridSpan w:val="3"/>
          </w:tcPr>
          <w:p>
            <w:pPr>
              <w:jc w:val="right"/>
              <w:ind w:right="42"/>
              <w:spacing w:after="0"/>
              <w:rPr>
                <w:sz w:val="20"/>
                <w:szCs w:val="20"/>
                <w:color w:val="auto"/>
              </w:rPr>
            </w:pPr>
            <w:r>
              <w:rPr>
                <w:rFonts w:ascii="Arial" w:cs="Arial" w:eastAsia="Arial" w:hAnsi="Arial"/>
                <w:sz w:val="14"/>
                <w:szCs w:val="14"/>
                <w:b w:val="1"/>
                <w:bCs w:val="1"/>
                <w:color w:val="auto"/>
              </w:rPr>
              <w:t>in millions</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1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U.K.</w:t>
            </w:r>
          </w:p>
        </w:tc>
        <w:tc>
          <w:tcPr>
            <w:tcW w:w="216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1,417.2</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1,517.7</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2,913.6</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3,051.2</w:t>
            </w:r>
          </w:p>
        </w:tc>
        <w:tc>
          <w:tcPr>
            <w:tcW w:w="0" w:type="dxa"/>
            <w:vAlign w:val="bottom"/>
          </w:tcPr>
          <w:p>
            <w:pPr>
              <w:spacing w:after="0"/>
              <w:rPr>
                <w:sz w:val="1"/>
                <w:szCs w:val="1"/>
                <w:color w:val="auto"/>
              </w:rPr>
            </w:pPr>
          </w:p>
        </w:tc>
      </w:tr>
      <w:tr>
        <w:trPr>
          <w:trHeight w:val="209"/>
        </w:trPr>
        <w:tc>
          <w:tcPr>
            <w:tcW w:w="4100" w:type="dxa"/>
            <w:vAlign w:val="bottom"/>
          </w:tcPr>
          <w:p>
            <w:pPr>
              <w:ind w:left="20"/>
              <w:spacing w:after="0"/>
              <w:rPr>
                <w:sz w:val="20"/>
                <w:szCs w:val="20"/>
                <w:color w:val="auto"/>
              </w:rPr>
            </w:pPr>
            <w:r>
              <w:rPr>
                <w:rFonts w:ascii="Arial" w:cs="Arial" w:eastAsia="Arial" w:hAnsi="Arial"/>
                <w:sz w:val="16"/>
                <w:szCs w:val="16"/>
                <w:color w:val="auto"/>
              </w:rPr>
              <w:t>Belgium</w:t>
            </w:r>
          </w:p>
        </w:tc>
        <w:tc>
          <w:tcPr>
            <w:tcW w:w="1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24"/>
              <w:spacing w:after="0"/>
              <w:rPr>
                <w:sz w:val="20"/>
                <w:szCs w:val="20"/>
                <w:color w:val="auto"/>
              </w:rPr>
            </w:pPr>
            <w:r>
              <w:rPr>
                <w:rFonts w:ascii="Arial" w:cs="Arial" w:eastAsia="Arial" w:hAnsi="Arial"/>
                <w:sz w:val="16"/>
                <w:szCs w:val="16"/>
                <w:color w:val="auto"/>
              </w:rPr>
              <w:t>682.5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6"/>
                <w:szCs w:val="16"/>
                <w:color w:val="auto"/>
              </w:rPr>
              <w:t>713.2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24"/>
              <w:spacing w:after="0"/>
              <w:rPr>
                <w:sz w:val="20"/>
                <w:szCs w:val="20"/>
                <w:color w:val="auto"/>
              </w:rPr>
            </w:pPr>
            <w:r>
              <w:rPr>
                <w:rFonts w:ascii="Arial" w:cs="Arial" w:eastAsia="Arial" w:hAnsi="Arial"/>
                <w:sz w:val="16"/>
                <w:szCs w:val="16"/>
                <w:color w:val="auto"/>
              </w:rPr>
              <w:t>1,400.6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1,425.1</w:t>
            </w:r>
          </w:p>
        </w:tc>
        <w:tc>
          <w:tcPr>
            <w:tcW w:w="0" w:type="dxa"/>
            <w:vAlign w:val="bottom"/>
          </w:tcPr>
          <w:p>
            <w:pPr>
              <w:spacing w:after="0"/>
              <w:rPr>
                <w:sz w:val="1"/>
                <w:szCs w:val="1"/>
                <w:color w:val="auto"/>
              </w:rPr>
            </w:pPr>
          </w:p>
        </w:tc>
      </w:tr>
      <w:tr>
        <w:trPr>
          <w:trHeight w:val="24"/>
        </w:trPr>
        <w:tc>
          <w:tcPr>
            <w:tcW w:w="4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Switzerland</w:t>
            </w:r>
          </w:p>
        </w:tc>
        <w:tc>
          <w:tcPr>
            <w:tcW w:w="18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299.1</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315.0</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615.9</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631.0</w:t>
            </w:r>
          </w:p>
        </w:tc>
        <w:tc>
          <w:tcPr>
            <w:tcW w:w="0" w:type="dxa"/>
            <w:vAlign w:val="bottom"/>
          </w:tcPr>
          <w:p>
            <w:pPr>
              <w:spacing w:after="0"/>
              <w:rPr>
                <w:sz w:val="1"/>
                <w:szCs w:val="1"/>
                <w:color w:val="auto"/>
              </w:rPr>
            </w:pPr>
          </w:p>
        </w:tc>
      </w:tr>
      <w:tr>
        <w:trPr>
          <w:trHeight w:val="209"/>
        </w:trPr>
        <w:tc>
          <w:tcPr>
            <w:tcW w:w="4100" w:type="dxa"/>
            <w:vAlign w:val="bottom"/>
          </w:tcPr>
          <w:p>
            <w:pPr>
              <w:ind w:left="20"/>
              <w:spacing w:after="0"/>
              <w:rPr>
                <w:sz w:val="20"/>
                <w:szCs w:val="20"/>
                <w:color w:val="auto"/>
              </w:rPr>
            </w:pPr>
            <w:r>
              <w:rPr>
                <w:rFonts w:ascii="Arial" w:cs="Arial" w:eastAsia="Arial" w:hAnsi="Arial"/>
                <w:sz w:val="16"/>
                <w:szCs w:val="16"/>
                <w:color w:val="auto"/>
              </w:rPr>
              <w:t>Ireland</w:t>
            </w:r>
          </w:p>
        </w:tc>
        <w:tc>
          <w:tcPr>
            <w:tcW w:w="1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24"/>
              <w:spacing w:after="0"/>
              <w:rPr>
                <w:sz w:val="20"/>
                <w:szCs w:val="20"/>
                <w:color w:val="auto"/>
              </w:rPr>
            </w:pPr>
            <w:r>
              <w:rPr>
                <w:rFonts w:ascii="Arial" w:cs="Arial" w:eastAsia="Arial" w:hAnsi="Arial"/>
                <w:sz w:val="16"/>
                <w:szCs w:val="16"/>
                <w:color w:val="auto"/>
              </w:rPr>
              <w:t>114.6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6"/>
                <w:szCs w:val="16"/>
                <w:color w:val="auto"/>
              </w:rPr>
              <w:t>126.3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24"/>
              <w:spacing w:after="0"/>
              <w:rPr>
                <w:sz w:val="20"/>
                <w:szCs w:val="20"/>
                <w:color w:val="auto"/>
              </w:rPr>
            </w:pPr>
            <w:r>
              <w:rPr>
                <w:rFonts w:ascii="Arial" w:cs="Arial" w:eastAsia="Arial" w:hAnsi="Arial"/>
                <w:sz w:val="16"/>
                <w:szCs w:val="16"/>
                <w:color w:val="auto"/>
              </w:rPr>
              <w:t>238.8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254.1</w:t>
            </w:r>
          </w:p>
        </w:tc>
        <w:tc>
          <w:tcPr>
            <w:tcW w:w="0" w:type="dxa"/>
            <w:vAlign w:val="bottom"/>
          </w:tcPr>
          <w:p>
            <w:pPr>
              <w:spacing w:after="0"/>
              <w:rPr>
                <w:sz w:val="1"/>
                <w:szCs w:val="1"/>
                <w:color w:val="auto"/>
              </w:rPr>
            </w:pPr>
          </w:p>
        </w:tc>
      </w:tr>
      <w:tr>
        <w:trPr>
          <w:trHeight w:val="24"/>
        </w:trPr>
        <w:tc>
          <w:tcPr>
            <w:tcW w:w="4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Poland</w:t>
            </w:r>
          </w:p>
        </w:tc>
        <w:tc>
          <w:tcPr>
            <w:tcW w:w="18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103.7</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106.7</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210.4</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213.4</w:t>
            </w:r>
          </w:p>
        </w:tc>
        <w:tc>
          <w:tcPr>
            <w:tcW w:w="0" w:type="dxa"/>
            <w:vAlign w:val="bottom"/>
          </w:tcPr>
          <w:p>
            <w:pPr>
              <w:spacing w:after="0"/>
              <w:rPr>
                <w:sz w:val="1"/>
                <w:szCs w:val="1"/>
                <w:color w:val="auto"/>
              </w:rPr>
            </w:pPr>
          </w:p>
        </w:tc>
      </w:tr>
      <w:tr>
        <w:trPr>
          <w:trHeight w:val="209"/>
        </w:trPr>
        <w:tc>
          <w:tcPr>
            <w:tcW w:w="4100" w:type="dxa"/>
            <w:vAlign w:val="bottom"/>
          </w:tcPr>
          <w:p>
            <w:pPr>
              <w:ind w:left="20"/>
              <w:spacing w:after="0"/>
              <w:rPr>
                <w:sz w:val="20"/>
                <w:szCs w:val="20"/>
                <w:color w:val="auto"/>
              </w:rPr>
            </w:pPr>
            <w:r>
              <w:rPr>
                <w:rFonts w:ascii="Arial" w:cs="Arial" w:eastAsia="Arial" w:hAnsi="Arial"/>
                <w:sz w:val="16"/>
                <w:szCs w:val="16"/>
                <w:color w:val="auto"/>
              </w:rPr>
              <w:t>Slovakia</w:t>
            </w:r>
          </w:p>
        </w:tc>
        <w:tc>
          <w:tcPr>
            <w:tcW w:w="1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24"/>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24"/>
              <w:spacing w:after="0"/>
              <w:rPr>
                <w:sz w:val="20"/>
                <w:szCs w:val="20"/>
                <w:color w:val="auto"/>
              </w:rPr>
            </w:pPr>
            <w:r>
              <w:rPr>
                <w:rFonts w:ascii="Arial" w:cs="Arial" w:eastAsia="Arial" w:hAnsi="Arial"/>
                <w:sz w:val="16"/>
                <w:szCs w:val="16"/>
                <w:color w:val="auto"/>
              </w:rPr>
              <w:t>24.9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24.8</w:t>
            </w:r>
          </w:p>
        </w:tc>
        <w:tc>
          <w:tcPr>
            <w:tcW w:w="0" w:type="dxa"/>
            <w:vAlign w:val="bottom"/>
          </w:tcPr>
          <w:p>
            <w:pPr>
              <w:spacing w:after="0"/>
              <w:rPr>
                <w:sz w:val="1"/>
                <w:szCs w:val="1"/>
                <w:color w:val="auto"/>
              </w:rPr>
            </w:pPr>
          </w:p>
        </w:tc>
      </w:tr>
      <w:tr>
        <w:trPr>
          <w:trHeight w:val="24"/>
        </w:trPr>
        <w:tc>
          <w:tcPr>
            <w:tcW w:w="4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including intersegment eliminations</w:t>
            </w:r>
          </w:p>
        </w:tc>
        <w:tc>
          <w:tcPr>
            <w:tcW w:w="18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93.3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59.1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194.5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118.8</w:t>
            </w:r>
          </w:p>
        </w:tc>
        <w:tc>
          <w:tcPr>
            <w:tcW w:w="0" w:type="dxa"/>
            <w:vAlign w:val="bottom"/>
          </w:tcPr>
          <w:p>
            <w:pPr>
              <w:spacing w:after="0"/>
              <w:rPr>
                <w:sz w:val="1"/>
                <w:szCs w:val="1"/>
                <w:color w:val="auto"/>
              </w:rPr>
            </w:pPr>
          </w:p>
        </w:tc>
      </w:tr>
      <w:tr>
        <w:trPr>
          <w:trHeight w:val="201"/>
        </w:trPr>
        <w:tc>
          <w:tcPr>
            <w:tcW w:w="4100" w:type="dxa"/>
            <w:vAlign w:val="bottom"/>
          </w:tcPr>
          <w:p>
            <w:pPr>
              <w:ind w:left="140"/>
              <w:spacing w:after="0"/>
              <w:rPr>
                <w:sz w:val="20"/>
                <w:szCs w:val="20"/>
                <w:color w:val="auto"/>
              </w:rPr>
            </w:pPr>
            <w:r>
              <w:rPr>
                <w:rFonts w:ascii="Arial" w:cs="Arial" w:eastAsia="Arial" w:hAnsi="Arial"/>
                <w:sz w:val="16"/>
                <w:szCs w:val="16"/>
                <w:color w:val="auto"/>
              </w:rPr>
              <w:t>Total</w:t>
            </w:r>
          </w:p>
        </w:tc>
        <w:tc>
          <w:tcPr>
            <w:tcW w:w="1880" w:type="dxa"/>
            <w:vAlign w:val="bottom"/>
          </w:tcPr>
          <w:p>
            <w:pPr>
              <w:spacing w:after="0"/>
              <w:rPr>
                <w:sz w:val="17"/>
                <w:szCs w:val="17"/>
                <w:color w:val="auto"/>
              </w:rPr>
            </w:pPr>
          </w:p>
        </w:tc>
        <w:tc>
          <w:tcPr>
            <w:tcW w:w="280" w:type="dxa"/>
            <w:vAlign w:val="bottom"/>
            <w:tcBorders>
              <w:top w:val="single" w:sz="8" w:color="auto"/>
            </w:tcBorders>
          </w:tcPr>
          <w:p>
            <w:pPr>
              <w:jc w:val="right"/>
              <w:ind w:right="102"/>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24"/>
              <w:spacing w:after="0"/>
              <w:rPr>
                <w:sz w:val="20"/>
                <w:szCs w:val="20"/>
                <w:color w:val="auto"/>
              </w:rPr>
            </w:pPr>
            <w:r>
              <w:rPr>
                <w:rFonts w:ascii="Arial" w:cs="Arial" w:eastAsia="Arial" w:hAnsi="Arial"/>
                <w:sz w:val="16"/>
                <w:szCs w:val="16"/>
                <w:color w:val="auto"/>
              </w:rPr>
              <w:t>2,722.9</w:t>
            </w:r>
          </w:p>
        </w:tc>
        <w:tc>
          <w:tcPr>
            <w:tcW w:w="120" w:type="dxa"/>
            <w:vAlign w:val="bottom"/>
          </w:tcPr>
          <w:p>
            <w:pPr>
              <w:spacing w:after="0"/>
              <w:rPr>
                <w:sz w:val="17"/>
                <w:szCs w:val="17"/>
                <w:color w:val="auto"/>
              </w:rPr>
            </w:pPr>
          </w:p>
        </w:tc>
        <w:tc>
          <w:tcPr>
            <w:tcW w:w="360" w:type="dxa"/>
            <w:vAlign w:val="bottom"/>
            <w:tcBorders>
              <w:top w:val="single" w:sz="8" w:color="auto"/>
            </w:tcBorders>
          </w:tcPr>
          <w:p>
            <w:pPr>
              <w:jc w:val="right"/>
              <w:ind w:right="182"/>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2,850.4</w:t>
            </w:r>
          </w:p>
        </w:tc>
        <w:tc>
          <w:tcPr>
            <w:tcW w:w="100" w:type="dxa"/>
            <w:vAlign w:val="bottom"/>
          </w:tcPr>
          <w:p>
            <w:pPr>
              <w:spacing w:after="0"/>
              <w:rPr>
                <w:sz w:val="17"/>
                <w:szCs w:val="17"/>
                <w:color w:val="auto"/>
              </w:rPr>
            </w:pPr>
          </w:p>
        </w:tc>
        <w:tc>
          <w:tcPr>
            <w:tcW w:w="360" w:type="dxa"/>
            <w:vAlign w:val="bottom"/>
            <w:tcBorders>
              <w:top w:val="single" w:sz="8" w:color="auto"/>
            </w:tcBorders>
          </w:tcPr>
          <w:p>
            <w:pPr>
              <w:jc w:val="right"/>
              <w:ind w:right="182"/>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24"/>
              <w:spacing w:after="0"/>
              <w:rPr>
                <w:sz w:val="20"/>
                <w:szCs w:val="20"/>
                <w:color w:val="auto"/>
              </w:rPr>
            </w:pPr>
            <w:r>
              <w:rPr>
                <w:rFonts w:ascii="Arial" w:cs="Arial" w:eastAsia="Arial" w:hAnsi="Arial"/>
                <w:sz w:val="16"/>
                <w:szCs w:val="16"/>
                <w:color w:val="auto"/>
              </w:rPr>
              <w:t>5,598.7</w:t>
            </w:r>
          </w:p>
        </w:tc>
        <w:tc>
          <w:tcPr>
            <w:tcW w:w="120" w:type="dxa"/>
            <w:vAlign w:val="bottom"/>
          </w:tcPr>
          <w:p>
            <w:pPr>
              <w:spacing w:after="0"/>
              <w:rPr>
                <w:sz w:val="17"/>
                <w:szCs w:val="17"/>
                <w:color w:val="auto"/>
              </w:rPr>
            </w:pPr>
          </w:p>
        </w:tc>
        <w:tc>
          <w:tcPr>
            <w:tcW w:w="340" w:type="dxa"/>
            <w:vAlign w:val="bottom"/>
            <w:tcBorders>
              <w:top w:val="single" w:sz="8" w:color="auto"/>
            </w:tcBorders>
          </w:tcPr>
          <w:p>
            <w:pPr>
              <w:jc w:val="right"/>
              <w:ind w:right="162"/>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5,718.4</w:t>
            </w:r>
          </w:p>
        </w:tc>
        <w:tc>
          <w:tcPr>
            <w:tcW w:w="0" w:type="dxa"/>
            <w:vAlign w:val="bottom"/>
          </w:tcPr>
          <w:p>
            <w:pPr>
              <w:spacing w:after="0"/>
              <w:rPr>
                <w:sz w:val="1"/>
                <w:szCs w:val="1"/>
                <w:color w:val="auto"/>
              </w:rPr>
            </w:pPr>
          </w:p>
        </w:tc>
      </w:tr>
      <w:tr>
        <w:trPr>
          <w:trHeight w:val="64"/>
        </w:trPr>
        <w:tc>
          <w:tcPr>
            <w:tcW w:w="4100" w:type="dxa"/>
            <w:vAlign w:val="bottom"/>
            <w:tcBorders>
              <w:bottom w:val="single" w:sz="8" w:color="CCEEFF"/>
            </w:tcBorders>
          </w:tcPr>
          <w:p>
            <w:pPr>
              <w:spacing w:after="0"/>
              <w:rPr>
                <w:sz w:val="5"/>
                <w:szCs w:val="5"/>
                <w:color w:val="auto"/>
              </w:rPr>
            </w:pPr>
          </w:p>
        </w:tc>
        <w:tc>
          <w:tcPr>
            <w:tcW w:w="18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4100" w:type="dxa"/>
            <w:vAlign w:val="bottom"/>
            <w:shd w:val="clear" w:color="auto" w:fill="CCEEFF"/>
          </w:tcPr>
          <w:p>
            <w:pPr>
              <w:spacing w:after="0"/>
              <w:rPr>
                <w:sz w:val="22"/>
                <w:szCs w:val="22"/>
                <w:color w:val="auto"/>
              </w:rPr>
            </w:pPr>
          </w:p>
        </w:tc>
        <w:tc>
          <w:tcPr>
            <w:tcW w:w="18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4100" w:type="dxa"/>
            <w:vAlign w:val="bottom"/>
          </w:tcPr>
          <w:p>
            <w:pPr>
              <w:ind w:left="20"/>
              <w:spacing w:after="0"/>
              <w:rPr>
                <w:sz w:val="20"/>
                <w:szCs w:val="20"/>
                <w:color w:val="auto"/>
              </w:rPr>
            </w:pPr>
            <w:r>
              <w:rPr>
                <w:rFonts w:ascii="Arial" w:cs="Arial" w:eastAsia="Arial" w:hAnsi="Arial"/>
                <w:sz w:val="16"/>
                <w:szCs w:val="16"/>
                <w:color w:val="auto"/>
              </w:rPr>
              <w:t>VodafoneZiggo JV (the Netherlands)</w:t>
            </w:r>
          </w:p>
        </w:tc>
        <w:tc>
          <w:tcPr>
            <w:tcW w:w="2160" w:type="dxa"/>
            <w:vAlign w:val="bottom"/>
            <w:gridSpan w:val="2"/>
          </w:tcPr>
          <w:p>
            <w:pPr>
              <w:jc w:val="right"/>
              <w:ind w:right="102"/>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4"/>
              <w:spacing w:after="0"/>
              <w:rPr>
                <w:sz w:val="20"/>
                <w:szCs w:val="20"/>
                <w:color w:val="auto"/>
              </w:rPr>
            </w:pPr>
            <w:r>
              <w:rPr>
                <w:rFonts w:ascii="Arial" w:cs="Arial" w:eastAsia="Arial" w:hAnsi="Arial"/>
                <w:sz w:val="16"/>
                <w:szCs w:val="16"/>
                <w:color w:val="auto"/>
              </w:rPr>
              <w:t>1,081.6</w:t>
            </w:r>
          </w:p>
        </w:tc>
        <w:tc>
          <w:tcPr>
            <w:tcW w:w="120" w:type="dxa"/>
            <w:vAlign w:val="bottom"/>
          </w:tcPr>
          <w:p>
            <w:pPr>
              <w:spacing w:after="0"/>
              <w:rPr>
                <w:sz w:val="18"/>
                <w:szCs w:val="18"/>
                <w:color w:val="auto"/>
              </w:rPr>
            </w:pPr>
          </w:p>
        </w:tc>
        <w:tc>
          <w:tcPr>
            <w:tcW w:w="360" w:type="dxa"/>
            <w:vAlign w:val="bottom"/>
          </w:tcPr>
          <w:p>
            <w:pPr>
              <w:jc w:val="right"/>
              <w:ind w:right="182"/>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4"/>
              <w:spacing w:after="0"/>
              <w:rPr>
                <w:sz w:val="20"/>
                <w:szCs w:val="20"/>
                <w:color w:val="auto"/>
              </w:rPr>
            </w:pPr>
            <w:r>
              <w:rPr>
                <w:rFonts w:ascii="Arial" w:cs="Arial" w:eastAsia="Arial" w:hAnsi="Arial"/>
                <w:sz w:val="16"/>
                <w:szCs w:val="16"/>
                <w:color w:val="auto"/>
              </w:rPr>
              <w:t>1,084.5</w:t>
            </w:r>
          </w:p>
        </w:tc>
        <w:tc>
          <w:tcPr>
            <w:tcW w:w="100" w:type="dxa"/>
            <w:vAlign w:val="bottom"/>
          </w:tcPr>
          <w:p>
            <w:pPr>
              <w:spacing w:after="0"/>
              <w:rPr>
                <w:sz w:val="18"/>
                <w:szCs w:val="18"/>
                <w:color w:val="auto"/>
              </w:rPr>
            </w:pPr>
          </w:p>
        </w:tc>
        <w:tc>
          <w:tcPr>
            <w:tcW w:w="360" w:type="dxa"/>
            <w:vAlign w:val="bottom"/>
          </w:tcPr>
          <w:p>
            <w:pPr>
              <w:jc w:val="right"/>
              <w:ind w:right="182"/>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4"/>
              <w:spacing w:after="0"/>
              <w:rPr>
                <w:sz w:val="20"/>
                <w:szCs w:val="20"/>
                <w:color w:val="auto"/>
              </w:rPr>
            </w:pPr>
            <w:r>
              <w:rPr>
                <w:rFonts w:ascii="Arial" w:cs="Arial" w:eastAsia="Arial" w:hAnsi="Arial"/>
                <w:sz w:val="16"/>
                <w:szCs w:val="16"/>
                <w:color w:val="auto"/>
              </w:rPr>
              <w:t>2,178.7</w:t>
            </w:r>
          </w:p>
        </w:tc>
        <w:tc>
          <w:tcPr>
            <w:tcW w:w="120" w:type="dxa"/>
            <w:vAlign w:val="bottom"/>
          </w:tcPr>
          <w:p>
            <w:pPr>
              <w:spacing w:after="0"/>
              <w:rPr>
                <w:sz w:val="18"/>
                <w:szCs w:val="18"/>
                <w:color w:val="auto"/>
              </w:rPr>
            </w:pP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2,178.4</w:t>
            </w:r>
          </w:p>
        </w:tc>
        <w:tc>
          <w:tcPr>
            <w:tcW w:w="0" w:type="dxa"/>
            <w:vAlign w:val="bottom"/>
          </w:tcPr>
          <w:p>
            <w:pPr>
              <w:spacing w:after="0"/>
              <w:rPr>
                <w:sz w:val="1"/>
                <w:szCs w:val="1"/>
                <w:color w:val="auto"/>
              </w:rPr>
            </w:pPr>
          </w:p>
        </w:tc>
      </w:tr>
      <w:tr>
        <w:trPr>
          <w:trHeight w:val="24"/>
        </w:trPr>
        <w:tc>
          <w:tcPr>
            <w:tcW w:w="4100" w:type="dxa"/>
            <w:vAlign w:val="bottom"/>
          </w:tcPr>
          <w:p>
            <w:pPr>
              <w:spacing w:after="0"/>
              <w:rPr>
                <w:sz w:val="2"/>
                <w:szCs w:val="2"/>
                <w:color w:val="auto"/>
              </w:rPr>
            </w:pPr>
          </w:p>
        </w:tc>
        <w:tc>
          <w:tcPr>
            <w:tcW w:w="1880" w:type="dxa"/>
            <w:vAlign w:val="bottom"/>
            <w:vMerge w:val="restart"/>
          </w:tcPr>
          <w:p>
            <w:pPr>
              <w:jc w:val="right"/>
              <w:ind w:right="202"/>
              <w:spacing w:after="0"/>
              <w:rPr>
                <w:sz w:val="20"/>
                <w:szCs w:val="20"/>
                <w:color w:val="auto"/>
              </w:rPr>
            </w:pPr>
            <w:r>
              <w:rPr>
                <w:rFonts w:ascii="Arial" w:cs="Arial" w:eastAsia="Arial" w:hAnsi="Arial"/>
                <w:sz w:val="16"/>
                <w:szCs w:val="16"/>
                <w:color w:val="auto"/>
              </w:rPr>
              <w:t>48</w:t>
            </w: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88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9"/>
        </w:trPr>
        <w:tc>
          <w:tcPr>
            <w:tcW w:w="410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7"/>
          </w:cols>
          <w:pgMar w:left="313" w:top="263" w:right="319" w:bottom="1440" w:gutter="0" w:footer="0" w:header="0"/>
        </w:sectPr>
      </w:pPr>
    </w:p>
    <w:bookmarkStart w:id="50" w:name="page51"/>
    <w:bookmarkEnd w:id="50"/>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194" w:lineRule="exact"/>
        <w:rPr>
          <w:sz w:val="20"/>
          <w:szCs w:val="20"/>
          <w:color w:val="auto"/>
        </w:rPr>
      </w:pPr>
    </w:p>
    <w:p>
      <w:pPr>
        <w:ind w:firstLine="279"/>
        <w:spacing w:after="0" w:line="329" w:lineRule="auto"/>
        <w:rPr>
          <w:sz w:val="20"/>
          <w:szCs w:val="20"/>
          <w:color w:val="auto"/>
        </w:rPr>
      </w:pPr>
      <w:r>
        <w:rPr>
          <w:rFonts w:ascii="Arial" w:cs="Arial" w:eastAsia="Arial" w:hAnsi="Arial"/>
          <w:sz w:val="14"/>
          <w:szCs w:val="14"/>
          <w:color w:val="auto"/>
        </w:rPr>
        <w:t>The following discussion and analysis, which should be read in conjunction with our condensed consolidated financial statements and the discussion and analysis included in our 10-K, is intended to assist in providing an understanding of our financial condition, changes in financial condition and results of operations and is organized as follows:</w:t>
      </w:r>
    </w:p>
    <w:p>
      <w:pPr>
        <w:spacing w:after="0" w:line="117" w:lineRule="exact"/>
        <w:rPr>
          <w:sz w:val="20"/>
          <w:szCs w:val="20"/>
          <w:color w:val="auto"/>
        </w:rPr>
      </w:pPr>
    </w:p>
    <w:p>
      <w:pPr>
        <w:ind w:left="560" w:right="20" w:hanging="288"/>
        <w:spacing w:after="0" w:line="258" w:lineRule="auto"/>
        <w:tabs>
          <w:tab w:leader="none" w:pos="560"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t xml:space="preserve">Forward-looking Statements. </w:t>
      </w:r>
      <w:r>
        <w:rPr>
          <w:rFonts w:ascii="Arial" w:cs="Arial" w:eastAsia="Arial" w:hAnsi="Arial"/>
          <w:sz w:val="16"/>
          <w:szCs w:val="16"/>
          <w:color w:val="auto"/>
        </w:rPr>
        <w:t>This section provides a description of certain factors that could cause actual results or events to differ materially from anticipated results or</w:t>
      </w:r>
      <w:r>
        <w:rPr>
          <w:rFonts w:ascii="Arial" w:cs="Arial" w:eastAsia="Arial" w:hAnsi="Arial"/>
          <w:sz w:val="16"/>
          <w:szCs w:val="16"/>
          <w:i w:val="1"/>
          <w:iCs w:val="1"/>
          <w:color w:val="auto"/>
        </w:rPr>
        <w:t xml:space="preserve"> </w:t>
      </w:r>
      <w:r>
        <w:rPr>
          <w:rFonts w:ascii="Arial" w:cs="Arial" w:eastAsia="Arial" w:hAnsi="Arial"/>
          <w:sz w:val="16"/>
          <w:szCs w:val="16"/>
          <w:color w:val="auto"/>
        </w:rPr>
        <w:t>events.</w:t>
      </w:r>
    </w:p>
    <w:p>
      <w:pPr>
        <w:spacing w:after="0" w:line="69" w:lineRule="exact"/>
        <w:rPr>
          <w:rFonts w:ascii="Arial" w:cs="Arial" w:eastAsia="Arial" w:hAnsi="Arial"/>
          <w:sz w:val="16"/>
          <w:szCs w:val="16"/>
          <w:color w:val="auto"/>
        </w:rPr>
      </w:pPr>
    </w:p>
    <w:p>
      <w:pPr>
        <w:ind w:left="560" w:hanging="288"/>
        <w:spacing w:after="0"/>
        <w:tabs>
          <w:tab w:leader="none" w:pos="560"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t xml:space="preserve">Overview. </w:t>
      </w:r>
      <w:r>
        <w:rPr>
          <w:rFonts w:ascii="Arial" w:cs="Arial" w:eastAsia="Arial" w:hAnsi="Arial"/>
          <w:sz w:val="16"/>
          <w:szCs w:val="16"/>
          <w:color w:val="auto"/>
        </w:rPr>
        <w:t>This section provides a general description of our business and recent events.</w:t>
      </w:r>
    </w:p>
    <w:p>
      <w:pPr>
        <w:spacing w:after="0" w:line="95" w:lineRule="exact"/>
        <w:rPr>
          <w:rFonts w:ascii="Arial" w:cs="Arial" w:eastAsia="Arial" w:hAnsi="Arial"/>
          <w:sz w:val="16"/>
          <w:szCs w:val="16"/>
          <w:color w:val="auto"/>
        </w:rPr>
      </w:pPr>
    </w:p>
    <w:p>
      <w:pPr>
        <w:ind w:left="560" w:hanging="288"/>
        <w:spacing w:after="0"/>
        <w:tabs>
          <w:tab w:leader="none" w:pos="560" w:val="left"/>
        </w:tabs>
        <w:numPr>
          <w:ilvl w:val="0"/>
          <w:numId w:val="45"/>
        </w:numPr>
        <w:rPr>
          <w:rFonts w:ascii="Arial" w:cs="Arial" w:eastAsia="Arial" w:hAnsi="Arial"/>
          <w:sz w:val="14"/>
          <w:szCs w:val="14"/>
          <w:color w:val="auto"/>
        </w:rPr>
      </w:pPr>
      <w:r>
        <w:rPr>
          <w:rFonts w:ascii="Arial" w:cs="Arial" w:eastAsia="Arial" w:hAnsi="Arial"/>
          <w:sz w:val="14"/>
          <w:szCs w:val="14"/>
          <w:i w:val="1"/>
          <w:iCs w:val="1"/>
          <w:color w:val="auto"/>
        </w:rPr>
        <w:t xml:space="preserve">Material Changes in Results of Operations. </w:t>
      </w:r>
      <w:r>
        <w:rPr>
          <w:rFonts w:ascii="Arial" w:cs="Arial" w:eastAsia="Arial" w:hAnsi="Arial"/>
          <w:sz w:val="14"/>
          <w:szCs w:val="14"/>
          <w:color w:val="auto"/>
        </w:rPr>
        <w:t>This section provides an analysis of our results of operations for the three and six months ended June 30, 2020 and 2019.</w:t>
      </w:r>
    </w:p>
    <w:p>
      <w:pPr>
        <w:spacing w:after="0" w:line="118" w:lineRule="exact"/>
        <w:rPr>
          <w:rFonts w:ascii="Arial" w:cs="Arial" w:eastAsia="Arial" w:hAnsi="Arial"/>
          <w:sz w:val="14"/>
          <w:szCs w:val="14"/>
          <w:color w:val="auto"/>
        </w:rPr>
      </w:pPr>
    </w:p>
    <w:p>
      <w:pPr>
        <w:ind w:left="560" w:hanging="288"/>
        <w:spacing w:after="0" w:line="258" w:lineRule="auto"/>
        <w:tabs>
          <w:tab w:leader="none" w:pos="560"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t xml:space="preserve">Material Changes in Financial Condition. </w:t>
      </w:r>
      <w:r>
        <w:rPr>
          <w:rFonts w:ascii="Arial" w:cs="Arial" w:eastAsia="Arial" w:hAnsi="Arial"/>
          <w:sz w:val="16"/>
          <w:szCs w:val="16"/>
          <w:color w:val="auto"/>
        </w:rPr>
        <w:t>This section provides an analysis of our corporate and subsidiary liquidity, condensed consolidated statements of cash flows and</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contractual commitments.</w:t>
      </w:r>
    </w:p>
    <w:p>
      <w:pPr>
        <w:spacing w:after="0" w:line="163" w:lineRule="exact"/>
        <w:rPr>
          <w:sz w:val="20"/>
          <w:szCs w:val="20"/>
          <w:color w:val="auto"/>
        </w:rPr>
      </w:pPr>
    </w:p>
    <w:p>
      <w:pPr>
        <w:jc w:val="both"/>
        <w:ind w:firstLine="279"/>
        <w:spacing w:after="0" w:line="258" w:lineRule="auto"/>
        <w:rPr>
          <w:sz w:val="20"/>
          <w:szCs w:val="20"/>
          <w:color w:val="auto"/>
        </w:rPr>
      </w:pPr>
      <w:r>
        <w:rPr>
          <w:rFonts w:ascii="Arial" w:cs="Arial" w:eastAsia="Arial" w:hAnsi="Arial"/>
          <w:sz w:val="16"/>
          <w:szCs w:val="16"/>
          <w:color w:val="auto"/>
        </w:rPr>
        <w:t>The capitalized terms used below have been defined in the notes to our condensed consolidated financial statements. In the following text, the terms “we,” “our,” “our company” and “us” may refer, as the context requires, to Liberty Global or collectively to Liberty Global and its subsidiaries.</w:t>
      </w:r>
    </w:p>
    <w:p>
      <w:pPr>
        <w:spacing w:after="0" w:line="16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Unless otherwise indicated, convenience translations into U.S. dollars are calculated as of June 30, 2020.</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194" w:lineRule="exact"/>
        <w:rPr>
          <w:sz w:val="20"/>
          <w:szCs w:val="20"/>
          <w:color w:val="auto"/>
        </w:rPr>
      </w:pPr>
    </w:p>
    <w:p>
      <w:pPr>
        <w:jc w:val="both"/>
        <w:ind w:firstLine="279"/>
        <w:spacing w:after="0" w:line="282" w:lineRule="auto"/>
        <w:rPr>
          <w:sz w:val="20"/>
          <w:szCs w:val="20"/>
          <w:color w:val="auto"/>
        </w:rPr>
      </w:pPr>
      <w:r>
        <w:rPr>
          <w:rFonts w:ascii="Arial" w:cs="Arial" w:eastAsia="Arial" w:hAnsi="Arial"/>
          <w:sz w:val="14"/>
          <w:szCs w:val="14"/>
          <w:color w:val="auto"/>
        </w:rPr>
        <w:t xml:space="preserve">Certain statements in this Quarterly Report on Form 10-Q constitute forward-looking statements within the meaning of the Private Securities Litigation Reform Act of 1995. To the extent that statements in this Quarterly Report are not recitations of historical fact, such statements constitute forward-looking statements, which, by definition, involve risks and uncertainties that could cause actual results to differ materially from those expressed or implied by such statements. In particular, statements under </w:t>
      </w:r>
      <w:r>
        <w:rPr>
          <w:rFonts w:ascii="Arial" w:cs="Arial" w:eastAsia="Arial" w:hAnsi="Arial"/>
          <w:sz w:val="14"/>
          <w:szCs w:val="14"/>
          <w:i w:val="1"/>
          <w:iCs w:val="1"/>
          <w:color w:val="auto"/>
        </w:rPr>
        <w:t>Part I, Item 2. Management’s</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Discussion and Analysis of Financial Condition and Results of Operations </w:t>
      </w:r>
      <w:r>
        <w:rPr>
          <w:rFonts w:ascii="Arial" w:cs="Arial" w:eastAsia="Arial" w:hAnsi="Arial"/>
          <w:sz w:val="14"/>
          <w:szCs w:val="14"/>
          <w:color w:val="auto"/>
        </w:rPr>
        <w:t>and</w:t>
      </w:r>
      <w:r>
        <w:rPr>
          <w:rFonts w:ascii="Arial" w:cs="Arial" w:eastAsia="Arial" w:hAnsi="Arial"/>
          <w:sz w:val="14"/>
          <w:szCs w:val="14"/>
          <w:i w:val="1"/>
          <w:iCs w:val="1"/>
          <w:color w:val="auto"/>
        </w:rPr>
        <w:t xml:space="preserve"> Part I, Item 3. Quantitative and Qualitative Disclosures About Market Risk </w:t>
      </w:r>
      <w:r>
        <w:rPr>
          <w:rFonts w:ascii="Arial" w:cs="Arial" w:eastAsia="Arial" w:hAnsi="Arial"/>
          <w:sz w:val="14"/>
          <w:szCs w:val="14"/>
          <w:color w:val="auto"/>
        </w:rPr>
        <w:t>may contain forward-looking statements, including statements regarding our business, product, foreign currency and finance strategies, our property and equipment additions (including with respect to the Network Extensions, as defined below), subscriber growth and retention rates, competitive, regulatory and economic factors, the timing and impacts of proposed transactions, the maturity of our markets, the potential impact of COVID-19 on our company, the anticipated impacts of new legislation (or changes to existing rules and regulations), anticipated changes in our revenue, costs or growth rates, our liquidity, credit risks, foreign currency risks, interest rate risks, target leverage levels, debt covenants, our future projected contractual commitments and cash flows and other information and statements that are not historical fact. Where, in any forward-looking statement, we express an expectation or belief as to future results or events, such expectation or belief is expressed in good faith and believed to have a reasonable basis, but there can be no assurance that the expectation or belief will result or be achieved or accomplished. In evaluating these statements, you should consider the risks and uncertainties discussed in our 10-K and this Quarterly Report on Form 10-Q, as well as the following list of some but not all of the factors that could cause actual results or events to differ materially from anticipated results or events:</w:t>
      </w:r>
    </w:p>
    <w:p>
      <w:pPr>
        <w:spacing w:after="0" w:line="150" w:lineRule="exact"/>
        <w:rPr>
          <w:sz w:val="20"/>
          <w:szCs w:val="20"/>
          <w:color w:val="auto"/>
        </w:rPr>
      </w:pPr>
    </w:p>
    <w:p>
      <w:pPr>
        <w:ind w:left="560" w:hanging="288"/>
        <w:spacing w:after="0"/>
        <w:tabs>
          <w:tab w:leader="none" w:pos="5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economic and business conditions and industry trends in the countries in which we or our affiliates operate;</w:t>
      </w:r>
    </w:p>
    <w:p>
      <w:pPr>
        <w:spacing w:after="0" w:line="95" w:lineRule="exact"/>
        <w:rPr>
          <w:rFonts w:ascii="Arial" w:cs="Arial" w:eastAsia="Arial" w:hAnsi="Arial"/>
          <w:sz w:val="16"/>
          <w:szCs w:val="16"/>
          <w:color w:val="auto"/>
        </w:rPr>
      </w:pPr>
    </w:p>
    <w:p>
      <w:pPr>
        <w:ind w:left="560" w:hanging="288"/>
        <w:spacing w:after="0"/>
        <w:tabs>
          <w:tab w:leader="none" w:pos="5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competitive environment in the industries in the countries in which we or our affiliates operate, including competitor responses to our products and services;</w:t>
      </w:r>
    </w:p>
    <w:p>
      <w:pPr>
        <w:spacing w:after="0" w:line="118" w:lineRule="exact"/>
        <w:rPr>
          <w:rFonts w:ascii="Arial" w:cs="Arial" w:eastAsia="Arial" w:hAnsi="Arial"/>
          <w:sz w:val="14"/>
          <w:szCs w:val="14"/>
          <w:color w:val="auto"/>
        </w:rPr>
      </w:pPr>
    </w:p>
    <w:p>
      <w:pPr>
        <w:ind w:left="560" w:hanging="288"/>
        <w:spacing w:after="0"/>
        <w:tabs>
          <w:tab w:leader="none" w:pos="5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fluctuations in currency exchange rates and interest rates;</w:t>
      </w:r>
    </w:p>
    <w:p>
      <w:pPr>
        <w:spacing w:after="0" w:line="95" w:lineRule="exact"/>
        <w:rPr>
          <w:rFonts w:ascii="Arial" w:cs="Arial" w:eastAsia="Arial" w:hAnsi="Arial"/>
          <w:sz w:val="16"/>
          <w:szCs w:val="16"/>
          <w:color w:val="auto"/>
        </w:rPr>
      </w:pPr>
    </w:p>
    <w:p>
      <w:pPr>
        <w:ind w:left="560" w:hanging="288"/>
        <w:spacing w:after="0"/>
        <w:tabs>
          <w:tab w:leader="none" w:pos="5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instability in global financial markets, including sovereign debt issues and related fiscal reforms;</w:t>
      </w:r>
    </w:p>
    <w:p>
      <w:pPr>
        <w:spacing w:after="0" w:line="95" w:lineRule="exact"/>
        <w:rPr>
          <w:rFonts w:ascii="Arial" w:cs="Arial" w:eastAsia="Arial" w:hAnsi="Arial"/>
          <w:sz w:val="16"/>
          <w:szCs w:val="16"/>
          <w:color w:val="auto"/>
        </w:rPr>
      </w:pPr>
    </w:p>
    <w:p>
      <w:pPr>
        <w:ind w:left="560" w:hanging="288"/>
        <w:spacing w:after="0"/>
        <w:tabs>
          <w:tab w:leader="none" w:pos="5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consumer disposable income and spending levels, including the availability and amount of individual consumer debt;</w:t>
      </w:r>
    </w:p>
    <w:p>
      <w:pPr>
        <w:spacing w:after="0" w:line="95" w:lineRule="exact"/>
        <w:rPr>
          <w:rFonts w:ascii="Arial" w:cs="Arial" w:eastAsia="Arial" w:hAnsi="Arial"/>
          <w:sz w:val="16"/>
          <w:szCs w:val="16"/>
          <w:color w:val="auto"/>
        </w:rPr>
      </w:pPr>
    </w:p>
    <w:p>
      <w:pPr>
        <w:ind w:left="560" w:hanging="288"/>
        <w:spacing w:after="0"/>
        <w:tabs>
          <w:tab w:leader="none" w:pos="5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changes in consumer television viewing and broadband usage preferences and habits;</w:t>
      </w:r>
    </w:p>
    <w:p>
      <w:pPr>
        <w:spacing w:after="0" w:line="95" w:lineRule="exact"/>
        <w:rPr>
          <w:rFonts w:ascii="Arial" w:cs="Arial" w:eastAsia="Arial" w:hAnsi="Arial"/>
          <w:sz w:val="16"/>
          <w:szCs w:val="16"/>
          <w:color w:val="auto"/>
        </w:rPr>
      </w:pPr>
    </w:p>
    <w:p>
      <w:pPr>
        <w:ind w:left="560" w:right="20" w:hanging="288"/>
        <w:spacing w:after="0" w:line="258" w:lineRule="auto"/>
        <w:tabs>
          <w:tab w:leader="none" w:pos="5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consumer acceptance of our existing service offerings, including our cable television, broadband internet, fixed-line telephony, mobile and business service offerings, and of new technology, programming alternatives and other products and services that we may offer in the future;</w:t>
      </w:r>
    </w:p>
    <w:p>
      <w:pPr>
        <w:spacing w:after="0" w:line="69" w:lineRule="exact"/>
        <w:rPr>
          <w:rFonts w:ascii="Arial" w:cs="Arial" w:eastAsia="Arial" w:hAnsi="Arial"/>
          <w:sz w:val="16"/>
          <w:szCs w:val="16"/>
          <w:color w:val="auto"/>
        </w:rPr>
      </w:pPr>
    </w:p>
    <w:p>
      <w:pPr>
        <w:ind w:left="560" w:hanging="288"/>
        <w:spacing w:after="0"/>
        <w:tabs>
          <w:tab w:leader="none" w:pos="5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our ability to manage rapid technological changes;</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260"/>
          </w:cols>
          <w:pgMar w:left="320" w:top="309" w:right="319" w:bottom="1440" w:gutter="0" w:footer="0" w:header="0"/>
        </w:sectPr>
      </w:pPr>
    </w:p>
    <w:bookmarkStart w:id="51" w:name="page52"/>
    <w:bookmarkEnd w:id="51"/>
    <w:p>
      <w:pPr>
        <w:ind w:left="560" w:right="20" w:hanging="288"/>
        <w:spacing w:after="0" w:line="258" w:lineRule="auto"/>
        <w:tabs>
          <w:tab w:leader="none" w:pos="5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our ability to maintain or increase the number of subscriptions to our broadband internet, cable television, fixed-line telephony and mobile service offerings and our average revenue per household;</w:t>
      </w:r>
    </w:p>
    <w:p>
      <w:pPr>
        <w:spacing w:after="0" w:line="69" w:lineRule="exact"/>
        <w:rPr>
          <w:rFonts w:ascii="Arial" w:cs="Arial" w:eastAsia="Arial" w:hAnsi="Arial"/>
          <w:sz w:val="16"/>
          <w:szCs w:val="16"/>
          <w:color w:val="auto"/>
        </w:rPr>
      </w:pPr>
    </w:p>
    <w:p>
      <w:pPr>
        <w:ind w:left="560" w:hanging="288"/>
        <w:spacing w:after="0"/>
        <w:tabs>
          <w:tab w:leader="none" w:pos="5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our ability to provide satisfactory customer service, including support for new and evolving products and services;</w:t>
      </w:r>
    </w:p>
    <w:p>
      <w:pPr>
        <w:spacing w:after="0" w:line="95" w:lineRule="exact"/>
        <w:rPr>
          <w:rFonts w:ascii="Arial" w:cs="Arial" w:eastAsia="Arial" w:hAnsi="Arial"/>
          <w:sz w:val="16"/>
          <w:szCs w:val="16"/>
          <w:color w:val="auto"/>
        </w:rPr>
      </w:pPr>
    </w:p>
    <w:p>
      <w:pPr>
        <w:ind w:left="560" w:hanging="288"/>
        <w:spacing w:after="0"/>
        <w:tabs>
          <w:tab w:leader="none" w:pos="5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our ability to maintain or increase rates to our subscribers or to pass through increased costs to our subscribers;</w:t>
      </w:r>
    </w:p>
    <w:p>
      <w:pPr>
        <w:spacing w:after="0" w:line="95" w:lineRule="exact"/>
        <w:rPr>
          <w:rFonts w:ascii="Arial" w:cs="Arial" w:eastAsia="Arial" w:hAnsi="Arial"/>
          <w:sz w:val="16"/>
          <w:szCs w:val="16"/>
          <w:color w:val="auto"/>
        </w:rPr>
      </w:pPr>
    </w:p>
    <w:p>
      <w:pPr>
        <w:ind w:left="560" w:hanging="288"/>
        <w:spacing w:after="0"/>
        <w:tabs>
          <w:tab w:leader="none" w:pos="5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impact of our future financial performance, or market conditions generally, on the availability, terms and deployment of capital;</w:t>
      </w:r>
    </w:p>
    <w:p>
      <w:pPr>
        <w:spacing w:after="0" w:line="95" w:lineRule="exact"/>
        <w:rPr>
          <w:rFonts w:ascii="Arial" w:cs="Arial" w:eastAsia="Arial" w:hAnsi="Arial"/>
          <w:sz w:val="16"/>
          <w:szCs w:val="16"/>
          <w:color w:val="auto"/>
        </w:rPr>
      </w:pPr>
    </w:p>
    <w:p>
      <w:pPr>
        <w:ind w:left="560" w:hanging="288"/>
        <w:spacing w:after="0" w:line="258" w:lineRule="auto"/>
        <w:tabs>
          <w:tab w:leader="none" w:pos="5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changes in, or failure or inability to comply with, government regulations in the countries in which we or our affiliates operate and adverse outcomes from regulatory proceedings;</w:t>
      </w:r>
    </w:p>
    <w:p>
      <w:pPr>
        <w:spacing w:after="0" w:line="69" w:lineRule="exact"/>
        <w:rPr>
          <w:rFonts w:ascii="Arial" w:cs="Arial" w:eastAsia="Arial" w:hAnsi="Arial"/>
          <w:sz w:val="16"/>
          <w:szCs w:val="16"/>
          <w:color w:val="auto"/>
        </w:rPr>
      </w:pPr>
    </w:p>
    <w:p>
      <w:pPr>
        <w:ind w:left="560" w:hanging="288"/>
        <w:spacing w:after="0"/>
        <w:tabs>
          <w:tab w:leader="none" w:pos="5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government intervention that requires opening our broadband distribution networks to competitors, such as the obligations imposed in Belgium;</w:t>
      </w:r>
    </w:p>
    <w:p>
      <w:pPr>
        <w:spacing w:after="0" w:line="95" w:lineRule="exact"/>
        <w:rPr>
          <w:rFonts w:ascii="Arial" w:cs="Arial" w:eastAsia="Arial" w:hAnsi="Arial"/>
          <w:sz w:val="16"/>
          <w:szCs w:val="16"/>
          <w:color w:val="auto"/>
        </w:rPr>
      </w:pPr>
    </w:p>
    <w:p>
      <w:pPr>
        <w:ind w:left="560" w:right="20" w:hanging="288"/>
        <w:spacing w:after="0" w:line="258" w:lineRule="auto"/>
        <w:tabs>
          <w:tab w:leader="none" w:pos="5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our ability to obtain regulatory approval and satisfy other conditions necessary to close acquisitions and dispositions and the impact of conditions imposed by competition and other regulatory authorities in connection with acquisitions;</w:t>
      </w:r>
    </w:p>
    <w:p>
      <w:pPr>
        <w:spacing w:after="0" w:line="69" w:lineRule="exact"/>
        <w:rPr>
          <w:rFonts w:ascii="Arial" w:cs="Arial" w:eastAsia="Arial" w:hAnsi="Arial"/>
          <w:sz w:val="16"/>
          <w:szCs w:val="16"/>
          <w:color w:val="auto"/>
        </w:rPr>
      </w:pPr>
    </w:p>
    <w:p>
      <w:pPr>
        <w:ind w:left="560" w:right="20" w:hanging="288"/>
        <w:spacing w:after="0" w:line="258" w:lineRule="auto"/>
        <w:tabs>
          <w:tab w:leader="none" w:pos="5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our ability to successfully acquire new businesses and, if acquired, to integrate, realize anticipated efficiencies from, and implement our business plan with respect to, the businesses we have acquired or that we expect to acquire;</w:t>
      </w:r>
    </w:p>
    <w:p>
      <w:pPr>
        <w:spacing w:after="0" w:line="69" w:lineRule="exact"/>
        <w:rPr>
          <w:rFonts w:ascii="Arial" w:cs="Arial" w:eastAsia="Arial" w:hAnsi="Arial"/>
          <w:sz w:val="16"/>
          <w:szCs w:val="16"/>
          <w:color w:val="auto"/>
        </w:rPr>
      </w:pPr>
    </w:p>
    <w:p>
      <w:pPr>
        <w:ind w:left="560" w:hanging="288"/>
        <w:spacing w:after="0"/>
        <w:tabs>
          <w:tab w:leader="none" w:pos="5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changes in laws or treaties relating to taxation, or the interpretation thereof, in the U.K., the U.S. or in other countries in which we or our affiliates operate;</w:t>
      </w:r>
    </w:p>
    <w:p>
      <w:pPr>
        <w:spacing w:after="0" w:line="118" w:lineRule="exact"/>
        <w:rPr>
          <w:rFonts w:ascii="Arial" w:cs="Arial" w:eastAsia="Arial" w:hAnsi="Arial"/>
          <w:sz w:val="14"/>
          <w:szCs w:val="14"/>
          <w:color w:val="auto"/>
        </w:rPr>
      </w:pPr>
    </w:p>
    <w:p>
      <w:pPr>
        <w:ind w:left="560" w:hanging="288"/>
        <w:spacing w:after="0"/>
        <w:tabs>
          <w:tab w:leader="none" w:pos="5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changes in laws and government regulations that may impact the availability and cost of capital and the derivative instruments that hedge certain of our financial risks;</w:t>
      </w:r>
    </w:p>
    <w:p>
      <w:pPr>
        <w:spacing w:after="0" w:line="118" w:lineRule="exact"/>
        <w:rPr>
          <w:rFonts w:ascii="Arial" w:cs="Arial" w:eastAsia="Arial" w:hAnsi="Arial"/>
          <w:sz w:val="14"/>
          <w:szCs w:val="14"/>
          <w:color w:val="auto"/>
        </w:rPr>
      </w:pPr>
    </w:p>
    <w:p>
      <w:pPr>
        <w:ind w:left="560" w:hanging="288"/>
        <w:spacing w:after="0"/>
        <w:tabs>
          <w:tab w:leader="none" w:pos="5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our ability to navigate the potential impacts on our business of the U.K.’s departure from the E.U.;</w:t>
      </w:r>
    </w:p>
    <w:p>
      <w:pPr>
        <w:spacing w:after="0" w:line="95" w:lineRule="exact"/>
        <w:rPr>
          <w:rFonts w:ascii="Arial" w:cs="Arial" w:eastAsia="Arial" w:hAnsi="Arial"/>
          <w:sz w:val="16"/>
          <w:szCs w:val="16"/>
          <w:color w:val="auto"/>
        </w:rPr>
      </w:pPr>
    </w:p>
    <w:p>
      <w:pPr>
        <w:ind w:left="560" w:right="20" w:hanging="288"/>
        <w:spacing w:after="0" w:line="258" w:lineRule="auto"/>
        <w:tabs>
          <w:tab w:leader="none" w:pos="5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ability of suppliers and vendors (including our third-party wireless network providers under our MVNO arrangements) to timely deliver quality products, equipment, software, services and access;</w:t>
      </w:r>
    </w:p>
    <w:p>
      <w:pPr>
        <w:spacing w:after="0" w:line="69" w:lineRule="exact"/>
        <w:rPr>
          <w:rFonts w:ascii="Arial" w:cs="Arial" w:eastAsia="Arial" w:hAnsi="Arial"/>
          <w:sz w:val="16"/>
          <w:szCs w:val="16"/>
          <w:color w:val="auto"/>
        </w:rPr>
      </w:pPr>
    </w:p>
    <w:p>
      <w:pPr>
        <w:ind w:left="560" w:right="20" w:hanging="288"/>
        <w:spacing w:after="0" w:line="258" w:lineRule="auto"/>
        <w:tabs>
          <w:tab w:leader="none" w:pos="5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availability of attractive programming for our video services and the costs associated with such programming, including retransmission and copyright fees payable to public and private broadcasters;</w:t>
      </w:r>
    </w:p>
    <w:p>
      <w:pPr>
        <w:spacing w:after="0" w:line="69" w:lineRule="exact"/>
        <w:rPr>
          <w:rFonts w:ascii="Arial" w:cs="Arial" w:eastAsia="Arial" w:hAnsi="Arial"/>
          <w:sz w:val="16"/>
          <w:szCs w:val="16"/>
          <w:color w:val="auto"/>
        </w:rPr>
      </w:pPr>
    </w:p>
    <w:p>
      <w:pPr>
        <w:ind w:left="560" w:hanging="288"/>
        <w:spacing w:after="0"/>
        <w:tabs>
          <w:tab w:leader="none" w:pos="5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uncertainties inherent in the development and integration of new business lines and business strategies;</w:t>
      </w:r>
    </w:p>
    <w:p>
      <w:pPr>
        <w:spacing w:after="0" w:line="95" w:lineRule="exact"/>
        <w:rPr>
          <w:rFonts w:ascii="Arial" w:cs="Arial" w:eastAsia="Arial" w:hAnsi="Arial"/>
          <w:sz w:val="16"/>
          <w:szCs w:val="16"/>
          <w:color w:val="auto"/>
        </w:rPr>
      </w:pPr>
    </w:p>
    <w:p>
      <w:pPr>
        <w:ind w:left="560" w:hanging="288"/>
        <w:spacing w:after="0"/>
        <w:tabs>
          <w:tab w:leader="none" w:pos="5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our ability to adequately forecast and plan future network requirements, including the costs and benefits associated with our network extension programs;</w:t>
      </w:r>
    </w:p>
    <w:p>
      <w:pPr>
        <w:spacing w:after="0" w:line="118" w:lineRule="exact"/>
        <w:rPr>
          <w:rFonts w:ascii="Arial" w:cs="Arial" w:eastAsia="Arial" w:hAnsi="Arial"/>
          <w:sz w:val="14"/>
          <w:szCs w:val="14"/>
          <w:color w:val="auto"/>
        </w:rPr>
      </w:pPr>
    </w:p>
    <w:p>
      <w:pPr>
        <w:ind w:left="560" w:hanging="288"/>
        <w:spacing w:after="0"/>
        <w:tabs>
          <w:tab w:leader="none" w:pos="5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availability of capital for the acquisition and/or development of telecommunications networks and services;</w:t>
      </w:r>
    </w:p>
    <w:p>
      <w:pPr>
        <w:spacing w:after="0" w:line="95" w:lineRule="exact"/>
        <w:rPr>
          <w:rFonts w:ascii="Arial" w:cs="Arial" w:eastAsia="Arial" w:hAnsi="Arial"/>
          <w:sz w:val="16"/>
          <w:szCs w:val="16"/>
          <w:color w:val="auto"/>
        </w:rPr>
      </w:pPr>
    </w:p>
    <w:p>
      <w:pPr>
        <w:ind w:left="560" w:hanging="288"/>
        <w:spacing w:after="0"/>
        <w:tabs>
          <w:tab w:leader="none" w:pos="5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problems we may discover post-closing with the operations, including the internal controls and financial reporting process, of businesses we acquire;</w:t>
      </w:r>
    </w:p>
    <w:p>
      <w:pPr>
        <w:spacing w:after="0" w:line="95" w:lineRule="exact"/>
        <w:rPr>
          <w:rFonts w:ascii="Arial" w:cs="Arial" w:eastAsia="Arial" w:hAnsi="Arial"/>
          <w:sz w:val="16"/>
          <w:szCs w:val="16"/>
          <w:color w:val="auto"/>
        </w:rPr>
      </w:pPr>
    </w:p>
    <w:p>
      <w:pPr>
        <w:ind w:left="560" w:hanging="288"/>
        <w:spacing w:after="0"/>
        <w:tabs>
          <w:tab w:leader="none" w:pos="5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leakage of sensitive customer data;</w:t>
      </w:r>
    </w:p>
    <w:p>
      <w:pPr>
        <w:spacing w:after="0" w:line="95" w:lineRule="exact"/>
        <w:rPr>
          <w:rFonts w:ascii="Arial" w:cs="Arial" w:eastAsia="Arial" w:hAnsi="Arial"/>
          <w:sz w:val="16"/>
          <w:szCs w:val="16"/>
          <w:color w:val="auto"/>
        </w:rPr>
      </w:pPr>
    </w:p>
    <w:p>
      <w:pPr>
        <w:ind w:left="560" w:hanging="288"/>
        <w:spacing w:after="0"/>
        <w:tabs>
          <w:tab w:leader="none" w:pos="5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outcome of any pending or threatened litigation;</w:t>
      </w:r>
    </w:p>
    <w:p>
      <w:pPr>
        <w:spacing w:after="0" w:line="95" w:lineRule="exact"/>
        <w:rPr>
          <w:rFonts w:ascii="Arial" w:cs="Arial" w:eastAsia="Arial" w:hAnsi="Arial"/>
          <w:sz w:val="16"/>
          <w:szCs w:val="16"/>
          <w:color w:val="auto"/>
        </w:rPr>
      </w:pPr>
    </w:p>
    <w:p>
      <w:pPr>
        <w:ind w:left="560" w:hanging="288"/>
        <w:spacing w:after="0"/>
        <w:tabs>
          <w:tab w:leader="none" w:pos="5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loss of key employees and the availability of qualified personnel;</w:t>
      </w:r>
    </w:p>
    <w:p>
      <w:pPr>
        <w:spacing w:after="0" w:line="95" w:lineRule="exact"/>
        <w:rPr>
          <w:rFonts w:ascii="Arial" w:cs="Arial" w:eastAsia="Arial" w:hAnsi="Arial"/>
          <w:sz w:val="16"/>
          <w:szCs w:val="16"/>
          <w:color w:val="auto"/>
        </w:rPr>
      </w:pPr>
    </w:p>
    <w:p>
      <w:pPr>
        <w:ind w:left="560" w:hanging="288"/>
        <w:spacing w:after="0"/>
        <w:tabs>
          <w:tab w:leader="none" w:pos="5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changes in the nature of key strategic relationships with partners and joint venturers;</w:t>
      </w:r>
    </w:p>
    <w:p>
      <w:pPr>
        <w:spacing w:after="0" w:line="95" w:lineRule="exact"/>
        <w:rPr>
          <w:rFonts w:ascii="Arial" w:cs="Arial" w:eastAsia="Arial" w:hAnsi="Arial"/>
          <w:sz w:val="16"/>
          <w:szCs w:val="16"/>
          <w:color w:val="auto"/>
        </w:rPr>
      </w:pPr>
    </w:p>
    <w:p>
      <w:pPr>
        <w:ind w:left="560" w:hanging="288"/>
        <w:spacing w:after="0"/>
        <w:tabs>
          <w:tab w:leader="none" w:pos="5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our equity capital structure; and</w:t>
      </w:r>
    </w:p>
    <w:p>
      <w:pPr>
        <w:spacing w:after="0" w:line="95" w:lineRule="exact"/>
        <w:rPr>
          <w:rFonts w:ascii="Arial" w:cs="Arial" w:eastAsia="Arial" w:hAnsi="Arial"/>
          <w:sz w:val="16"/>
          <w:szCs w:val="16"/>
          <w:color w:val="auto"/>
        </w:rPr>
      </w:pPr>
    </w:p>
    <w:p>
      <w:pPr>
        <w:ind w:left="560" w:right="20" w:hanging="288"/>
        <w:spacing w:after="0" w:line="258" w:lineRule="auto"/>
        <w:tabs>
          <w:tab w:leader="none" w:pos="5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events that are outside of our control, such as political unrest in international markets, terrorist attacks, malicious human acts, natural disasters, pandemics or epidemics (such as COVID-19) and other similar events.</w:t>
      </w:r>
    </w:p>
    <w:p>
      <w:pPr>
        <w:spacing w:after="0" w:line="128" w:lineRule="exact"/>
        <w:rPr>
          <w:sz w:val="20"/>
          <w:szCs w:val="20"/>
          <w:color w:val="auto"/>
        </w:rPr>
      </w:pPr>
    </w:p>
    <w:p>
      <w:pPr>
        <w:jc w:val="both"/>
        <w:ind w:firstLine="279"/>
        <w:spacing w:after="0" w:line="246" w:lineRule="auto"/>
        <w:rPr>
          <w:sz w:val="20"/>
          <w:szCs w:val="20"/>
          <w:color w:val="auto"/>
        </w:rPr>
      </w:pPr>
      <w:r>
        <w:rPr>
          <w:rFonts w:ascii="Arial" w:cs="Arial" w:eastAsia="Arial" w:hAnsi="Arial"/>
          <w:sz w:val="16"/>
          <w:szCs w:val="16"/>
          <w:color w:val="auto"/>
        </w:rPr>
        <w:t>The broadband distribution and mobile service industries are changing rapidly and, therefore, the forward-looking statements of expectations, plans and intent in this Quarterly Report are subject to a significant degree of risk. These forward-looking statements and the above-described risks, uncertainties and other factors speak only as of the date of this Quarterly Report, and we expressly disclaim any obligation or undertaking to disseminate any updates or revisions to any forward-looking statement contained herein, to reflect any change in our expectations with regard thereto, or any other change in events, conditions or circumstances on which any such statement is based. Readers are cautioned not to place undue reliance on any forward-looking statement.</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260"/>
          </w:cols>
          <w:pgMar w:left="320" w:top="315" w:right="319" w:bottom="1440" w:gutter="0" w:footer="0" w:header="0"/>
        </w:sectPr>
      </w:pPr>
    </w:p>
    <w:bookmarkStart w:id="52" w:name="page53"/>
    <w:bookmarkEnd w:id="52"/>
    <w:p>
      <w:pPr>
        <w:spacing w:after="0"/>
        <w:rPr>
          <w:sz w:val="20"/>
          <w:szCs w:val="20"/>
          <w:color w:val="auto"/>
        </w:rPr>
      </w:pPr>
      <w:r>
        <w:rPr>
          <w:rFonts w:ascii="Arial" w:cs="Arial" w:eastAsia="Arial" w:hAnsi="Arial"/>
          <w:sz w:val="16"/>
          <w:szCs w:val="16"/>
          <w:b w:val="1"/>
          <w:bCs w:val="1"/>
          <w:color w:val="auto"/>
        </w:rPr>
        <w:t>Overview</w:t>
      </w:r>
    </w:p>
    <w:p>
      <w:pPr>
        <w:spacing w:after="0" w:line="194"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General</w:t>
      </w:r>
    </w:p>
    <w:p>
      <w:pPr>
        <w:spacing w:after="0" w:line="188" w:lineRule="exact"/>
        <w:rPr>
          <w:sz w:val="20"/>
          <w:szCs w:val="20"/>
          <w:color w:val="auto"/>
        </w:rPr>
      </w:pPr>
    </w:p>
    <w:p>
      <w:pPr>
        <w:jc w:val="both"/>
        <w:ind w:firstLine="279"/>
        <w:spacing w:after="0" w:line="248" w:lineRule="auto"/>
        <w:rPr>
          <w:sz w:val="20"/>
          <w:szCs w:val="20"/>
          <w:color w:val="auto"/>
        </w:rPr>
      </w:pPr>
      <w:r>
        <w:rPr>
          <w:rFonts w:ascii="Arial" w:cs="Arial" w:eastAsia="Arial" w:hAnsi="Arial"/>
          <w:sz w:val="16"/>
          <w:szCs w:val="16"/>
          <w:color w:val="auto"/>
        </w:rPr>
        <w:t>We are an international provider of broadband internet, video, fixed-line telephony and mobile communications services to residential customers and businesses in Europe. Our continuing operations comprise businesses that provide residential and B2B communications services in (i) the U.K. and Ireland through Virgin Media, (ii) Belgium through Telenet and (iii) Switzerland, Poland and Slovakia through UPC Holding. In addition, we own a 50% noncontrolling interest in the VodafoneZiggo JV, which provides residential and B2B communications services in the Netherlands.</w:t>
      </w:r>
    </w:p>
    <w:p>
      <w:pPr>
        <w:spacing w:after="0" w:line="170" w:lineRule="exact"/>
        <w:rPr>
          <w:sz w:val="20"/>
          <w:szCs w:val="20"/>
          <w:color w:val="auto"/>
        </w:rPr>
      </w:pPr>
    </w:p>
    <w:p>
      <w:pPr>
        <w:jc w:val="both"/>
        <w:ind w:firstLine="279"/>
        <w:spacing w:after="0" w:line="246" w:lineRule="auto"/>
        <w:rPr>
          <w:sz w:val="20"/>
          <w:szCs w:val="20"/>
          <w:color w:val="auto"/>
        </w:rPr>
      </w:pPr>
      <w:r>
        <w:rPr>
          <w:rFonts w:ascii="Arial" w:cs="Arial" w:eastAsia="Arial" w:hAnsi="Arial"/>
          <w:sz w:val="16"/>
          <w:szCs w:val="16"/>
          <w:color w:val="auto"/>
        </w:rPr>
        <w:t>As further described in note 4 to our condensed consolidated financial statements, we (i) completed the sale of our operations in Germany, Romania, Hungary and the Czech Republic (exclusive of our DTH operations) on July 31, 2019 and (ii) completed the sale of the operations of UPC DTH on May 2, 2019. Accordingly, our operations in Germany, Romania, Hungary and the Czech Republic and the operations of UPC DTH for the three and six months ended June 30, 2019 are presented as discontinued operations. In the following discussion and analysis, the operating statistics, results of operations, cash flows and financial condition that we present and discuss are those of our continuing operations unless otherwise indicated.</w:t>
      </w:r>
    </w:p>
    <w:p>
      <w:pPr>
        <w:spacing w:after="0" w:line="174" w:lineRule="exact"/>
        <w:rPr>
          <w:sz w:val="20"/>
          <w:szCs w:val="20"/>
          <w:color w:val="auto"/>
        </w:rPr>
      </w:pPr>
    </w:p>
    <w:p>
      <w:pPr>
        <w:jc w:val="both"/>
        <w:ind w:firstLine="279"/>
        <w:spacing w:after="0" w:line="303" w:lineRule="auto"/>
        <w:rPr>
          <w:sz w:val="20"/>
          <w:szCs w:val="20"/>
          <w:color w:val="auto"/>
        </w:rPr>
      </w:pPr>
      <w:r>
        <w:rPr>
          <w:rFonts w:ascii="Arial" w:cs="Arial" w:eastAsia="Arial" w:hAnsi="Arial"/>
          <w:sz w:val="14"/>
          <w:szCs w:val="14"/>
          <w:color w:val="auto"/>
        </w:rPr>
        <w:t>Effective May 7, 2020, in connection with the pending formation of the U.K. JV, we began accounting for the U.K. JV Entities as held for sale. Accordingly, the assets and liabilities of the U.K. JV Entities are included in assets held for sale and liabilities associated with assets held for sale, respectively, on our June 30, 2020 condensed consolidated balance sheet. Consistent with the applicable guidance, we have not reflected similar reclassifications in our condensed consolidated statements of operations or cash flows.</w:t>
      </w:r>
    </w:p>
    <w:p>
      <w:pPr>
        <w:spacing w:after="0" w:line="135"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Operations</w:t>
      </w:r>
    </w:p>
    <w:p>
      <w:pPr>
        <w:spacing w:after="0" w:line="188" w:lineRule="exact"/>
        <w:rPr>
          <w:sz w:val="20"/>
          <w:szCs w:val="20"/>
          <w:color w:val="auto"/>
        </w:rPr>
      </w:pPr>
    </w:p>
    <w:p>
      <w:pPr>
        <w:jc w:val="both"/>
        <w:ind w:right="20" w:firstLine="279"/>
        <w:spacing w:after="0" w:line="258" w:lineRule="auto"/>
        <w:rPr>
          <w:sz w:val="20"/>
          <w:szCs w:val="20"/>
          <w:color w:val="auto"/>
        </w:rPr>
      </w:pPr>
      <w:r>
        <w:rPr>
          <w:rFonts w:ascii="Arial" w:cs="Arial" w:eastAsia="Arial" w:hAnsi="Arial"/>
          <w:sz w:val="16"/>
          <w:szCs w:val="16"/>
          <w:color w:val="auto"/>
        </w:rPr>
        <w:t>At June 30, 2020, our continuing operations owned and operated networks that passed 25,964,000 homes and served 10,716,600 fixed-line customers and 6,413,100 mobile subscribers.</w:t>
      </w:r>
    </w:p>
    <w:p>
      <w:pPr>
        <w:spacing w:after="0" w:line="122" w:lineRule="exact"/>
        <w:rPr>
          <w:sz w:val="20"/>
          <w:szCs w:val="20"/>
          <w:color w:val="auto"/>
        </w:rPr>
      </w:pPr>
    </w:p>
    <w:p>
      <w:pPr>
        <w:jc w:val="both"/>
        <w:ind w:firstLine="279"/>
        <w:spacing w:after="0" w:line="297" w:lineRule="auto"/>
        <w:rPr>
          <w:sz w:val="20"/>
          <w:szCs w:val="20"/>
          <w:color w:val="auto"/>
        </w:rPr>
      </w:pPr>
      <w:r>
        <w:rPr>
          <w:rFonts w:ascii="Arial" w:cs="Arial" w:eastAsia="Arial" w:hAnsi="Arial"/>
          <w:sz w:val="14"/>
          <w:szCs w:val="14"/>
          <w:color w:val="auto"/>
        </w:rPr>
        <w:t>We currently are engaged in certain network extension programs across our footprint, which we collectively refer to as the “</w:t>
      </w:r>
      <w:r>
        <w:rPr>
          <w:rFonts w:ascii="Arial" w:cs="Arial" w:eastAsia="Arial" w:hAnsi="Arial"/>
          <w:sz w:val="14"/>
          <w:szCs w:val="14"/>
          <w:b w:val="1"/>
          <w:bCs w:val="1"/>
          <w:color w:val="auto"/>
        </w:rPr>
        <w:t>Network Extensions</w:t>
      </w:r>
      <w:r>
        <w:rPr>
          <w:rFonts w:ascii="Arial" w:cs="Arial" w:eastAsia="Arial" w:hAnsi="Arial"/>
          <w:sz w:val="14"/>
          <w:szCs w:val="14"/>
          <w:color w:val="auto"/>
        </w:rPr>
        <w:t>.” During the first six months of 2020, pursuant to the Network Extensions, our operations connected approximately 249,000 additional residential and commercial premises (excluding upgrades) to our two-way networks, including approximately 186,000 residential and commercial premises connected by Virgin Media in the U.K. and Ireland. Depending on a variety of factors, including the financial and operational results of these programs, the Network Extensions may be continued, modified or cancelled at our discretion.</w:t>
      </w:r>
    </w:p>
    <w:p>
      <w:pPr>
        <w:spacing w:after="0" w:line="140"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Impact of COVID-19</w:t>
      </w:r>
    </w:p>
    <w:p>
      <w:pPr>
        <w:spacing w:after="0" w:line="188" w:lineRule="exact"/>
        <w:rPr>
          <w:sz w:val="20"/>
          <w:szCs w:val="20"/>
          <w:color w:val="auto"/>
        </w:rPr>
      </w:pPr>
    </w:p>
    <w:p>
      <w:pPr>
        <w:jc w:val="both"/>
        <w:ind w:firstLine="279"/>
        <w:spacing w:after="0" w:line="283" w:lineRule="auto"/>
        <w:rPr>
          <w:sz w:val="20"/>
          <w:szCs w:val="20"/>
          <w:color w:val="auto"/>
        </w:rPr>
      </w:pPr>
      <w:r>
        <w:rPr>
          <w:rFonts w:ascii="Arial" w:cs="Arial" w:eastAsia="Arial" w:hAnsi="Arial"/>
          <w:sz w:val="14"/>
          <w:szCs w:val="14"/>
          <w:color w:val="auto"/>
        </w:rPr>
        <w:t>In March 2020, the World Health Organization declared the outbreak of COVID-19 to be a global pandemic. In response to the COVID-19 pandemic, emergency measures were imposed by governments worldwide, including travel restrictions, restrictions on social activity and the shutdown of non-essential businesses. These measures have adversely impacted the global economy, disrupted global supply chains and created significant volatility and disruption of financial markets. In accordance with government mandates or recommended guidelines, as well as our desire to protect the health and safety of our employees, customers and communities, many of our retail stores were temporarily closed in mid-March 2020 and remained closed for up to several months. In addition, on March 16, 2020, most of our office personnel began working remotely, and many continue to do so. We have also taken a number of commercial initiatives in response to the pandemic with respect to our product and service offerings, including (i) free-of-charge speed upgrades for many of our broadband internet customers, (ii) the offering of unlimited minutes to many of our postpaid mobile subscribers, (iii) increases in the number of available kids channels, as well as the offering of several free movies and television series to many of our video subscribers, (iv) modifications to our disconnection policies for non-paying customers, including (a) extended time periods for delinquent accounts before we commence service restrictions or disconnections and (b) the temporary suspension of certain late payment charges, and (v) the temporary pausing of certain sports subscription charges.</w:t>
      </w:r>
    </w:p>
    <w:p>
      <w:pPr>
        <w:spacing w:after="0" w:line="149" w:lineRule="exact"/>
        <w:rPr>
          <w:sz w:val="20"/>
          <w:szCs w:val="20"/>
          <w:color w:val="auto"/>
        </w:rPr>
      </w:pPr>
    </w:p>
    <w:p>
      <w:pPr>
        <w:jc w:val="both"/>
        <w:ind w:firstLine="279"/>
        <w:spacing w:after="0" w:line="246" w:lineRule="auto"/>
        <w:rPr>
          <w:sz w:val="20"/>
          <w:szCs w:val="20"/>
          <w:color w:val="auto"/>
        </w:rPr>
      </w:pPr>
      <w:r>
        <w:rPr>
          <w:rFonts w:ascii="Arial" w:cs="Arial" w:eastAsia="Arial" w:hAnsi="Arial"/>
          <w:sz w:val="16"/>
          <w:szCs w:val="16"/>
          <w:color w:val="auto"/>
        </w:rPr>
        <w:t>The facts and circumstances surrounding the COVID-19 pandemic continue to change rapidly and, accordingly, the ultimate impact that COVID-19 will have on the global economy and our company is highly uncertain and impossible to predict. To date, our company has not experienced an overall material adverse impact from the COVID-19 pandemic, as demand for the products and services that we provide has increased following the stay-at-home and remote work restrictions or recommendations that have been implemented throughout the countries in which we operate. In this regard, our residential net customer losses during the period impacted by the COVID-19 pandemic have thus far been generally in line with our expectations, as declines in gross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260"/>
          </w:cols>
          <w:pgMar w:left="320" w:top="309" w:right="319" w:bottom="1440" w:gutter="0" w:footer="0" w:header="0"/>
        </w:sectPr>
      </w:pPr>
    </w:p>
    <w:bookmarkStart w:id="53" w:name="page54"/>
    <w:bookmarkEnd w:id="53"/>
    <w:p>
      <w:pPr>
        <w:jc w:val="both"/>
        <w:ind w:left="7"/>
        <w:spacing w:after="0" w:line="281" w:lineRule="auto"/>
        <w:rPr>
          <w:sz w:val="20"/>
          <w:szCs w:val="20"/>
          <w:color w:val="auto"/>
        </w:rPr>
      </w:pPr>
      <w:r>
        <w:rPr>
          <w:rFonts w:ascii="Arial" w:cs="Arial" w:eastAsia="Arial" w:hAnsi="Arial"/>
          <w:sz w:val="14"/>
          <w:szCs w:val="14"/>
          <w:color w:val="auto"/>
        </w:rPr>
        <w:t xml:space="preserve">residential customer additions have been offset by reductions in residential churn rates across all our markets. During the second quarter of 2020, certain of our revenue streams were adversely impacted by the COVID-19 pandemic, the most notable of which include (i) lower revenue associated with the pausing of certain sports leagues during the second quarter of 2020, (ii) lower sales of mobile handsets, due largely to the fact that, as discussed above, many of our retail stores were closed for a significant portion of the quarter, (iii) lower broadcasting revenue in Belgium and Ireland and (iv) lower interconnect and mobile roaming revenue resulting from changes in mobile usage associated with factors such as lower travel and the use of WiFi alternatives during stay-at-home mandates or recommendations. With respect to our Adjusted EBITDA during the second quarter of 2020, the aforementioned revenue declines had a significantly lesser adverse impact on our Adjusted EBITDA, as (a) we received certain credits during the second quarter of 2020 for content costs and lost revenue associated with the paused sports leagues, which offset the related revenue declines, (b) mobile handset sales generate low margins and (c) the lower interconnect and roaming revenue was largely offset by similar declines in interconnect and roaming expenses. In addition, our Adjusted EBITDA during the second quarter of 2020 was positively impacted by various other factors relating to the COVID-19 pandemic, including (1) the acceleration of certain costs for sports rights from the second quarter to the first quarter, as further described in </w:t>
      </w:r>
      <w:r>
        <w:rPr>
          <w:rFonts w:ascii="Arial" w:cs="Arial" w:eastAsia="Arial" w:hAnsi="Arial"/>
          <w:sz w:val="14"/>
          <w:szCs w:val="14"/>
          <w:i w:val="1"/>
          <w:iCs w:val="1"/>
          <w:color w:val="auto"/>
        </w:rPr>
        <w:t>Discussion and Analysis of our Reportable Segments</w:t>
      </w:r>
      <w:r>
        <w:rPr>
          <w:rFonts w:ascii="Arial" w:cs="Arial" w:eastAsia="Arial" w:hAnsi="Arial"/>
          <w:sz w:val="14"/>
          <w:szCs w:val="14"/>
          <w:color w:val="auto"/>
        </w:rPr>
        <w:t xml:space="preserve"> below, (2) lower costs associated with customer service and sales and marketing and (3) the benefits to our Adjusted EBITDA related to the aforementioned declines in residential churn rates. In this regard, we estimate that the overall impact of the COVID-19 pandemic on our second quarter 2020 Adjusted EBITDA was minimal. For additional information regarding the impact of COVID-19 on our results of operations for the three and six months ended June 30, 2020, see </w:t>
      </w:r>
      <w:r>
        <w:rPr>
          <w:rFonts w:ascii="Arial" w:cs="Arial" w:eastAsia="Arial" w:hAnsi="Arial"/>
          <w:sz w:val="14"/>
          <w:szCs w:val="14"/>
          <w:i w:val="1"/>
          <w:iCs w:val="1"/>
          <w:color w:val="auto"/>
        </w:rPr>
        <w:t>Discussion and Analysis of our Reportable Segments</w:t>
      </w:r>
      <w:r>
        <w:rPr>
          <w:rFonts w:ascii="Arial" w:cs="Arial" w:eastAsia="Arial" w:hAnsi="Arial"/>
          <w:sz w:val="14"/>
          <w:szCs w:val="14"/>
          <w:color w:val="auto"/>
        </w:rPr>
        <w:t xml:space="preserve"> below.</w:t>
      </w:r>
    </w:p>
    <w:p>
      <w:pPr>
        <w:spacing w:after="0" w:line="156" w:lineRule="exact"/>
        <w:rPr>
          <w:sz w:val="20"/>
          <w:szCs w:val="20"/>
          <w:color w:val="auto"/>
        </w:rPr>
      </w:pPr>
    </w:p>
    <w:p>
      <w:pPr>
        <w:jc w:val="both"/>
        <w:ind w:left="7" w:right="20" w:firstLine="279"/>
        <w:spacing w:after="0" w:line="258" w:lineRule="auto"/>
        <w:rPr>
          <w:sz w:val="20"/>
          <w:szCs w:val="20"/>
          <w:color w:val="auto"/>
        </w:rPr>
      </w:pPr>
      <w:r>
        <w:rPr>
          <w:rFonts w:ascii="Arial" w:cs="Arial" w:eastAsia="Arial" w:hAnsi="Arial"/>
          <w:sz w:val="16"/>
          <w:szCs w:val="16"/>
          <w:color w:val="auto"/>
        </w:rPr>
        <w:t>Although we have not yet experienced any material adverse impact to cash collections from our residential or B2B customers, the risk that certain customers will be unable to continue to pay for our services in future periods will increase to the extent that the current economic disruption is prolonged.</w:t>
      </w:r>
    </w:p>
    <w:p>
      <w:pPr>
        <w:spacing w:after="0" w:line="163" w:lineRule="exact"/>
        <w:rPr>
          <w:sz w:val="20"/>
          <w:szCs w:val="20"/>
          <w:color w:val="auto"/>
        </w:rPr>
      </w:pPr>
    </w:p>
    <w:p>
      <w:pPr>
        <w:jc w:val="both"/>
        <w:ind w:left="7" w:firstLine="279"/>
        <w:spacing w:after="0" w:line="294" w:lineRule="auto"/>
        <w:rPr>
          <w:sz w:val="20"/>
          <w:szCs w:val="20"/>
          <w:color w:val="auto"/>
        </w:rPr>
      </w:pPr>
      <w:r>
        <w:rPr>
          <w:rFonts w:ascii="Arial" w:cs="Arial" w:eastAsia="Arial" w:hAnsi="Arial"/>
          <w:sz w:val="14"/>
          <w:szCs w:val="14"/>
          <w:color w:val="auto"/>
        </w:rPr>
        <w:t>As our residential and business customers navigate through the COVID-19 pandemic, the connectivity that our broadband networks allow has been essential, and demand for the products and services that we provide has increased. This has resulted in a significant increase in data consumption by our customers, as well as the extension of peak traffic times, which were previously concentrated during evening hours and now span the majority of the day. Notwithstanding these increased traffic levels, our networks have continued to perform exceptionally well, and our technicians have and will continue to work diligently to ensure the reliability of our networks.</w:t>
      </w:r>
    </w:p>
    <w:p>
      <w:pPr>
        <w:spacing w:after="0" w:line="142" w:lineRule="exact"/>
        <w:rPr>
          <w:sz w:val="20"/>
          <w:szCs w:val="20"/>
          <w:color w:val="auto"/>
        </w:rPr>
      </w:pPr>
    </w:p>
    <w:p>
      <w:pPr>
        <w:jc w:val="both"/>
        <w:ind w:left="7" w:firstLine="279"/>
        <w:spacing w:after="0" w:line="280" w:lineRule="auto"/>
        <w:rPr>
          <w:sz w:val="20"/>
          <w:szCs w:val="20"/>
          <w:color w:val="auto"/>
        </w:rPr>
      </w:pPr>
      <w:r>
        <w:rPr>
          <w:rFonts w:ascii="Arial" w:cs="Arial" w:eastAsia="Arial" w:hAnsi="Arial"/>
          <w:sz w:val="14"/>
          <w:szCs w:val="14"/>
          <w:color w:val="auto"/>
        </w:rPr>
        <w:t>As indicated above, the COVID-19 pandemic has caused significant distress in global financial markets that could have an adverse impact on our company. However, we currently believe our financial risks are mitigated by several factors, including the following: (i) our access to our cash and cash equivalents and short-term investments has not been impaired during the first half of 2020, (ii) we do not currently perceive a significant risk of a credit event that would impair our cash holdings, derivative assets or restrict available credit facilities, (iii) we continue to maintain a strong balance sheet, with over 75% of our debt not due until 2026 or later, (iv) our credit facilities do not contain maintenance-based leverage covenants, with the exception of any revolving facilities that are drawn in excess of 40% of total availability (such revolving facilities were undrawn at June 30, 2020), and</w:t>
      </w:r>
    </w:p>
    <w:p>
      <w:pPr>
        <w:spacing w:after="0" w:line="2" w:lineRule="exact"/>
        <w:rPr>
          <w:sz w:val="20"/>
          <w:szCs w:val="20"/>
          <w:color w:val="auto"/>
        </w:rPr>
      </w:pPr>
    </w:p>
    <w:p>
      <w:pPr>
        <w:ind w:left="7" w:right="20" w:hanging="7"/>
        <w:spacing w:after="0" w:line="314" w:lineRule="auto"/>
        <w:tabs>
          <w:tab w:leader="none" w:pos="243" w:val="left"/>
        </w:tabs>
        <w:numPr>
          <w:ilvl w:val="0"/>
          <w:numId w:val="48"/>
        </w:numPr>
        <w:rPr>
          <w:rFonts w:ascii="Arial" w:cs="Arial" w:eastAsia="Arial" w:hAnsi="Arial"/>
          <w:sz w:val="14"/>
          <w:szCs w:val="14"/>
          <w:color w:val="auto"/>
        </w:rPr>
      </w:pPr>
      <w:r>
        <w:rPr>
          <w:rFonts w:ascii="Arial" w:cs="Arial" w:eastAsia="Arial" w:hAnsi="Arial"/>
          <w:sz w:val="14"/>
          <w:szCs w:val="14"/>
          <w:color w:val="auto"/>
        </w:rPr>
        <w:t>our derivative instruments provide protection against adverse changes in financial markets, such as the weakening of the British pound sterling and declines in the value of certain of our fair value investments. In addition, we have implemented enhanced risk monitoring procedures at this time of heightened market volatility.</w:t>
      </w:r>
    </w:p>
    <w:p>
      <w:pPr>
        <w:spacing w:after="0" w:line="127" w:lineRule="exact"/>
        <w:rPr>
          <w:sz w:val="20"/>
          <w:szCs w:val="20"/>
          <w:color w:val="auto"/>
        </w:rPr>
      </w:pPr>
    </w:p>
    <w:p>
      <w:pPr>
        <w:jc w:val="both"/>
        <w:ind w:left="7" w:firstLine="279"/>
        <w:spacing w:after="0" w:line="250" w:lineRule="auto"/>
        <w:rPr>
          <w:sz w:val="20"/>
          <w:szCs w:val="20"/>
          <w:color w:val="auto"/>
        </w:rPr>
      </w:pPr>
      <w:r>
        <w:rPr>
          <w:rFonts w:ascii="Arial" w:cs="Arial" w:eastAsia="Arial" w:hAnsi="Arial"/>
          <w:sz w:val="16"/>
          <w:szCs w:val="16"/>
          <w:color w:val="auto"/>
        </w:rPr>
        <w:t>While it is not currently possible to estimate the duration and severity of the COVID-19 pandemic or the adverse economic impact resulting from the preventative measures taken to contain or mitigate its outbreak, an extended period of global economic disruption could have a material adverse impact on our business, financial condition and results of operations in future periods.</w:t>
      </w:r>
    </w:p>
    <w:p>
      <w:pPr>
        <w:spacing w:after="0" w:line="170" w:lineRule="exact"/>
        <w:rPr>
          <w:sz w:val="20"/>
          <w:szCs w:val="20"/>
          <w:color w:val="auto"/>
        </w:rPr>
      </w:pPr>
    </w:p>
    <w:p>
      <w:pPr>
        <w:ind w:left="147"/>
        <w:spacing w:after="0"/>
        <w:rPr>
          <w:sz w:val="20"/>
          <w:szCs w:val="20"/>
          <w:color w:val="auto"/>
        </w:rPr>
      </w:pPr>
      <w:r>
        <w:rPr>
          <w:rFonts w:ascii="Arial" w:cs="Arial" w:eastAsia="Arial" w:hAnsi="Arial"/>
          <w:sz w:val="16"/>
          <w:szCs w:val="16"/>
          <w:b w:val="1"/>
          <w:bCs w:val="1"/>
          <w:i w:val="1"/>
          <w:iCs w:val="1"/>
          <w:color w:val="auto"/>
        </w:rPr>
        <w:t>Competition and Other External Factors</w:t>
      </w:r>
    </w:p>
    <w:p>
      <w:pPr>
        <w:spacing w:after="0" w:line="188" w:lineRule="exact"/>
        <w:rPr>
          <w:sz w:val="20"/>
          <w:szCs w:val="20"/>
          <w:color w:val="auto"/>
        </w:rPr>
      </w:pPr>
    </w:p>
    <w:p>
      <w:pPr>
        <w:jc w:val="both"/>
        <w:ind w:left="7" w:right="20" w:firstLine="279"/>
        <w:spacing w:after="0" w:line="248" w:lineRule="auto"/>
        <w:rPr>
          <w:sz w:val="20"/>
          <w:szCs w:val="20"/>
          <w:color w:val="auto"/>
        </w:rPr>
      </w:pPr>
      <w:r>
        <w:rPr>
          <w:rFonts w:ascii="Arial" w:cs="Arial" w:eastAsia="Arial" w:hAnsi="Arial"/>
          <w:sz w:val="16"/>
          <w:szCs w:val="16"/>
          <w:color w:val="auto"/>
        </w:rPr>
        <w:t>We are experiencing competition in all of the markets in which we or our affiliates operate. This competition, together with macroeconomic and regulatory factors, has adversely impacted our revenue, number of customers and/or average monthly subscription revenue per fixed-line customer or mobile subscriber, as applicable (</w:t>
      </w:r>
      <w:r>
        <w:rPr>
          <w:rFonts w:ascii="Arial" w:cs="Arial" w:eastAsia="Arial" w:hAnsi="Arial"/>
          <w:sz w:val="16"/>
          <w:szCs w:val="16"/>
          <w:b w:val="1"/>
          <w:bCs w:val="1"/>
          <w:color w:val="auto"/>
        </w:rPr>
        <w:t>ARPU</w:t>
      </w:r>
      <w:r>
        <w:rPr>
          <w:rFonts w:ascii="Arial" w:cs="Arial" w:eastAsia="Arial" w:hAnsi="Arial"/>
          <w:sz w:val="16"/>
          <w:szCs w:val="16"/>
          <w:color w:val="auto"/>
        </w:rPr>
        <w:t xml:space="preserve">). For additional information regarding the revenue impact of changes in fixed-line customers and ARPU of our consolidated reportable segments, see </w:t>
      </w:r>
      <w:r>
        <w:rPr>
          <w:rFonts w:ascii="Arial" w:cs="Arial" w:eastAsia="Arial" w:hAnsi="Arial"/>
          <w:sz w:val="16"/>
          <w:szCs w:val="16"/>
          <w:i w:val="1"/>
          <w:iCs w:val="1"/>
          <w:color w:val="auto"/>
        </w:rPr>
        <w:t>Discussion and Analysis of our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Reportable Segments </w:t>
      </w:r>
      <w:r>
        <w:rPr>
          <w:rFonts w:ascii="Arial" w:cs="Arial" w:eastAsia="Arial" w:hAnsi="Arial"/>
          <w:sz w:val="16"/>
          <w:szCs w:val="16"/>
          <w:color w:val="auto"/>
        </w:rPr>
        <w:t>below</w:t>
      </w:r>
      <w:r>
        <w:rPr>
          <w:rFonts w:ascii="Arial" w:cs="Arial" w:eastAsia="Arial" w:hAnsi="Arial"/>
          <w:sz w:val="16"/>
          <w:szCs w:val="16"/>
          <w:i w:val="1"/>
          <w:iCs w:val="1"/>
          <w:color w:val="auto"/>
        </w:rPr>
        <w:t>.</w:t>
      </w:r>
    </w:p>
    <w:p>
      <w:pPr>
        <w:spacing w:after="0" w:line="170" w:lineRule="exact"/>
        <w:rPr>
          <w:sz w:val="20"/>
          <w:szCs w:val="20"/>
          <w:color w:val="auto"/>
        </w:rPr>
      </w:pPr>
    </w:p>
    <w:p>
      <w:pPr>
        <w:jc w:val="both"/>
        <w:ind w:left="7" w:right="20" w:firstLine="279"/>
        <w:spacing w:after="0" w:line="294" w:lineRule="auto"/>
        <w:rPr>
          <w:sz w:val="20"/>
          <w:szCs w:val="20"/>
          <w:color w:val="auto"/>
        </w:rPr>
      </w:pPr>
      <w:r>
        <w:rPr>
          <w:rFonts w:ascii="Arial" w:cs="Arial" w:eastAsia="Arial" w:hAnsi="Arial"/>
          <w:sz w:val="14"/>
          <w:szCs w:val="14"/>
          <w:color w:val="auto"/>
        </w:rPr>
        <w:t>In addition to competition, our operations are subject to macroeconomic, political and other risks that are outside of our control. For example, on June 23, 2016, the U.K. held a referendum in which voters approved, on an advisory basis, an exit from the E.U., commonly referred to as “</w:t>
      </w:r>
      <w:r>
        <w:rPr>
          <w:rFonts w:ascii="Arial" w:cs="Arial" w:eastAsia="Arial" w:hAnsi="Arial"/>
          <w:sz w:val="14"/>
          <w:szCs w:val="14"/>
          <w:b w:val="1"/>
          <w:bCs w:val="1"/>
          <w:color w:val="auto"/>
        </w:rPr>
        <w:t>Brexit</w:t>
      </w:r>
      <w:r>
        <w:rPr>
          <w:rFonts w:ascii="Arial" w:cs="Arial" w:eastAsia="Arial" w:hAnsi="Arial"/>
          <w:sz w:val="14"/>
          <w:szCs w:val="14"/>
          <w:color w:val="auto"/>
        </w:rPr>
        <w:t>.” The U.K. formally exited the E.U. on January 31, 2020, and has now entered into a transition period until December 31, 2020, during which the U.K. and the E.U. will negotiate to formalize the future U.K.-E.U. relationship with respect to a number of matters, most notably trade. Although the U.K. has ceased to be an E.U. member, during</w:t>
      </w:r>
    </w:p>
    <w:p>
      <w:pPr>
        <w:spacing w:after="0" w:line="142"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267"/>
          </w:cols>
          <w:pgMar w:left="313" w:top="315" w:right="319" w:bottom="1440" w:gutter="0" w:footer="0" w:header="0"/>
        </w:sectPr>
      </w:pPr>
    </w:p>
    <w:bookmarkStart w:id="54" w:name="page55"/>
    <w:bookmarkEnd w:id="54"/>
    <w:p>
      <w:pPr>
        <w:jc w:val="both"/>
        <w:spacing w:after="0" w:line="287" w:lineRule="auto"/>
        <w:rPr>
          <w:sz w:val="20"/>
          <w:szCs w:val="20"/>
          <w:color w:val="auto"/>
        </w:rPr>
      </w:pPr>
      <w:r>
        <w:rPr>
          <w:rFonts w:ascii="Arial" w:cs="Arial" w:eastAsia="Arial" w:hAnsi="Arial"/>
          <w:sz w:val="14"/>
          <w:szCs w:val="14"/>
          <w:color w:val="auto"/>
        </w:rPr>
        <w:t>the transition period their trading relationship will remain the same and the U.K. will continue to follow the E.U.'s rules, such as accepting rulings from the European Court of Justice, and the U.K. will continue to contribute to the E.U.’s budget. Uncertainty remains as to what specific terms of separation may be agreed during the transition period. It is possible that the U.K. will fail to agree to specific separation terms with the E.U. by the end of the transition period, which, absent extension, may require the U.K. to leave the E.U. under a so-called “hard Brexit” or “no-deal Brexit” without specific agreements on trade, finance and other key elements. The foregoing has caused uncertainty as to Brexit’s impact on the free movement of goods, services, people and capital between the U.K. and the E.U., customer behavior, economic conditions, interest rates, currency exchange rates and availability of capital. The effects of Brexit could adversely affect our business, results of operations and financial condition.</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Material Changes in Results of Operations</w:t>
      </w:r>
    </w:p>
    <w:p>
      <w:pPr>
        <w:spacing w:after="0" w:line="194" w:lineRule="exact"/>
        <w:rPr>
          <w:sz w:val="20"/>
          <w:szCs w:val="20"/>
          <w:color w:val="auto"/>
        </w:rPr>
      </w:pPr>
    </w:p>
    <w:p>
      <w:pPr>
        <w:jc w:val="both"/>
        <w:ind w:right="20" w:firstLine="279"/>
        <w:spacing w:after="0" w:line="258" w:lineRule="auto"/>
        <w:rPr>
          <w:sz w:val="20"/>
          <w:szCs w:val="20"/>
          <w:color w:val="auto"/>
        </w:rPr>
      </w:pPr>
      <w:r>
        <w:rPr>
          <w:rFonts w:ascii="Arial" w:cs="Arial" w:eastAsia="Arial" w:hAnsi="Arial"/>
          <w:sz w:val="16"/>
          <w:szCs w:val="16"/>
          <w:color w:val="auto"/>
        </w:rPr>
        <w:t>We have completed a number of transactions that impact the comparability of our results of operations, the most notable of which is the De Vijver Media Acquisition on June 3, 2019. For further information, see note 4 to our condensed consolidated financial statements.</w:t>
      </w:r>
    </w:p>
    <w:p>
      <w:pPr>
        <w:spacing w:after="0" w:line="157" w:lineRule="exact"/>
        <w:rPr>
          <w:sz w:val="20"/>
          <w:szCs w:val="20"/>
          <w:color w:val="auto"/>
        </w:rPr>
      </w:pPr>
    </w:p>
    <w:p>
      <w:pPr>
        <w:jc w:val="both"/>
        <w:ind w:firstLine="279"/>
        <w:spacing w:after="0" w:line="289" w:lineRule="auto"/>
        <w:rPr>
          <w:sz w:val="20"/>
          <w:szCs w:val="20"/>
          <w:color w:val="auto"/>
        </w:rPr>
      </w:pPr>
      <w:r>
        <w:rPr>
          <w:rFonts w:ascii="Arial" w:cs="Arial" w:eastAsia="Arial" w:hAnsi="Arial"/>
          <w:sz w:val="14"/>
          <w:szCs w:val="14"/>
          <w:color w:val="auto"/>
        </w:rPr>
        <w:t xml:space="preserve">In the following discussion, we quantify the estimated impact of acquisitions (the </w:t>
      </w:r>
      <w:r>
        <w:rPr>
          <w:rFonts w:ascii="Arial" w:cs="Arial" w:eastAsia="Arial" w:hAnsi="Arial"/>
          <w:sz w:val="14"/>
          <w:szCs w:val="14"/>
          <w:b w:val="1"/>
          <w:bCs w:val="1"/>
          <w:color w:val="auto"/>
        </w:rPr>
        <w:t>Acquisition Impact</w:t>
      </w:r>
      <w:r>
        <w:rPr>
          <w:rFonts w:ascii="Arial" w:cs="Arial" w:eastAsia="Arial" w:hAnsi="Arial"/>
          <w:sz w:val="14"/>
          <w:szCs w:val="14"/>
          <w:color w:val="auto"/>
        </w:rPr>
        <w:t>) on our operating results. The Acquisition Impact represents our estimate of the difference between the operating results of the periods under comparison that is attributable to an acquisition. In general, we base our estimate of the Acquisition Impact on an acquired entity’s operating results during the first three to twelve months following the acquisition date, as adjusted to remove integration costs and any other material unusual or nonoperational items, such that changes from those operating results in subsequent periods are considered to be organic changes. Accordingly, in the following discussion, (i) organic variances attributed to an acquired entity during the first 12 months following the acquisition date represent differences between the Acquisition Impact and the actual results and (ii) the calculation of our organic change percentages includes the organic activity of an acquired entity relative to the Acquisition Impact of such entity.</w:t>
      </w:r>
    </w:p>
    <w:p>
      <w:pPr>
        <w:spacing w:after="0" w:line="146" w:lineRule="exact"/>
        <w:rPr>
          <w:sz w:val="20"/>
          <w:szCs w:val="20"/>
          <w:color w:val="auto"/>
        </w:rPr>
      </w:pPr>
    </w:p>
    <w:p>
      <w:pPr>
        <w:jc w:val="both"/>
        <w:ind w:firstLine="279"/>
        <w:spacing w:after="0" w:line="286" w:lineRule="auto"/>
        <w:rPr>
          <w:sz w:val="20"/>
          <w:szCs w:val="20"/>
          <w:color w:val="auto"/>
        </w:rPr>
      </w:pPr>
      <w:r>
        <w:rPr>
          <w:rFonts w:ascii="Arial" w:cs="Arial" w:eastAsia="Arial" w:hAnsi="Arial"/>
          <w:sz w:val="14"/>
          <w:szCs w:val="14"/>
          <w:color w:val="auto"/>
        </w:rPr>
        <w:t>Changes in foreign currency exchange rates have a significant impact on our reported operating results as all of our operating segments have functional currencies other than the U.S. dollar. Our primary exposure to foreign exchange (</w:t>
      </w:r>
      <w:r>
        <w:rPr>
          <w:rFonts w:ascii="Arial" w:cs="Arial" w:eastAsia="Arial" w:hAnsi="Arial"/>
          <w:sz w:val="14"/>
          <w:szCs w:val="14"/>
          <w:b w:val="1"/>
          <w:bCs w:val="1"/>
          <w:color w:val="auto"/>
        </w:rPr>
        <w:t>FX</w:t>
      </w:r>
      <w:r>
        <w:rPr>
          <w:rFonts w:ascii="Arial" w:cs="Arial" w:eastAsia="Arial" w:hAnsi="Arial"/>
          <w:sz w:val="14"/>
          <w:szCs w:val="14"/>
          <w:color w:val="auto"/>
        </w:rPr>
        <w:t xml:space="preserve">) risk during the six months ended June 30, 2020 was to the British pound sterling and euro as 52.1% and 33.2% of our reported revenue during the period was derived from subsidiaries whose functional currencies are the British pound sterling and euro, respectively. In addition, our reported operating results are impacted by changes in the exchange rates for certain other local currencies in Europe. The portions of the changes in the various components of our results of operations that are attributable to changes in FX are highlighted under </w:t>
      </w:r>
      <w:r>
        <w:rPr>
          <w:rFonts w:ascii="Arial" w:cs="Arial" w:eastAsia="Arial" w:hAnsi="Arial"/>
          <w:sz w:val="14"/>
          <w:szCs w:val="14"/>
          <w:i w:val="1"/>
          <w:iCs w:val="1"/>
          <w:color w:val="auto"/>
        </w:rPr>
        <w:t>Discussion and Analysis of our Reportable Segments</w:t>
      </w:r>
      <w:r>
        <w:rPr>
          <w:rFonts w:ascii="Arial" w:cs="Arial" w:eastAsia="Arial" w:hAnsi="Arial"/>
          <w:sz w:val="14"/>
          <w:szCs w:val="14"/>
          <w:color w:val="auto"/>
        </w:rPr>
        <w:t xml:space="preserve"> and </w:t>
      </w:r>
      <w:r>
        <w:rPr>
          <w:rFonts w:ascii="Arial" w:cs="Arial" w:eastAsia="Arial" w:hAnsi="Arial"/>
          <w:sz w:val="14"/>
          <w:szCs w:val="14"/>
          <w:i w:val="1"/>
          <w:iCs w:val="1"/>
          <w:color w:val="auto"/>
        </w:rPr>
        <w:t>Discussion and Analysis of our Consolidated</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Operating Results </w:t>
      </w:r>
      <w:r>
        <w:rPr>
          <w:rFonts w:ascii="Arial" w:cs="Arial" w:eastAsia="Arial" w:hAnsi="Arial"/>
          <w:sz w:val="14"/>
          <w:szCs w:val="14"/>
          <w:color w:val="auto"/>
        </w:rPr>
        <w:t>below. For information regarding our foreign currency risks and the applicable foreign currency exchange rates in effect for the periods covered by this Quarterly</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Report, see Part I, Item 3. </w:t>
      </w:r>
      <w:r>
        <w:rPr>
          <w:rFonts w:ascii="Arial" w:cs="Arial" w:eastAsia="Arial" w:hAnsi="Arial"/>
          <w:sz w:val="14"/>
          <w:szCs w:val="14"/>
          <w:i w:val="1"/>
          <w:iCs w:val="1"/>
          <w:color w:val="auto"/>
        </w:rPr>
        <w:t>Quantitative and Qualitative Disclosures about Market Risk — Foreign Currency Risk</w:t>
      </w:r>
      <w:r>
        <w:rPr>
          <w:rFonts w:ascii="Arial" w:cs="Arial" w:eastAsia="Arial" w:hAnsi="Arial"/>
          <w:sz w:val="14"/>
          <w:szCs w:val="14"/>
          <w:color w:val="auto"/>
        </w:rPr>
        <w:t xml:space="preserve"> below.</w:t>
      </w:r>
    </w:p>
    <w:p>
      <w:pPr>
        <w:spacing w:after="0" w:line="146" w:lineRule="exact"/>
        <w:rPr>
          <w:sz w:val="20"/>
          <w:szCs w:val="20"/>
          <w:color w:val="auto"/>
        </w:rPr>
      </w:pPr>
    </w:p>
    <w:p>
      <w:pPr>
        <w:jc w:val="both"/>
        <w:ind w:firstLine="279"/>
        <w:spacing w:after="0" w:line="248" w:lineRule="auto"/>
        <w:rPr>
          <w:sz w:val="20"/>
          <w:szCs w:val="20"/>
          <w:color w:val="auto"/>
        </w:rPr>
      </w:pPr>
      <w:r>
        <w:rPr>
          <w:rFonts w:ascii="Arial" w:cs="Arial" w:eastAsia="Arial" w:hAnsi="Arial"/>
          <w:sz w:val="16"/>
          <w:szCs w:val="16"/>
          <w:color w:val="auto"/>
        </w:rPr>
        <w:t>The amounts presented and discussed below represent 100% of each of our consolidated reportable segment’s results of operations. As we have the ability to control Telenet, we consolidate 100% of its revenue and expenses in our condensed consolidated statements of operations despite the fact that third parties own a significant interest. The noncontrolling owners’ interests in the operating results of Telenet and other less significant majority-owned subsidiaries are reflected in net earnings or loss attributable to noncontrolling interests in our condensed consolidated statements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Discussion and Analysis of our Reportable Segments</w:t>
      </w:r>
    </w:p>
    <w:p>
      <w:pPr>
        <w:spacing w:after="0" w:line="194"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General</w:t>
      </w:r>
    </w:p>
    <w:p>
      <w:pPr>
        <w:spacing w:after="0" w:line="188" w:lineRule="exact"/>
        <w:rPr>
          <w:sz w:val="20"/>
          <w:szCs w:val="20"/>
          <w:color w:val="auto"/>
        </w:rPr>
      </w:pPr>
    </w:p>
    <w:p>
      <w:pPr>
        <w:jc w:val="both"/>
        <w:ind w:firstLine="279"/>
        <w:spacing w:after="0" w:line="248" w:lineRule="auto"/>
        <w:rPr>
          <w:sz w:val="20"/>
          <w:szCs w:val="20"/>
          <w:color w:val="auto"/>
        </w:rPr>
      </w:pPr>
      <w:r>
        <w:rPr>
          <w:rFonts w:ascii="Arial" w:cs="Arial" w:eastAsia="Arial" w:hAnsi="Arial"/>
          <w:sz w:val="16"/>
          <w:szCs w:val="16"/>
          <w:color w:val="auto"/>
        </w:rPr>
        <w:t xml:space="preserve">All of our reportable segments derive their revenue primarily from residential and B2B communications services, including broadband internet, video, fixed-line telephony and mobile services. For detailed information regarding the composition of our reportable segments and how we define and categorize our revenue components, see note 17 to our condensed consolidated financial statements. For more information regarding the results of operations of the VodafoneZiggo JV, refer to </w:t>
      </w:r>
      <w:r>
        <w:rPr>
          <w:rFonts w:ascii="Arial" w:cs="Arial" w:eastAsia="Arial" w:hAnsi="Arial"/>
          <w:sz w:val="16"/>
          <w:szCs w:val="16"/>
          <w:i w:val="1"/>
          <w:iCs w:val="1"/>
          <w:color w:val="auto"/>
        </w:rPr>
        <w:t>Discussion and Analysis of our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Consolidated Operating Results — Share of results of affiliates </w:t>
      </w:r>
      <w:r>
        <w:rPr>
          <w:rFonts w:ascii="Arial" w:cs="Arial" w:eastAsia="Arial" w:hAnsi="Arial"/>
          <w:sz w:val="16"/>
          <w:szCs w:val="16"/>
          <w:color w:val="auto"/>
        </w:rPr>
        <w:t>below.</w:t>
      </w:r>
    </w:p>
    <w:p>
      <w:pPr>
        <w:spacing w:after="0" w:line="170" w:lineRule="exact"/>
        <w:rPr>
          <w:sz w:val="20"/>
          <w:szCs w:val="20"/>
          <w:color w:val="auto"/>
        </w:rPr>
      </w:pPr>
    </w:p>
    <w:p>
      <w:pPr>
        <w:jc w:val="both"/>
        <w:ind w:firstLine="279"/>
        <w:spacing w:after="0" w:line="294" w:lineRule="auto"/>
        <w:rPr>
          <w:sz w:val="20"/>
          <w:szCs w:val="20"/>
          <w:color w:val="auto"/>
        </w:rPr>
      </w:pPr>
      <w:r>
        <w:rPr>
          <w:rFonts w:ascii="Arial" w:cs="Arial" w:eastAsia="Arial" w:hAnsi="Arial"/>
          <w:sz w:val="14"/>
          <w:szCs w:val="14"/>
          <w:color w:val="auto"/>
        </w:rPr>
        <w:t>The tables presented below in this section provide the details of the revenue and Adjusted EBITDA of our consolidated reportable segments for the three months ended June 30, 2020 and 2019. These tables present (i) the amounts reported for the current and comparative periods, (ii) the reported U.S. dollar change and percentage change from period to period and (iii) the organic U.S. dollar change and percentage change from period to period. For our organic comparisons, which exclude the impact of FX, we assume that exchange rates remained constant at the prior-year rate during all periods presented. We also provide a table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260"/>
          </w:cols>
          <w:pgMar w:left="320" w:top="315" w:right="319" w:bottom="1440" w:gutter="0" w:footer="0" w:header="0"/>
        </w:sectPr>
      </w:pPr>
    </w:p>
    <w:bookmarkStart w:id="55" w:name="page56"/>
    <w:bookmarkEnd w:id="55"/>
    <w:p>
      <w:pPr>
        <w:spacing w:after="0"/>
        <w:rPr>
          <w:sz w:val="20"/>
          <w:szCs w:val="20"/>
          <w:color w:val="auto"/>
        </w:rPr>
      </w:pPr>
      <w:r>
        <w:rPr>
          <w:rFonts w:ascii="Arial" w:cs="Arial" w:eastAsia="Arial" w:hAnsi="Arial"/>
          <w:sz w:val="16"/>
          <w:szCs w:val="16"/>
          <w:color w:val="auto"/>
        </w:rPr>
        <w:t>showing the Adjusted EBITDA margins of our consolidated reportable segments for three months ended June 30, 2020 and 2019 at the end of this section.</w:t>
      </w:r>
    </w:p>
    <w:p>
      <w:pPr>
        <w:spacing w:after="0" w:line="188" w:lineRule="exact"/>
        <w:rPr>
          <w:sz w:val="20"/>
          <w:szCs w:val="20"/>
          <w:color w:val="auto"/>
        </w:rPr>
      </w:pPr>
    </w:p>
    <w:p>
      <w:pPr>
        <w:jc w:val="both"/>
        <w:ind w:firstLine="279"/>
        <w:spacing w:after="0" w:line="294" w:lineRule="auto"/>
        <w:rPr>
          <w:sz w:val="20"/>
          <w:szCs w:val="20"/>
          <w:color w:val="auto"/>
        </w:rPr>
      </w:pPr>
      <w:r>
        <w:rPr>
          <w:rFonts w:ascii="Arial" w:cs="Arial" w:eastAsia="Arial" w:hAnsi="Arial"/>
          <w:sz w:val="14"/>
          <w:szCs w:val="14"/>
          <w:color w:val="auto"/>
        </w:rPr>
        <w:t>Consolidated Adjusted EBITDA (previously referred to as “Adjusted OIBDA”) is a non-GAAP measure, which we believe is a meaningful measure because it represents a transparent view of our recurring operating performance that is unaffected by our capital structure and allows management to readily view operating trends from a consolidated view. Investors should view consolidated Adjusted EBITDA as a supplement to, and not a substitute for, GAAP measures of performance included in our condensed consolidated statements of operations. The following table provides a reconciliation of earnings (loss) from continuing operations to Adjusted EBITDA:</w:t>
      </w:r>
    </w:p>
    <w:p>
      <w:pPr>
        <w:spacing w:after="0" w:line="93"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5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58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5"/>
                <w:szCs w:val="15"/>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20" w:type="dxa"/>
            <w:vAlign w:val="bottom"/>
          </w:tcPr>
          <w:p>
            <w:pPr>
              <w:spacing w:after="0"/>
              <w:rPr>
                <w:sz w:val="15"/>
                <w:szCs w:val="15"/>
                <w:color w:val="auto"/>
              </w:rPr>
            </w:pPr>
          </w:p>
        </w:tc>
      </w:tr>
      <w:tr>
        <w:trPr>
          <w:trHeight w:val="182"/>
        </w:trPr>
        <w:tc>
          <w:tcPr>
            <w:tcW w:w="5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80" w:type="dxa"/>
            <w:vAlign w:val="bottom"/>
            <w:gridSpan w:val="3"/>
          </w:tcPr>
          <w:p>
            <w:pPr>
              <w:jc w:val="right"/>
              <w:ind w:right="82"/>
              <w:spacing w:after="0"/>
              <w:rPr>
                <w:sz w:val="20"/>
                <w:szCs w:val="20"/>
                <w:color w:val="auto"/>
              </w:rPr>
            </w:pPr>
            <w:r>
              <w:rPr>
                <w:rFonts w:ascii="Arial" w:cs="Arial" w:eastAsia="Arial" w:hAnsi="Arial"/>
                <w:sz w:val="14"/>
                <w:szCs w:val="14"/>
                <w:b w:val="1"/>
                <w:bCs w:val="1"/>
                <w:color w:val="auto"/>
              </w:rPr>
              <w:t>June 30,</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60" w:type="dxa"/>
            <w:vAlign w:val="bottom"/>
            <w:gridSpan w:val="3"/>
          </w:tcPr>
          <w:p>
            <w:pPr>
              <w:jc w:val="right"/>
              <w:ind w:right="222"/>
              <w:spacing w:after="0"/>
              <w:rPr>
                <w:sz w:val="20"/>
                <w:szCs w:val="20"/>
                <w:color w:val="auto"/>
              </w:rPr>
            </w:pPr>
            <w:r>
              <w:rPr>
                <w:rFonts w:ascii="Arial" w:cs="Arial" w:eastAsia="Arial" w:hAnsi="Arial"/>
                <w:sz w:val="14"/>
                <w:szCs w:val="14"/>
                <w:b w:val="1"/>
                <w:bCs w:val="1"/>
                <w:color w:val="auto"/>
              </w:rPr>
              <w:t>June 30,</w:t>
            </w:r>
          </w:p>
        </w:tc>
        <w:tc>
          <w:tcPr>
            <w:tcW w:w="820" w:type="dxa"/>
            <w:vAlign w:val="bottom"/>
          </w:tcPr>
          <w:p>
            <w:pPr>
              <w:spacing w:after="0"/>
              <w:rPr>
                <w:sz w:val="15"/>
                <w:szCs w:val="15"/>
                <w:color w:val="auto"/>
              </w:rPr>
            </w:pPr>
          </w:p>
        </w:tc>
      </w:tr>
      <w:tr>
        <w:trPr>
          <w:trHeight w:val="28"/>
        </w:trPr>
        <w:tc>
          <w:tcPr>
            <w:tcW w:w="55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7"/>
        </w:trPr>
        <w:tc>
          <w:tcPr>
            <w:tcW w:w="5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ind w:right="46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ind w:right="46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ind w:right="44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jc w:val="right"/>
              <w:ind w:right="443"/>
              <w:spacing w:after="0"/>
              <w:rPr>
                <w:sz w:val="20"/>
                <w:szCs w:val="20"/>
                <w:color w:val="auto"/>
              </w:rPr>
            </w:pPr>
            <w:r>
              <w:rPr>
                <w:rFonts w:ascii="Arial" w:cs="Arial" w:eastAsia="Arial" w:hAnsi="Arial"/>
                <w:sz w:val="14"/>
                <w:szCs w:val="14"/>
                <w:b w:val="1"/>
                <w:bCs w:val="1"/>
                <w:color w:val="auto"/>
                <w:w w:val="89"/>
              </w:rPr>
              <w:t>2019</w:t>
            </w:r>
          </w:p>
        </w:tc>
      </w:tr>
      <w:tr>
        <w:trPr>
          <w:trHeight w:val="28"/>
        </w:trPr>
        <w:tc>
          <w:tcPr>
            <w:tcW w:w="55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85"/>
        </w:trPr>
        <w:tc>
          <w:tcPr>
            <w:tcW w:w="5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80" w:type="dxa"/>
            <w:vAlign w:val="bottom"/>
            <w:gridSpan w:val="3"/>
          </w:tcPr>
          <w:p>
            <w:pPr>
              <w:jc w:val="right"/>
              <w:ind w:right="62"/>
              <w:spacing w:after="0"/>
              <w:rPr>
                <w:sz w:val="20"/>
                <w:szCs w:val="20"/>
                <w:color w:val="auto"/>
              </w:rPr>
            </w:pPr>
            <w:r>
              <w:rPr>
                <w:rFonts w:ascii="Arial" w:cs="Arial" w:eastAsia="Arial" w:hAnsi="Arial"/>
                <w:sz w:val="14"/>
                <w:szCs w:val="14"/>
                <w:b w:val="1"/>
                <w:bCs w:val="1"/>
                <w:color w:val="auto"/>
              </w:rPr>
              <w:t>in millions</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33"/>
        </w:trPr>
        <w:tc>
          <w:tcPr>
            <w:tcW w:w="5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213"/>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(loss) from continuing operations</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(503.8)</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(339.6)</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513.9</w:t>
            </w: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322"/>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(646.5)</w:t>
            </w:r>
          </w:p>
        </w:tc>
      </w:tr>
      <w:tr>
        <w:trPr>
          <w:trHeight w:val="209"/>
        </w:trPr>
        <w:tc>
          <w:tcPr>
            <w:tcW w:w="5500" w:type="dxa"/>
            <w:vAlign w:val="bottom"/>
          </w:tcPr>
          <w:p>
            <w:pPr>
              <w:ind w:left="40"/>
              <w:spacing w:after="0"/>
              <w:rPr>
                <w:sz w:val="20"/>
                <w:szCs w:val="20"/>
                <w:color w:val="auto"/>
              </w:rPr>
            </w:pPr>
            <w:r>
              <w:rPr>
                <w:rFonts w:ascii="Arial" w:cs="Arial" w:eastAsia="Arial" w:hAnsi="Arial"/>
                <w:sz w:val="16"/>
                <w:szCs w:val="16"/>
                <w:color w:val="auto"/>
              </w:rPr>
              <w:t>Income tax expense (benefit)</w:t>
            </w: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(158.0)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ind w:right="43"/>
              <w:spacing w:after="0"/>
              <w:rPr>
                <w:sz w:val="20"/>
                <w:szCs w:val="20"/>
                <w:color w:val="auto"/>
              </w:rPr>
            </w:pPr>
            <w:r>
              <w:rPr>
                <w:rFonts w:ascii="Arial" w:cs="Arial" w:eastAsia="Arial" w:hAnsi="Arial"/>
                <w:sz w:val="16"/>
                <w:szCs w:val="16"/>
                <w:color w:val="auto"/>
              </w:rPr>
              <w:t>26.8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(77.9)</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jc w:val="right"/>
              <w:ind w:right="23"/>
              <w:spacing w:after="0"/>
              <w:rPr>
                <w:sz w:val="20"/>
                <w:szCs w:val="20"/>
                <w:color w:val="auto"/>
              </w:rPr>
            </w:pPr>
            <w:r>
              <w:rPr>
                <w:rFonts w:ascii="Arial" w:cs="Arial" w:eastAsia="Arial" w:hAnsi="Arial"/>
                <w:sz w:val="16"/>
                <w:szCs w:val="16"/>
                <w:color w:val="auto"/>
              </w:rPr>
              <w:t>54.6</w:t>
            </w:r>
          </w:p>
        </w:tc>
      </w:tr>
      <w:tr>
        <w:trPr>
          <w:trHeight w:val="24"/>
        </w:trPr>
        <w:tc>
          <w:tcPr>
            <w:tcW w:w="5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13"/>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net</w:t>
            </w:r>
          </w:p>
        </w:tc>
        <w:tc>
          <w:tcPr>
            <w:tcW w:w="3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(61.9)</w:t>
            </w: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(39.0)</w:t>
            </w:r>
          </w:p>
        </w:tc>
      </w:tr>
      <w:tr>
        <w:trPr>
          <w:trHeight w:val="209"/>
        </w:trPr>
        <w:tc>
          <w:tcPr>
            <w:tcW w:w="5500" w:type="dxa"/>
            <w:vAlign w:val="bottom"/>
          </w:tcPr>
          <w:p>
            <w:pPr>
              <w:spacing w:after="0"/>
              <w:rPr>
                <w:sz w:val="20"/>
                <w:szCs w:val="20"/>
                <w:color w:val="auto"/>
              </w:rPr>
            </w:pPr>
            <w:r>
              <w:rPr>
                <w:rFonts w:ascii="Arial" w:cs="Arial" w:eastAsia="Arial" w:hAnsi="Arial"/>
                <w:sz w:val="16"/>
                <w:szCs w:val="16"/>
                <w:color w:val="auto"/>
              </w:rPr>
              <w:t>Share of results of affiliates, net</w:t>
            </w:r>
          </w:p>
        </w:tc>
        <w:tc>
          <w:tcPr>
            <w:tcW w:w="360" w:type="dxa"/>
            <w:vAlign w:val="bottom"/>
          </w:tcPr>
          <w:p>
            <w:pPr>
              <w:spacing w:after="0"/>
              <w:rPr>
                <w:sz w:val="18"/>
                <w:szCs w:val="18"/>
                <w:color w:val="auto"/>
              </w:rPr>
            </w:pPr>
          </w:p>
        </w:tc>
        <w:tc>
          <w:tcPr>
            <w:tcW w:w="1000" w:type="dxa"/>
            <w:vAlign w:val="bottom"/>
          </w:tcPr>
          <w:p>
            <w:pPr>
              <w:jc w:val="right"/>
              <w:ind w:right="44"/>
              <w:spacing w:after="0"/>
              <w:rPr>
                <w:sz w:val="20"/>
                <w:szCs w:val="20"/>
                <w:color w:val="auto"/>
              </w:rPr>
            </w:pPr>
            <w:r>
              <w:rPr>
                <w:rFonts w:ascii="Arial" w:cs="Arial" w:eastAsia="Arial" w:hAnsi="Arial"/>
                <w:sz w:val="16"/>
                <w:szCs w:val="16"/>
                <w:color w:val="auto"/>
              </w:rPr>
              <w:t>105.4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ind w:right="43"/>
              <w:spacing w:after="0"/>
              <w:rPr>
                <w:sz w:val="20"/>
                <w:szCs w:val="20"/>
                <w:color w:val="auto"/>
              </w:rPr>
            </w:pPr>
            <w:r>
              <w:rPr>
                <w:rFonts w:ascii="Arial" w:cs="Arial" w:eastAsia="Arial" w:hAnsi="Arial"/>
                <w:sz w:val="16"/>
                <w:szCs w:val="16"/>
                <w:color w:val="auto"/>
              </w:rPr>
              <w:t>69.3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ind w:right="24"/>
              <w:spacing w:after="0"/>
              <w:rPr>
                <w:sz w:val="20"/>
                <w:szCs w:val="20"/>
                <w:color w:val="auto"/>
              </w:rPr>
            </w:pPr>
            <w:r>
              <w:rPr>
                <w:rFonts w:ascii="Arial" w:cs="Arial" w:eastAsia="Arial" w:hAnsi="Arial"/>
                <w:sz w:val="16"/>
                <w:szCs w:val="16"/>
                <w:color w:val="auto"/>
              </w:rPr>
              <w:t>72.0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jc w:val="right"/>
              <w:ind w:right="23"/>
              <w:spacing w:after="0"/>
              <w:rPr>
                <w:sz w:val="20"/>
                <w:szCs w:val="20"/>
                <w:color w:val="auto"/>
              </w:rPr>
            </w:pPr>
            <w:r>
              <w:rPr>
                <w:rFonts w:ascii="Arial" w:cs="Arial" w:eastAsia="Arial" w:hAnsi="Arial"/>
                <w:sz w:val="16"/>
                <w:szCs w:val="16"/>
                <w:color w:val="auto"/>
              </w:rPr>
              <w:t>140.2</w:t>
            </w:r>
          </w:p>
        </w:tc>
      </w:tr>
      <w:tr>
        <w:trPr>
          <w:trHeight w:val="24"/>
        </w:trPr>
        <w:tc>
          <w:tcPr>
            <w:tcW w:w="5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13"/>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Losses on debt extinguishment, net</w:t>
            </w:r>
          </w:p>
        </w:tc>
        <w:tc>
          <w:tcPr>
            <w:tcW w:w="3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165.6</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48.3</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220.1</w:t>
            </w: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48.8</w:t>
            </w:r>
          </w:p>
        </w:tc>
      </w:tr>
      <w:tr>
        <w:trPr>
          <w:trHeight w:val="199"/>
        </w:trPr>
        <w:tc>
          <w:tcPr>
            <w:tcW w:w="5500" w:type="dxa"/>
            <w:vAlign w:val="bottom"/>
          </w:tcPr>
          <w:p>
            <w:pPr>
              <w:ind w:left="40"/>
              <w:spacing w:after="0"/>
              <w:rPr>
                <w:sz w:val="20"/>
                <w:szCs w:val="20"/>
                <w:color w:val="auto"/>
              </w:rPr>
            </w:pPr>
            <w:r>
              <w:rPr>
                <w:rFonts w:ascii="Arial" w:cs="Arial" w:eastAsia="Arial" w:hAnsi="Arial"/>
                <w:sz w:val="16"/>
                <w:szCs w:val="16"/>
                <w:color w:val="auto"/>
                <w:w w:val="98"/>
              </w:rPr>
              <w:t>Realized and unrealized losses (gains) due to changes in fair values of certain</w:t>
            </w: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6"/>
        </w:trPr>
        <w:tc>
          <w:tcPr>
            <w:tcW w:w="5500" w:type="dxa"/>
            <w:vAlign w:val="bottom"/>
          </w:tcPr>
          <w:p>
            <w:pPr>
              <w:ind w:left="40"/>
              <w:spacing w:after="0"/>
              <w:rPr>
                <w:sz w:val="20"/>
                <w:szCs w:val="20"/>
                <w:color w:val="auto"/>
              </w:rPr>
            </w:pPr>
            <w:r>
              <w:rPr>
                <w:rFonts w:ascii="Arial" w:cs="Arial" w:eastAsia="Arial" w:hAnsi="Arial"/>
                <w:sz w:val="16"/>
                <w:szCs w:val="16"/>
                <w:color w:val="auto"/>
              </w:rPr>
              <w:t>investments and debt, net</w:t>
            </w:r>
          </w:p>
        </w:tc>
        <w:tc>
          <w:tcPr>
            <w:tcW w:w="3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(152.3)</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ind w:right="43"/>
              <w:spacing w:after="0"/>
              <w:rPr>
                <w:sz w:val="20"/>
                <w:szCs w:val="20"/>
                <w:color w:val="auto"/>
              </w:rPr>
            </w:pPr>
            <w:r>
              <w:rPr>
                <w:rFonts w:ascii="Arial" w:cs="Arial" w:eastAsia="Arial" w:hAnsi="Arial"/>
                <w:sz w:val="16"/>
                <w:szCs w:val="16"/>
                <w:color w:val="auto"/>
              </w:rPr>
              <w:t>138.7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ind w:right="24"/>
              <w:spacing w:after="0"/>
              <w:rPr>
                <w:sz w:val="20"/>
                <w:szCs w:val="20"/>
                <w:color w:val="auto"/>
              </w:rPr>
            </w:pPr>
            <w:r>
              <w:rPr>
                <w:rFonts w:ascii="Arial" w:cs="Arial" w:eastAsia="Arial" w:hAnsi="Arial"/>
                <w:sz w:val="16"/>
                <w:szCs w:val="16"/>
                <w:color w:val="auto"/>
              </w:rPr>
              <w:t>377.5</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jc w:val="right"/>
              <w:ind w:right="23"/>
              <w:spacing w:after="0"/>
              <w:rPr>
                <w:sz w:val="20"/>
                <w:szCs w:val="20"/>
                <w:color w:val="auto"/>
              </w:rPr>
            </w:pPr>
            <w:r>
              <w:rPr>
                <w:rFonts w:ascii="Arial" w:cs="Arial" w:eastAsia="Arial" w:hAnsi="Arial"/>
                <w:sz w:val="16"/>
                <w:szCs w:val="16"/>
                <w:color w:val="auto"/>
              </w:rPr>
              <w:t>146.9</w:t>
            </w:r>
          </w:p>
        </w:tc>
      </w:tr>
      <w:tr>
        <w:trPr>
          <w:trHeight w:val="24"/>
        </w:trPr>
        <w:tc>
          <w:tcPr>
            <w:tcW w:w="5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13"/>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currency transactions losses (gains), net</w:t>
            </w:r>
          </w:p>
        </w:tc>
        <w:tc>
          <w:tcPr>
            <w:tcW w:w="3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478.0</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27.0</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86.3</w:t>
            </w: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(111.6)</w:t>
            </w:r>
          </w:p>
        </w:tc>
      </w:tr>
      <w:tr>
        <w:trPr>
          <w:trHeight w:val="209"/>
        </w:trPr>
        <w:tc>
          <w:tcPr>
            <w:tcW w:w="5500" w:type="dxa"/>
            <w:vAlign w:val="bottom"/>
          </w:tcPr>
          <w:p>
            <w:pPr>
              <w:ind w:left="40"/>
              <w:spacing w:after="0"/>
              <w:rPr>
                <w:sz w:val="20"/>
                <w:szCs w:val="20"/>
                <w:color w:val="auto"/>
              </w:rPr>
            </w:pPr>
            <w:r>
              <w:rPr>
                <w:rFonts w:ascii="Arial" w:cs="Arial" w:eastAsia="Arial" w:hAnsi="Arial"/>
                <w:sz w:val="16"/>
                <w:szCs w:val="16"/>
                <w:color w:val="auto"/>
              </w:rPr>
              <w:t>Realized and unrealized losses (gains) on derivative instruments, net</w:t>
            </w:r>
          </w:p>
        </w:tc>
        <w:tc>
          <w:tcPr>
            <w:tcW w:w="360" w:type="dxa"/>
            <w:vAlign w:val="bottom"/>
          </w:tcPr>
          <w:p>
            <w:pPr>
              <w:spacing w:after="0"/>
              <w:rPr>
                <w:sz w:val="18"/>
                <w:szCs w:val="18"/>
                <w:color w:val="auto"/>
              </w:rPr>
            </w:pPr>
          </w:p>
        </w:tc>
        <w:tc>
          <w:tcPr>
            <w:tcW w:w="1000" w:type="dxa"/>
            <w:vAlign w:val="bottom"/>
          </w:tcPr>
          <w:p>
            <w:pPr>
              <w:jc w:val="right"/>
              <w:ind w:right="44"/>
              <w:spacing w:after="0"/>
              <w:rPr>
                <w:sz w:val="20"/>
                <w:szCs w:val="20"/>
                <w:color w:val="auto"/>
              </w:rPr>
            </w:pPr>
            <w:r>
              <w:rPr>
                <w:rFonts w:ascii="Arial" w:cs="Arial" w:eastAsia="Arial" w:hAnsi="Arial"/>
                <w:sz w:val="16"/>
                <w:szCs w:val="16"/>
                <w:color w:val="auto"/>
              </w:rPr>
              <w:t>319.7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(152.9)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(917.6)</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(70.1)</w:t>
            </w:r>
          </w:p>
        </w:tc>
      </w:tr>
      <w:tr>
        <w:trPr>
          <w:trHeight w:val="24"/>
        </w:trPr>
        <w:tc>
          <w:tcPr>
            <w:tcW w:w="5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33"/>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3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281.7</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363.6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595.0</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730.9</w:t>
            </w:r>
          </w:p>
        </w:tc>
      </w:tr>
      <w:tr>
        <w:trPr>
          <w:trHeight w:val="201"/>
        </w:trPr>
        <w:tc>
          <w:tcPr>
            <w:tcW w:w="5500" w:type="dxa"/>
            <w:vAlign w:val="bottom"/>
          </w:tcPr>
          <w:p>
            <w:pPr>
              <w:ind w:left="140"/>
              <w:spacing w:after="0"/>
              <w:rPr>
                <w:sz w:val="20"/>
                <w:szCs w:val="20"/>
                <w:color w:val="auto"/>
              </w:rPr>
            </w:pPr>
            <w:r>
              <w:rPr>
                <w:rFonts w:ascii="Arial" w:cs="Arial" w:eastAsia="Arial" w:hAnsi="Arial"/>
                <w:sz w:val="16"/>
                <w:szCs w:val="16"/>
                <w:color w:val="auto"/>
              </w:rPr>
              <w:t>Operating income</w:t>
            </w:r>
          </w:p>
        </w:tc>
        <w:tc>
          <w:tcPr>
            <w:tcW w:w="3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526.8</w:t>
            </w: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148.7</w:t>
            </w: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4"/>
              <w:spacing w:after="0"/>
              <w:rPr>
                <w:sz w:val="20"/>
                <w:szCs w:val="20"/>
                <w:color w:val="auto"/>
              </w:rPr>
            </w:pPr>
            <w:r>
              <w:rPr>
                <w:rFonts w:ascii="Arial" w:cs="Arial" w:eastAsia="Arial" w:hAnsi="Arial"/>
                <w:sz w:val="16"/>
                <w:szCs w:val="16"/>
                <w:color w:val="auto"/>
              </w:rPr>
              <w:t>807.4</w:t>
            </w:r>
          </w:p>
        </w:tc>
        <w:tc>
          <w:tcPr>
            <w:tcW w:w="12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254.2</w:t>
            </w:r>
          </w:p>
        </w:tc>
      </w:tr>
      <w:tr>
        <w:trPr>
          <w:trHeight w:val="24"/>
        </w:trPr>
        <w:tc>
          <w:tcPr>
            <w:tcW w:w="5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13"/>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Impairment, restructuring and other operating items, net</w:t>
            </w:r>
          </w:p>
        </w:tc>
        <w:tc>
          <w:tcPr>
            <w:tcW w:w="3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32.2</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33.2</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63.2</w:t>
            </w: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104.1</w:t>
            </w:r>
          </w:p>
        </w:tc>
      </w:tr>
      <w:tr>
        <w:trPr>
          <w:trHeight w:val="209"/>
        </w:trPr>
        <w:tc>
          <w:tcPr>
            <w:tcW w:w="5500" w:type="dxa"/>
            <w:vAlign w:val="bottom"/>
          </w:tcPr>
          <w:p>
            <w:pPr>
              <w:ind w:left="4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18"/>
                <w:szCs w:val="18"/>
                <w:color w:val="auto"/>
              </w:rPr>
            </w:pPr>
          </w:p>
        </w:tc>
        <w:tc>
          <w:tcPr>
            <w:tcW w:w="1000" w:type="dxa"/>
            <w:vAlign w:val="bottom"/>
          </w:tcPr>
          <w:p>
            <w:pPr>
              <w:jc w:val="right"/>
              <w:ind w:right="44"/>
              <w:spacing w:after="0"/>
              <w:rPr>
                <w:sz w:val="20"/>
                <w:szCs w:val="20"/>
                <w:color w:val="auto"/>
              </w:rPr>
            </w:pPr>
            <w:r>
              <w:rPr>
                <w:rFonts w:ascii="Arial" w:cs="Arial" w:eastAsia="Arial" w:hAnsi="Arial"/>
                <w:sz w:val="16"/>
                <w:szCs w:val="16"/>
                <w:color w:val="auto"/>
              </w:rPr>
              <w:t>545.7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ind w:right="43"/>
              <w:spacing w:after="0"/>
              <w:rPr>
                <w:sz w:val="20"/>
                <w:szCs w:val="20"/>
                <w:color w:val="auto"/>
              </w:rPr>
            </w:pPr>
            <w:r>
              <w:rPr>
                <w:rFonts w:ascii="Arial" w:cs="Arial" w:eastAsia="Arial" w:hAnsi="Arial"/>
                <w:sz w:val="16"/>
                <w:szCs w:val="16"/>
                <w:color w:val="auto"/>
              </w:rPr>
              <w:t>921.8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ind w:right="24"/>
              <w:spacing w:after="0"/>
              <w:rPr>
                <w:sz w:val="20"/>
                <w:szCs w:val="20"/>
                <w:color w:val="auto"/>
              </w:rPr>
            </w:pPr>
            <w:r>
              <w:rPr>
                <w:rFonts w:ascii="Arial" w:cs="Arial" w:eastAsia="Arial" w:hAnsi="Arial"/>
                <w:sz w:val="16"/>
                <w:szCs w:val="16"/>
                <w:color w:val="auto"/>
              </w:rPr>
              <w:t>1,329.2</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jc w:val="right"/>
              <w:ind w:right="23"/>
              <w:spacing w:after="0"/>
              <w:rPr>
                <w:sz w:val="20"/>
                <w:szCs w:val="20"/>
                <w:color w:val="auto"/>
              </w:rPr>
            </w:pPr>
            <w:r>
              <w:rPr>
                <w:rFonts w:ascii="Arial" w:cs="Arial" w:eastAsia="Arial" w:hAnsi="Arial"/>
                <w:sz w:val="16"/>
                <w:szCs w:val="16"/>
                <w:color w:val="auto"/>
              </w:rPr>
              <w:t>1,861.4</w:t>
            </w:r>
          </w:p>
        </w:tc>
      </w:tr>
      <w:tr>
        <w:trPr>
          <w:trHeight w:val="24"/>
        </w:trPr>
        <w:tc>
          <w:tcPr>
            <w:tcW w:w="5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33"/>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Share-based compensation expense</w:t>
            </w:r>
          </w:p>
        </w:tc>
        <w:tc>
          <w:tcPr>
            <w:tcW w:w="3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83.8</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87.0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139.0</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154.3</w:t>
            </w:r>
          </w:p>
        </w:tc>
      </w:tr>
      <w:tr>
        <w:trPr>
          <w:trHeight w:val="218"/>
        </w:trPr>
        <w:tc>
          <w:tcPr>
            <w:tcW w:w="5500" w:type="dxa"/>
            <w:vAlign w:val="bottom"/>
          </w:tcPr>
          <w:p>
            <w:pPr>
              <w:ind w:left="140"/>
              <w:spacing w:after="0"/>
              <w:rPr>
                <w:sz w:val="20"/>
                <w:szCs w:val="20"/>
                <w:color w:val="auto"/>
              </w:rPr>
            </w:pPr>
            <w:r>
              <w:rPr>
                <w:rFonts w:ascii="Arial" w:cs="Arial" w:eastAsia="Arial" w:hAnsi="Arial"/>
                <w:sz w:val="16"/>
                <w:szCs w:val="16"/>
                <w:color w:val="auto"/>
              </w:rPr>
              <w:t>Adjusted EBITDA</w:t>
            </w: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6"/>
                <w:szCs w:val="16"/>
                <w:color w:val="auto"/>
              </w:rPr>
              <w:t>1,188.5</w:t>
            </w:r>
          </w:p>
        </w:tc>
        <w:tc>
          <w:tcPr>
            <w:tcW w:w="1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82"/>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1,190.7</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202"/>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6"/>
                <w:szCs w:val="16"/>
                <w:color w:val="auto"/>
              </w:rPr>
              <w:t>2,338.8</w:t>
            </w:r>
          </w:p>
        </w:tc>
        <w:tc>
          <w:tcPr>
            <w:tcW w:w="12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22"/>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2,374.0</w:t>
            </w:r>
          </w:p>
        </w:tc>
      </w:tr>
      <w:tr>
        <w:trPr>
          <w:trHeight w:val="20"/>
        </w:trPr>
        <w:tc>
          <w:tcPr>
            <w:tcW w:w="55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539"/>
        </w:trPr>
        <w:tc>
          <w:tcPr>
            <w:tcW w:w="550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6"/>
                <w:szCs w:val="16"/>
                <w:color w:val="auto"/>
              </w:rPr>
              <w:t>54</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1260"/>
          </w:cols>
          <w:pgMar w:left="320" w:top="315" w:right="319" w:bottom="1440" w:gutter="0" w:footer="0" w:header="0"/>
        </w:sectPr>
      </w:pPr>
    </w:p>
    <w:bookmarkStart w:id="56" w:name="page57"/>
    <w:bookmarkEnd w:id="56"/>
    <w:p>
      <w:pPr>
        <w:ind w:left="147"/>
        <w:spacing w:after="0"/>
        <w:rPr>
          <w:sz w:val="20"/>
          <w:szCs w:val="20"/>
          <w:color w:val="auto"/>
        </w:rPr>
      </w:pPr>
      <w:r>
        <w:rPr>
          <w:rFonts w:ascii="Arial" w:cs="Arial" w:eastAsia="Arial" w:hAnsi="Arial"/>
          <w:sz w:val="16"/>
          <w:szCs w:val="16"/>
          <w:b w:val="1"/>
          <w:bCs w:val="1"/>
          <w:i w:val="1"/>
          <w:iCs w:val="1"/>
          <w:color w:val="auto"/>
        </w:rPr>
        <w:t>Revenue of our Consolidated Reportable Segments</w:t>
      </w:r>
    </w:p>
    <w:p>
      <w:pPr>
        <w:spacing w:after="0" w:line="188" w:lineRule="exact"/>
        <w:rPr>
          <w:sz w:val="20"/>
          <w:szCs w:val="20"/>
          <w:color w:val="auto"/>
        </w:rPr>
      </w:pPr>
    </w:p>
    <w:p>
      <w:pPr>
        <w:jc w:val="both"/>
        <w:ind w:left="7" w:firstLine="279"/>
        <w:spacing w:after="0" w:line="329" w:lineRule="auto"/>
        <w:rPr>
          <w:sz w:val="20"/>
          <w:szCs w:val="20"/>
          <w:color w:val="auto"/>
        </w:rPr>
      </w:pPr>
      <w:r>
        <w:rPr>
          <w:rFonts w:ascii="Arial" w:cs="Arial" w:eastAsia="Arial" w:hAnsi="Arial"/>
          <w:sz w:val="14"/>
          <w:szCs w:val="14"/>
          <w:i w:val="1"/>
          <w:iCs w:val="1"/>
          <w:color w:val="auto"/>
        </w:rPr>
        <w:t xml:space="preserve">General. </w:t>
      </w:r>
      <w:r>
        <w:rPr>
          <w:rFonts w:ascii="Arial" w:cs="Arial" w:eastAsia="Arial" w:hAnsi="Arial"/>
          <w:sz w:val="14"/>
          <w:szCs w:val="14"/>
          <w:color w:val="auto"/>
        </w:rPr>
        <w:t>While not specifically discussed in the below explanations of the changes in the revenue of our consolidated reportable segments, we are experiencing competition in</w:t>
      </w:r>
      <w:r>
        <w:rPr>
          <w:rFonts w:ascii="Arial" w:cs="Arial" w:eastAsia="Arial" w:hAnsi="Arial"/>
          <w:sz w:val="14"/>
          <w:szCs w:val="14"/>
          <w:i w:val="1"/>
          <w:iCs w:val="1"/>
          <w:color w:val="auto"/>
        </w:rPr>
        <w:t xml:space="preserve"> </w:t>
      </w:r>
      <w:r>
        <w:rPr>
          <w:rFonts w:ascii="Arial" w:cs="Arial" w:eastAsia="Arial" w:hAnsi="Arial"/>
          <w:sz w:val="14"/>
          <w:szCs w:val="14"/>
          <w:color w:val="auto"/>
        </w:rPr>
        <w:t>all of our markets. This competition has an adverse impact on our ability to increase or maintain our total number of customers and/or our ARPU.</w:t>
      </w:r>
    </w:p>
    <w:p>
      <w:pPr>
        <w:spacing w:after="0" w:line="117" w:lineRule="exact"/>
        <w:rPr>
          <w:sz w:val="20"/>
          <w:szCs w:val="20"/>
          <w:color w:val="auto"/>
        </w:rPr>
      </w:pPr>
    </w:p>
    <w:p>
      <w:pPr>
        <w:jc w:val="both"/>
        <w:ind w:left="7" w:right="20" w:firstLine="279"/>
        <w:spacing w:after="0" w:line="303" w:lineRule="auto"/>
        <w:rPr>
          <w:sz w:val="20"/>
          <w:szCs w:val="20"/>
          <w:color w:val="auto"/>
        </w:rPr>
      </w:pPr>
      <w:r>
        <w:rPr>
          <w:rFonts w:ascii="Arial" w:cs="Arial" w:eastAsia="Arial" w:hAnsi="Arial"/>
          <w:sz w:val="14"/>
          <w:szCs w:val="14"/>
          <w:color w:val="auto"/>
        </w:rPr>
        <w:t>Variances in the subscription revenue that we receive from our customers are a function of (i) changes in the number of our fixed-line customers or mobile subscribers outstanding during the period and (ii) changes in ARPU. Changes in ARPU can be attributable to (a) changes in prices, (b) changes in bundling or promotional discounts, (c) changes in the tier of services selected, (d) variances in subscriber usage patterns and (e) the overall mix of cable and mobile products within a segment during the period.</w:t>
      </w:r>
    </w:p>
    <w:p>
      <w:pPr>
        <w:spacing w:after="0" w:line="135" w:lineRule="exact"/>
        <w:rPr>
          <w:sz w:val="20"/>
          <w:szCs w:val="20"/>
          <w:color w:val="auto"/>
        </w:rPr>
      </w:pPr>
    </w:p>
    <w:p>
      <w:pPr>
        <w:ind w:left="287"/>
        <w:spacing w:after="0"/>
        <w:rPr>
          <w:sz w:val="20"/>
          <w:szCs w:val="20"/>
          <w:color w:val="auto"/>
        </w:rPr>
      </w:pPr>
      <w:r>
        <w:rPr>
          <w:rFonts w:ascii="Arial" w:cs="Arial" w:eastAsia="Arial" w:hAnsi="Arial"/>
          <w:sz w:val="16"/>
          <w:szCs w:val="16"/>
          <w:i w:val="1"/>
          <w:iCs w:val="1"/>
          <w:color w:val="auto"/>
        </w:rPr>
        <w:t>Revenue</w:t>
      </w:r>
    </w:p>
    <w:p>
      <w:pPr>
        <w:spacing w:after="0" w:line="338" w:lineRule="exact"/>
        <w:rPr>
          <w:sz w:val="20"/>
          <w:szCs w:val="20"/>
          <w:color w:val="auto"/>
        </w:rPr>
      </w:pPr>
    </w:p>
    <w:tbl>
      <w:tblPr>
        <w:tblLayout w:type="fixed"/>
        <w:tblInd w:w="7" w:type="dxa"/>
        <w:tblCellMar>
          <w:top w:w="0" w:type="dxa"/>
          <w:left w:w="0" w:type="dxa"/>
          <w:bottom w:w="0" w:type="dxa"/>
          <w:right w:w="0" w:type="dxa"/>
        </w:tblCellMar>
      </w:tblPr>
      <w:tr>
        <w:trPr>
          <w:trHeight w:val="182"/>
        </w:trPr>
        <w:tc>
          <w:tcPr>
            <w:tcW w:w="3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9"/>
              </w:rPr>
              <w:t>Three months ended June 30,</w:t>
            </w:r>
          </w:p>
        </w:tc>
        <w:tc>
          <w:tcPr>
            <w:tcW w:w="160" w:type="dxa"/>
            <w:vAlign w:val="bottom"/>
          </w:tcPr>
          <w:p>
            <w:pPr>
              <w:spacing w:after="0"/>
              <w:rPr>
                <w:sz w:val="15"/>
                <w:szCs w:val="15"/>
                <w:color w:val="auto"/>
              </w:rPr>
            </w:pPr>
          </w:p>
        </w:tc>
        <w:tc>
          <w:tcPr>
            <w:tcW w:w="2240" w:type="dxa"/>
            <w:vAlign w:val="bottom"/>
            <w:gridSpan w:val="4"/>
          </w:tcPr>
          <w:p>
            <w:pPr>
              <w:ind w:left="440"/>
              <w:spacing w:after="0"/>
              <w:rPr>
                <w:sz w:val="20"/>
                <w:szCs w:val="20"/>
                <w:color w:val="auto"/>
              </w:rPr>
            </w:pPr>
            <w:r>
              <w:rPr>
                <w:rFonts w:ascii="Arial" w:cs="Arial" w:eastAsia="Arial" w:hAnsi="Arial"/>
                <w:sz w:val="14"/>
                <w:szCs w:val="14"/>
                <w:b w:val="1"/>
                <w:bCs w:val="1"/>
                <w:color w:val="auto"/>
              </w:rPr>
              <w:t>Increase (decrease)</w:t>
            </w:r>
          </w:p>
        </w:tc>
        <w:tc>
          <w:tcPr>
            <w:tcW w:w="220" w:type="dxa"/>
            <w:vAlign w:val="bottom"/>
          </w:tcPr>
          <w:p>
            <w:pPr>
              <w:spacing w:after="0"/>
              <w:rPr>
                <w:sz w:val="15"/>
                <w:szCs w:val="15"/>
                <w:color w:val="auto"/>
              </w:rPr>
            </w:pPr>
          </w:p>
        </w:tc>
        <w:tc>
          <w:tcPr>
            <w:tcW w:w="2080" w:type="dxa"/>
            <w:vAlign w:val="bottom"/>
            <w:gridSpan w:val="3"/>
          </w:tcPr>
          <w:p>
            <w:pPr>
              <w:jc w:val="right"/>
              <w:ind w:right="243"/>
              <w:spacing w:after="0"/>
              <w:rPr>
                <w:sz w:val="20"/>
                <w:szCs w:val="20"/>
                <w:color w:val="auto"/>
              </w:rPr>
            </w:pPr>
            <w:r>
              <w:rPr>
                <w:rFonts w:ascii="Arial" w:cs="Arial" w:eastAsia="Arial" w:hAnsi="Arial"/>
                <w:sz w:val="14"/>
                <w:szCs w:val="14"/>
                <w:b w:val="1"/>
                <w:bCs w:val="1"/>
                <w:color w:val="auto"/>
                <w:w w:val="92"/>
              </w:rPr>
              <w:t>Organic increase (decrease)</w:t>
            </w:r>
          </w:p>
        </w:tc>
        <w:tc>
          <w:tcPr>
            <w:tcW w:w="0" w:type="dxa"/>
            <w:vAlign w:val="bottom"/>
          </w:tcPr>
          <w:p>
            <w:pPr>
              <w:spacing w:after="0"/>
              <w:rPr>
                <w:sz w:val="1"/>
                <w:szCs w:val="1"/>
                <w:color w:val="auto"/>
              </w:rPr>
            </w:pPr>
          </w:p>
        </w:tc>
      </w:tr>
      <w:tr>
        <w:trPr>
          <w:trHeight w:val="28"/>
        </w:trPr>
        <w:tc>
          <w:tcPr>
            <w:tcW w:w="3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3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34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ind w:right="34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445"/>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100" w:type="dxa"/>
            <w:vAlign w:val="bottom"/>
          </w:tcPr>
          <w:p>
            <w:pPr>
              <w:jc w:val="right"/>
              <w:ind w:right="40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44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100" w:type="dxa"/>
            <w:vAlign w:val="bottom"/>
          </w:tcPr>
          <w:p>
            <w:pPr>
              <w:jc w:val="right"/>
              <w:ind w:right="40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8"/>
        </w:trPr>
        <w:tc>
          <w:tcPr>
            <w:tcW w:w="3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4"/>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3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40" w:type="dxa"/>
            <w:vAlign w:val="bottom"/>
            <w:gridSpan w:val="4"/>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U.K./Ireland</w:t>
            </w:r>
          </w:p>
        </w:tc>
        <w:tc>
          <w:tcPr>
            <w:tcW w:w="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1,531.8</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1,644.0</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(112.2)</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(59.7)</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09"/>
        </w:trPr>
        <w:tc>
          <w:tcPr>
            <w:tcW w:w="3860" w:type="dxa"/>
            <w:vAlign w:val="bottom"/>
          </w:tcPr>
          <w:p>
            <w:pPr>
              <w:ind w:left="20"/>
              <w:spacing w:after="0"/>
              <w:rPr>
                <w:sz w:val="20"/>
                <w:szCs w:val="20"/>
                <w:color w:val="auto"/>
              </w:rPr>
            </w:pPr>
            <w:r>
              <w:rPr>
                <w:rFonts w:ascii="Arial" w:cs="Arial" w:eastAsia="Arial" w:hAnsi="Arial"/>
                <w:sz w:val="16"/>
                <w:szCs w:val="16"/>
                <w:color w:val="auto"/>
              </w:rPr>
              <w:t>Belgium</w:t>
            </w:r>
          </w:p>
        </w:tc>
        <w:tc>
          <w:tcPr>
            <w:tcW w:w="220" w:type="dxa"/>
            <w:vAlign w:val="bottom"/>
          </w:tcPr>
          <w:p>
            <w:pPr>
              <w:spacing w:after="0"/>
              <w:rPr>
                <w:sz w:val="18"/>
                <w:szCs w:val="18"/>
                <w:color w:val="auto"/>
              </w:rPr>
            </w:pPr>
          </w:p>
        </w:tc>
        <w:tc>
          <w:tcPr>
            <w:tcW w:w="920" w:type="dxa"/>
            <w:vAlign w:val="bottom"/>
          </w:tcPr>
          <w:p>
            <w:pPr>
              <w:jc w:val="right"/>
              <w:ind w:right="44"/>
              <w:spacing w:after="0"/>
              <w:rPr>
                <w:sz w:val="20"/>
                <w:szCs w:val="20"/>
                <w:color w:val="auto"/>
              </w:rPr>
            </w:pPr>
            <w:r>
              <w:rPr>
                <w:rFonts w:ascii="Arial" w:cs="Arial" w:eastAsia="Arial" w:hAnsi="Arial"/>
                <w:sz w:val="16"/>
                <w:szCs w:val="16"/>
                <w:color w:val="auto"/>
              </w:rPr>
              <w:t>682.5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43"/>
              <w:spacing w:after="0"/>
              <w:rPr>
                <w:sz w:val="20"/>
                <w:szCs w:val="20"/>
                <w:color w:val="auto"/>
              </w:rPr>
            </w:pPr>
            <w:r>
              <w:rPr>
                <w:rFonts w:ascii="Arial" w:cs="Arial" w:eastAsia="Arial" w:hAnsi="Arial"/>
                <w:sz w:val="16"/>
                <w:szCs w:val="16"/>
                <w:color w:val="auto"/>
              </w:rPr>
              <w:t>713.2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(30.7)</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(27.9)</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4"/>
        </w:trPr>
        <w:tc>
          <w:tcPr>
            <w:tcW w:w="3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Switzerland</w:t>
            </w: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299.1</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315.0</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09"/>
        </w:trPr>
        <w:tc>
          <w:tcPr>
            <w:tcW w:w="3860" w:type="dxa"/>
            <w:vAlign w:val="bottom"/>
          </w:tcPr>
          <w:p>
            <w:pPr>
              <w:ind w:left="20"/>
              <w:spacing w:after="0"/>
              <w:rPr>
                <w:sz w:val="20"/>
                <w:szCs w:val="20"/>
                <w:color w:val="auto"/>
              </w:rPr>
            </w:pPr>
            <w:r>
              <w:rPr>
                <w:rFonts w:ascii="Arial" w:cs="Arial" w:eastAsia="Arial" w:hAnsi="Arial"/>
                <w:sz w:val="16"/>
                <w:szCs w:val="16"/>
                <w:color w:val="auto"/>
              </w:rPr>
              <w:t>Central and Eastern Europe</w:t>
            </w:r>
          </w:p>
        </w:tc>
        <w:tc>
          <w:tcPr>
            <w:tcW w:w="220" w:type="dxa"/>
            <w:vAlign w:val="bottom"/>
          </w:tcPr>
          <w:p>
            <w:pPr>
              <w:spacing w:after="0"/>
              <w:rPr>
                <w:sz w:val="18"/>
                <w:szCs w:val="18"/>
                <w:color w:val="auto"/>
              </w:rPr>
            </w:pPr>
          </w:p>
        </w:tc>
        <w:tc>
          <w:tcPr>
            <w:tcW w:w="920" w:type="dxa"/>
            <w:vAlign w:val="bottom"/>
          </w:tcPr>
          <w:p>
            <w:pPr>
              <w:jc w:val="right"/>
              <w:ind w:right="44"/>
              <w:spacing w:after="0"/>
              <w:rPr>
                <w:sz w:val="20"/>
                <w:szCs w:val="20"/>
                <w:color w:val="auto"/>
              </w:rPr>
            </w:pPr>
            <w:r>
              <w:rPr>
                <w:rFonts w:ascii="Arial" w:cs="Arial" w:eastAsia="Arial" w:hAnsi="Arial"/>
                <w:sz w:val="16"/>
                <w:szCs w:val="16"/>
                <w:color w:val="auto"/>
              </w:rPr>
              <w:t>116.2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43"/>
              <w:spacing w:after="0"/>
              <w:rPr>
                <w:sz w:val="20"/>
                <w:szCs w:val="20"/>
                <w:color w:val="auto"/>
              </w:rPr>
            </w:pPr>
            <w:r>
              <w:rPr>
                <w:rFonts w:ascii="Arial" w:cs="Arial" w:eastAsia="Arial" w:hAnsi="Arial"/>
                <w:sz w:val="16"/>
                <w:szCs w:val="16"/>
                <w:color w:val="auto"/>
              </w:rPr>
              <w:t>119.1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4"/>
        </w:trPr>
        <w:tc>
          <w:tcPr>
            <w:tcW w:w="3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Central and Corporate (a)</w:t>
            </w: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93.7</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60.2</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33.5</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55.6</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09"/>
        </w:trPr>
        <w:tc>
          <w:tcPr>
            <w:tcW w:w="3860" w:type="dxa"/>
            <w:vAlign w:val="bottom"/>
          </w:tcPr>
          <w:p>
            <w:pPr>
              <w:ind w:left="20"/>
              <w:spacing w:after="0"/>
              <w:rPr>
                <w:sz w:val="20"/>
                <w:szCs w:val="20"/>
                <w:color w:val="auto"/>
              </w:rPr>
            </w:pPr>
            <w:r>
              <w:rPr>
                <w:rFonts w:ascii="Arial" w:cs="Arial" w:eastAsia="Arial" w:hAnsi="Arial"/>
                <w:sz w:val="16"/>
                <w:szCs w:val="16"/>
                <w:color w:val="auto"/>
              </w:rPr>
              <w:t>Intersegment eliminations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25"/>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8"/>
                <w:szCs w:val="18"/>
                <w:color w:val="auto"/>
              </w:rPr>
            </w:pPr>
          </w:p>
        </w:tc>
        <w:tc>
          <w:tcPr>
            <w:tcW w:w="1200" w:type="dxa"/>
            <w:vAlign w:val="bottom"/>
            <w:gridSpan w:val="2"/>
          </w:tcPr>
          <w:p>
            <w:pPr>
              <w:ind w:left="660"/>
              <w:spacing w:after="0"/>
              <w:rPr>
                <w:sz w:val="20"/>
                <w:szCs w:val="20"/>
                <w:color w:val="auto"/>
              </w:rPr>
            </w:pPr>
            <w:r>
              <w:rPr>
                <w:rFonts w:ascii="Arial" w:cs="Arial" w:eastAsia="Arial" w:hAnsi="Arial"/>
                <w:sz w:val="16"/>
                <w:szCs w:val="16"/>
                <w:color w:val="auto"/>
              </w:rPr>
              <w:t>N.M.</w:t>
            </w:r>
          </w:p>
        </w:tc>
        <w:tc>
          <w:tcPr>
            <w:tcW w:w="220" w:type="dxa"/>
            <w:vAlign w:val="bottom"/>
          </w:tcPr>
          <w:p>
            <w:pPr>
              <w:spacing w:after="0"/>
              <w:rPr>
                <w:sz w:val="18"/>
                <w:szCs w:val="18"/>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8"/>
                <w:szCs w:val="18"/>
                <w:color w:val="auto"/>
              </w:rPr>
            </w:pP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4"/>
        </w:trPr>
        <w:tc>
          <w:tcPr>
            <w:tcW w:w="3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3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2,722.9</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2,850.4</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(127.5)</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(115.6)</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3"/>
        </w:trPr>
        <w:tc>
          <w:tcPr>
            <w:tcW w:w="3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7"/>
              </w:rPr>
              <w:t>Six months ended</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3"/>
          </w:tcPr>
          <w:p>
            <w:pPr>
              <w:jc w:val="center"/>
              <w:ind w:left="564"/>
              <w:spacing w:after="0"/>
              <w:rPr>
                <w:sz w:val="20"/>
                <w:szCs w:val="20"/>
                <w:color w:val="auto"/>
              </w:rPr>
            </w:pPr>
            <w:r>
              <w:rPr>
                <w:rFonts w:ascii="Arial" w:cs="Arial" w:eastAsia="Arial" w:hAnsi="Arial"/>
                <w:sz w:val="14"/>
                <w:szCs w:val="14"/>
                <w:b w:val="1"/>
                <w:bCs w:val="1"/>
                <w:color w:val="auto"/>
                <w:w w:val="89"/>
              </w:rPr>
              <w:t>June 30,</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40" w:type="dxa"/>
            <w:vAlign w:val="bottom"/>
            <w:gridSpan w:val="4"/>
          </w:tcPr>
          <w:p>
            <w:pPr>
              <w:ind w:left="440"/>
              <w:spacing w:after="0"/>
              <w:rPr>
                <w:sz w:val="20"/>
                <w:szCs w:val="20"/>
                <w:color w:val="auto"/>
              </w:rPr>
            </w:pPr>
            <w:r>
              <w:rPr>
                <w:rFonts w:ascii="Arial" w:cs="Arial" w:eastAsia="Arial" w:hAnsi="Arial"/>
                <w:sz w:val="14"/>
                <w:szCs w:val="14"/>
                <w:b w:val="1"/>
                <w:bCs w:val="1"/>
                <w:color w:val="auto"/>
              </w:rPr>
              <w:t>Increase (decrease)</w:t>
            </w:r>
          </w:p>
        </w:tc>
        <w:tc>
          <w:tcPr>
            <w:tcW w:w="220" w:type="dxa"/>
            <w:vAlign w:val="bottom"/>
          </w:tcPr>
          <w:p>
            <w:pPr>
              <w:spacing w:after="0"/>
              <w:rPr>
                <w:sz w:val="15"/>
                <w:szCs w:val="15"/>
                <w:color w:val="auto"/>
              </w:rPr>
            </w:pPr>
          </w:p>
        </w:tc>
        <w:tc>
          <w:tcPr>
            <w:tcW w:w="2080" w:type="dxa"/>
            <w:vAlign w:val="bottom"/>
            <w:gridSpan w:val="3"/>
          </w:tcPr>
          <w:p>
            <w:pPr>
              <w:jc w:val="right"/>
              <w:ind w:right="243"/>
              <w:spacing w:after="0"/>
              <w:rPr>
                <w:sz w:val="20"/>
                <w:szCs w:val="20"/>
                <w:color w:val="auto"/>
              </w:rPr>
            </w:pPr>
            <w:r>
              <w:rPr>
                <w:rFonts w:ascii="Arial" w:cs="Arial" w:eastAsia="Arial" w:hAnsi="Arial"/>
                <w:sz w:val="14"/>
                <w:szCs w:val="14"/>
                <w:b w:val="1"/>
                <w:bCs w:val="1"/>
                <w:color w:val="auto"/>
                <w:w w:val="92"/>
              </w:rPr>
              <w:t>Organic increase (decrease)</w:t>
            </w:r>
          </w:p>
        </w:tc>
        <w:tc>
          <w:tcPr>
            <w:tcW w:w="0" w:type="dxa"/>
            <w:vAlign w:val="bottom"/>
          </w:tcPr>
          <w:p>
            <w:pPr>
              <w:spacing w:after="0"/>
              <w:rPr>
                <w:sz w:val="1"/>
                <w:szCs w:val="1"/>
                <w:color w:val="auto"/>
              </w:rPr>
            </w:pPr>
          </w:p>
        </w:tc>
      </w:tr>
      <w:tr>
        <w:trPr>
          <w:trHeight w:val="28"/>
        </w:trPr>
        <w:tc>
          <w:tcPr>
            <w:tcW w:w="3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3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34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ind w:right="34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445"/>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100" w:type="dxa"/>
            <w:vAlign w:val="bottom"/>
          </w:tcPr>
          <w:p>
            <w:pPr>
              <w:jc w:val="right"/>
              <w:ind w:right="40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44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100" w:type="dxa"/>
            <w:vAlign w:val="bottom"/>
          </w:tcPr>
          <w:p>
            <w:pPr>
              <w:jc w:val="right"/>
              <w:ind w:right="40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8"/>
        </w:trPr>
        <w:tc>
          <w:tcPr>
            <w:tcW w:w="3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4"/>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3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40" w:type="dxa"/>
            <w:vAlign w:val="bottom"/>
            <w:gridSpan w:val="4"/>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U.K./Ireland</w:t>
            </w:r>
          </w:p>
        </w:tc>
        <w:tc>
          <w:tcPr>
            <w:tcW w:w="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3,152.4</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3,305.3</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(152.9)</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(70.4)</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9"/>
        </w:trPr>
        <w:tc>
          <w:tcPr>
            <w:tcW w:w="3860" w:type="dxa"/>
            <w:vAlign w:val="bottom"/>
          </w:tcPr>
          <w:p>
            <w:pPr>
              <w:ind w:left="20"/>
              <w:spacing w:after="0"/>
              <w:rPr>
                <w:sz w:val="20"/>
                <w:szCs w:val="20"/>
                <w:color w:val="auto"/>
              </w:rPr>
            </w:pPr>
            <w:r>
              <w:rPr>
                <w:rFonts w:ascii="Arial" w:cs="Arial" w:eastAsia="Arial" w:hAnsi="Arial"/>
                <w:sz w:val="16"/>
                <w:szCs w:val="16"/>
                <w:color w:val="auto"/>
              </w:rPr>
              <w:t>Belgium</w:t>
            </w:r>
          </w:p>
        </w:tc>
        <w:tc>
          <w:tcPr>
            <w:tcW w:w="220" w:type="dxa"/>
            <w:vAlign w:val="bottom"/>
          </w:tcPr>
          <w:p>
            <w:pPr>
              <w:spacing w:after="0"/>
              <w:rPr>
                <w:sz w:val="18"/>
                <w:szCs w:val="18"/>
                <w:color w:val="auto"/>
              </w:rPr>
            </w:pPr>
          </w:p>
        </w:tc>
        <w:tc>
          <w:tcPr>
            <w:tcW w:w="920" w:type="dxa"/>
            <w:vAlign w:val="bottom"/>
          </w:tcPr>
          <w:p>
            <w:pPr>
              <w:jc w:val="right"/>
              <w:ind w:right="44"/>
              <w:spacing w:after="0"/>
              <w:rPr>
                <w:sz w:val="20"/>
                <w:szCs w:val="20"/>
                <w:color w:val="auto"/>
              </w:rPr>
            </w:pPr>
            <w:r>
              <w:rPr>
                <w:rFonts w:ascii="Arial" w:cs="Arial" w:eastAsia="Arial" w:hAnsi="Arial"/>
                <w:sz w:val="16"/>
                <w:szCs w:val="16"/>
                <w:color w:val="auto"/>
              </w:rPr>
              <w:t>1,400.6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43"/>
              <w:spacing w:after="0"/>
              <w:rPr>
                <w:sz w:val="20"/>
                <w:szCs w:val="20"/>
                <w:color w:val="auto"/>
              </w:rPr>
            </w:pPr>
            <w:r>
              <w:rPr>
                <w:rFonts w:ascii="Arial" w:cs="Arial" w:eastAsia="Arial" w:hAnsi="Arial"/>
                <w:sz w:val="16"/>
                <w:szCs w:val="16"/>
                <w:color w:val="auto"/>
              </w:rPr>
              <w:t>1,425.1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(24.5)</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(29.0)</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4"/>
        </w:trPr>
        <w:tc>
          <w:tcPr>
            <w:tcW w:w="3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Switzerland</w:t>
            </w: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615.9</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631.0</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(35.8)</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09"/>
        </w:trPr>
        <w:tc>
          <w:tcPr>
            <w:tcW w:w="3860" w:type="dxa"/>
            <w:vAlign w:val="bottom"/>
          </w:tcPr>
          <w:p>
            <w:pPr>
              <w:ind w:left="20"/>
              <w:spacing w:after="0"/>
              <w:rPr>
                <w:sz w:val="20"/>
                <w:szCs w:val="20"/>
                <w:color w:val="auto"/>
              </w:rPr>
            </w:pPr>
            <w:r>
              <w:rPr>
                <w:rFonts w:ascii="Arial" w:cs="Arial" w:eastAsia="Arial" w:hAnsi="Arial"/>
                <w:sz w:val="16"/>
                <w:szCs w:val="16"/>
                <w:color w:val="auto"/>
              </w:rPr>
              <w:t>Central and Eastern Europe</w:t>
            </w:r>
          </w:p>
        </w:tc>
        <w:tc>
          <w:tcPr>
            <w:tcW w:w="220" w:type="dxa"/>
            <w:vAlign w:val="bottom"/>
          </w:tcPr>
          <w:p>
            <w:pPr>
              <w:spacing w:after="0"/>
              <w:rPr>
                <w:sz w:val="18"/>
                <w:szCs w:val="18"/>
                <w:color w:val="auto"/>
              </w:rPr>
            </w:pPr>
          </w:p>
        </w:tc>
        <w:tc>
          <w:tcPr>
            <w:tcW w:w="920" w:type="dxa"/>
            <w:vAlign w:val="bottom"/>
          </w:tcPr>
          <w:p>
            <w:pPr>
              <w:jc w:val="right"/>
              <w:ind w:right="44"/>
              <w:spacing w:after="0"/>
              <w:rPr>
                <w:sz w:val="20"/>
                <w:szCs w:val="20"/>
                <w:color w:val="auto"/>
              </w:rPr>
            </w:pPr>
            <w:r>
              <w:rPr>
                <w:rFonts w:ascii="Arial" w:cs="Arial" w:eastAsia="Arial" w:hAnsi="Arial"/>
                <w:sz w:val="16"/>
                <w:szCs w:val="16"/>
                <w:color w:val="auto"/>
              </w:rPr>
              <w:t>235.3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43"/>
              <w:spacing w:after="0"/>
              <w:rPr>
                <w:sz w:val="20"/>
                <w:szCs w:val="20"/>
                <w:color w:val="auto"/>
              </w:rPr>
            </w:pPr>
            <w:r>
              <w:rPr>
                <w:rFonts w:ascii="Arial" w:cs="Arial" w:eastAsia="Arial" w:hAnsi="Arial"/>
                <w:sz w:val="16"/>
                <w:szCs w:val="16"/>
                <w:color w:val="auto"/>
              </w:rPr>
              <w:t>238.2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8"/>
                <w:szCs w:val="18"/>
                <w:color w:val="auto"/>
              </w:rPr>
            </w:pP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4"/>
        </w:trPr>
        <w:tc>
          <w:tcPr>
            <w:tcW w:w="3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Central and Corporate (a)</w:t>
            </w: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194.9</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120.9</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74.0</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61.2</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9"/>
        </w:trPr>
        <w:tc>
          <w:tcPr>
            <w:tcW w:w="3860" w:type="dxa"/>
            <w:vAlign w:val="bottom"/>
          </w:tcPr>
          <w:p>
            <w:pPr>
              <w:ind w:left="20"/>
              <w:spacing w:after="0"/>
              <w:rPr>
                <w:sz w:val="20"/>
                <w:szCs w:val="20"/>
                <w:color w:val="auto"/>
              </w:rPr>
            </w:pPr>
            <w:r>
              <w:rPr>
                <w:rFonts w:ascii="Arial" w:cs="Arial" w:eastAsia="Arial" w:hAnsi="Arial"/>
                <w:sz w:val="16"/>
                <w:szCs w:val="16"/>
                <w:color w:val="auto"/>
              </w:rPr>
              <w:t>Intersegment eliminations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25"/>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1200" w:type="dxa"/>
            <w:vAlign w:val="bottom"/>
            <w:gridSpan w:val="2"/>
          </w:tcPr>
          <w:p>
            <w:pPr>
              <w:ind w:left="660"/>
              <w:spacing w:after="0"/>
              <w:rPr>
                <w:sz w:val="20"/>
                <w:szCs w:val="20"/>
                <w:color w:val="auto"/>
              </w:rPr>
            </w:pPr>
            <w:r>
              <w:rPr>
                <w:rFonts w:ascii="Arial" w:cs="Arial" w:eastAsia="Arial" w:hAnsi="Arial"/>
                <w:sz w:val="16"/>
                <w:szCs w:val="16"/>
                <w:color w:val="auto"/>
              </w:rPr>
              <w:t>N.M.</w:t>
            </w:r>
          </w:p>
        </w:tc>
        <w:tc>
          <w:tcPr>
            <w:tcW w:w="220" w:type="dxa"/>
            <w:vAlign w:val="bottom"/>
          </w:tcPr>
          <w:p>
            <w:pPr>
              <w:spacing w:after="0"/>
              <w:rPr>
                <w:sz w:val="18"/>
                <w:szCs w:val="18"/>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4"/>
        </w:trPr>
        <w:tc>
          <w:tcPr>
            <w:tcW w:w="3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3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5,598.7</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5,718.4</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(119.7)</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(126.7)</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38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7"/>
        <w:spacing w:after="0"/>
        <w:rPr>
          <w:sz w:val="20"/>
          <w:szCs w:val="20"/>
          <w:color w:val="auto"/>
        </w:rPr>
      </w:pPr>
      <w:r>
        <w:rPr>
          <w:rFonts w:ascii="Arial" w:cs="Arial" w:eastAsia="Arial" w:hAnsi="Arial"/>
          <w:sz w:val="16"/>
          <w:szCs w:val="16"/>
          <w:color w:val="auto"/>
        </w:rPr>
        <w:t>N.M. — Not Meaningful.</w:t>
      </w:r>
    </w:p>
    <w:p>
      <w:pPr>
        <w:spacing w:after="0" w:line="188" w:lineRule="exact"/>
        <w:rPr>
          <w:sz w:val="20"/>
          <w:szCs w:val="20"/>
          <w:color w:val="auto"/>
        </w:rPr>
      </w:pPr>
    </w:p>
    <w:p>
      <w:pPr>
        <w:ind w:left="427" w:right="20" w:hanging="427"/>
        <w:spacing w:after="0" w:line="329" w:lineRule="auto"/>
        <w:tabs>
          <w:tab w:leader="none" w:pos="427" w:val="left"/>
        </w:tabs>
        <w:numPr>
          <w:ilvl w:val="0"/>
          <w:numId w:val="49"/>
        </w:numPr>
        <w:rPr>
          <w:rFonts w:ascii="Arial" w:cs="Arial" w:eastAsia="Arial" w:hAnsi="Arial"/>
          <w:sz w:val="14"/>
          <w:szCs w:val="14"/>
          <w:color w:val="auto"/>
        </w:rPr>
      </w:pPr>
      <w:r>
        <w:rPr>
          <w:rFonts w:ascii="Arial" w:cs="Arial" w:eastAsia="Arial" w:hAnsi="Arial"/>
          <w:sz w:val="14"/>
          <w:szCs w:val="14"/>
          <w:color w:val="auto"/>
        </w:rPr>
        <w:t>Amounts primarily include revenue earned from transition and other services provided to the VodafoneZiggo JV and various third parties and the sale of customer premises equipment to the VodafoneZiggo JV. For additional information, see notes 4 and 5 to our condensed consolidated financial statements.</w:t>
      </w:r>
    </w:p>
    <w:p>
      <w:pPr>
        <w:spacing w:after="0" w:line="303"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267"/>
          </w:cols>
          <w:pgMar w:left="313" w:top="315" w:right="319" w:bottom="1440" w:gutter="0" w:footer="0" w:header="0"/>
        </w:sectPr>
      </w:pPr>
    </w:p>
    <w:bookmarkStart w:id="57" w:name="page58"/>
    <w:bookmarkEnd w:id="57"/>
    <w:p>
      <w:pPr>
        <w:ind w:left="7" w:firstLine="279"/>
        <w:spacing w:after="0" w:line="258" w:lineRule="auto"/>
        <w:rPr>
          <w:sz w:val="20"/>
          <w:szCs w:val="20"/>
          <w:color w:val="auto"/>
        </w:rPr>
      </w:pPr>
      <w:r>
        <w:rPr>
          <w:rFonts w:ascii="Arial" w:cs="Arial" w:eastAsia="Arial" w:hAnsi="Arial"/>
          <w:sz w:val="16"/>
          <w:szCs w:val="16"/>
          <w:i w:val="1"/>
          <w:iCs w:val="1"/>
          <w:color w:val="auto"/>
        </w:rPr>
        <w:t xml:space="preserve">U.K./Ireland. </w:t>
      </w:r>
      <w:r>
        <w:rPr>
          <w:rFonts w:ascii="Arial" w:cs="Arial" w:eastAsia="Arial" w:hAnsi="Arial"/>
          <w:sz w:val="16"/>
          <w:szCs w:val="16"/>
          <w:color w:val="auto"/>
        </w:rPr>
        <w:t>The details of the decreases in U.K./Ireland</w:t>
      </w:r>
      <w:r>
        <w:rPr>
          <w:rFonts w:ascii="Arial" w:cs="Arial" w:eastAsia="Arial" w:hAnsi="Arial"/>
          <w:sz w:val="16"/>
          <w:szCs w:val="16"/>
          <w:color w:val="2C2C2C"/>
        </w:rPr>
        <w:t>’s revenue during</w:t>
      </w:r>
      <w:r>
        <w:rPr>
          <w:rFonts w:ascii="Arial" w:cs="Arial" w:eastAsia="Arial" w:hAnsi="Arial"/>
          <w:sz w:val="16"/>
          <w:szCs w:val="16"/>
          <w:i w:val="1"/>
          <w:iCs w:val="1"/>
          <w:color w:val="auto"/>
        </w:rPr>
        <w:t xml:space="preserve"> </w:t>
      </w:r>
      <w:r>
        <w:rPr>
          <w:rFonts w:ascii="Arial" w:cs="Arial" w:eastAsia="Arial" w:hAnsi="Arial"/>
          <w:sz w:val="16"/>
          <w:szCs w:val="16"/>
          <w:color w:val="auto"/>
        </w:rPr>
        <w:t>the three and six months ended June 30, 2020</w:t>
      </w:r>
      <w:r>
        <w:rPr>
          <w:rFonts w:ascii="Arial" w:cs="Arial" w:eastAsia="Arial" w:hAnsi="Arial"/>
          <w:sz w:val="16"/>
          <w:szCs w:val="16"/>
          <w:color w:val="2C2C2C"/>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as compared to the corresponding periods in</w:t>
      </w:r>
      <w:r>
        <w:rPr>
          <w:rFonts w:ascii="Arial" w:cs="Arial" w:eastAsia="Arial" w:hAnsi="Arial"/>
          <w:sz w:val="16"/>
          <w:szCs w:val="16"/>
          <w:i w:val="1"/>
          <w:iCs w:val="1"/>
          <w:color w:val="auto"/>
        </w:rPr>
        <w:t xml:space="preserve"> </w:t>
      </w:r>
      <w:r>
        <w:rPr>
          <w:rFonts w:ascii="Arial" w:cs="Arial" w:eastAsia="Arial" w:hAnsi="Arial"/>
          <w:sz w:val="16"/>
          <w:szCs w:val="16"/>
          <w:color w:val="2C2C2C"/>
        </w:rPr>
        <w:t>2019, are</w:t>
      </w:r>
      <w:r>
        <w:rPr>
          <w:rFonts w:ascii="Arial" w:cs="Arial" w:eastAsia="Arial" w:hAnsi="Arial"/>
          <w:sz w:val="16"/>
          <w:szCs w:val="16"/>
          <w:i w:val="1"/>
          <w:iCs w:val="1"/>
          <w:color w:val="auto"/>
        </w:rPr>
        <w:t xml:space="preserve"> </w:t>
      </w:r>
      <w:r>
        <w:rPr>
          <w:rFonts w:ascii="Arial" w:cs="Arial" w:eastAsia="Arial" w:hAnsi="Arial"/>
          <w:sz w:val="16"/>
          <w:szCs w:val="16"/>
          <w:color w:val="2C2C2C"/>
        </w:rPr>
        <w:t>set f</w:t>
      </w:r>
      <w:r>
        <w:rPr>
          <w:rFonts w:ascii="Arial" w:cs="Arial" w:eastAsia="Arial" w:hAnsi="Arial"/>
          <w:sz w:val="16"/>
          <w:szCs w:val="16"/>
          <w:color w:val="000000"/>
        </w:rPr>
        <w:t>orth below:</w:t>
      </w:r>
    </w:p>
    <w:p>
      <w:pPr>
        <w:spacing w:after="0" w:line="126" w:lineRule="exact"/>
        <w:rPr>
          <w:sz w:val="20"/>
          <w:szCs w:val="20"/>
          <w:color w:val="auto"/>
        </w:rPr>
      </w:pPr>
    </w:p>
    <w:tbl>
      <w:tblPr>
        <w:tblLayout w:type="fixed"/>
        <w:tblInd w:w="7" w:type="dxa"/>
        <w:tblCellMar>
          <w:top w:w="0" w:type="dxa"/>
          <w:left w:w="0" w:type="dxa"/>
          <w:bottom w:w="0" w:type="dxa"/>
          <w:right w:w="0" w:type="dxa"/>
        </w:tblCellMar>
      </w:tblPr>
      <w:tr>
        <w:trPr>
          <w:trHeight w:val="182"/>
        </w:trPr>
        <w:tc>
          <w:tcPr>
            <w:tcW w:w="3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80" w:type="dxa"/>
            <w:vAlign w:val="bottom"/>
            <w:gridSpan w:val="4"/>
          </w:tcPr>
          <w:p>
            <w:pPr>
              <w:ind w:left="80"/>
              <w:spacing w:after="0"/>
              <w:rPr>
                <w:sz w:val="20"/>
                <w:szCs w:val="20"/>
                <w:color w:val="auto"/>
              </w:rPr>
            </w:pPr>
            <w:r>
              <w:rPr>
                <w:rFonts w:ascii="Arial" w:cs="Arial" w:eastAsia="Arial" w:hAnsi="Arial"/>
                <w:sz w:val="14"/>
                <w:szCs w:val="14"/>
                <w:b w:val="1"/>
                <w:bCs w:val="1"/>
                <w:color w:val="auto"/>
              </w:rPr>
              <w:t>Three-month period</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3"/>
          </w:tcPr>
          <w:p>
            <w:pPr>
              <w:ind w:left="40"/>
              <w:spacing w:after="0"/>
              <w:rPr>
                <w:sz w:val="20"/>
                <w:szCs w:val="20"/>
                <w:color w:val="auto"/>
              </w:rPr>
            </w:pPr>
            <w:r>
              <w:rPr>
                <w:rFonts w:ascii="Arial" w:cs="Arial" w:eastAsia="Arial" w:hAnsi="Arial"/>
                <w:sz w:val="14"/>
                <w:szCs w:val="14"/>
                <w:b w:val="1"/>
                <w:bCs w:val="1"/>
                <w:color w:val="auto"/>
              </w:rPr>
              <w:t>Six-month period</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3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3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184"/>
              <w:spacing w:after="0"/>
              <w:rPr>
                <w:sz w:val="20"/>
                <w:szCs w:val="20"/>
                <w:color w:val="auto"/>
              </w:rPr>
            </w:pPr>
            <w:r>
              <w:rPr>
                <w:rFonts w:ascii="Arial" w:cs="Arial" w:eastAsia="Arial" w:hAnsi="Arial"/>
                <w:sz w:val="14"/>
                <w:szCs w:val="14"/>
                <w:b w:val="1"/>
                <w:bCs w:val="1"/>
                <w:color w:val="auto"/>
                <w:w w:val="95"/>
              </w:rPr>
              <w:t>Subscription</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Non-subscription</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Subscription</w:t>
            </w:r>
          </w:p>
        </w:tc>
        <w:tc>
          <w:tcPr>
            <w:tcW w:w="13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Non-subscription</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324"/>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revenue</w:t>
            </w:r>
          </w:p>
        </w:tc>
        <w:tc>
          <w:tcPr>
            <w:tcW w:w="260" w:type="dxa"/>
            <w:vAlign w:val="bottom"/>
          </w:tcPr>
          <w:p>
            <w:pPr>
              <w:spacing w:after="0"/>
              <w:rPr>
                <w:sz w:val="15"/>
                <w:szCs w:val="15"/>
                <w:color w:val="auto"/>
              </w:rPr>
            </w:pP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5"/>
                <w:szCs w:val="15"/>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revenue</w:t>
            </w:r>
          </w:p>
        </w:tc>
        <w:tc>
          <w:tcPr>
            <w:tcW w:w="240" w:type="dxa"/>
            <w:vAlign w:val="bottom"/>
          </w:tcPr>
          <w:p>
            <w:pPr>
              <w:spacing w:after="0"/>
              <w:rPr>
                <w:sz w:val="15"/>
                <w:szCs w:val="15"/>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revenue</w:t>
            </w:r>
          </w:p>
        </w:tc>
        <w:tc>
          <w:tcPr>
            <w:tcW w:w="260" w:type="dxa"/>
            <w:vAlign w:val="bottom"/>
          </w:tcPr>
          <w:p>
            <w:pPr>
              <w:spacing w:after="0"/>
              <w:rPr>
                <w:sz w:val="15"/>
                <w:szCs w:val="15"/>
                <w:color w:val="auto"/>
              </w:rPr>
            </w:pPr>
          </w:p>
        </w:tc>
        <w:tc>
          <w:tcPr>
            <w:tcW w:w="860" w:type="dxa"/>
            <w:vAlign w:val="bottom"/>
          </w:tcPr>
          <w:p>
            <w:pPr>
              <w:jc w:val="right"/>
              <w:ind w:right="32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8"/>
        </w:trPr>
        <w:tc>
          <w:tcPr>
            <w:tcW w:w="3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3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3500" w:type="dxa"/>
            <w:vAlign w:val="bottom"/>
          </w:tcPr>
          <w:p>
            <w:pPr>
              <w:ind w:left="20"/>
              <w:spacing w:after="0"/>
              <w:rPr>
                <w:sz w:val="20"/>
                <w:szCs w:val="20"/>
                <w:color w:val="auto"/>
              </w:rPr>
            </w:pPr>
            <w:r>
              <w:rPr>
                <w:rFonts w:ascii="Arial" w:cs="Arial" w:eastAsia="Arial" w:hAnsi="Arial"/>
                <w:sz w:val="16"/>
                <w:szCs w:val="16"/>
                <w:color w:val="auto"/>
                <w:w w:val="89"/>
              </w:rPr>
              <w:t>Decrease in residential cable subscription revenue due</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500" w:type="dxa"/>
            <w:vAlign w:val="bottom"/>
          </w:tcPr>
          <w:p>
            <w:pPr>
              <w:ind w:left="160"/>
              <w:spacing w:after="0"/>
              <w:rPr>
                <w:sz w:val="20"/>
                <w:szCs w:val="20"/>
                <w:color w:val="auto"/>
              </w:rPr>
            </w:pPr>
            <w:r>
              <w:rPr>
                <w:rFonts w:ascii="Arial" w:cs="Arial" w:eastAsia="Arial" w:hAnsi="Arial"/>
                <w:sz w:val="16"/>
                <w:szCs w:val="16"/>
                <w:color w:val="auto"/>
              </w:rPr>
              <w:t>to change in:</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3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Average number of customers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(3.3)</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09"/>
        </w:trPr>
        <w:tc>
          <w:tcPr>
            <w:tcW w:w="3500" w:type="dxa"/>
            <w:vAlign w:val="bottom"/>
          </w:tcPr>
          <w:p>
            <w:pPr>
              <w:ind w:left="160"/>
              <w:spacing w:after="0"/>
              <w:rPr>
                <w:sz w:val="20"/>
                <w:szCs w:val="20"/>
                <w:color w:val="auto"/>
              </w:rPr>
            </w:pPr>
            <w:r>
              <w:rPr>
                <w:rFonts w:ascii="Arial" w:cs="Arial" w:eastAsia="Arial" w:hAnsi="Arial"/>
                <w:sz w:val="16"/>
                <w:szCs w:val="16"/>
                <w:color w:val="auto"/>
              </w:rPr>
              <w:t>ARPU (a)</w:t>
            </w:r>
          </w:p>
        </w:tc>
        <w:tc>
          <w:tcPr>
            <w:tcW w:w="160" w:type="dxa"/>
            <w:vAlign w:val="bottom"/>
          </w:tcPr>
          <w:p>
            <w:pPr>
              <w:spacing w:after="0"/>
              <w:rPr>
                <w:sz w:val="18"/>
                <w:szCs w:val="18"/>
                <w:color w:val="auto"/>
              </w:rPr>
            </w:pPr>
          </w:p>
        </w:tc>
        <w:tc>
          <w:tcPr>
            <w:tcW w:w="1100" w:type="dxa"/>
            <w:vAlign w:val="bottom"/>
          </w:tcPr>
          <w:p>
            <w:pPr>
              <w:jc w:val="right"/>
              <w:ind w:right="4"/>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4"/>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w w:val="88"/>
              </w:rPr>
              <w:t>Decrease in residential cable non-subscription revenue</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(b)</w:t>
            </w: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01"/>
        </w:trPr>
        <w:tc>
          <w:tcPr>
            <w:tcW w:w="3500" w:type="dxa"/>
            <w:vAlign w:val="bottom"/>
          </w:tcPr>
          <w:p>
            <w:pPr>
              <w:ind w:left="280"/>
              <w:spacing w:after="0"/>
              <w:rPr>
                <w:sz w:val="20"/>
                <w:szCs w:val="20"/>
                <w:color w:val="auto"/>
              </w:rPr>
            </w:pPr>
            <w:r>
              <w:rPr>
                <w:rFonts w:ascii="Arial" w:cs="Arial" w:eastAsia="Arial" w:hAnsi="Arial"/>
                <w:sz w:val="16"/>
                <w:szCs w:val="16"/>
                <w:color w:val="auto"/>
              </w:rPr>
              <w:t>Total decrease in residential cable revenue</w:t>
            </w: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4"/>
              <w:spacing w:after="0"/>
              <w:rPr>
                <w:sz w:val="20"/>
                <w:szCs w:val="20"/>
                <w:color w:val="auto"/>
              </w:rPr>
            </w:pPr>
            <w:r>
              <w:rPr>
                <w:rFonts w:ascii="Arial" w:cs="Arial" w:eastAsia="Arial" w:hAnsi="Arial"/>
                <w:sz w:val="16"/>
                <w:szCs w:val="16"/>
                <w:color w:val="auto"/>
              </w:rPr>
              <w:t>(25.3)</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(29.6)</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(15.8)</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24"/>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2"/>
              </w:rPr>
              <w:t>Increase (decrease) in residential mobile revenue (c)</w:t>
            </w:r>
          </w:p>
        </w:tc>
        <w:tc>
          <w:tcPr>
            <w:tcW w:w="1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(29.4)</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0" w:type="dxa"/>
            <w:vAlign w:val="bottom"/>
          </w:tcPr>
          <w:p>
            <w:pPr>
              <w:spacing w:after="0"/>
              <w:rPr>
                <w:sz w:val="1"/>
                <w:szCs w:val="1"/>
                <w:color w:val="auto"/>
              </w:rPr>
            </w:pPr>
          </w:p>
        </w:tc>
      </w:tr>
      <w:tr>
        <w:trPr>
          <w:trHeight w:val="209"/>
        </w:trPr>
        <w:tc>
          <w:tcPr>
            <w:tcW w:w="3500" w:type="dxa"/>
            <w:vAlign w:val="bottom"/>
          </w:tcPr>
          <w:p>
            <w:pPr>
              <w:ind w:left="20"/>
              <w:spacing w:after="0"/>
              <w:rPr>
                <w:sz w:val="20"/>
                <w:szCs w:val="20"/>
                <w:color w:val="auto"/>
              </w:rPr>
            </w:pPr>
            <w:r>
              <w:rPr>
                <w:rFonts w:ascii="Arial" w:cs="Arial" w:eastAsia="Arial" w:hAnsi="Arial"/>
                <w:sz w:val="16"/>
                <w:szCs w:val="16"/>
                <w:color w:val="auto"/>
              </w:rPr>
              <w:t>Increase (decrease) in B2B revenue (d)</w:t>
            </w:r>
          </w:p>
        </w:tc>
        <w:tc>
          <w:tcPr>
            <w:tcW w:w="160" w:type="dxa"/>
            <w:vAlign w:val="bottom"/>
          </w:tcPr>
          <w:p>
            <w:pPr>
              <w:spacing w:after="0"/>
              <w:rPr>
                <w:sz w:val="18"/>
                <w:szCs w:val="18"/>
                <w:color w:val="auto"/>
              </w:rPr>
            </w:pPr>
          </w:p>
        </w:tc>
        <w:tc>
          <w:tcPr>
            <w:tcW w:w="1100" w:type="dxa"/>
            <w:vAlign w:val="bottom"/>
          </w:tcPr>
          <w:p>
            <w:pPr>
              <w:jc w:val="right"/>
              <w:ind w:right="44"/>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24"/>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24"/>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Decrease in other revenue (e)</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01"/>
        </w:trPr>
        <w:tc>
          <w:tcPr>
            <w:tcW w:w="3500" w:type="dxa"/>
            <w:vAlign w:val="bottom"/>
          </w:tcPr>
          <w:p>
            <w:pPr>
              <w:ind w:left="280"/>
              <w:spacing w:after="0"/>
              <w:rPr>
                <w:sz w:val="20"/>
                <w:szCs w:val="20"/>
                <w:color w:val="auto"/>
              </w:rPr>
            </w:pPr>
            <w:r>
              <w:rPr>
                <w:rFonts w:ascii="Arial" w:cs="Arial" w:eastAsia="Arial" w:hAnsi="Arial"/>
                <w:sz w:val="16"/>
                <w:szCs w:val="16"/>
                <w:color w:val="auto"/>
              </w:rPr>
              <w:t>Total organic decrease</w:t>
            </w: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4"/>
              <w:spacing w:after="0"/>
              <w:rPr>
                <w:sz w:val="20"/>
                <w:szCs w:val="20"/>
                <w:color w:val="auto"/>
              </w:rPr>
            </w:pPr>
            <w:r>
              <w:rPr>
                <w:rFonts w:ascii="Arial" w:cs="Arial" w:eastAsia="Arial" w:hAnsi="Arial"/>
                <w:sz w:val="16"/>
                <w:szCs w:val="16"/>
                <w:color w:val="auto"/>
              </w:rPr>
              <w:t>(24.7)</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(35.0)</w:t>
            </w: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(59.7)</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(61.8)</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(70.4)</w:t>
            </w:r>
          </w:p>
        </w:tc>
        <w:tc>
          <w:tcPr>
            <w:tcW w:w="0" w:type="dxa"/>
            <w:vAlign w:val="bottom"/>
          </w:tcPr>
          <w:p>
            <w:pPr>
              <w:spacing w:after="0"/>
              <w:rPr>
                <w:sz w:val="1"/>
                <w:szCs w:val="1"/>
                <w:color w:val="auto"/>
              </w:rPr>
            </w:pPr>
          </w:p>
        </w:tc>
      </w:tr>
      <w:tr>
        <w:trPr>
          <w:trHeight w:val="24"/>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Impact of FX</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(42.3)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(82.5)</w:t>
            </w:r>
          </w:p>
        </w:tc>
        <w:tc>
          <w:tcPr>
            <w:tcW w:w="0" w:type="dxa"/>
            <w:vAlign w:val="bottom"/>
          </w:tcPr>
          <w:p>
            <w:pPr>
              <w:spacing w:after="0"/>
              <w:rPr>
                <w:sz w:val="1"/>
                <w:szCs w:val="1"/>
                <w:color w:val="auto"/>
              </w:rPr>
            </w:pPr>
          </w:p>
        </w:tc>
      </w:tr>
      <w:tr>
        <w:trPr>
          <w:trHeight w:val="216"/>
        </w:trPr>
        <w:tc>
          <w:tcPr>
            <w:tcW w:w="3500" w:type="dxa"/>
            <w:vAlign w:val="bottom"/>
          </w:tcPr>
          <w:p>
            <w:pPr>
              <w:ind w:left="28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6"/>
                <w:szCs w:val="16"/>
                <w:color w:val="auto"/>
              </w:rPr>
              <w:t>(67.0)</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(45.2)</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(112.2)</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(74.6)</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(78.3)</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(152.9)</w:t>
            </w:r>
          </w:p>
        </w:tc>
        <w:tc>
          <w:tcPr>
            <w:tcW w:w="0" w:type="dxa"/>
            <w:vAlign w:val="bottom"/>
          </w:tcPr>
          <w:p>
            <w:pPr>
              <w:spacing w:after="0"/>
              <w:rPr>
                <w:sz w:val="1"/>
                <w:szCs w:val="1"/>
                <w:color w:val="auto"/>
              </w:rPr>
            </w:pPr>
          </w:p>
        </w:tc>
      </w:tr>
      <w:tr>
        <w:trPr>
          <w:trHeight w:val="20"/>
        </w:trPr>
        <w:tc>
          <w:tcPr>
            <w:tcW w:w="3500" w:type="dxa"/>
            <w:vAlign w:val="bottom"/>
            <w:vMerge w:val="restart"/>
          </w:tcPr>
          <w:p>
            <w:pPr>
              <w:spacing w:after="0"/>
              <w:rPr>
                <w:sz w:val="20"/>
                <w:szCs w:val="20"/>
                <w:color w:val="auto"/>
              </w:rPr>
            </w:pPr>
            <w:r>
              <w:rPr>
                <w:rFonts w:ascii="Arial" w:cs="Arial" w:eastAsia="Arial" w:hAnsi="Arial"/>
                <w:sz w:val="16"/>
                <w:szCs w:val="16"/>
                <w:color w:val="auto"/>
              </w:rPr>
              <w:t>_______________</w:t>
            </w: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5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jc w:val="both"/>
        <w:ind w:left="427" w:hanging="427"/>
        <w:spacing w:after="0" w:line="250" w:lineRule="auto"/>
        <w:tabs>
          <w:tab w:leader="none" w:pos="427"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decreases in cable subscription revenue related to changes in ARPU include lower revenue of approximately $28 million during the second quarter of 2020 associated with the pausing or cancellation of certain sporting events due to the COVID-19 pandemic, including (i) credits that were given to certain customers and (ii) the estimated impact of certain customers canceling their premium sports subscriptions.</w:t>
      </w:r>
    </w:p>
    <w:p>
      <w:pPr>
        <w:spacing w:after="0" w:line="169" w:lineRule="exact"/>
        <w:rPr>
          <w:rFonts w:ascii="Arial" w:cs="Arial" w:eastAsia="Arial" w:hAnsi="Arial"/>
          <w:sz w:val="16"/>
          <w:szCs w:val="16"/>
          <w:color w:val="auto"/>
        </w:rPr>
      </w:pPr>
    </w:p>
    <w:p>
      <w:pPr>
        <w:ind w:left="427" w:right="20" w:hanging="427"/>
        <w:spacing w:after="0" w:line="258" w:lineRule="auto"/>
        <w:tabs>
          <w:tab w:leader="none" w:pos="427"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decreases in residential cable non-subscription revenue are primarily attributable to lower revenue from late fees in the U.K., largely related to the temporary suspension of late payment charges during the COVID-19 pandemic.</w:t>
      </w:r>
    </w:p>
    <w:p>
      <w:pPr>
        <w:spacing w:after="0" w:line="162" w:lineRule="exact"/>
        <w:rPr>
          <w:rFonts w:ascii="Arial" w:cs="Arial" w:eastAsia="Arial" w:hAnsi="Arial"/>
          <w:sz w:val="16"/>
          <w:szCs w:val="16"/>
          <w:color w:val="auto"/>
        </w:rPr>
      </w:pPr>
    </w:p>
    <w:p>
      <w:pPr>
        <w:jc w:val="both"/>
        <w:ind w:left="427" w:hanging="427"/>
        <w:spacing w:after="0" w:line="294" w:lineRule="auto"/>
        <w:tabs>
          <w:tab w:leader="none" w:pos="427"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decreases in residential mobile non-subscription revenue are primarily attributable to (i) decreases in revenue from mobile handset sales in the U.K., due in large part to the impact of retail store closures during the COVID-19 pandemic, and (ii) lower interconnect and mobile roaming revenue driven by stay-at-home behaviors during the COVID-19 pandemic. The decreases in residential mobile non-subscription revenue also include the unfavorable impact of $5.3 million of revenue recognized during the second quarter of 2019 in connection with the sale of rights to future commission payments on customer handset insurance arrangements in the U.K.</w:t>
      </w:r>
    </w:p>
    <w:p>
      <w:pPr>
        <w:spacing w:after="0" w:line="141" w:lineRule="exact"/>
        <w:rPr>
          <w:rFonts w:ascii="Arial" w:cs="Arial" w:eastAsia="Arial" w:hAnsi="Arial"/>
          <w:sz w:val="14"/>
          <w:szCs w:val="14"/>
          <w:color w:val="auto"/>
        </w:rPr>
      </w:pPr>
    </w:p>
    <w:p>
      <w:pPr>
        <w:jc w:val="both"/>
        <w:ind w:left="427" w:right="20" w:hanging="427"/>
        <w:spacing w:after="0" w:line="250" w:lineRule="auto"/>
        <w:tabs>
          <w:tab w:leader="none" w:pos="427"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increases in B2B subscription revenue are primarily due to increases in the average number of SOHO customers in the U.K. The decreases in B2B non-subscription revenue are primarily attributable to our operations in the U.K., including the net effect of (i) decreases in lower margin revenue related to business network services, (ii) increases in revenue associated with long-term leases of a portion of our network and (iii) lower installation revenue.</w:t>
      </w:r>
    </w:p>
    <w:p>
      <w:pPr>
        <w:spacing w:after="0" w:line="169" w:lineRule="exact"/>
        <w:rPr>
          <w:rFonts w:ascii="Arial" w:cs="Arial" w:eastAsia="Arial" w:hAnsi="Arial"/>
          <w:sz w:val="16"/>
          <w:szCs w:val="16"/>
          <w:color w:val="auto"/>
        </w:rPr>
      </w:pPr>
    </w:p>
    <w:p>
      <w:pPr>
        <w:ind w:left="427" w:hanging="427"/>
        <w:spacing w:after="0"/>
        <w:tabs>
          <w:tab w:leader="none" w:pos="427"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decreases in other revenue are attributable to lower broadcasting revenue in Ireland, largely due to the impact of the COVID-19 pandemic.</w:t>
      </w:r>
    </w:p>
    <w:p>
      <w:pPr>
        <w:spacing w:after="0" w:line="374"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267"/>
          </w:cols>
          <w:pgMar w:left="313" w:top="315" w:right="319" w:bottom="1440" w:gutter="0" w:footer="0" w:header="0"/>
        </w:sectPr>
      </w:pPr>
    </w:p>
    <w:bookmarkStart w:id="58" w:name="page59"/>
    <w:bookmarkEnd w:id="58"/>
    <w:p>
      <w:pPr>
        <w:ind w:left="7" w:right="20" w:firstLine="279"/>
        <w:spacing w:after="0" w:line="258" w:lineRule="auto"/>
        <w:rPr>
          <w:sz w:val="20"/>
          <w:szCs w:val="20"/>
          <w:color w:val="auto"/>
        </w:rPr>
      </w:pPr>
      <w:r>
        <w:rPr>
          <w:rFonts w:ascii="Arial" w:cs="Arial" w:eastAsia="Arial" w:hAnsi="Arial"/>
          <w:sz w:val="16"/>
          <w:szCs w:val="16"/>
          <w:i w:val="1"/>
          <w:iCs w:val="1"/>
          <w:color w:val="auto"/>
        </w:rPr>
        <w:t xml:space="preserve">Belgium. </w:t>
      </w:r>
      <w:r>
        <w:rPr>
          <w:rFonts w:ascii="Arial" w:cs="Arial" w:eastAsia="Arial" w:hAnsi="Arial"/>
          <w:sz w:val="16"/>
          <w:szCs w:val="16"/>
          <w:color w:val="auto"/>
        </w:rPr>
        <w:t>The details of the decreases in Belgium’s revenue during the three and six months ended June 30, 2020</w:t>
      </w:r>
      <w:r>
        <w:rPr>
          <w:rFonts w:ascii="Arial" w:cs="Arial" w:eastAsia="Arial" w:hAnsi="Arial"/>
          <w:sz w:val="16"/>
          <w:szCs w:val="16"/>
          <w:color w:val="2C2C2C"/>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as compared to the corresponding periods in</w:t>
      </w:r>
      <w:r>
        <w:rPr>
          <w:rFonts w:ascii="Arial" w:cs="Arial" w:eastAsia="Arial" w:hAnsi="Arial"/>
          <w:sz w:val="16"/>
          <w:szCs w:val="16"/>
          <w:i w:val="1"/>
          <w:iCs w:val="1"/>
          <w:color w:val="auto"/>
        </w:rPr>
        <w:t xml:space="preserve"> </w:t>
      </w:r>
      <w:r>
        <w:rPr>
          <w:rFonts w:ascii="Arial" w:cs="Arial" w:eastAsia="Arial" w:hAnsi="Arial"/>
          <w:sz w:val="16"/>
          <w:szCs w:val="16"/>
          <w:color w:val="2C2C2C"/>
        </w:rPr>
        <w:t>2019</w:t>
      </w:r>
      <w:r>
        <w:rPr>
          <w:rFonts w:ascii="Arial" w:cs="Arial" w:eastAsia="Arial" w:hAnsi="Arial"/>
          <w:sz w:val="16"/>
          <w:szCs w:val="16"/>
          <w:color w:val="auto"/>
        </w:rPr>
        <w:t>, are set forth</w:t>
      </w:r>
      <w:r>
        <w:rPr>
          <w:rFonts w:ascii="Arial" w:cs="Arial" w:eastAsia="Arial" w:hAnsi="Arial"/>
          <w:sz w:val="16"/>
          <w:szCs w:val="16"/>
          <w:i w:val="1"/>
          <w:iCs w:val="1"/>
          <w:color w:val="auto"/>
        </w:rPr>
        <w:t xml:space="preserve"> </w:t>
      </w:r>
      <w:r>
        <w:rPr>
          <w:rFonts w:ascii="Arial" w:cs="Arial" w:eastAsia="Arial" w:hAnsi="Arial"/>
          <w:sz w:val="16"/>
          <w:szCs w:val="16"/>
          <w:color w:val="auto"/>
        </w:rPr>
        <w:t>below:</w:t>
      </w:r>
    </w:p>
    <w:p>
      <w:pPr>
        <w:spacing w:after="0" w:line="126" w:lineRule="exact"/>
        <w:rPr>
          <w:sz w:val="20"/>
          <w:szCs w:val="20"/>
          <w:color w:val="auto"/>
        </w:rPr>
      </w:pPr>
    </w:p>
    <w:tbl>
      <w:tblPr>
        <w:tblLayout w:type="fixed"/>
        <w:tblInd w:w="7" w:type="dxa"/>
        <w:tblCellMar>
          <w:top w:w="0" w:type="dxa"/>
          <w:left w:w="0" w:type="dxa"/>
          <w:bottom w:w="0" w:type="dxa"/>
          <w:right w:w="0" w:type="dxa"/>
        </w:tblCellMar>
      </w:tblPr>
      <w:tr>
        <w:trPr>
          <w:trHeight w:val="182"/>
        </w:trPr>
        <w:tc>
          <w:tcPr>
            <w:tcW w:w="3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80" w:type="dxa"/>
            <w:vAlign w:val="bottom"/>
            <w:gridSpan w:val="4"/>
          </w:tcPr>
          <w:p>
            <w:pPr>
              <w:ind w:left="80"/>
              <w:spacing w:after="0"/>
              <w:rPr>
                <w:sz w:val="20"/>
                <w:szCs w:val="20"/>
                <w:color w:val="auto"/>
              </w:rPr>
            </w:pPr>
            <w:r>
              <w:rPr>
                <w:rFonts w:ascii="Arial" w:cs="Arial" w:eastAsia="Arial" w:hAnsi="Arial"/>
                <w:sz w:val="14"/>
                <w:szCs w:val="14"/>
                <w:b w:val="1"/>
                <w:bCs w:val="1"/>
                <w:color w:val="auto"/>
              </w:rPr>
              <w:t>Three-month period</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3"/>
          </w:tcPr>
          <w:p>
            <w:pPr>
              <w:ind w:left="40"/>
              <w:spacing w:after="0"/>
              <w:rPr>
                <w:sz w:val="20"/>
                <w:szCs w:val="20"/>
                <w:color w:val="auto"/>
              </w:rPr>
            </w:pPr>
            <w:r>
              <w:rPr>
                <w:rFonts w:ascii="Arial" w:cs="Arial" w:eastAsia="Arial" w:hAnsi="Arial"/>
                <w:sz w:val="14"/>
                <w:szCs w:val="14"/>
                <w:b w:val="1"/>
                <w:bCs w:val="1"/>
                <w:color w:val="auto"/>
              </w:rPr>
              <w:t>Six-month period</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3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3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184"/>
              <w:spacing w:after="0"/>
              <w:rPr>
                <w:sz w:val="20"/>
                <w:szCs w:val="20"/>
                <w:color w:val="auto"/>
              </w:rPr>
            </w:pPr>
            <w:r>
              <w:rPr>
                <w:rFonts w:ascii="Arial" w:cs="Arial" w:eastAsia="Arial" w:hAnsi="Arial"/>
                <w:sz w:val="14"/>
                <w:szCs w:val="14"/>
                <w:b w:val="1"/>
                <w:bCs w:val="1"/>
                <w:color w:val="auto"/>
                <w:w w:val="95"/>
              </w:rPr>
              <w:t>Subscription</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Non-subscription</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Subscription</w:t>
            </w:r>
          </w:p>
        </w:tc>
        <w:tc>
          <w:tcPr>
            <w:tcW w:w="13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Non-subscription</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324"/>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revenue</w:t>
            </w:r>
          </w:p>
        </w:tc>
        <w:tc>
          <w:tcPr>
            <w:tcW w:w="260" w:type="dxa"/>
            <w:vAlign w:val="bottom"/>
          </w:tcPr>
          <w:p>
            <w:pPr>
              <w:spacing w:after="0"/>
              <w:rPr>
                <w:sz w:val="15"/>
                <w:szCs w:val="15"/>
                <w:color w:val="auto"/>
              </w:rPr>
            </w:pP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5"/>
                <w:szCs w:val="15"/>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revenue</w:t>
            </w:r>
          </w:p>
        </w:tc>
        <w:tc>
          <w:tcPr>
            <w:tcW w:w="240" w:type="dxa"/>
            <w:vAlign w:val="bottom"/>
          </w:tcPr>
          <w:p>
            <w:pPr>
              <w:spacing w:after="0"/>
              <w:rPr>
                <w:sz w:val="15"/>
                <w:szCs w:val="15"/>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revenue</w:t>
            </w:r>
          </w:p>
        </w:tc>
        <w:tc>
          <w:tcPr>
            <w:tcW w:w="260" w:type="dxa"/>
            <w:vAlign w:val="bottom"/>
          </w:tcPr>
          <w:p>
            <w:pPr>
              <w:spacing w:after="0"/>
              <w:rPr>
                <w:sz w:val="15"/>
                <w:szCs w:val="15"/>
                <w:color w:val="auto"/>
              </w:rPr>
            </w:pPr>
          </w:p>
        </w:tc>
        <w:tc>
          <w:tcPr>
            <w:tcW w:w="860" w:type="dxa"/>
            <w:vAlign w:val="bottom"/>
          </w:tcPr>
          <w:p>
            <w:pPr>
              <w:jc w:val="right"/>
              <w:ind w:right="32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8"/>
        </w:trPr>
        <w:tc>
          <w:tcPr>
            <w:tcW w:w="3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3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3"/>
              </w:rPr>
              <w:t>Increase (decrease) in residential cable subscription</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revenue due to change in:</w:t>
            </w: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500" w:type="dxa"/>
            <w:vAlign w:val="bottom"/>
          </w:tcPr>
          <w:p>
            <w:pPr>
              <w:ind w:left="160"/>
              <w:spacing w:after="0"/>
              <w:rPr>
                <w:sz w:val="20"/>
                <w:szCs w:val="20"/>
                <w:color w:val="auto"/>
              </w:rPr>
            </w:pPr>
            <w:r>
              <w:rPr>
                <w:rFonts w:ascii="Arial" w:cs="Arial" w:eastAsia="Arial" w:hAnsi="Arial"/>
                <w:sz w:val="16"/>
                <w:szCs w:val="16"/>
                <w:color w:val="auto"/>
              </w:rPr>
              <w:t>Average number of customers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4"/>
              <w:spacing w:after="0"/>
              <w:rPr>
                <w:sz w:val="20"/>
                <w:szCs w:val="20"/>
                <w:color w:val="auto"/>
              </w:rPr>
            </w:pPr>
            <w:r>
              <w:rPr>
                <w:rFonts w:ascii="Arial" w:cs="Arial" w:eastAsia="Arial" w:hAnsi="Arial"/>
                <w:sz w:val="16"/>
                <w:szCs w:val="16"/>
                <w:color w:val="auto"/>
              </w:rPr>
              <w:t>(10.7)</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18"/>
                <w:szCs w:val="18"/>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(22.3)</w:t>
            </w:r>
          </w:p>
        </w:tc>
        <w:tc>
          <w:tcPr>
            <w:tcW w:w="100" w:type="dxa"/>
            <w:vAlign w:val="bottom"/>
          </w:tcPr>
          <w:p>
            <w:pPr>
              <w:spacing w:after="0"/>
              <w:rPr>
                <w:sz w:val="18"/>
                <w:szCs w:val="18"/>
                <w:color w:val="auto"/>
              </w:rPr>
            </w:pPr>
          </w:p>
        </w:tc>
        <w:tc>
          <w:tcPr>
            <w:tcW w:w="240" w:type="dxa"/>
            <w:vAlign w:val="bottom"/>
          </w:tcPr>
          <w:p>
            <w:pPr>
              <w:jc w:val="right"/>
              <w:ind w:right="66"/>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r>
        <w:trPr>
          <w:trHeight w:val="24"/>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3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ARPU</w:t>
            </w:r>
          </w:p>
        </w:tc>
        <w:tc>
          <w:tcPr>
            <w:tcW w:w="1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7.1</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10.9</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09"/>
        </w:trPr>
        <w:tc>
          <w:tcPr>
            <w:tcW w:w="3500" w:type="dxa"/>
            <w:vAlign w:val="bottom"/>
          </w:tcPr>
          <w:p>
            <w:pPr>
              <w:ind w:left="20"/>
              <w:spacing w:after="0"/>
              <w:rPr>
                <w:sz w:val="20"/>
                <w:szCs w:val="20"/>
                <w:color w:val="auto"/>
              </w:rPr>
            </w:pPr>
            <w:r>
              <w:rPr>
                <w:rFonts w:ascii="Arial" w:cs="Arial" w:eastAsia="Arial" w:hAnsi="Arial"/>
                <w:sz w:val="16"/>
                <w:szCs w:val="16"/>
                <w:color w:val="auto"/>
                <w:w w:val="88"/>
              </w:rPr>
              <w:t>Decrease in residential cable non-subscription revenue</w:t>
            </w:r>
          </w:p>
        </w:tc>
        <w:tc>
          <w:tcPr>
            <w:tcW w:w="160" w:type="dxa"/>
            <w:vAlign w:val="bottom"/>
          </w:tcPr>
          <w:p>
            <w:pPr>
              <w:spacing w:after="0"/>
              <w:rPr>
                <w:sz w:val="18"/>
                <w:szCs w:val="18"/>
                <w:color w:val="auto"/>
              </w:rPr>
            </w:pPr>
          </w:p>
        </w:tc>
        <w:tc>
          <w:tcPr>
            <w:tcW w:w="110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4"/>
        </w:trPr>
        <w:tc>
          <w:tcPr>
            <w:tcW w:w="3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3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decrease in residential cable revenue</w:t>
            </w: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09"/>
        </w:trPr>
        <w:tc>
          <w:tcPr>
            <w:tcW w:w="3500" w:type="dxa"/>
            <w:vAlign w:val="bottom"/>
          </w:tcPr>
          <w:p>
            <w:pPr>
              <w:ind w:left="20"/>
              <w:spacing w:after="0"/>
              <w:rPr>
                <w:sz w:val="20"/>
                <w:szCs w:val="20"/>
                <w:color w:val="auto"/>
              </w:rPr>
            </w:pPr>
            <w:r>
              <w:rPr>
                <w:rFonts w:ascii="Arial" w:cs="Arial" w:eastAsia="Arial" w:hAnsi="Arial"/>
                <w:sz w:val="16"/>
                <w:szCs w:val="16"/>
                <w:color w:val="auto"/>
                <w:w w:val="92"/>
              </w:rPr>
              <w:t>Increase (decrease) in residential mobile revenue (a)</w:t>
            </w:r>
          </w:p>
        </w:tc>
        <w:tc>
          <w:tcPr>
            <w:tcW w:w="160" w:type="dxa"/>
            <w:vAlign w:val="bottom"/>
          </w:tcPr>
          <w:p>
            <w:pPr>
              <w:spacing w:after="0"/>
              <w:rPr>
                <w:sz w:val="18"/>
                <w:szCs w:val="18"/>
                <w:color w:val="auto"/>
              </w:rPr>
            </w:pPr>
          </w:p>
        </w:tc>
        <w:tc>
          <w:tcPr>
            <w:tcW w:w="1100" w:type="dxa"/>
            <w:vAlign w:val="bottom"/>
          </w:tcPr>
          <w:p>
            <w:pPr>
              <w:jc w:val="right"/>
              <w:ind w:right="4"/>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24"/>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24"/>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Increase (decrease) in B2B revenue (b)</w:t>
            </w:r>
          </w:p>
        </w:tc>
        <w:tc>
          <w:tcPr>
            <w:tcW w:w="1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17.5</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09"/>
        </w:trPr>
        <w:tc>
          <w:tcPr>
            <w:tcW w:w="3500" w:type="dxa"/>
            <w:vAlign w:val="bottom"/>
          </w:tcPr>
          <w:p>
            <w:pPr>
              <w:ind w:left="20"/>
              <w:spacing w:after="0"/>
              <w:rPr>
                <w:sz w:val="20"/>
                <w:szCs w:val="20"/>
                <w:color w:val="auto"/>
              </w:rPr>
            </w:pPr>
            <w:r>
              <w:rPr>
                <w:rFonts w:ascii="Arial" w:cs="Arial" w:eastAsia="Arial" w:hAnsi="Arial"/>
                <w:sz w:val="16"/>
                <w:szCs w:val="16"/>
                <w:color w:val="auto"/>
              </w:rPr>
              <w:t>Decrease in other revenue</w:t>
            </w:r>
          </w:p>
        </w:tc>
        <w:tc>
          <w:tcPr>
            <w:tcW w:w="160" w:type="dxa"/>
            <w:vAlign w:val="bottom"/>
          </w:tcPr>
          <w:p>
            <w:pPr>
              <w:spacing w:after="0"/>
              <w:rPr>
                <w:sz w:val="18"/>
                <w:szCs w:val="18"/>
                <w:color w:val="auto"/>
              </w:rPr>
            </w:pPr>
          </w:p>
        </w:tc>
        <w:tc>
          <w:tcPr>
            <w:tcW w:w="110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4"/>
        </w:trPr>
        <w:tc>
          <w:tcPr>
            <w:tcW w:w="3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3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organic increase (decrease)</w:t>
            </w: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(27.9)</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10.3</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(39.3)</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209"/>
        </w:trPr>
        <w:tc>
          <w:tcPr>
            <w:tcW w:w="3500" w:type="dxa"/>
            <w:vAlign w:val="bottom"/>
          </w:tcPr>
          <w:p>
            <w:pPr>
              <w:ind w:left="20"/>
              <w:spacing w:after="0"/>
              <w:rPr>
                <w:sz w:val="20"/>
                <w:szCs w:val="20"/>
                <w:color w:val="auto"/>
              </w:rPr>
            </w:pPr>
            <w:r>
              <w:rPr>
                <w:rFonts w:ascii="Arial" w:cs="Arial" w:eastAsia="Arial" w:hAnsi="Arial"/>
                <w:sz w:val="16"/>
                <w:szCs w:val="16"/>
                <w:color w:val="auto"/>
              </w:rPr>
              <w:t>Impact of acquisitions</w:t>
            </w:r>
          </w:p>
        </w:tc>
        <w:tc>
          <w:tcPr>
            <w:tcW w:w="160" w:type="dxa"/>
            <w:vAlign w:val="bottom"/>
          </w:tcPr>
          <w:p>
            <w:pPr>
              <w:spacing w:after="0"/>
              <w:rPr>
                <w:sz w:val="18"/>
                <w:szCs w:val="18"/>
                <w:color w:val="auto"/>
              </w:rPr>
            </w:pPr>
          </w:p>
        </w:tc>
        <w:tc>
          <w:tcPr>
            <w:tcW w:w="110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44"/>
              <w:spacing w:after="0"/>
              <w:rPr>
                <w:sz w:val="20"/>
                <w:szCs w:val="20"/>
                <w:color w:val="auto"/>
              </w:rPr>
            </w:pPr>
            <w:r>
              <w:rPr>
                <w:rFonts w:ascii="Arial" w:cs="Arial" w:eastAsia="Arial" w:hAnsi="Arial"/>
                <w:sz w:val="16"/>
                <w:szCs w:val="16"/>
                <w:color w:val="auto"/>
              </w:rPr>
              <w:t>13.9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44"/>
              <w:spacing w:after="0"/>
              <w:rPr>
                <w:sz w:val="20"/>
                <w:szCs w:val="20"/>
                <w:color w:val="auto"/>
              </w:rPr>
            </w:pPr>
            <w:r>
              <w:rPr>
                <w:rFonts w:ascii="Arial" w:cs="Arial" w:eastAsia="Arial" w:hAnsi="Arial"/>
                <w:sz w:val="16"/>
                <w:szCs w:val="16"/>
                <w:color w:val="auto"/>
              </w:rPr>
              <w:t>13.9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80" w:type="dxa"/>
            <w:vAlign w:val="bottom"/>
          </w:tcPr>
          <w:p>
            <w:pPr>
              <w:jc w:val="right"/>
              <w:ind w:right="23"/>
              <w:spacing w:after="0"/>
              <w:rPr>
                <w:sz w:val="20"/>
                <w:szCs w:val="20"/>
                <w:color w:val="auto"/>
              </w:rPr>
            </w:pPr>
            <w:r>
              <w:rPr>
                <w:rFonts w:ascii="Arial" w:cs="Arial" w:eastAsia="Arial" w:hAnsi="Arial"/>
                <w:sz w:val="16"/>
                <w:szCs w:val="16"/>
                <w:color w:val="auto"/>
              </w:rPr>
              <w:t>42.8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42.8</w:t>
            </w:r>
          </w:p>
        </w:tc>
        <w:tc>
          <w:tcPr>
            <w:tcW w:w="0" w:type="dxa"/>
            <w:vAlign w:val="bottom"/>
          </w:tcPr>
          <w:p>
            <w:pPr>
              <w:spacing w:after="0"/>
              <w:rPr>
                <w:sz w:val="1"/>
                <w:szCs w:val="1"/>
                <w:color w:val="auto"/>
              </w:rPr>
            </w:pPr>
          </w:p>
        </w:tc>
      </w:tr>
      <w:tr>
        <w:trPr>
          <w:trHeight w:val="24"/>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Impact of disposals</w:t>
            </w:r>
          </w:p>
        </w:tc>
        <w:tc>
          <w:tcPr>
            <w:tcW w:w="1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09"/>
        </w:trPr>
        <w:tc>
          <w:tcPr>
            <w:tcW w:w="3500" w:type="dxa"/>
            <w:vAlign w:val="bottom"/>
          </w:tcPr>
          <w:p>
            <w:pPr>
              <w:ind w:left="20"/>
              <w:spacing w:after="0"/>
              <w:rPr>
                <w:sz w:val="20"/>
                <w:szCs w:val="20"/>
                <w:color w:val="auto"/>
              </w:rPr>
            </w:pPr>
            <w:r>
              <w:rPr>
                <w:rFonts w:ascii="Arial" w:cs="Arial" w:eastAsia="Arial" w:hAnsi="Arial"/>
                <w:sz w:val="16"/>
                <w:szCs w:val="16"/>
                <w:color w:val="auto"/>
              </w:rPr>
              <w:t>Impact of FX</w:t>
            </w:r>
          </w:p>
        </w:tc>
        <w:tc>
          <w:tcPr>
            <w:tcW w:w="160" w:type="dxa"/>
            <w:vAlign w:val="bottom"/>
          </w:tcPr>
          <w:p>
            <w:pPr>
              <w:spacing w:after="0"/>
              <w:rPr>
                <w:sz w:val="18"/>
                <w:szCs w:val="18"/>
                <w:color w:val="auto"/>
              </w:rPr>
            </w:pPr>
          </w:p>
        </w:tc>
        <w:tc>
          <w:tcPr>
            <w:tcW w:w="1100" w:type="dxa"/>
            <w:vAlign w:val="bottom"/>
          </w:tcPr>
          <w:p>
            <w:pPr>
              <w:jc w:val="right"/>
              <w:ind w:right="4"/>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(35.5)</w:t>
            </w:r>
          </w:p>
        </w:tc>
        <w:tc>
          <w:tcPr>
            <w:tcW w:w="0" w:type="dxa"/>
            <w:vAlign w:val="bottom"/>
          </w:tcPr>
          <w:p>
            <w:pPr>
              <w:spacing w:after="0"/>
              <w:rPr>
                <w:sz w:val="1"/>
                <w:szCs w:val="1"/>
                <w:color w:val="auto"/>
              </w:rPr>
            </w:pPr>
          </w:p>
        </w:tc>
      </w:tr>
      <w:tr>
        <w:trPr>
          <w:trHeight w:val="24"/>
        </w:trPr>
        <w:tc>
          <w:tcPr>
            <w:tcW w:w="3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5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(10.1)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6"/>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5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jc w:val="both"/>
        <w:ind w:left="427" w:hanging="427"/>
        <w:spacing w:after="0" w:line="303" w:lineRule="auto"/>
        <w:tabs>
          <w:tab w:leader="none" w:pos="427"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increase in residential mobile subscription revenue for the six-month comparison is primarily due to an increase in the average number of mobile subscribers. The decreases in mobile non-subscription revenue are primarily attributable to (i) lower interconnect and mobile roaming revenue driven by stay-at-home behaviors during the COVID-19 pandemic and (ii) decreases in revenue from mobile handset sales, due in large part to the impact of retail store closures during the COVID-19 pandemic.</w:t>
      </w:r>
    </w:p>
    <w:p>
      <w:pPr>
        <w:spacing w:after="0" w:line="134" w:lineRule="exact"/>
        <w:rPr>
          <w:rFonts w:ascii="Arial" w:cs="Arial" w:eastAsia="Arial" w:hAnsi="Arial"/>
          <w:sz w:val="14"/>
          <w:szCs w:val="14"/>
          <w:color w:val="auto"/>
        </w:rPr>
      </w:pPr>
    </w:p>
    <w:p>
      <w:pPr>
        <w:ind w:left="427" w:right="20" w:hanging="427"/>
        <w:spacing w:after="0" w:line="329" w:lineRule="auto"/>
        <w:tabs>
          <w:tab w:leader="none" w:pos="427"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increases in B2B subscription revenue are primarily due to increases in the average number of SOHO customers. The decreases in B2B non-subscription revenue are primarily attributable to (i) lower interconnect revenue and (ii) decreases in revenue from mobile handset sales, due in large part to the impact of the COVID-19 pandemic.</w:t>
      </w:r>
    </w:p>
    <w:p>
      <w:pPr>
        <w:spacing w:after="0" w:line="117" w:lineRule="exact"/>
        <w:rPr>
          <w:sz w:val="20"/>
          <w:szCs w:val="20"/>
          <w:color w:val="auto"/>
        </w:rPr>
      </w:pPr>
    </w:p>
    <w:p>
      <w:pPr>
        <w:ind w:left="7" w:firstLine="279"/>
        <w:spacing w:after="0" w:line="258" w:lineRule="auto"/>
        <w:rPr>
          <w:sz w:val="20"/>
          <w:szCs w:val="20"/>
          <w:color w:val="auto"/>
        </w:rPr>
      </w:pPr>
      <w:r>
        <w:rPr>
          <w:rFonts w:ascii="Arial" w:cs="Arial" w:eastAsia="Arial" w:hAnsi="Arial"/>
          <w:sz w:val="16"/>
          <w:szCs w:val="16"/>
          <w:color w:val="auto"/>
        </w:rPr>
        <w:t>For information concerning certain regulatory developments that could have an adverse impact on our revenue in Belgium, see “</w:t>
      </w:r>
      <w:r>
        <w:rPr>
          <w:rFonts w:ascii="Arial" w:cs="Arial" w:eastAsia="Arial" w:hAnsi="Arial"/>
          <w:sz w:val="16"/>
          <w:szCs w:val="16"/>
          <w:i w:val="1"/>
          <w:iCs w:val="1"/>
          <w:color w:val="auto"/>
        </w:rPr>
        <w:t>Belgium Regulatory Developments”</w:t>
      </w:r>
      <w:r>
        <w:rPr>
          <w:rFonts w:ascii="Arial" w:cs="Arial" w:eastAsia="Arial" w:hAnsi="Arial"/>
          <w:sz w:val="16"/>
          <w:szCs w:val="16"/>
          <w:color w:val="auto"/>
        </w:rPr>
        <w:t xml:space="preserve"> in note 16 to our condensed consolidated financial statements.</w:t>
      </w:r>
    </w:p>
    <w:p>
      <w:pPr>
        <w:spacing w:after="0" w:line="349"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267"/>
          </w:cols>
          <w:pgMar w:left="313" w:top="315" w:right="319" w:bottom="1440" w:gutter="0" w:footer="0" w:header="0"/>
        </w:sectPr>
      </w:pPr>
    </w:p>
    <w:bookmarkStart w:id="59" w:name="page60"/>
    <w:bookmarkEnd w:id="59"/>
    <w:p>
      <w:pPr>
        <w:ind w:left="7" w:right="20" w:firstLine="279"/>
        <w:spacing w:after="0" w:line="258" w:lineRule="auto"/>
        <w:rPr>
          <w:sz w:val="20"/>
          <w:szCs w:val="20"/>
          <w:color w:val="auto"/>
        </w:rPr>
      </w:pPr>
      <w:r>
        <w:rPr>
          <w:rFonts w:ascii="Arial" w:cs="Arial" w:eastAsia="Arial" w:hAnsi="Arial"/>
          <w:sz w:val="16"/>
          <w:szCs w:val="16"/>
          <w:i w:val="1"/>
          <w:iCs w:val="1"/>
          <w:color w:val="auto"/>
        </w:rPr>
        <w:t xml:space="preserve">Switzerland. </w:t>
      </w:r>
      <w:r>
        <w:rPr>
          <w:rFonts w:ascii="Arial" w:cs="Arial" w:eastAsia="Arial" w:hAnsi="Arial"/>
          <w:sz w:val="16"/>
          <w:szCs w:val="16"/>
          <w:color w:val="auto"/>
        </w:rPr>
        <w:t>The details of the decreases in Switzerland’s revenue during the three and six months ended June 30, 2020</w:t>
      </w:r>
      <w:r>
        <w:rPr>
          <w:rFonts w:ascii="Arial" w:cs="Arial" w:eastAsia="Arial" w:hAnsi="Arial"/>
          <w:sz w:val="16"/>
          <w:szCs w:val="16"/>
          <w:color w:val="2C2C2C"/>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as compared to the corresponding periods in</w:t>
      </w:r>
      <w:r>
        <w:rPr>
          <w:rFonts w:ascii="Arial" w:cs="Arial" w:eastAsia="Arial" w:hAnsi="Arial"/>
          <w:sz w:val="16"/>
          <w:szCs w:val="16"/>
          <w:i w:val="1"/>
          <w:iCs w:val="1"/>
          <w:color w:val="auto"/>
        </w:rPr>
        <w:t xml:space="preserve"> </w:t>
      </w:r>
      <w:r>
        <w:rPr>
          <w:rFonts w:ascii="Arial" w:cs="Arial" w:eastAsia="Arial" w:hAnsi="Arial"/>
          <w:sz w:val="16"/>
          <w:szCs w:val="16"/>
          <w:color w:val="2C2C2C"/>
        </w:rPr>
        <w:t>2019</w:t>
      </w:r>
      <w:r>
        <w:rPr>
          <w:rFonts w:ascii="Arial" w:cs="Arial" w:eastAsia="Arial" w:hAnsi="Arial"/>
          <w:sz w:val="16"/>
          <w:szCs w:val="16"/>
          <w:color w:val="auto"/>
        </w:rPr>
        <w:t>, are</w:t>
      </w:r>
      <w:r>
        <w:rPr>
          <w:rFonts w:ascii="Arial" w:cs="Arial" w:eastAsia="Arial" w:hAnsi="Arial"/>
          <w:sz w:val="16"/>
          <w:szCs w:val="16"/>
          <w:i w:val="1"/>
          <w:iCs w:val="1"/>
          <w:color w:val="auto"/>
        </w:rPr>
        <w:t xml:space="preserve"> </w:t>
      </w:r>
      <w:r>
        <w:rPr>
          <w:rFonts w:ascii="Arial" w:cs="Arial" w:eastAsia="Arial" w:hAnsi="Arial"/>
          <w:sz w:val="16"/>
          <w:szCs w:val="16"/>
          <w:color w:val="auto"/>
        </w:rPr>
        <w:t>set forth below:</w:t>
      </w:r>
    </w:p>
    <w:p>
      <w:pPr>
        <w:spacing w:after="0" w:line="126" w:lineRule="exact"/>
        <w:rPr>
          <w:sz w:val="20"/>
          <w:szCs w:val="20"/>
          <w:color w:val="auto"/>
        </w:rPr>
      </w:pPr>
    </w:p>
    <w:tbl>
      <w:tblPr>
        <w:tblLayout w:type="fixed"/>
        <w:tblInd w:w="7" w:type="dxa"/>
        <w:tblCellMar>
          <w:top w:w="0" w:type="dxa"/>
          <w:left w:w="0" w:type="dxa"/>
          <w:bottom w:w="0" w:type="dxa"/>
          <w:right w:w="0" w:type="dxa"/>
        </w:tblCellMar>
      </w:tblPr>
      <w:tr>
        <w:trPr>
          <w:trHeight w:val="182"/>
        </w:trPr>
        <w:tc>
          <w:tcPr>
            <w:tcW w:w="3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80" w:type="dxa"/>
            <w:vAlign w:val="bottom"/>
            <w:gridSpan w:val="4"/>
          </w:tcPr>
          <w:p>
            <w:pPr>
              <w:ind w:left="80"/>
              <w:spacing w:after="0"/>
              <w:rPr>
                <w:sz w:val="20"/>
                <w:szCs w:val="20"/>
                <w:color w:val="auto"/>
              </w:rPr>
            </w:pPr>
            <w:r>
              <w:rPr>
                <w:rFonts w:ascii="Arial" w:cs="Arial" w:eastAsia="Arial" w:hAnsi="Arial"/>
                <w:sz w:val="14"/>
                <w:szCs w:val="14"/>
                <w:b w:val="1"/>
                <w:bCs w:val="1"/>
                <w:color w:val="auto"/>
              </w:rPr>
              <w:t>Three-month period</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3"/>
          </w:tcPr>
          <w:p>
            <w:pPr>
              <w:ind w:left="40"/>
              <w:spacing w:after="0"/>
              <w:rPr>
                <w:sz w:val="20"/>
                <w:szCs w:val="20"/>
                <w:color w:val="auto"/>
              </w:rPr>
            </w:pPr>
            <w:r>
              <w:rPr>
                <w:rFonts w:ascii="Arial" w:cs="Arial" w:eastAsia="Arial" w:hAnsi="Arial"/>
                <w:sz w:val="14"/>
                <w:szCs w:val="14"/>
                <w:b w:val="1"/>
                <w:bCs w:val="1"/>
                <w:color w:val="auto"/>
              </w:rPr>
              <w:t>Six-month period</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3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3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184"/>
              <w:spacing w:after="0"/>
              <w:rPr>
                <w:sz w:val="20"/>
                <w:szCs w:val="20"/>
                <w:color w:val="auto"/>
              </w:rPr>
            </w:pPr>
            <w:r>
              <w:rPr>
                <w:rFonts w:ascii="Arial" w:cs="Arial" w:eastAsia="Arial" w:hAnsi="Arial"/>
                <w:sz w:val="14"/>
                <w:szCs w:val="14"/>
                <w:b w:val="1"/>
                <w:bCs w:val="1"/>
                <w:color w:val="auto"/>
                <w:w w:val="95"/>
              </w:rPr>
              <w:t>Subscription</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Non-subscription</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Subscription</w:t>
            </w:r>
          </w:p>
        </w:tc>
        <w:tc>
          <w:tcPr>
            <w:tcW w:w="13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Non-subscription</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324"/>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revenue</w:t>
            </w:r>
          </w:p>
        </w:tc>
        <w:tc>
          <w:tcPr>
            <w:tcW w:w="260" w:type="dxa"/>
            <w:vAlign w:val="bottom"/>
          </w:tcPr>
          <w:p>
            <w:pPr>
              <w:spacing w:after="0"/>
              <w:rPr>
                <w:sz w:val="15"/>
                <w:szCs w:val="15"/>
                <w:color w:val="auto"/>
              </w:rPr>
            </w:pP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5"/>
                <w:szCs w:val="15"/>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revenue</w:t>
            </w:r>
          </w:p>
        </w:tc>
        <w:tc>
          <w:tcPr>
            <w:tcW w:w="240" w:type="dxa"/>
            <w:vAlign w:val="bottom"/>
          </w:tcPr>
          <w:p>
            <w:pPr>
              <w:spacing w:after="0"/>
              <w:rPr>
                <w:sz w:val="15"/>
                <w:szCs w:val="15"/>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revenue</w:t>
            </w:r>
          </w:p>
        </w:tc>
        <w:tc>
          <w:tcPr>
            <w:tcW w:w="260" w:type="dxa"/>
            <w:vAlign w:val="bottom"/>
          </w:tcPr>
          <w:p>
            <w:pPr>
              <w:spacing w:after="0"/>
              <w:rPr>
                <w:sz w:val="15"/>
                <w:szCs w:val="15"/>
                <w:color w:val="auto"/>
              </w:rPr>
            </w:pPr>
          </w:p>
        </w:tc>
        <w:tc>
          <w:tcPr>
            <w:tcW w:w="860" w:type="dxa"/>
            <w:vAlign w:val="bottom"/>
          </w:tcPr>
          <w:p>
            <w:pPr>
              <w:jc w:val="right"/>
              <w:ind w:right="32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8"/>
        </w:trPr>
        <w:tc>
          <w:tcPr>
            <w:tcW w:w="3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3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Decrease in residential cable subscription revenue due</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 change in:</w:t>
            </w: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500" w:type="dxa"/>
            <w:vAlign w:val="bottom"/>
          </w:tcPr>
          <w:p>
            <w:pPr>
              <w:ind w:left="160"/>
              <w:spacing w:after="0"/>
              <w:rPr>
                <w:sz w:val="20"/>
                <w:szCs w:val="20"/>
                <w:color w:val="auto"/>
              </w:rPr>
            </w:pPr>
            <w:r>
              <w:rPr>
                <w:rFonts w:ascii="Arial" w:cs="Arial" w:eastAsia="Arial" w:hAnsi="Arial"/>
                <w:sz w:val="16"/>
                <w:szCs w:val="16"/>
                <w:color w:val="auto"/>
              </w:rPr>
              <w:t>Average number of customers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4"/>
              <w:spacing w:after="0"/>
              <w:rPr>
                <w:sz w:val="20"/>
                <w:szCs w:val="20"/>
                <w:color w:val="auto"/>
              </w:rPr>
            </w:pPr>
            <w:r>
              <w:rPr>
                <w:rFonts w:ascii="Arial" w:cs="Arial" w:eastAsia="Arial" w:hAnsi="Arial"/>
                <w:sz w:val="16"/>
                <w:szCs w:val="16"/>
                <w:color w:val="auto"/>
              </w:rPr>
              <w:t>(15.7)</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(15.7)</w:t>
            </w:r>
          </w:p>
        </w:tc>
        <w:tc>
          <w:tcPr>
            <w:tcW w:w="120" w:type="dxa"/>
            <w:vAlign w:val="bottom"/>
          </w:tcPr>
          <w:p>
            <w:pPr>
              <w:spacing w:after="0"/>
              <w:rPr>
                <w:sz w:val="18"/>
                <w:szCs w:val="18"/>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(31.3)</w:t>
            </w:r>
          </w:p>
        </w:tc>
        <w:tc>
          <w:tcPr>
            <w:tcW w:w="100" w:type="dxa"/>
            <w:vAlign w:val="bottom"/>
          </w:tcPr>
          <w:p>
            <w:pPr>
              <w:spacing w:after="0"/>
              <w:rPr>
                <w:sz w:val="18"/>
                <w:szCs w:val="18"/>
                <w:color w:val="auto"/>
              </w:rPr>
            </w:pPr>
          </w:p>
        </w:tc>
        <w:tc>
          <w:tcPr>
            <w:tcW w:w="240" w:type="dxa"/>
            <w:vAlign w:val="bottom"/>
          </w:tcPr>
          <w:p>
            <w:pPr>
              <w:jc w:val="right"/>
              <w:ind w:right="66"/>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(31.3)</w:t>
            </w:r>
          </w:p>
        </w:tc>
        <w:tc>
          <w:tcPr>
            <w:tcW w:w="0" w:type="dxa"/>
            <w:vAlign w:val="bottom"/>
          </w:tcPr>
          <w:p>
            <w:pPr>
              <w:spacing w:after="0"/>
              <w:rPr>
                <w:sz w:val="1"/>
                <w:szCs w:val="1"/>
                <w:color w:val="auto"/>
              </w:rPr>
            </w:pPr>
          </w:p>
        </w:tc>
      </w:tr>
      <w:tr>
        <w:trPr>
          <w:trHeight w:val="24"/>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3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ARPU</w:t>
            </w:r>
          </w:p>
        </w:tc>
        <w:tc>
          <w:tcPr>
            <w:tcW w:w="1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199"/>
        </w:trPr>
        <w:tc>
          <w:tcPr>
            <w:tcW w:w="3500" w:type="dxa"/>
            <w:vAlign w:val="bottom"/>
          </w:tcPr>
          <w:p>
            <w:pPr>
              <w:ind w:left="20"/>
              <w:spacing w:after="0"/>
              <w:rPr>
                <w:sz w:val="20"/>
                <w:szCs w:val="20"/>
                <w:color w:val="auto"/>
              </w:rPr>
            </w:pPr>
            <w:r>
              <w:rPr>
                <w:rFonts w:ascii="Arial" w:cs="Arial" w:eastAsia="Arial" w:hAnsi="Arial"/>
                <w:sz w:val="16"/>
                <w:szCs w:val="16"/>
                <w:color w:val="auto"/>
                <w:w w:val="88"/>
              </w:rPr>
              <w:t>Decrease in residential cable non-subscription revenue</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00" w:type="dxa"/>
            <w:vAlign w:val="bottom"/>
          </w:tcPr>
          <w:p>
            <w:pPr>
              <w:ind w:left="160"/>
              <w:spacing w:after="0"/>
              <w:rPr>
                <w:sz w:val="20"/>
                <w:szCs w:val="20"/>
                <w:color w:val="auto"/>
              </w:rPr>
            </w:pPr>
            <w:r>
              <w:rPr>
                <w:rFonts w:ascii="Arial" w:cs="Arial" w:eastAsia="Arial" w:hAnsi="Arial"/>
                <w:sz w:val="16"/>
                <w:szCs w:val="16"/>
                <w:color w:val="auto"/>
              </w:rPr>
              <w:t>(a)</w:t>
            </w:r>
          </w:p>
        </w:tc>
        <w:tc>
          <w:tcPr>
            <w:tcW w:w="160" w:type="dxa"/>
            <w:vAlign w:val="bottom"/>
          </w:tcPr>
          <w:p>
            <w:pPr>
              <w:spacing w:after="0"/>
              <w:rPr>
                <w:sz w:val="17"/>
                <w:szCs w:val="17"/>
                <w:color w:val="auto"/>
              </w:rPr>
            </w:pPr>
          </w:p>
        </w:tc>
        <w:tc>
          <w:tcPr>
            <w:tcW w:w="110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4"/>
        </w:trPr>
        <w:tc>
          <w:tcPr>
            <w:tcW w:w="3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3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decrease in residential cable revenue</w:t>
            </w: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(21.8)</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(43.6)</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(45.5)</w:t>
            </w:r>
          </w:p>
        </w:tc>
        <w:tc>
          <w:tcPr>
            <w:tcW w:w="0" w:type="dxa"/>
            <w:vAlign w:val="bottom"/>
          </w:tcPr>
          <w:p>
            <w:pPr>
              <w:spacing w:after="0"/>
              <w:rPr>
                <w:sz w:val="1"/>
                <w:szCs w:val="1"/>
                <w:color w:val="auto"/>
              </w:rPr>
            </w:pPr>
          </w:p>
        </w:tc>
      </w:tr>
      <w:tr>
        <w:trPr>
          <w:trHeight w:val="209"/>
        </w:trPr>
        <w:tc>
          <w:tcPr>
            <w:tcW w:w="3500" w:type="dxa"/>
            <w:vAlign w:val="bottom"/>
          </w:tcPr>
          <w:p>
            <w:pPr>
              <w:ind w:left="20"/>
              <w:spacing w:after="0"/>
              <w:rPr>
                <w:sz w:val="20"/>
                <w:szCs w:val="20"/>
                <w:color w:val="auto"/>
              </w:rPr>
            </w:pPr>
            <w:r>
              <w:rPr>
                <w:rFonts w:ascii="Arial" w:cs="Arial" w:eastAsia="Arial" w:hAnsi="Arial"/>
                <w:sz w:val="16"/>
                <w:szCs w:val="16"/>
                <w:color w:val="auto"/>
                <w:w w:val="92"/>
              </w:rPr>
              <w:t>Increase (decrease) in residential mobile revenue (b)</w:t>
            </w:r>
          </w:p>
        </w:tc>
        <w:tc>
          <w:tcPr>
            <w:tcW w:w="160" w:type="dxa"/>
            <w:vAlign w:val="bottom"/>
          </w:tcPr>
          <w:p>
            <w:pPr>
              <w:spacing w:after="0"/>
              <w:rPr>
                <w:sz w:val="18"/>
                <w:szCs w:val="18"/>
                <w:color w:val="auto"/>
              </w:rPr>
            </w:pPr>
          </w:p>
        </w:tc>
        <w:tc>
          <w:tcPr>
            <w:tcW w:w="1100" w:type="dxa"/>
            <w:vAlign w:val="bottom"/>
          </w:tcPr>
          <w:p>
            <w:pPr>
              <w:jc w:val="right"/>
              <w:ind w:right="44"/>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24"/>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23"/>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4"/>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Increase (decrease) in B2B revenue</w:t>
            </w:r>
          </w:p>
        </w:tc>
        <w:tc>
          <w:tcPr>
            <w:tcW w:w="1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500" w:type="dxa"/>
            <w:vAlign w:val="bottom"/>
          </w:tcPr>
          <w:p>
            <w:pPr>
              <w:ind w:left="20"/>
              <w:spacing w:after="0"/>
              <w:rPr>
                <w:sz w:val="20"/>
                <w:szCs w:val="20"/>
                <w:color w:val="auto"/>
              </w:rPr>
            </w:pPr>
            <w:r>
              <w:rPr>
                <w:rFonts w:ascii="Arial" w:cs="Arial" w:eastAsia="Arial" w:hAnsi="Arial"/>
                <w:sz w:val="16"/>
                <w:szCs w:val="16"/>
                <w:color w:val="auto"/>
              </w:rPr>
              <w:t>Decrease in other revenue</w:t>
            </w:r>
          </w:p>
        </w:tc>
        <w:tc>
          <w:tcPr>
            <w:tcW w:w="160" w:type="dxa"/>
            <w:vAlign w:val="bottom"/>
          </w:tcPr>
          <w:p>
            <w:pPr>
              <w:spacing w:after="0"/>
              <w:rPr>
                <w:sz w:val="18"/>
                <w:szCs w:val="18"/>
                <w:color w:val="auto"/>
              </w:rPr>
            </w:pPr>
          </w:p>
        </w:tc>
        <w:tc>
          <w:tcPr>
            <w:tcW w:w="110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
        </w:trPr>
        <w:tc>
          <w:tcPr>
            <w:tcW w:w="3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3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organic increase (decrease)</w:t>
            </w: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(18.9)</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(35.8)</w:t>
            </w:r>
          </w:p>
        </w:tc>
        <w:tc>
          <w:tcPr>
            <w:tcW w:w="0" w:type="dxa"/>
            <w:vAlign w:val="bottom"/>
          </w:tcPr>
          <w:p>
            <w:pPr>
              <w:spacing w:after="0"/>
              <w:rPr>
                <w:sz w:val="1"/>
                <w:szCs w:val="1"/>
                <w:color w:val="auto"/>
              </w:rPr>
            </w:pPr>
          </w:p>
        </w:tc>
      </w:tr>
      <w:tr>
        <w:trPr>
          <w:trHeight w:val="209"/>
        </w:trPr>
        <w:tc>
          <w:tcPr>
            <w:tcW w:w="3500" w:type="dxa"/>
            <w:vAlign w:val="bottom"/>
          </w:tcPr>
          <w:p>
            <w:pPr>
              <w:ind w:left="20"/>
              <w:spacing w:after="0"/>
              <w:rPr>
                <w:sz w:val="20"/>
                <w:szCs w:val="20"/>
                <w:color w:val="auto"/>
              </w:rPr>
            </w:pPr>
            <w:r>
              <w:rPr>
                <w:rFonts w:ascii="Arial" w:cs="Arial" w:eastAsia="Arial" w:hAnsi="Arial"/>
                <w:sz w:val="16"/>
                <w:szCs w:val="16"/>
                <w:color w:val="auto"/>
              </w:rPr>
              <w:t>Impact of FX</w:t>
            </w:r>
          </w:p>
        </w:tc>
        <w:tc>
          <w:tcPr>
            <w:tcW w:w="160" w:type="dxa"/>
            <w:vAlign w:val="bottom"/>
          </w:tcPr>
          <w:p>
            <w:pPr>
              <w:spacing w:after="0"/>
              <w:rPr>
                <w:sz w:val="18"/>
                <w:szCs w:val="18"/>
                <w:color w:val="auto"/>
              </w:rPr>
            </w:pPr>
          </w:p>
        </w:tc>
        <w:tc>
          <w:tcPr>
            <w:tcW w:w="1100" w:type="dxa"/>
            <w:vAlign w:val="bottom"/>
          </w:tcPr>
          <w:p>
            <w:pPr>
              <w:jc w:val="right"/>
              <w:ind w:right="44"/>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44"/>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44"/>
              <w:spacing w:after="0"/>
              <w:rPr>
                <w:sz w:val="20"/>
                <w:szCs w:val="20"/>
                <w:color w:val="auto"/>
              </w:rPr>
            </w:pPr>
            <w:r>
              <w:rPr>
                <w:rFonts w:ascii="Arial" w:cs="Arial" w:eastAsia="Arial" w:hAnsi="Arial"/>
                <w:sz w:val="16"/>
                <w:szCs w:val="16"/>
                <w:color w:val="auto"/>
              </w:rPr>
              <w:t>11.4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24"/>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23"/>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20.7</w:t>
            </w:r>
          </w:p>
        </w:tc>
        <w:tc>
          <w:tcPr>
            <w:tcW w:w="0" w:type="dxa"/>
            <w:vAlign w:val="bottom"/>
          </w:tcPr>
          <w:p>
            <w:pPr>
              <w:spacing w:after="0"/>
              <w:rPr>
                <w:sz w:val="1"/>
                <w:szCs w:val="1"/>
                <w:color w:val="auto"/>
              </w:rPr>
            </w:pPr>
          </w:p>
        </w:tc>
      </w:tr>
      <w:tr>
        <w:trPr>
          <w:trHeight w:val="24"/>
        </w:trPr>
        <w:tc>
          <w:tcPr>
            <w:tcW w:w="3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5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(9.7)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6"/>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5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jc w:val="both"/>
        <w:ind w:left="427" w:hanging="427"/>
        <w:spacing w:after="0" w:line="290" w:lineRule="auto"/>
        <w:tabs>
          <w:tab w:leader="none" w:pos="427" w:val="left"/>
        </w:tabs>
        <w:numPr>
          <w:ilvl w:val="0"/>
          <w:numId w:val="52"/>
        </w:numPr>
        <w:rPr>
          <w:rFonts w:ascii="Arial" w:cs="Arial" w:eastAsia="Arial" w:hAnsi="Arial"/>
          <w:sz w:val="14"/>
          <w:szCs w:val="14"/>
          <w:color w:val="auto"/>
        </w:rPr>
      </w:pPr>
      <w:r>
        <w:rPr>
          <w:rFonts w:ascii="Arial" w:cs="Arial" w:eastAsia="Arial" w:hAnsi="Arial"/>
          <w:sz w:val="14"/>
          <w:szCs w:val="14"/>
          <w:color w:val="auto"/>
        </w:rPr>
        <w:t xml:space="preserve">The decrease in residential cable non-subscription revenue for the three-month comparison includes $2.1 million of revenue associated with our Swiss sports channels that was accelerated into the first quarter of 2020. As further described under </w:t>
      </w:r>
      <w:r>
        <w:rPr>
          <w:rFonts w:ascii="Arial" w:cs="Arial" w:eastAsia="Arial" w:hAnsi="Arial"/>
          <w:sz w:val="14"/>
          <w:szCs w:val="14"/>
          <w:i w:val="1"/>
          <w:iCs w:val="1"/>
          <w:color w:val="auto"/>
        </w:rPr>
        <w:t>Discussion and Analysis of our Consolidated Operating Results — Programming and other direct</w:t>
      </w:r>
      <w:r>
        <w:rPr>
          <w:rFonts w:ascii="Arial" w:cs="Arial" w:eastAsia="Arial" w:hAnsi="Arial"/>
          <w:sz w:val="14"/>
          <w:szCs w:val="14"/>
          <w:color w:val="auto"/>
        </w:rPr>
        <w:t xml:space="preserve"> </w:t>
      </w:r>
      <w:r>
        <w:rPr>
          <w:rFonts w:ascii="Arial" w:cs="Arial" w:eastAsia="Arial" w:hAnsi="Arial"/>
          <w:sz w:val="14"/>
          <w:szCs w:val="14"/>
          <w:i w:val="1"/>
          <w:iCs w:val="1"/>
          <w:color w:val="auto"/>
        </w:rPr>
        <w:t>costs of services</w:t>
      </w:r>
      <w:r>
        <w:rPr>
          <w:rFonts w:ascii="Arial" w:cs="Arial" w:eastAsia="Arial" w:hAnsi="Arial"/>
          <w:sz w:val="14"/>
          <w:szCs w:val="14"/>
          <w:color w:val="auto"/>
        </w:rPr>
        <w:t>, Switzerland's ice hockey league was cancelled as a result of the COVID-19 pandemic, which resulted in the prepaid amounts for the associated sports rights</w:t>
      </w:r>
      <w:r>
        <w:rPr>
          <w:rFonts w:ascii="Arial" w:cs="Arial" w:eastAsia="Arial" w:hAnsi="Arial"/>
          <w:sz w:val="14"/>
          <w:szCs w:val="14"/>
          <w:i w:val="1"/>
          <w:iCs w:val="1"/>
          <w:color w:val="auto"/>
        </w:rPr>
        <w:t xml:space="preserve"> </w:t>
      </w:r>
      <w:r>
        <w:rPr>
          <w:rFonts w:ascii="Arial" w:cs="Arial" w:eastAsia="Arial" w:hAnsi="Arial"/>
          <w:sz w:val="14"/>
          <w:szCs w:val="14"/>
          <w:color w:val="auto"/>
        </w:rPr>
        <w:t>that would have been expensed during the second quarter of 2020 to be recognized during the first quarter of 2020. Accordingly, $2.1 million of associated revenue that would have been recorded in April 2020 was recognized during the first quarter of 2020.</w:t>
      </w:r>
    </w:p>
    <w:p>
      <w:pPr>
        <w:spacing w:after="0" w:line="144" w:lineRule="exact"/>
        <w:rPr>
          <w:rFonts w:ascii="Arial" w:cs="Arial" w:eastAsia="Arial" w:hAnsi="Arial"/>
          <w:sz w:val="14"/>
          <w:szCs w:val="14"/>
          <w:color w:val="auto"/>
        </w:rPr>
      </w:pPr>
    </w:p>
    <w:p>
      <w:pPr>
        <w:jc w:val="both"/>
        <w:ind w:left="427" w:hanging="427"/>
        <w:spacing w:after="0" w:line="250" w:lineRule="auto"/>
        <w:tabs>
          <w:tab w:leader="none" w:pos="427"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increases in residential mobile subscription revenue are primarily due to increases in the average number of mobile subscribers. The decrease in residential mobile non-subscription revenue for the three-month comparison is primarily attributable to lower revenue from mobile handset sales, due in large part to the impact of retail store closures during the COVID-19 pandemic.</w:t>
      </w:r>
    </w:p>
    <w:p>
      <w:pPr>
        <w:spacing w:after="0" w:line="356"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267"/>
          </w:cols>
          <w:pgMar w:left="313" w:top="315" w:right="319" w:bottom="1440" w:gutter="0" w:footer="0" w:header="0"/>
        </w:sectPr>
      </w:pPr>
    </w:p>
    <w:bookmarkStart w:id="60" w:name="page61"/>
    <w:bookmarkEnd w:id="60"/>
    <w:p>
      <w:pPr>
        <w:jc w:val="both"/>
        <w:ind w:firstLine="279"/>
        <w:spacing w:after="0" w:line="258" w:lineRule="auto"/>
        <w:rPr>
          <w:sz w:val="20"/>
          <w:szCs w:val="20"/>
          <w:color w:val="auto"/>
        </w:rPr>
      </w:pPr>
      <w:r>
        <w:rPr>
          <w:rFonts w:ascii="Arial" w:cs="Arial" w:eastAsia="Arial" w:hAnsi="Arial"/>
          <w:sz w:val="16"/>
          <w:szCs w:val="16"/>
          <w:i w:val="1"/>
          <w:iCs w:val="1"/>
          <w:color w:val="auto"/>
        </w:rPr>
        <w:t xml:space="preserve">Central and Eastern Europe. </w:t>
      </w:r>
      <w:r>
        <w:rPr>
          <w:rFonts w:ascii="Arial" w:cs="Arial" w:eastAsia="Arial" w:hAnsi="Arial"/>
          <w:sz w:val="16"/>
          <w:szCs w:val="16"/>
          <w:color w:val="auto"/>
        </w:rPr>
        <w:t>The details of the decreases in Central and Eastern Europe’s revenue during the three and six months ended June 30, 2020</w:t>
      </w:r>
      <w:r>
        <w:rPr>
          <w:rFonts w:ascii="Arial" w:cs="Arial" w:eastAsia="Arial" w:hAnsi="Arial"/>
          <w:sz w:val="16"/>
          <w:szCs w:val="16"/>
          <w:color w:val="2C2C2C"/>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as compared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corresponding periods in </w:t>
      </w:r>
      <w:r>
        <w:rPr>
          <w:rFonts w:ascii="Arial" w:cs="Arial" w:eastAsia="Arial" w:hAnsi="Arial"/>
          <w:sz w:val="16"/>
          <w:szCs w:val="16"/>
          <w:color w:val="2C2C2C"/>
        </w:rPr>
        <w:t>2019</w:t>
      </w:r>
      <w:r>
        <w:rPr>
          <w:rFonts w:ascii="Arial" w:cs="Arial" w:eastAsia="Arial" w:hAnsi="Arial"/>
          <w:sz w:val="16"/>
          <w:szCs w:val="16"/>
          <w:color w:val="auto"/>
        </w:rPr>
        <w:t>, are set forth below:</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80" w:type="dxa"/>
            <w:vAlign w:val="bottom"/>
            <w:gridSpan w:val="4"/>
          </w:tcPr>
          <w:p>
            <w:pPr>
              <w:ind w:left="80"/>
              <w:spacing w:after="0"/>
              <w:rPr>
                <w:sz w:val="20"/>
                <w:szCs w:val="20"/>
                <w:color w:val="auto"/>
              </w:rPr>
            </w:pPr>
            <w:r>
              <w:rPr>
                <w:rFonts w:ascii="Arial" w:cs="Arial" w:eastAsia="Arial" w:hAnsi="Arial"/>
                <w:sz w:val="14"/>
                <w:szCs w:val="14"/>
                <w:b w:val="1"/>
                <w:bCs w:val="1"/>
                <w:color w:val="auto"/>
              </w:rPr>
              <w:t>Three-month period</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3"/>
          </w:tcPr>
          <w:p>
            <w:pPr>
              <w:ind w:left="40"/>
              <w:spacing w:after="0"/>
              <w:rPr>
                <w:sz w:val="20"/>
                <w:szCs w:val="20"/>
                <w:color w:val="auto"/>
              </w:rPr>
            </w:pPr>
            <w:r>
              <w:rPr>
                <w:rFonts w:ascii="Arial" w:cs="Arial" w:eastAsia="Arial" w:hAnsi="Arial"/>
                <w:sz w:val="14"/>
                <w:szCs w:val="14"/>
                <w:b w:val="1"/>
                <w:bCs w:val="1"/>
                <w:color w:val="auto"/>
              </w:rPr>
              <w:t>Six-month period</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8"/>
        </w:trPr>
        <w:tc>
          <w:tcPr>
            <w:tcW w:w="3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77"/>
        </w:trPr>
        <w:tc>
          <w:tcPr>
            <w:tcW w:w="3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184"/>
              <w:spacing w:after="0"/>
              <w:rPr>
                <w:sz w:val="20"/>
                <w:szCs w:val="20"/>
                <w:color w:val="auto"/>
              </w:rPr>
            </w:pPr>
            <w:r>
              <w:rPr>
                <w:rFonts w:ascii="Arial" w:cs="Arial" w:eastAsia="Arial" w:hAnsi="Arial"/>
                <w:sz w:val="14"/>
                <w:szCs w:val="14"/>
                <w:b w:val="1"/>
                <w:bCs w:val="1"/>
                <w:color w:val="auto"/>
                <w:w w:val="95"/>
              </w:rPr>
              <w:t>Subscription</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Non-subscription</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Subscription</w:t>
            </w:r>
          </w:p>
        </w:tc>
        <w:tc>
          <w:tcPr>
            <w:tcW w:w="13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Non-subscription</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3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324"/>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revenue</w:t>
            </w:r>
          </w:p>
        </w:tc>
        <w:tc>
          <w:tcPr>
            <w:tcW w:w="260" w:type="dxa"/>
            <w:vAlign w:val="bottom"/>
          </w:tcPr>
          <w:p>
            <w:pPr>
              <w:spacing w:after="0"/>
              <w:rPr>
                <w:sz w:val="15"/>
                <w:szCs w:val="15"/>
                <w:color w:val="auto"/>
              </w:rPr>
            </w:pP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5"/>
                <w:szCs w:val="15"/>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revenue</w:t>
            </w:r>
          </w:p>
        </w:tc>
        <w:tc>
          <w:tcPr>
            <w:tcW w:w="240" w:type="dxa"/>
            <w:vAlign w:val="bottom"/>
          </w:tcPr>
          <w:p>
            <w:pPr>
              <w:spacing w:after="0"/>
              <w:rPr>
                <w:sz w:val="15"/>
                <w:szCs w:val="15"/>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revenue</w:t>
            </w:r>
          </w:p>
        </w:tc>
        <w:tc>
          <w:tcPr>
            <w:tcW w:w="260" w:type="dxa"/>
            <w:vAlign w:val="bottom"/>
          </w:tcPr>
          <w:p>
            <w:pPr>
              <w:spacing w:after="0"/>
              <w:rPr>
                <w:sz w:val="15"/>
                <w:szCs w:val="15"/>
                <w:color w:val="auto"/>
              </w:rPr>
            </w:pPr>
          </w:p>
        </w:tc>
        <w:tc>
          <w:tcPr>
            <w:tcW w:w="860" w:type="dxa"/>
            <w:vAlign w:val="bottom"/>
          </w:tcPr>
          <w:p>
            <w:pPr>
              <w:jc w:val="right"/>
              <w:ind w:right="323"/>
              <w:spacing w:after="0"/>
              <w:rPr>
                <w:sz w:val="20"/>
                <w:szCs w:val="20"/>
                <w:color w:val="auto"/>
              </w:rPr>
            </w:pPr>
            <w:r>
              <w:rPr>
                <w:rFonts w:ascii="Arial" w:cs="Arial" w:eastAsia="Arial" w:hAnsi="Arial"/>
                <w:sz w:val="14"/>
                <w:szCs w:val="14"/>
                <w:b w:val="1"/>
                <w:bCs w:val="1"/>
                <w:color w:val="auto"/>
              </w:rPr>
              <w:t>Total</w:t>
            </w:r>
          </w:p>
        </w:tc>
      </w:tr>
      <w:tr>
        <w:trPr>
          <w:trHeight w:val="28"/>
        </w:trPr>
        <w:tc>
          <w:tcPr>
            <w:tcW w:w="3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5"/>
        </w:trPr>
        <w:tc>
          <w:tcPr>
            <w:tcW w:w="3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8"/>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99"/>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0"/>
              </w:rPr>
              <w:t>Increase in residential cable subscription revenue due</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00"/>
        </w:trPr>
        <w:tc>
          <w:tcPr>
            <w:tcW w:w="3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 change in:</w:t>
            </w: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r>
      <w:tr>
        <w:trPr>
          <w:trHeight w:val="209"/>
        </w:trPr>
        <w:tc>
          <w:tcPr>
            <w:tcW w:w="3500" w:type="dxa"/>
            <w:vAlign w:val="bottom"/>
          </w:tcPr>
          <w:p>
            <w:pPr>
              <w:ind w:left="160"/>
              <w:spacing w:after="0"/>
              <w:rPr>
                <w:sz w:val="20"/>
                <w:szCs w:val="20"/>
                <w:color w:val="auto"/>
              </w:rPr>
            </w:pPr>
            <w:r>
              <w:rPr>
                <w:rFonts w:ascii="Arial" w:cs="Arial" w:eastAsia="Arial" w:hAnsi="Arial"/>
                <w:sz w:val="16"/>
                <w:szCs w:val="16"/>
                <w:color w:val="auto"/>
              </w:rPr>
              <w:t>Average number of customers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44"/>
              <w:spacing w:after="0"/>
              <w:rPr>
                <w:sz w:val="20"/>
                <w:szCs w:val="20"/>
                <w:color w:val="auto"/>
              </w:rPr>
            </w:pPr>
            <w:r>
              <w:rPr>
                <w:rFonts w:ascii="Arial" w:cs="Arial" w:eastAsia="Arial" w:hAnsi="Arial"/>
                <w:sz w:val="16"/>
                <w:szCs w:val="16"/>
                <w:color w:val="auto"/>
              </w:rPr>
              <w:t>1.4</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4"/>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4"/>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240" w:type="dxa"/>
            <w:vAlign w:val="bottom"/>
          </w:tcPr>
          <w:p>
            <w:pPr>
              <w:jc w:val="right"/>
              <w:ind w:right="66"/>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2.9</w:t>
            </w:r>
          </w:p>
        </w:tc>
      </w:tr>
      <w:tr>
        <w:trPr>
          <w:trHeight w:val="24"/>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13"/>
        </w:trPr>
        <w:tc>
          <w:tcPr>
            <w:tcW w:w="3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ARPU</w:t>
            </w:r>
          </w:p>
        </w:tc>
        <w:tc>
          <w:tcPr>
            <w:tcW w:w="1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2.7</w:t>
            </w:r>
          </w:p>
        </w:tc>
      </w:tr>
      <w:tr>
        <w:trPr>
          <w:trHeight w:val="209"/>
        </w:trPr>
        <w:tc>
          <w:tcPr>
            <w:tcW w:w="3500" w:type="dxa"/>
            <w:vAlign w:val="bottom"/>
          </w:tcPr>
          <w:p>
            <w:pPr>
              <w:ind w:left="20"/>
              <w:spacing w:after="0"/>
              <w:rPr>
                <w:sz w:val="20"/>
                <w:szCs w:val="20"/>
                <w:color w:val="auto"/>
              </w:rPr>
            </w:pPr>
            <w:r>
              <w:rPr>
                <w:rFonts w:ascii="Arial" w:cs="Arial" w:eastAsia="Arial" w:hAnsi="Arial"/>
                <w:sz w:val="16"/>
                <w:szCs w:val="16"/>
                <w:color w:val="auto"/>
                <w:w w:val="88"/>
              </w:rPr>
              <w:t>Decrease in residential cable non-subscription revenue</w:t>
            </w:r>
          </w:p>
        </w:tc>
        <w:tc>
          <w:tcPr>
            <w:tcW w:w="160" w:type="dxa"/>
            <w:vAlign w:val="bottom"/>
          </w:tcPr>
          <w:p>
            <w:pPr>
              <w:spacing w:after="0"/>
              <w:rPr>
                <w:sz w:val="18"/>
                <w:szCs w:val="18"/>
                <w:color w:val="auto"/>
              </w:rPr>
            </w:pPr>
          </w:p>
        </w:tc>
        <w:tc>
          <w:tcPr>
            <w:tcW w:w="110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24"/>
        </w:trPr>
        <w:tc>
          <w:tcPr>
            <w:tcW w:w="3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79"/>
        </w:trPr>
        <w:tc>
          <w:tcPr>
            <w:tcW w:w="3500" w:type="dxa"/>
            <w:vAlign w:val="bottom"/>
            <w:shd w:val="clear" w:color="auto" w:fill="CCEEFF"/>
          </w:tcPr>
          <w:p>
            <w:pPr>
              <w:ind w:left="280"/>
              <w:spacing w:after="0" w:line="179" w:lineRule="exact"/>
              <w:rPr>
                <w:sz w:val="20"/>
                <w:szCs w:val="20"/>
                <w:color w:val="auto"/>
              </w:rPr>
            </w:pPr>
            <w:r>
              <w:rPr>
                <w:rFonts w:ascii="Arial" w:cs="Arial" w:eastAsia="Arial" w:hAnsi="Arial"/>
                <w:sz w:val="16"/>
                <w:szCs w:val="16"/>
                <w:color w:val="auto"/>
              </w:rPr>
              <w:t>Total increase (decrease) in residential cable</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00"/>
        </w:trPr>
        <w:tc>
          <w:tcPr>
            <w:tcW w:w="35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revenue</w:t>
            </w: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5.4</w:t>
            </w:r>
          </w:p>
        </w:tc>
      </w:tr>
      <w:tr>
        <w:trPr>
          <w:trHeight w:val="209"/>
        </w:trPr>
        <w:tc>
          <w:tcPr>
            <w:tcW w:w="3500" w:type="dxa"/>
            <w:vAlign w:val="bottom"/>
          </w:tcPr>
          <w:p>
            <w:pPr>
              <w:ind w:left="20"/>
              <w:spacing w:after="0"/>
              <w:rPr>
                <w:sz w:val="20"/>
                <w:szCs w:val="20"/>
                <w:color w:val="auto"/>
              </w:rPr>
            </w:pPr>
            <w:r>
              <w:rPr>
                <w:rFonts w:ascii="Arial" w:cs="Arial" w:eastAsia="Arial" w:hAnsi="Arial"/>
                <w:sz w:val="16"/>
                <w:szCs w:val="16"/>
                <w:color w:val="auto"/>
              </w:rPr>
              <w:t>Increase in residential mobile revenue</w:t>
            </w:r>
          </w:p>
        </w:tc>
        <w:tc>
          <w:tcPr>
            <w:tcW w:w="160" w:type="dxa"/>
            <w:vAlign w:val="bottom"/>
          </w:tcPr>
          <w:p>
            <w:pPr>
              <w:spacing w:after="0"/>
              <w:rPr>
                <w:sz w:val="18"/>
                <w:szCs w:val="18"/>
                <w:color w:val="auto"/>
              </w:rPr>
            </w:pPr>
          </w:p>
        </w:tc>
        <w:tc>
          <w:tcPr>
            <w:tcW w:w="1100" w:type="dxa"/>
            <w:vAlign w:val="bottom"/>
          </w:tcPr>
          <w:p>
            <w:pPr>
              <w:jc w:val="right"/>
              <w:ind w:right="44"/>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44"/>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44"/>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24"/>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23"/>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0.8</w:t>
            </w:r>
          </w:p>
        </w:tc>
      </w:tr>
      <w:tr>
        <w:trPr>
          <w:trHeight w:val="24"/>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13"/>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Increase in B2B revenue</w:t>
            </w:r>
          </w:p>
        </w:tc>
        <w:tc>
          <w:tcPr>
            <w:tcW w:w="1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0.9</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0.9</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2.0</w:t>
            </w:r>
          </w:p>
        </w:tc>
      </w:tr>
      <w:tr>
        <w:trPr>
          <w:trHeight w:val="209"/>
        </w:trPr>
        <w:tc>
          <w:tcPr>
            <w:tcW w:w="3500" w:type="dxa"/>
            <w:vAlign w:val="bottom"/>
          </w:tcPr>
          <w:p>
            <w:pPr>
              <w:ind w:left="20"/>
              <w:spacing w:after="0"/>
              <w:rPr>
                <w:sz w:val="20"/>
                <w:szCs w:val="20"/>
                <w:color w:val="auto"/>
              </w:rPr>
            </w:pPr>
            <w:r>
              <w:rPr>
                <w:rFonts w:ascii="Arial" w:cs="Arial" w:eastAsia="Arial" w:hAnsi="Arial"/>
                <w:sz w:val="16"/>
                <w:szCs w:val="16"/>
                <w:color w:val="auto"/>
              </w:rPr>
              <w:t>Increase in other revenue</w:t>
            </w:r>
          </w:p>
        </w:tc>
        <w:tc>
          <w:tcPr>
            <w:tcW w:w="160" w:type="dxa"/>
            <w:vAlign w:val="bottom"/>
          </w:tcPr>
          <w:p>
            <w:pPr>
              <w:spacing w:after="0"/>
              <w:rPr>
                <w:sz w:val="18"/>
                <w:szCs w:val="18"/>
                <w:color w:val="auto"/>
              </w:rPr>
            </w:pPr>
          </w:p>
        </w:tc>
        <w:tc>
          <w:tcPr>
            <w:tcW w:w="110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44"/>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44"/>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80" w:type="dxa"/>
            <w:vAlign w:val="bottom"/>
          </w:tcPr>
          <w:p>
            <w:pPr>
              <w:jc w:val="right"/>
              <w:ind w:right="23"/>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1.0</w:t>
            </w:r>
          </w:p>
        </w:tc>
      </w:tr>
      <w:tr>
        <w:trPr>
          <w:trHeight w:val="24"/>
        </w:trPr>
        <w:tc>
          <w:tcPr>
            <w:tcW w:w="3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4"/>
        </w:trPr>
        <w:tc>
          <w:tcPr>
            <w:tcW w:w="3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organic increase</w:t>
            </w: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9.2</w:t>
            </w:r>
          </w:p>
        </w:tc>
      </w:tr>
      <w:tr>
        <w:trPr>
          <w:trHeight w:val="209"/>
        </w:trPr>
        <w:tc>
          <w:tcPr>
            <w:tcW w:w="3500" w:type="dxa"/>
            <w:vAlign w:val="bottom"/>
          </w:tcPr>
          <w:p>
            <w:pPr>
              <w:ind w:left="20"/>
              <w:spacing w:after="0"/>
              <w:rPr>
                <w:sz w:val="20"/>
                <w:szCs w:val="20"/>
                <w:color w:val="auto"/>
              </w:rPr>
            </w:pPr>
            <w:r>
              <w:rPr>
                <w:rFonts w:ascii="Arial" w:cs="Arial" w:eastAsia="Arial" w:hAnsi="Arial"/>
                <w:sz w:val="16"/>
                <w:szCs w:val="16"/>
                <w:color w:val="auto"/>
              </w:rPr>
              <w:t>Impact of FX</w:t>
            </w:r>
          </w:p>
        </w:tc>
        <w:tc>
          <w:tcPr>
            <w:tcW w:w="160" w:type="dxa"/>
            <w:vAlign w:val="bottom"/>
          </w:tcPr>
          <w:p>
            <w:pPr>
              <w:spacing w:after="0"/>
              <w:rPr>
                <w:sz w:val="18"/>
                <w:szCs w:val="18"/>
                <w:color w:val="auto"/>
              </w:rPr>
            </w:pPr>
          </w:p>
        </w:tc>
        <w:tc>
          <w:tcPr>
            <w:tcW w:w="1100" w:type="dxa"/>
            <w:vAlign w:val="bottom"/>
          </w:tcPr>
          <w:p>
            <w:pPr>
              <w:jc w:val="right"/>
              <w:ind w:right="4"/>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(12.1)</w:t>
            </w:r>
          </w:p>
        </w:tc>
      </w:tr>
      <w:tr>
        <w:trPr>
          <w:trHeight w:val="24"/>
        </w:trPr>
        <w:tc>
          <w:tcPr>
            <w:tcW w:w="3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8"/>
        </w:trPr>
        <w:tc>
          <w:tcPr>
            <w:tcW w:w="35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6"/>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Programming and Other Direct Costs of Services, Other Operating Expenses and SG&amp;A Expenses of our Consolidated Reportable Segments</w:t>
      </w:r>
    </w:p>
    <w:p>
      <w:pPr>
        <w:spacing w:after="0" w:line="188" w:lineRule="exact"/>
        <w:rPr>
          <w:sz w:val="20"/>
          <w:szCs w:val="20"/>
          <w:color w:val="auto"/>
        </w:rPr>
      </w:pPr>
    </w:p>
    <w:p>
      <w:pPr>
        <w:jc w:val="both"/>
        <w:ind w:firstLine="279"/>
        <w:spacing w:after="0" w:line="258" w:lineRule="auto"/>
        <w:rPr>
          <w:sz w:val="20"/>
          <w:szCs w:val="20"/>
          <w:color w:val="auto"/>
        </w:rPr>
      </w:pPr>
      <w:r>
        <w:rPr>
          <w:rFonts w:ascii="Arial" w:cs="Arial" w:eastAsia="Arial" w:hAnsi="Arial"/>
          <w:sz w:val="16"/>
          <w:szCs w:val="16"/>
          <w:color w:val="auto"/>
        </w:rPr>
        <w:t>For information regarding the changes in our (i) programming and other direct costs of services, (ii) other operating expenses and (iii) SG&amp;A expenses</w:t>
      </w:r>
      <w:r>
        <w:rPr>
          <w:rFonts w:ascii="Arial" w:cs="Arial" w:eastAsia="Arial" w:hAnsi="Arial"/>
          <w:sz w:val="16"/>
          <w:szCs w:val="16"/>
          <w:i w:val="1"/>
          <w:iCs w:val="1"/>
          <w:color w:val="auto"/>
        </w:rPr>
        <w:t>,</w:t>
      </w:r>
      <w:r>
        <w:rPr>
          <w:rFonts w:ascii="Arial" w:cs="Arial" w:eastAsia="Arial" w:hAnsi="Arial"/>
          <w:sz w:val="16"/>
          <w:szCs w:val="16"/>
          <w:color w:val="auto"/>
        </w:rPr>
        <w:t xml:space="preserve"> see </w:t>
      </w:r>
      <w:r>
        <w:rPr>
          <w:rFonts w:ascii="Arial" w:cs="Arial" w:eastAsia="Arial" w:hAnsi="Arial"/>
          <w:sz w:val="16"/>
          <w:szCs w:val="16"/>
          <w:i w:val="1"/>
          <w:iCs w:val="1"/>
          <w:color w:val="auto"/>
        </w:rPr>
        <w:t>Discussion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Analysis of our Consolidated Operating Results </w:t>
      </w:r>
      <w:r>
        <w:rPr>
          <w:rFonts w:ascii="Arial" w:cs="Arial" w:eastAsia="Arial" w:hAnsi="Arial"/>
          <w:sz w:val="16"/>
          <w:szCs w:val="16"/>
          <w:color w:val="auto"/>
        </w:rPr>
        <w:t>below.</w:t>
      </w:r>
    </w:p>
    <w:p>
      <w:pPr>
        <w:spacing w:after="0" w:line="163"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Adjusted EBITDA of our Consolidated Reportable Segments</w:t>
      </w:r>
    </w:p>
    <w:p>
      <w:pPr>
        <w:spacing w:after="0" w:line="188" w:lineRule="exact"/>
        <w:rPr>
          <w:sz w:val="20"/>
          <w:szCs w:val="20"/>
          <w:color w:val="auto"/>
        </w:rPr>
      </w:pPr>
    </w:p>
    <w:p>
      <w:pPr>
        <w:jc w:val="both"/>
        <w:ind w:firstLine="279"/>
        <w:spacing w:after="0" w:line="303" w:lineRule="auto"/>
        <w:rPr>
          <w:sz w:val="20"/>
          <w:szCs w:val="20"/>
          <w:color w:val="auto"/>
        </w:rPr>
      </w:pPr>
      <w:r>
        <w:rPr>
          <w:rFonts w:ascii="Arial" w:cs="Arial" w:eastAsia="Arial" w:hAnsi="Arial"/>
          <w:sz w:val="14"/>
          <w:szCs w:val="14"/>
          <w:color w:val="auto"/>
        </w:rPr>
        <w:t>Adjusted EBITDA is the primary measure used by our chief operating decision maker to evaluate segment operating performance. As presented below, consolidated Adjusted EBITDA is a non-GAAP measure, which investors should view as a supplement to, and not a substitute for, GAAP measures of performance included in our condensed consolidated statements of operations. The following tables set forth the Adjusted EBITDA of our consolidated reportable segments: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0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160" w:type="dxa"/>
            <w:vAlign w:val="bottom"/>
          </w:tcPr>
          <w:p>
            <w:pPr>
              <w:spacing w:after="0"/>
              <w:rPr>
                <w:sz w:val="15"/>
                <w:szCs w:val="15"/>
                <w:color w:val="auto"/>
              </w:rPr>
            </w:pPr>
          </w:p>
        </w:tc>
        <w:tc>
          <w:tcPr>
            <w:tcW w:w="2300" w:type="dxa"/>
            <w:vAlign w:val="bottom"/>
            <w:gridSpan w:val="4"/>
          </w:tcPr>
          <w:p>
            <w:pPr>
              <w:ind w:left="460"/>
              <w:spacing w:after="0"/>
              <w:rPr>
                <w:sz w:val="20"/>
                <w:szCs w:val="20"/>
                <w:color w:val="auto"/>
              </w:rPr>
            </w:pPr>
            <w:r>
              <w:rPr>
                <w:rFonts w:ascii="Arial" w:cs="Arial" w:eastAsia="Arial" w:hAnsi="Arial"/>
                <w:sz w:val="14"/>
                <w:szCs w:val="14"/>
                <w:b w:val="1"/>
                <w:bCs w:val="1"/>
                <w:color w:val="auto"/>
              </w:rPr>
              <w:t>Increase (decrease)</w:t>
            </w:r>
          </w:p>
        </w:tc>
        <w:tc>
          <w:tcPr>
            <w:tcW w:w="240" w:type="dxa"/>
            <w:vAlign w:val="bottom"/>
          </w:tcPr>
          <w:p>
            <w:pPr>
              <w:spacing w:after="0"/>
              <w:rPr>
                <w:sz w:val="15"/>
                <w:szCs w:val="15"/>
                <w:color w:val="auto"/>
              </w:rPr>
            </w:pPr>
          </w:p>
        </w:tc>
        <w:tc>
          <w:tcPr>
            <w:tcW w:w="2100" w:type="dxa"/>
            <w:vAlign w:val="bottom"/>
            <w:gridSpan w:val="3"/>
          </w:tcPr>
          <w:p>
            <w:pPr>
              <w:jc w:val="right"/>
              <w:ind w:right="264"/>
              <w:spacing w:after="0"/>
              <w:rPr>
                <w:sz w:val="20"/>
                <w:szCs w:val="20"/>
                <w:color w:val="auto"/>
              </w:rPr>
            </w:pPr>
            <w:r>
              <w:rPr>
                <w:rFonts w:ascii="Arial" w:cs="Arial" w:eastAsia="Arial" w:hAnsi="Arial"/>
                <w:sz w:val="14"/>
                <w:szCs w:val="14"/>
                <w:b w:val="1"/>
                <w:bCs w:val="1"/>
                <w:color w:val="auto"/>
                <w:w w:val="92"/>
              </w:rPr>
              <w:t>Organic increase (decrease)</w:t>
            </w:r>
          </w:p>
        </w:tc>
      </w:tr>
      <w:tr>
        <w:trPr>
          <w:trHeight w:val="28"/>
        </w:trPr>
        <w:tc>
          <w:tcPr>
            <w:tcW w:w="39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7"/>
        </w:trPr>
        <w:tc>
          <w:tcPr>
            <w:tcW w:w="3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36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2019 (a)</w:t>
            </w:r>
          </w:p>
        </w:tc>
        <w:tc>
          <w:tcPr>
            <w:tcW w:w="160" w:type="dxa"/>
            <w:vAlign w:val="bottom"/>
          </w:tcPr>
          <w:p>
            <w:pPr>
              <w:spacing w:after="0"/>
              <w:rPr>
                <w:sz w:val="17"/>
                <w:szCs w:val="17"/>
                <w:color w:val="auto"/>
              </w:rPr>
            </w:pPr>
          </w:p>
        </w:tc>
        <w:tc>
          <w:tcPr>
            <w:tcW w:w="980" w:type="dxa"/>
            <w:vAlign w:val="bottom"/>
          </w:tcPr>
          <w:p>
            <w:pPr>
              <w:jc w:val="right"/>
              <w:ind w:right="465"/>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120" w:type="dxa"/>
            <w:vAlign w:val="bottom"/>
          </w:tcPr>
          <w:p>
            <w:pPr>
              <w:jc w:val="right"/>
              <w:ind w:right="40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44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120" w:type="dxa"/>
            <w:vAlign w:val="bottom"/>
          </w:tcPr>
          <w:p>
            <w:pPr>
              <w:jc w:val="right"/>
              <w:ind w:right="424"/>
              <w:spacing w:after="0"/>
              <w:rPr>
                <w:sz w:val="20"/>
                <w:szCs w:val="20"/>
                <w:color w:val="auto"/>
              </w:rPr>
            </w:pPr>
            <w:r>
              <w:rPr>
                <w:rFonts w:ascii="Arial" w:cs="Arial" w:eastAsia="Arial" w:hAnsi="Arial"/>
                <w:sz w:val="14"/>
                <w:szCs w:val="14"/>
                <w:b w:val="1"/>
                <w:bCs w:val="1"/>
                <w:color w:val="auto"/>
              </w:rPr>
              <w:t>%</w:t>
            </w:r>
          </w:p>
        </w:tc>
      </w:tr>
      <w:tr>
        <w:trPr>
          <w:trHeight w:val="28"/>
        </w:trPr>
        <w:tc>
          <w:tcPr>
            <w:tcW w:w="39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4"/>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5"/>
        </w:trPr>
        <w:tc>
          <w:tcPr>
            <w:tcW w:w="3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00" w:type="dxa"/>
            <w:vAlign w:val="bottom"/>
            <w:gridSpan w:val="4"/>
          </w:tcPr>
          <w:p>
            <w:pPr>
              <w:ind w:left="80"/>
              <w:spacing w:after="0"/>
              <w:rPr>
                <w:sz w:val="20"/>
                <w:szCs w:val="20"/>
                <w:color w:val="auto"/>
              </w:rPr>
            </w:pPr>
            <w:r>
              <w:rPr>
                <w:rFonts w:ascii="Arial" w:cs="Arial" w:eastAsia="Arial" w:hAnsi="Arial"/>
                <w:sz w:val="14"/>
                <w:szCs w:val="14"/>
                <w:b w:val="1"/>
                <w:bCs w:val="1"/>
                <w:color w:val="auto"/>
              </w:rPr>
              <w:t>in millions, except percentages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33"/>
        </w:trPr>
        <w:tc>
          <w:tcPr>
            <w:tcW w:w="3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213"/>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U.K./Ireland</w:t>
            </w:r>
          </w:p>
        </w:tc>
        <w:tc>
          <w:tcPr>
            <w:tcW w:w="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654.9</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687.5</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6"/>
                <w:szCs w:val="16"/>
                <w:color w:val="auto"/>
              </w:rPr>
              <w:t>(32.6)</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09"/>
        </w:trPr>
        <w:tc>
          <w:tcPr>
            <w:tcW w:w="3940" w:type="dxa"/>
            <w:vAlign w:val="bottom"/>
          </w:tcPr>
          <w:p>
            <w:pPr>
              <w:ind w:left="20"/>
              <w:spacing w:after="0"/>
              <w:rPr>
                <w:sz w:val="20"/>
                <w:szCs w:val="20"/>
                <w:color w:val="auto"/>
              </w:rPr>
            </w:pPr>
            <w:r>
              <w:rPr>
                <w:rFonts w:ascii="Arial" w:cs="Arial" w:eastAsia="Arial" w:hAnsi="Arial"/>
                <w:sz w:val="16"/>
                <w:szCs w:val="16"/>
                <w:color w:val="auto"/>
              </w:rPr>
              <w:t>Belgium</w:t>
            </w:r>
          </w:p>
        </w:tc>
        <w:tc>
          <w:tcPr>
            <w:tcW w:w="220" w:type="dxa"/>
            <w:vAlign w:val="bottom"/>
          </w:tcPr>
          <w:p>
            <w:pPr>
              <w:spacing w:after="0"/>
              <w:rPr>
                <w:sz w:val="18"/>
                <w:szCs w:val="18"/>
                <w:color w:val="auto"/>
              </w:rPr>
            </w:pPr>
          </w:p>
        </w:tc>
        <w:tc>
          <w:tcPr>
            <w:tcW w:w="920" w:type="dxa"/>
            <w:vAlign w:val="bottom"/>
          </w:tcPr>
          <w:p>
            <w:pPr>
              <w:jc w:val="right"/>
              <w:ind w:right="44"/>
              <w:spacing w:after="0"/>
              <w:rPr>
                <w:sz w:val="20"/>
                <w:szCs w:val="20"/>
                <w:color w:val="auto"/>
              </w:rPr>
            </w:pPr>
            <w:r>
              <w:rPr>
                <w:rFonts w:ascii="Arial" w:cs="Arial" w:eastAsia="Arial" w:hAnsi="Arial"/>
                <w:sz w:val="16"/>
                <w:szCs w:val="16"/>
                <w:color w:val="auto"/>
              </w:rPr>
              <w:t>354.1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43"/>
              <w:spacing w:after="0"/>
              <w:rPr>
                <w:sz w:val="20"/>
                <w:szCs w:val="20"/>
                <w:color w:val="auto"/>
              </w:rPr>
            </w:pPr>
            <w:r>
              <w:rPr>
                <w:rFonts w:ascii="Arial" w:cs="Arial" w:eastAsia="Arial" w:hAnsi="Arial"/>
                <w:sz w:val="16"/>
                <w:szCs w:val="16"/>
                <w:color w:val="auto"/>
              </w:rPr>
              <w:t>349.4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45"/>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1120" w:type="dxa"/>
            <w:vAlign w:val="bottom"/>
          </w:tcPr>
          <w:p>
            <w:pPr>
              <w:jc w:val="right"/>
              <w:ind w:right="24"/>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44"/>
              <w:spacing w:after="0"/>
              <w:rPr>
                <w:sz w:val="20"/>
                <w:szCs w:val="20"/>
                <w:color w:val="auto"/>
              </w:rPr>
            </w:pPr>
            <w:r>
              <w:rPr>
                <w:rFonts w:ascii="Arial" w:cs="Arial" w:eastAsia="Arial" w:hAnsi="Arial"/>
                <w:sz w:val="16"/>
                <w:szCs w:val="16"/>
                <w:color w:val="auto"/>
              </w:rPr>
              <w:t>19.4</w:t>
            </w:r>
          </w:p>
        </w:tc>
        <w:tc>
          <w:tcPr>
            <w:tcW w:w="100" w:type="dxa"/>
            <w:vAlign w:val="bottom"/>
          </w:tcPr>
          <w:p>
            <w:pPr>
              <w:spacing w:after="0"/>
              <w:rPr>
                <w:sz w:val="18"/>
                <w:szCs w:val="18"/>
                <w:color w:val="auto"/>
              </w:rPr>
            </w:pPr>
          </w:p>
        </w:tc>
        <w:tc>
          <w:tcPr>
            <w:tcW w:w="1120" w:type="dxa"/>
            <w:vAlign w:val="bottom"/>
          </w:tcPr>
          <w:p>
            <w:pPr>
              <w:jc w:val="right"/>
              <w:ind w:right="24"/>
              <w:spacing w:after="0"/>
              <w:rPr>
                <w:sz w:val="20"/>
                <w:szCs w:val="20"/>
                <w:color w:val="auto"/>
              </w:rPr>
            </w:pPr>
            <w:r>
              <w:rPr>
                <w:rFonts w:ascii="Arial" w:cs="Arial" w:eastAsia="Arial" w:hAnsi="Arial"/>
                <w:sz w:val="16"/>
                <w:szCs w:val="16"/>
                <w:color w:val="auto"/>
              </w:rPr>
              <w:t>5.7</w:t>
            </w:r>
          </w:p>
        </w:tc>
      </w:tr>
      <w:tr>
        <w:trPr>
          <w:trHeight w:val="24"/>
        </w:trPr>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3"/>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Switzerland</w:t>
            </w: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150.9</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159.8</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6"/>
                <w:szCs w:val="16"/>
                <w:color w:val="auto"/>
              </w:rPr>
              <w:t>(8.9)</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w:t>
            </w:r>
          </w:p>
        </w:tc>
      </w:tr>
      <w:tr>
        <w:trPr>
          <w:trHeight w:val="209"/>
        </w:trPr>
        <w:tc>
          <w:tcPr>
            <w:tcW w:w="3940" w:type="dxa"/>
            <w:vAlign w:val="bottom"/>
          </w:tcPr>
          <w:p>
            <w:pPr>
              <w:ind w:left="20"/>
              <w:spacing w:after="0"/>
              <w:rPr>
                <w:sz w:val="20"/>
                <w:szCs w:val="20"/>
                <w:color w:val="auto"/>
              </w:rPr>
            </w:pPr>
            <w:r>
              <w:rPr>
                <w:rFonts w:ascii="Arial" w:cs="Arial" w:eastAsia="Arial" w:hAnsi="Arial"/>
                <w:sz w:val="16"/>
                <w:szCs w:val="16"/>
                <w:color w:val="auto"/>
              </w:rPr>
              <w:t>Central and Eastern Europe</w:t>
            </w:r>
          </w:p>
        </w:tc>
        <w:tc>
          <w:tcPr>
            <w:tcW w:w="220" w:type="dxa"/>
            <w:vAlign w:val="bottom"/>
          </w:tcPr>
          <w:p>
            <w:pPr>
              <w:spacing w:after="0"/>
              <w:rPr>
                <w:sz w:val="18"/>
                <w:szCs w:val="18"/>
                <w:color w:val="auto"/>
              </w:rPr>
            </w:pPr>
          </w:p>
        </w:tc>
        <w:tc>
          <w:tcPr>
            <w:tcW w:w="920" w:type="dxa"/>
            <w:vAlign w:val="bottom"/>
          </w:tcPr>
          <w:p>
            <w:pPr>
              <w:jc w:val="right"/>
              <w:ind w:right="44"/>
              <w:spacing w:after="0"/>
              <w:rPr>
                <w:sz w:val="20"/>
                <w:szCs w:val="20"/>
                <w:color w:val="auto"/>
              </w:rPr>
            </w:pPr>
            <w:r>
              <w:rPr>
                <w:rFonts w:ascii="Arial" w:cs="Arial" w:eastAsia="Arial" w:hAnsi="Arial"/>
                <w:sz w:val="16"/>
                <w:szCs w:val="16"/>
                <w:color w:val="auto"/>
              </w:rPr>
              <w:t>52.7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43"/>
              <w:spacing w:after="0"/>
              <w:rPr>
                <w:sz w:val="20"/>
                <w:szCs w:val="20"/>
                <w:color w:val="auto"/>
              </w:rPr>
            </w:pPr>
            <w:r>
              <w:rPr>
                <w:rFonts w:ascii="Arial" w:cs="Arial" w:eastAsia="Arial" w:hAnsi="Arial"/>
                <w:sz w:val="16"/>
                <w:szCs w:val="16"/>
                <w:color w:val="auto"/>
              </w:rPr>
              <w:t>54.1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5"/>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44"/>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1120" w:type="dxa"/>
            <w:vAlign w:val="bottom"/>
          </w:tcPr>
          <w:p>
            <w:pPr>
              <w:jc w:val="right"/>
              <w:ind w:right="24"/>
              <w:spacing w:after="0"/>
              <w:rPr>
                <w:sz w:val="20"/>
                <w:szCs w:val="20"/>
                <w:color w:val="auto"/>
              </w:rPr>
            </w:pPr>
            <w:r>
              <w:rPr>
                <w:rFonts w:ascii="Arial" w:cs="Arial" w:eastAsia="Arial" w:hAnsi="Arial"/>
                <w:sz w:val="16"/>
                <w:szCs w:val="16"/>
                <w:color w:val="auto"/>
              </w:rPr>
              <w:t>4.2</w:t>
            </w:r>
          </w:p>
        </w:tc>
      </w:tr>
      <w:tr>
        <w:trPr>
          <w:trHeight w:val="24"/>
        </w:trPr>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3"/>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Central and Corporate</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(60.1)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36.0</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59.9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w:t>
            </w:r>
          </w:p>
        </w:tc>
      </w:tr>
      <w:tr>
        <w:trPr>
          <w:trHeight w:val="201"/>
        </w:trPr>
        <w:tc>
          <w:tcPr>
            <w:tcW w:w="3940" w:type="dxa"/>
            <w:vAlign w:val="bottom"/>
          </w:tcPr>
          <w:p>
            <w:pPr>
              <w:ind w:left="14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1,188.5</w:t>
            </w:r>
          </w:p>
        </w:tc>
        <w:tc>
          <w:tcPr>
            <w:tcW w:w="120" w:type="dxa"/>
            <w:vAlign w:val="bottom"/>
          </w:tcPr>
          <w:p>
            <w:pPr>
              <w:spacing w:after="0"/>
              <w:rPr>
                <w:sz w:val="17"/>
                <w:szCs w:val="17"/>
                <w:color w:val="auto"/>
              </w:rPr>
            </w:pPr>
          </w:p>
        </w:tc>
        <w:tc>
          <w:tcPr>
            <w:tcW w:w="20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1,190.7</w:t>
            </w:r>
          </w:p>
        </w:tc>
        <w:tc>
          <w:tcPr>
            <w:tcW w:w="12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5"/>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7"/>
                <w:szCs w:val="17"/>
                <w:color w:val="auto"/>
              </w:rPr>
            </w:pPr>
          </w:p>
        </w:tc>
        <w:tc>
          <w:tcPr>
            <w:tcW w:w="240" w:type="dxa"/>
            <w:vAlign w:val="bottom"/>
            <w:tcBorders>
              <w:top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(0.5)</w:t>
            </w:r>
          </w:p>
        </w:tc>
      </w:tr>
      <w:tr>
        <w:trPr>
          <w:trHeight w:val="24"/>
        </w:trPr>
        <w:tc>
          <w:tcPr>
            <w:tcW w:w="39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3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533"/>
        </w:trPr>
        <w:tc>
          <w:tcPr>
            <w:tcW w:w="3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ind w:right="563"/>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260"/>
          </w:cols>
          <w:pgMar w:left="320" w:top="315" w:right="319" w:bottom="1440" w:gutter="0" w:footer="0" w:header="0"/>
        </w:sectPr>
      </w:pPr>
    </w:p>
    <w:bookmarkStart w:id="61" w:name="page62"/>
    <w:bookmarkEnd w:id="61"/>
    <w:p>
      <w:pPr>
        <w:spacing w:after="0" w:line="1"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3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60" w:type="dxa"/>
            <w:vAlign w:val="bottom"/>
            <w:gridSpan w:val="5"/>
          </w:tcPr>
          <w:p>
            <w:pPr>
              <w:ind w:left="420"/>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00" w:type="dxa"/>
            <w:vAlign w:val="bottom"/>
            <w:gridSpan w:val="4"/>
          </w:tcPr>
          <w:p>
            <w:pPr>
              <w:ind w:left="460"/>
              <w:spacing w:after="0"/>
              <w:rPr>
                <w:sz w:val="20"/>
                <w:szCs w:val="20"/>
                <w:color w:val="auto"/>
              </w:rPr>
            </w:pPr>
            <w:r>
              <w:rPr>
                <w:rFonts w:ascii="Arial" w:cs="Arial" w:eastAsia="Arial" w:hAnsi="Arial"/>
                <w:sz w:val="14"/>
                <w:szCs w:val="14"/>
                <w:b w:val="1"/>
                <w:bCs w:val="1"/>
                <w:color w:val="auto"/>
              </w:rPr>
              <w:t>Increase (decrease)</w:t>
            </w:r>
          </w:p>
        </w:tc>
        <w:tc>
          <w:tcPr>
            <w:tcW w:w="240" w:type="dxa"/>
            <w:vAlign w:val="bottom"/>
          </w:tcPr>
          <w:p>
            <w:pPr>
              <w:spacing w:after="0"/>
              <w:rPr>
                <w:sz w:val="15"/>
                <w:szCs w:val="15"/>
                <w:color w:val="auto"/>
              </w:rPr>
            </w:pPr>
          </w:p>
        </w:tc>
        <w:tc>
          <w:tcPr>
            <w:tcW w:w="2100" w:type="dxa"/>
            <w:vAlign w:val="bottom"/>
            <w:gridSpan w:val="3"/>
          </w:tcPr>
          <w:p>
            <w:pPr>
              <w:jc w:val="right"/>
              <w:ind w:right="263"/>
              <w:spacing w:after="0"/>
              <w:rPr>
                <w:sz w:val="20"/>
                <w:szCs w:val="20"/>
                <w:color w:val="auto"/>
              </w:rPr>
            </w:pPr>
            <w:r>
              <w:rPr>
                <w:rFonts w:ascii="Arial" w:cs="Arial" w:eastAsia="Arial" w:hAnsi="Arial"/>
                <w:sz w:val="14"/>
                <w:szCs w:val="14"/>
                <w:b w:val="1"/>
                <w:bCs w:val="1"/>
                <w:color w:val="auto"/>
                <w:w w:val="92"/>
              </w:rPr>
              <w:t>Organic increase (decrease)</w:t>
            </w:r>
          </w:p>
        </w:tc>
        <w:tc>
          <w:tcPr>
            <w:tcW w:w="0" w:type="dxa"/>
            <w:vAlign w:val="bottom"/>
          </w:tcPr>
          <w:p>
            <w:pPr>
              <w:spacing w:after="0"/>
              <w:rPr>
                <w:sz w:val="1"/>
                <w:szCs w:val="1"/>
                <w:color w:val="auto"/>
              </w:rPr>
            </w:pPr>
          </w:p>
        </w:tc>
      </w:tr>
      <w:tr>
        <w:trPr>
          <w:trHeight w:val="28"/>
        </w:trPr>
        <w:tc>
          <w:tcPr>
            <w:tcW w:w="39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3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36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2019 (a)</w:t>
            </w:r>
          </w:p>
        </w:tc>
        <w:tc>
          <w:tcPr>
            <w:tcW w:w="160" w:type="dxa"/>
            <w:vAlign w:val="bottom"/>
          </w:tcPr>
          <w:p>
            <w:pPr>
              <w:spacing w:after="0"/>
              <w:rPr>
                <w:sz w:val="17"/>
                <w:szCs w:val="17"/>
                <w:color w:val="auto"/>
              </w:rPr>
            </w:pPr>
          </w:p>
        </w:tc>
        <w:tc>
          <w:tcPr>
            <w:tcW w:w="980" w:type="dxa"/>
            <w:vAlign w:val="bottom"/>
          </w:tcPr>
          <w:p>
            <w:pPr>
              <w:jc w:val="right"/>
              <w:ind w:right="465"/>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120" w:type="dxa"/>
            <w:vAlign w:val="bottom"/>
          </w:tcPr>
          <w:p>
            <w:pPr>
              <w:jc w:val="right"/>
              <w:ind w:right="40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44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120" w:type="dxa"/>
            <w:vAlign w:val="bottom"/>
          </w:tcPr>
          <w:p>
            <w:pPr>
              <w:jc w:val="right"/>
              <w:ind w:right="42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8"/>
        </w:trPr>
        <w:tc>
          <w:tcPr>
            <w:tcW w:w="39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4"/>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3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00" w:type="dxa"/>
            <w:vAlign w:val="bottom"/>
            <w:gridSpan w:val="4"/>
          </w:tcPr>
          <w:p>
            <w:pPr>
              <w:ind w:left="80"/>
              <w:spacing w:after="0"/>
              <w:rPr>
                <w:sz w:val="20"/>
                <w:szCs w:val="20"/>
                <w:color w:val="auto"/>
              </w:rPr>
            </w:pPr>
            <w:r>
              <w:rPr>
                <w:rFonts w:ascii="Arial" w:cs="Arial" w:eastAsia="Arial" w:hAnsi="Arial"/>
                <w:sz w:val="14"/>
                <w:szCs w:val="14"/>
                <w:b w:val="1"/>
                <w:bCs w:val="1"/>
                <w:color w:val="auto"/>
              </w:rPr>
              <w:t>in millions, except percentages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U.K./Ireland</w:t>
            </w:r>
          </w:p>
        </w:tc>
        <w:tc>
          <w:tcPr>
            <w:tcW w:w="2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1,310.3</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1,379.7</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6"/>
                <w:szCs w:val="16"/>
                <w:color w:val="auto"/>
              </w:rPr>
              <w:t>(69.4)</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(34.9)</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9"/>
        </w:trPr>
        <w:tc>
          <w:tcPr>
            <w:tcW w:w="3940" w:type="dxa"/>
            <w:vAlign w:val="bottom"/>
          </w:tcPr>
          <w:p>
            <w:pPr>
              <w:ind w:left="20"/>
              <w:spacing w:after="0"/>
              <w:rPr>
                <w:sz w:val="20"/>
                <w:szCs w:val="20"/>
                <w:color w:val="auto"/>
              </w:rPr>
            </w:pPr>
            <w:r>
              <w:rPr>
                <w:rFonts w:ascii="Arial" w:cs="Arial" w:eastAsia="Arial" w:hAnsi="Arial"/>
                <w:sz w:val="16"/>
                <w:szCs w:val="16"/>
                <w:color w:val="auto"/>
              </w:rPr>
              <w:t>Belgium</w:t>
            </w:r>
          </w:p>
        </w:tc>
        <w:tc>
          <w:tcPr>
            <w:tcW w:w="260" w:type="dxa"/>
            <w:vAlign w:val="bottom"/>
          </w:tcPr>
          <w:p>
            <w:pPr>
              <w:spacing w:after="0"/>
              <w:rPr>
                <w:sz w:val="18"/>
                <w:szCs w:val="18"/>
                <w:color w:val="auto"/>
              </w:rPr>
            </w:pPr>
          </w:p>
        </w:tc>
        <w:tc>
          <w:tcPr>
            <w:tcW w:w="880" w:type="dxa"/>
            <w:vAlign w:val="bottom"/>
          </w:tcPr>
          <w:p>
            <w:pPr>
              <w:jc w:val="right"/>
              <w:ind w:right="45"/>
              <w:spacing w:after="0"/>
              <w:rPr>
                <w:sz w:val="20"/>
                <w:szCs w:val="20"/>
                <w:color w:val="auto"/>
              </w:rPr>
            </w:pPr>
            <w:r>
              <w:rPr>
                <w:rFonts w:ascii="Arial" w:cs="Arial" w:eastAsia="Arial" w:hAnsi="Arial"/>
                <w:sz w:val="16"/>
                <w:szCs w:val="16"/>
                <w:color w:val="auto"/>
              </w:rPr>
              <w:t>685.7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688.4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5"/>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44"/>
              <w:spacing w:after="0"/>
              <w:rPr>
                <w:sz w:val="20"/>
                <w:szCs w:val="20"/>
                <w:color w:val="auto"/>
              </w:rPr>
            </w:pPr>
            <w:r>
              <w:rPr>
                <w:rFonts w:ascii="Arial" w:cs="Arial" w:eastAsia="Arial" w:hAnsi="Arial"/>
                <w:sz w:val="16"/>
                <w:szCs w:val="16"/>
                <w:color w:val="auto"/>
              </w:rPr>
              <w:t>24.4</w:t>
            </w:r>
          </w:p>
        </w:tc>
        <w:tc>
          <w:tcPr>
            <w:tcW w:w="100" w:type="dxa"/>
            <w:vAlign w:val="bottom"/>
          </w:tcPr>
          <w:p>
            <w:pPr>
              <w:spacing w:after="0"/>
              <w:rPr>
                <w:sz w:val="18"/>
                <w:szCs w:val="18"/>
                <w:color w:val="auto"/>
              </w:rPr>
            </w:pP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4"/>
        </w:trPr>
        <w:tc>
          <w:tcPr>
            <w:tcW w:w="3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Switzerland</w:t>
            </w: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285.0</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316.1</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6"/>
                <w:szCs w:val="16"/>
                <w:color w:val="auto"/>
              </w:rPr>
              <w:t>(31.1)</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(40.7)</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09"/>
        </w:trPr>
        <w:tc>
          <w:tcPr>
            <w:tcW w:w="3940" w:type="dxa"/>
            <w:vAlign w:val="bottom"/>
          </w:tcPr>
          <w:p>
            <w:pPr>
              <w:ind w:left="20"/>
              <w:spacing w:after="0"/>
              <w:rPr>
                <w:sz w:val="20"/>
                <w:szCs w:val="20"/>
                <w:color w:val="auto"/>
              </w:rPr>
            </w:pPr>
            <w:r>
              <w:rPr>
                <w:rFonts w:ascii="Arial" w:cs="Arial" w:eastAsia="Arial" w:hAnsi="Arial"/>
                <w:sz w:val="16"/>
                <w:szCs w:val="16"/>
                <w:color w:val="auto"/>
              </w:rPr>
              <w:t>Central and Eastern Europe</w:t>
            </w:r>
          </w:p>
        </w:tc>
        <w:tc>
          <w:tcPr>
            <w:tcW w:w="260" w:type="dxa"/>
            <w:vAlign w:val="bottom"/>
          </w:tcPr>
          <w:p>
            <w:pPr>
              <w:spacing w:after="0"/>
              <w:rPr>
                <w:sz w:val="18"/>
                <w:szCs w:val="18"/>
                <w:color w:val="auto"/>
              </w:rPr>
            </w:pPr>
          </w:p>
        </w:tc>
        <w:tc>
          <w:tcPr>
            <w:tcW w:w="880" w:type="dxa"/>
            <w:vAlign w:val="bottom"/>
          </w:tcPr>
          <w:p>
            <w:pPr>
              <w:jc w:val="right"/>
              <w:ind w:right="45"/>
              <w:spacing w:after="0"/>
              <w:rPr>
                <w:sz w:val="20"/>
                <w:szCs w:val="20"/>
                <w:color w:val="auto"/>
              </w:rPr>
            </w:pPr>
            <w:r>
              <w:rPr>
                <w:rFonts w:ascii="Arial" w:cs="Arial" w:eastAsia="Arial" w:hAnsi="Arial"/>
                <w:sz w:val="16"/>
                <w:szCs w:val="16"/>
                <w:color w:val="auto"/>
              </w:rPr>
              <w:t>107.0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107.8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5"/>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44"/>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4"/>
        </w:trPr>
        <w:tc>
          <w:tcPr>
            <w:tcW w:w="3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Central and Corporate</w:t>
            </w: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(49.2)</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(119.4)</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70.2</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58.8</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209"/>
        </w:trPr>
        <w:tc>
          <w:tcPr>
            <w:tcW w:w="3940" w:type="dxa"/>
            <w:vAlign w:val="bottom"/>
          </w:tcPr>
          <w:p>
            <w:pPr>
              <w:ind w:left="20"/>
              <w:spacing w:after="0"/>
              <w:rPr>
                <w:sz w:val="20"/>
                <w:szCs w:val="20"/>
                <w:color w:val="auto"/>
              </w:rPr>
            </w:pPr>
            <w:r>
              <w:rPr>
                <w:rFonts w:ascii="Arial" w:cs="Arial" w:eastAsia="Arial" w:hAnsi="Arial"/>
                <w:sz w:val="16"/>
                <w:szCs w:val="16"/>
                <w:color w:val="auto"/>
              </w:rPr>
              <w:t>Intersegment eliminations (b)</w:t>
            </w:r>
          </w:p>
        </w:tc>
        <w:tc>
          <w:tcPr>
            <w:tcW w:w="2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5"/>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1220" w:type="dxa"/>
            <w:vAlign w:val="bottom"/>
            <w:gridSpan w:val="2"/>
          </w:tcPr>
          <w:p>
            <w:pPr>
              <w:ind w:left="700"/>
              <w:spacing w:after="0"/>
              <w:rPr>
                <w:sz w:val="20"/>
                <w:szCs w:val="20"/>
                <w:color w:val="auto"/>
              </w:rPr>
            </w:pPr>
            <w:r>
              <w:rPr>
                <w:rFonts w:ascii="Arial" w:cs="Arial" w:eastAsia="Arial" w:hAnsi="Arial"/>
                <w:sz w:val="16"/>
                <w:szCs w:val="16"/>
                <w:color w:val="auto"/>
              </w:rPr>
              <w:t>N.M.</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4"/>
        </w:trPr>
        <w:tc>
          <w:tcPr>
            <w:tcW w:w="3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3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2,338.8</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2,374.0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6"/>
                <w:szCs w:val="16"/>
                <w:color w:val="auto"/>
              </w:rPr>
              <w:t>(35.2)</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(53.5)</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394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287" w:right="20" w:hanging="287"/>
        <w:spacing w:after="0" w:line="258" w:lineRule="auto"/>
        <w:tabs>
          <w:tab w:leader="none" w:pos="287" w:val="left"/>
        </w:tabs>
        <w:numPr>
          <w:ilvl w:val="0"/>
          <w:numId w:val="53"/>
        </w:numPr>
        <w:rPr>
          <w:rFonts w:ascii="Arial" w:cs="Arial" w:eastAsia="Arial" w:hAnsi="Arial"/>
          <w:sz w:val="16"/>
          <w:szCs w:val="16"/>
          <w:color w:val="auto"/>
        </w:rPr>
      </w:pPr>
      <w:r>
        <w:rPr>
          <w:rFonts w:ascii="Arial" w:cs="Arial" w:eastAsia="Arial" w:hAnsi="Arial"/>
          <w:sz w:val="16"/>
          <w:szCs w:val="16"/>
          <w:color w:val="auto"/>
        </w:rPr>
        <w:t>Amounts have been revised to reflect the retrospective impact of the Centrally-held Cost Allocation, as further described in note 17 to our condensed consolidated financial statements.</w:t>
      </w:r>
    </w:p>
    <w:p>
      <w:pPr>
        <w:spacing w:after="0" w:line="162" w:lineRule="exact"/>
        <w:rPr>
          <w:rFonts w:ascii="Arial" w:cs="Arial" w:eastAsia="Arial" w:hAnsi="Arial"/>
          <w:sz w:val="16"/>
          <w:szCs w:val="16"/>
          <w:color w:val="auto"/>
        </w:rPr>
      </w:pPr>
    </w:p>
    <w:p>
      <w:pPr>
        <w:ind w:left="287" w:hanging="287"/>
        <w:spacing w:after="0"/>
        <w:tabs>
          <w:tab w:leader="none" w:pos="287" w:val="left"/>
        </w:tabs>
        <w:numPr>
          <w:ilvl w:val="0"/>
          <w:numId w:val="53"/>
        </w:numPr>
        <w:rPr>
          <w:rFonts w:ascii="Arial" w:cs="Arial" w:eastAsia="Arial" w:hAnsi="Arial"/>
          <w:sz w:val="14"/>
          <w:szCs w:val="14"/>
          <w:color w:val="auto"/>
        </w:rPr>
      </w:pPr>
      <w:r>
        <w:rPr>
          <w:rFonts w:ascii="Arial" w:cs="Arial" w:eastAsia="Arial" w:hAnsi="Arial"/>
          <w:sz w:val="14"/>
          <w:szCs w:val="14"/>
          <w:color w:val="auto"/>
        </w:rPr>
        <w:t>Amount for the 2019 period is related to transactions between our continuing and discontinued operations prior to the disposal dates of such discontinued operations.</w:t>
      </w:r>
    </w:p>
    <w:p>
      <w:pPr>
        <w:spacing w:after="0" w:line="211" w:lineRule="exact"/>
        <w:rPr>
          <w:sz w:val="20"/>
          <w:szCs w:val="20"/>
          <w:color w:val="auto"/>
        </w:rPr>
      </w:pPr>
    </w:p>
    <w:p>
      <w:pPr>
        <w:ind w:left="7"/>
        <w:spacing w:after="0"/>
        <w:rPr>
          <w:sz w:val="20"/>
          <w:szCs w:val="20"/>
          <w:color w:val="auto"/>
        </w:rPr>
      </w:pPr>
      <w:r>
        <w:rPr>
          <w:rFonts w:ascii="Arial" w:cs="Arial" w:eastAsia="Arial" w:hAnsi="Arial"/>
          <w:sz w:val="16"/>
          <w:szCs w:val="16"/>
          <w:color w:val="auto"/>
        </w:rPr>
        <w:t>N.M. — Not Meaningful.</w:t>
      </w:r>
    </w:p>
    <w:p>
      <w:pPr>
        <w:spacing w:after="0" w:line="188" w:lineRule="exact"/>
        <w:rPr>
          <w:sz w:val="20"/>
          <w:szCs w:val="20"/>
          <w:color w:val="auto"/>
        </w:rPr>
      </w:pPr>
    </w:p>
    <w:p>
      <w:pPr>
        <w:ind w:left="147"/>
        <w:spacing w:after="0"/>
        <w:rPr>
          <w:sz w:val="20"/>
          <w:szCs w:val="20"/>
          <w:color w:val="auto"/>
        </w:rPr>
      </w:pPr>
      <w:r>
        <w:rPr>
          <w:rFonts w:ascii="Arial" w:cs="Arial" w:eastAsia="Arial" w:hAnsi="Arial"/>
          <w:sz w:val="16"/>
          <w:szCs w:val="16"/>
          <w:b w:val="1"/>
          <w:bCs w:val="1"/>
          <w:i w:val="1"/>
          <w:iCs w:val="1"/>
          <w:color w:val="auto"/>
        </w:rPr>
        <w:t>Adjusted EBITDA Margin</w:t>
      </w:r>
    </w:p>
    <w:p>
      <w:pPr>
        <w:spacing w:after="0" w:line="188" w:lineRule="exact"/>
        <w:rPr>
          <w:sz w:val="20"/>
          <w:szCs w:val="20"/>
          <w:color w:val="auto"/>
        </w:rPr>
      </w:pPr>
    </w:p>
    <w:p>
      <w:pPr>
        <w:ind w:left="287"/>
        <w:spacing w:after="0"/>
        <w:rPr>
          <w:sz w:val="20"/>
          <w:szCs w:val="20"/>
          <w:color w:val="auto"/>
        </w:rPr>
      </w:pPr>
      <w:r>
        <w:rPr>
          <w:rFonts w:ascii="Arial" w:cs="Arial" w:eastAsia="Arial" w:hAnsi="Arial"/>
          <w:sz w:val="16"/>
          <w:szCs w:val="16"/>
          <w:color w:val="auto"/>
        </w:rPr>
        <w:t>The following table sets forth the Adjusted EBITDA margins (Adjusted EBITDA divided by revenue) of each of our consolidated reportable segments:</w:t>
      </w:r>
    </w:p>
    <w:p>
      <w:pPr>
        <w:spacing w:after="0" w:line="140"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6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6"/>
              </w:rPr>
              <w:t>Six months ended</w:t>
            </w:r>
          </w:p>
        </w:tc>
      </w:tr>
      <w:tr>
        <w:trPr>
          <w:trHeight w:val="182"/>
        </w:trPr>
        <w:tc>
          <w:tcPr>
            <w:tcW w:w="6180" w:type="dxa"/>
            <w:vAlign w:val="bottom"/>
          </w:tcPr>
          <w:p>
            <w:pPr>
              <w:spacing w:after="0"/>
              <w:rPr>
                <w:sz w:val="15"/>
                <w:szCs w:val="15"/>
                <w:color w:val="auto"/>
              </w:rPr>
            </w:pPr>
          </w:p>
        </w:tc>
        <w:tc>
          <w:tcPr>
            <w:tcW w:w="25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 June 30,</w:t>
            </w:r>
          </w:p>
        </w:tc>
        <w:tc>
          <w:tcPr>
            <w:tcW w:w="1620" w:type="dxa"/>
            <w:vAlign w:val="bottom"/>
            <w:gridSpan w:val="3"/>
          </w:tcPr>
          <w:p>
            <w:pPr>
              <w:jc w:val="center"/>
              <w:ind w:left="866"/>
              <w:spacing w:after="0"/>
              <w:rPr>
                <w:sz w:val="20"/>
                <w:szCs w:val="20"/>
                <w:color w:val="auto"/>
              </w:rPr>
            </w:pPr>
            <w:r>
              <w:rPr>
                <w:rFonts w:ascii="Arial" w:cs="Arial" w:eastAsia="Arial" w:hAnsi="Arial"/>
                <w:sz w:val="14"/>
                <w:szCs w:val="14"/>
                <w:b w:val="1"/>
                <w:bCs w:val="1"/>
                <w:color w:val="auto"/>
                <w:w w:val="85"/>
              </w:rPr>
              <w:t>June 30,</w:t>
            </w:r>
          </w:p>
        </w:tc>
        <w:tc>
          <w:tcPr>
            <w:tcW w:w="920" w:type="dxa"/>
            <w:vAlign w:val="bottom"/>
          </w:tcPr>
          <w:p>
            <w:pPr>
              <w:spacing w:after="0"/>
              <w:rPr>
                <w:sz w:val="15"/>
                <w:szCs w:val="15"/>
                <w:color w:val="auto"/>
              </w:rPr>
            </w:pPr>
          </w:p>
        </w:tc>
      </w:tr>
      <w:tr>
        <w:trPr>
          <w:trHeight w:val="28"/>
        </w:trPr>
        <w:tc>
          <w:tcPr>
            <w:tcW w:w="61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7"/>
        </w:trPr>
        <w:tc>
          <w:tcPr>
            <w:tcW w:w="6900" w:type="dxa"/>
            <w:vAlign w:val="bottom"/>
            <w:gridSpan w:val="2"/>
          </w:tcPr>
          <w:p>
            <w:pPr>
              <w:ind w:left="6620"/>
              <w:spacing w:after="0"/>
              <w:rPr>
                <w:sz w:val="20"/>
                <w:szCs w:val="20"/>
                <w:color w:val="auto"/>
              </w:rPr>
            </w:pPr>
            <w:r>
              <w:rPr>
                <w:rFonts w:ascii="Arial" w:cs="Arial" w:eastAsia="Arial" w:hAnsi="Arial"/>
                <w:sz w:val="14"/>
                <w:szCs w:val="14"/>
                <w:b w:val="1"/>
                <w:bCs w:val="1"/>
                <w:color w:val="auto"/>
                <w:w w:val="83"/>
              </w:rPr>
              <w:t>2020</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ind w:left="340"/>
              <w:spacing w:after="0"/>
              <w:rPr>
                <w:sz w:val="20"/>
                <w:szCs w:val="20"/>
                <w:color w:val="auto"/>
              </w:rPr>
            </w:pPr>
            <w:r>
              <w:rPr>
                <w:rFonts w:ascii="Arial" w:cs="Arial" w:eastAsia="Arial" w:hAnsi="Arial"/>
                <w:sz w:val="14"/>
                <w:szCs w:val="14"/>
                <w:b w:val="1"/>
                <w:bCs w:val="1"/>
                <w:color w:val="auto"/>
              </w:rPr>
              <w:t>2019 (a)</w:t>
            </w:r>
          </w:p>
        </w:tc>
        <w:tc>
          <w:tcPr>
            <w:tcW w:w="1260" w:type="dxa"/>
            <w:vAlign w:val="bottom"/>
          </w:tcPr>
          <w:p>
            <w:pPr>
              <w:jc w:val="right"/>
              <w:ind w:right="406"/>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ind w:right="264"/>
              <w:spacing w:after="0"/>
              <w:rPr>
                <w:sz w:val="20"/>
                <w:szCs w:val="20"/>
                <w:color w:val="auto"/>
              </w:rPr>
            </w:pPr>
            <w:r>
              <w:rPr>
                <w:rFonts w:ascii="Arial" w:cs="Arial" w:eastAsia="Arial" w:hAnsi="Arial"/>
                <w:sz w:val="14"/>
                <w:szCs w:val="14"/>
                <w:b w:val="1"/>
                <w:bCs w:val="1"/>
                <w:color w:val="auto"/>
              </w:rPr>
              <w:t>2019 (a)</w:t>
            </w:r>
          </w:p>
        </w:tc>
      </w:tr>
      <w:tr>
        <w:trPr>
          <w:trHeight w:val="28"/>
        </w:trPr>
        <w:tc>
          <w:tcPr>
            <w:tcW w:w="61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71"/>
        </w:trPr>
        <w:tc>
          <w:tcPr>
            <w:tcW w:w="6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13"/>
        </w:trPr>
        <w:tc>
          <w:tcPr>
            <w:tcW w:w="6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U.K./Ireland</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8"/>
              </w:rPr>
              <w:t>42.7%</w:t>
            </w:r>
          </w:p>
        </w:tc>
        <w:tc>
          <w:tcPr>
            <w:tcW w:w="1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41.8%</w:t>
            </w:r>
          </w:p>
        </w:tc>
        <w:tc>
          <w:tcPr>
            <w:tcW w:w="1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41.7%</w:t>
            </w:r>
          </w:p>
        </w:tc>
      </w:tr>
      <w:tr>
        <w:trPr>
          <w:trHeight w:val="209"/>
        </w:trPr>
        <w:tc>
          <w:tcPr>
            <w:tcW w:w="6900" w:type="dxa"/>
            <w:vAlign w:val="bottom"/>
            <w:gridSpan w:val="2"/>
          </w:tcPr>
          <w:p>
            <w:pPr>
              <w:ind w:left="20"/>
              <w:spacing w:after="0"/>
              <w:rPr>
                <w:sz w:val="20"/>
                <w:szCs w:val="20"/>
                <w:color w:val="auto"/>
              </w:rPr>
            </w:pPr>
            <w:r>
              <w:rPr>
                <w:rFonts w:ascii="Arial" w:cs="Arial" w:eastAsia="Arial" w:hAnsi="Arial"/>
                <w:sz w:val="16"/>
                <w:szCs w:val="16"/>
                <w:color w:val="auto"/>
              </w:rPr>
              <w:t>Belgium</w:t>
            </w:r>
          </w:p>
        </w:tc>
        <w:tc>
          <w:tcPr>
            <w:tcW w:w="440" w:type="dxa"/>
            <w:vAlign w:val="bottom"/>
          </w:tcPr>
          <w:p>
            <w:pPr>
              <w:jc w:val="right"/>
              <w:spacing w:after="0"/>
              <w:rPr>
                <w:sz w:val="20"/>
                <w:szCs w:val="20"/>
                <w:color w:val="auto"/>
              </w:rPr>
            </w:pPr>
            <w:r>
              <w:rPr>
                <w:rFonts w:ascii="Arial" w:cs="Arial" w:eastAsia="Arial" w:hAnsi="Arial"/>
                <w:sz w:val="16"/>
                <w:szCs w:val="16"/>
                <w:color w:val="auto"/>
                <w:w w:val="88"/>
              </w:rPr>
              <w:t>51.9%</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49.0%</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49.0%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48.3%</w:t>
            </w:r>
          </w:p>
        </w:tc>
      </w:tr>
      <w:tr>
        <w:trPr>
          <w:trHeight w:val="24"/>
        </w:trPr>
        <w:tc>
          <w:tcPr>
            <w:tcW w:w="6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13"/>
        </w:trPr>
        <w:tc>
          <w:tcPr>
            <w:tcW w:w="6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Switzerland</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8"/>
              </w:rPr>
              <w:t>50.4%</w:t>
            </w:r>
          </w:p>
        </w:tc>
        <w:tc>
          <w:tcPr>
            <w:tcW w:w="1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50.7%</w:t>
            </w:r>
          </w:p>
        </w:tc>
        <w:tc>
          <w:tcPr>
            <w:tcW w:w="1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46.3%</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50.1%</w:t>
            </w:r>
          </w:p>
        </w:tc>
      </w:tr>
      <w:tr>
        <w:trPr>
          <w:trHeight w:val="209"/>
        </w:trPr>
        <w:tc>
          <w:tcPr>
            <w:tcW w:w="6900" w:type="dxa"/>
            <w:vAlign w:val="bottom"/>
            <w:gridSpan w:val="2"/>
          </w:tcPr>
          <w:p>
            <w:pPr>
              <w:ind w:left="20"/>
              <w:spacing w:after="0"/>
              <w:rPr>
                <w:sz w:val="20"/>
                <w:szCs w:val="20"/>
                <w:color w:val="auto"/>
              </w:rPr>
            </w:pPr>
            <w:r>
              <w:rPr>
                <w:rFonts w:ascii="Arial" w:cs="Arial" w:eastAsia="Arial" w:hAnsi="Arial"/>
                <w:sz w:val="16"/>
                <w:szCs w:val="16"/>
                <w:color w:val="auto"/>
              </w:rPr>
              <w:t>Central and Eastern Europe</w:t>
            </w:r>
          </w:p>
        </w:tc>
        <w:tc>
          <w:tcPr>
            <w:tcW w:w="440" w:type="dxa"/>
            <w:vAlign w:val="bottom"/>
          </w:tcPr>
          <w:p>
            <w:pPr>
              <w:jc w:val="right"/>
              <w:spacing w:after="0"/>
              <w:rPr>
                <w:sz w:val="20"/>
                <w:szCs w:val="20"/>
                <w:color w:val="auto"/>
              </w:rPr>
            </w:pPr>
            <w:r>
              <w:rPr>
                <w:rFonts w:ascii="Arial" w:cs="Arial" w:eastAsia="Arial" w:hAnsi="Arial"/>
                <w:sz w:val="16"/>
                <w:szCs w:val="16"/>
                <w:color w:val="auto"/>
                <w:w w:val="88"/>
              </w:rPr>
              <w:t>45.5%</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45.6%</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45.6%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45.3%</w:t>
            </w:r>
          </w:p>
        </w:tc>
      </w:tr>
      <w:tr>
        <w:trPr>
          <w:trHeight w:val="256"/>
        </w:trPr>
        <w:tc>
          <w:tcPr>
            <w:tcW w:w="6180" w:type="dxa"/>
            <w:vAlign w:val="bottom"/>
          </w:tcPr>
          <w:p>
            <w:pPr>
              <w:spacing w:after="0"/>
              <w:rPr>
                <w:sz w:val="20"/>
                <w:szCs w:val="20"/>
                <w:color w:val="auto"/>
              </w:rPr>
            </w:pPr>
            <w:r>
              <w:rPr>
                <w:rFonts w:ascii="Arial" w:cs="Arial" w:eastAsia="Arial" w:hAnsi="Arial"/>
                <w:sz w:val="16"/>
                <w:szCs w:val="16"/>
                <w:color w:val="auto"/>
              </w:rPr>
              <w:t>_______________</w:t>
            </w: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r>
    </w:tbl>
    <w:p>
      <w:pPr>
        <w:spacing w:after="0" w:line="176" w:lineRule="exact"/>
        <w:rPr>
          <w:sz w:val="20"/>
          <w:szCs w:val="20"/>
          <w:color w:val="auto"/>
        </w:rPr>
      </w:pPr>
    </w:p>
    <w:p>
      <w:pPr>
        <w:ind w:left="287" w:right="20" w:hanging="287"/>
        <w:spacing w:after="0" w:line="258" w:lineRule="auto"/>
        <w:tabs>
          <w:tab w:leader="none" w:pos="287" w:val="left"/>
        </w:tabs>
        <w:numPr>
          <w:ilvl w:val="0"/>
          <w:numId w:val="54"/>
        </w:numPr>
        <w:rPr>
          <w:rFonts w:ascii="Arial" w:cs="Arial" w:eastAsia="Arial" w:hAnsi="Arial"/>
          <w:sz w:val="16"/>
          <w:szCs w:val="16"/>
          <w:color w:val="auto"/>
        </w:rPr>
      </w:pPr>
      <w:r>
        <w:rPr>
          <w:rFonts w:ascii="Arial" w:cs="Arial" w:eastAsia="Arial" w:hAnsi="Arial"/>
          <w:sz w:val="16"/>
          <w:szCs w:val="16"/>
          <w:color w:val="auto"/>
        </w:rPr>
        <w:t>Amounts have been revised to reflect the retrospective impact of the Centrally-held Cost Allocation, as further described in note 17 to our condensed consolidated financial statements.</w:t>
      </w:r>
    </w:p>
    <w:p>
      <w:pPr>
        <w:spacing w:after="0" w:line="163" w:lineRule="exact"/>
        <w:rPr>
          <w:sz w:val="20"/>
          <w:szCs w:val="20"/>
          <w:color w:val="auto"/>
        </w:rPr>
      </w:pPr>
    </w:p>
    <w:p>
      <w:pPr>
        <w:jc w:val="both"/>
        <w:ind w:left="7" w:firstLine="279"/>
        <w:spacing w:after="0" w:line="248" w:lineRule="auto"/>
        <w:rPr>
          <w:sz w:val="20"/>
          <w:szCs w:val="20"/>
          <w:color w:val="auto"/>
        </w:rPr>
      </w:pPr>
      <w:r>
        <w:rPr>
          <w:rFonts w:ascii="Arial" w:cs="Arial" w:eastAsia="Arial" w:hAnsi="Arial"/>
          <w:sz w:val="16"/>
          <w:szCs w:val="16"/>
          <w:color w:val="auto"/>
        </w:rPr>
        <w:t xml:space="preserve">In addition to organic changes in the revenue, operating and SG&amp;A expenses of our consolidated reportable segments, the Adjusted EBITDA margins presented above include the impact of acquisitions. For discussion of the factors contributing to the changes in the Adjusted EBITDA margins of our consolidated reportable segments, see the analysis of our revenue included in </w:t>
      </w:r>
      <w:r>
        <w:rPr>
          <w:rFonts w:ascii="Arial" w:cs="Arial" w:eastAsia="Arial" w:hAnsi="Arial"/>
          <w:sz w:val="16"/>
          <w:szCs w:val="16"/>
          <w:i w:val="1"/>
          <w:iCs w:val="1"/>
          <w:color w:val="auto"/>
        </w:rPr>
        <w:t>Discussion and Analysis of our Reportable Segments</w:t>
      </w:r>
      <w:r>
        <w:rPr>
          <w:rFonts w:ascii="Arial" w:cs="Arial" w:eastAsia="Arial" w:hAnsi="Arial"/>
          <w:sz w:val="16"/>
          <w:szCs w:val="16"/>
          <w:color w:val="auto"/>
        </w:rPr>
        <w:t xml:space="preserve"> above and the analysis of our expenses included in </w:t>
      </w:r>
      <w:r>
        <w:rPr>
          <w:rFonts w:ascii="Arial" w:cs="Arial" w:eastAsia="Arial" w:hAnsi="Arial"/>
          <w:sz w:val="16"/>
          <w:szCs w:val="16"/>
          <w:i w:val="1"/>
          <w:iCs w:val="1"/>
          <w:color w:val="auto"/>
        </w:rPr>
        <w:t>Discussion and Analysis of our Consolidated Operating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Results </w:t>
      </w:r>
      <w:r>
        <w:rPr>
          <w:rFonts w:ascii="Arial" w:cs="Arial" w:eastAsia="Arial" w:hAnsi="Arial"/>
          <w:sz w:val="16"/>
          <w:szCs w:val="16"/>
          <w:color w:val="auto"/>
        </w:rPr>
        <w:t>below.</w:t>
      </w:r>
    </w:p>
    <w:p>
      <w:pPr>
        <w:spacing w:after="0" w:line="356"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267"/>
          </w:cols>
          <w:pgMar w:left="313" w:top="453" w:right="319" w:bottom="1440" w:gutter="0" w:footer="0" w:header="0"/>
        </w:sectPr>
      </w:pPr>
    </w:p>
    <w:bookmarkStart w:id="62" w:name="page63"/>
    <w:bookmarkEnd w:id="62"/>
    <w:p>
      <w:pPr>
        <w:spacing w:after="0"/>
        <w:rPr>
          <w:sz w:val="20"/>
          <w:szCs w:val="20"/>
          <w:color w:val="auto"/>
        </w:rPr>
      </w:pPr>
      <w:r>
        <w:rPr>
          <w:rFonts w:ascii="Arial" w:cs="Arial" w:eastAsia="Arial" w:hAnsi="Arial"/>
          <w:sz w:val="16"/>
          <w:szCs w:val="16"/>
          <w:b w:val="1"/>
          <w:bCs w:val="1"/>
          <w:color w:val="auto"/>
        </w:rPr>
        <w:t>Discussion and Analysis of our Consolidated Operating Results</w:t>
      </w:r>
    </w:p>
    <w:p>
      <w:pPr>
        <w:spacing w:after="0" w:line="194"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Revenue</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Our revenue by major category is set forth below:</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8"/>
              </w:rPr>
              <w:t>Three months ended</w:t>
            </w: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2"/>
        </w:trPr>
        <w:tc>
          <w:tcPr>
            <w:tcW w:w="4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gridSpan w:val="3"/>
          </w:tcPr>
          <w:p>
            <w:pPr>
              <w:jc w:val="center"/>
              <w:ind w:left="524"/>
              <w:spacing w:after="0"/>
              <w:rPr>
                <w:sz w:val="20"/>
                <w:szCs w:val="20"/>
                <w:color w:val="auto"/>
              </w:rPr>
            </w:pPr>
            <w:r>
              <w:rPr>
                <w:rFonts w:ascii="Arial" w:cs="Arial" w:eastAsia="Arial" w:hAnsi="Arial"/>
                <w:sz w:val="14"/>
                <w:szCs w:val="14"/>
                <w:b w:val="1"/>
                <w:bCs w:val="1"/>
                <w:color w:val="auto"/>
                <w:w w:val="89"/>
              </w:rPr>
              <w:t>June 30,</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60" w:type="dxa"/>
            <w:vAlign w:val="bottom"/>
            <w:gridSpan w:val="4"/>
          </w:tcPr>
          <w:p>
            <w:pPr>
              <w:ind w:left="260"/>
              <w:spacing w:after="0"/>
              <w:rPr>
                <w:sz w:val="20"/>
                <w:szCs w:val="20"/>
                <w:color w:val="auto"/>
              </w:rPr>
            </w:pPr>
            <w:r>
              <w:rPr>
                <w:rFonts w:ascii="Arial" w:cs="Arial" w:eastAsia="Arial" w:hAnsi="Arial"/>
                <w:sz w:val="14"/>
                <w:szCs w:val="14"/>
                <w:b w:val="1"/>
                <w:bCs w:val="1"/>
                <w:color w:val="auto"/>
              </w:rPr>
              <w:t>Increase (decrease)</w:t>
            </w:r>
          </w:p>
        </w:tc>
        <w:tc>
          <w:tcPr>
            <w:tcW w:w="160" w:type="dxa"/>
            <w:vAlign w:val="bottom"/>
          </w:tcPr>
          <w:p>
            <w:pPr>
              <w:spacing w:after="0"/>
              <w:rPr>
                <w:sz w:val="15"/>
                <w:szCs w:val="15"/>
                <w:color w:val="auto"/>
              </w:rPr>
            </w:pPr>
          </w:p>
        </w:tc>
        <w:tc>
          <w:tcPr>
            <w:tcW w:w="1940" w:type="dxa"/>
            <w:vAlign w:val="bottom"/>
            <w:gridSpan w:val="3"/>
          </w:tcPr>
          <w:p>
            <w:pPr>
              <w:jc w:val="right"/>
              <w:ind w:right="143"/>
              <w:spacing w:after="0"/>
              <w:rPr>
                <w:sz w:val="20"/>
                <w:szCs w:val="20"/>
                <w:color w:val="auto"/>
              </w:rPr>
            </w:pPr>
            <w:r>
              <w:rPr>
                <w:rFonts w:ascii="Arial" w:cs="Arial" w:eastAsia="Arial" w:hAnsi="Arial"/>
                <w:sz w:val="14"/>
                <w:szCs w:val="14"/>
                <w:b w:val="1"/>
                <w:bCs w:val="1"/>
                <w:color w:val="auto"/>
                <w:w w:val="90"/>
              </w:rPr>
              <w:t>Organic increase (decrease)</w:t>
            </w:r>
          </w:p>
        </w:tc>
      </w:tr>
      <w:tr>
        <w:trPr>
          <w:trHeight w:val="28"/>
        </w:trPr>
        <w:tc>
          <w:tcPr>
            <w:tcW w:w="42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7"/>
        </w:trPr>
        <w:tc>
          <w:tcPr>
            <w:tcW w:w="4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36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ind w:right="36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ind w:right="443"/>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1020" w:type="dxa"/>
            <w:vAlign w:val="bottom"/>
          </w:tcPr>
          <w:p>
            <w:pPr>
              <w:jc w:val="right"/>
              <w:ind w:right="36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363"/>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1000" w:type="dxa"/>
            <w:vAlign w:val="bottom"/>
          </w:tcPr>
          <w:p>
            <w:pPr>
              <w:jc w:val="right"/>
              <w:ind w:right="363"/>
              <w:spacing w:after="0"/>
              <w:rPr>
                <w:sz w:val="20"/>
                <w:szCs w:val="20"/>
                <w:color w:val="auto"/>
              </w:rPr>
            </w:pPr>
            <w:r>
              <w:rPr>
                <w:rFonts w:ascii="Arial" w:cs="Arial" w:eastAsia="Arial" w:hAnsi="Arial"/>
                <w:sz w:val="14"/>
                <w:szCs w:val="14"/>
                <w:b w:val="1"/>
                <w:bCs w:val="1"/>
                <w:color w:val="auto"/>
              </w:rPr>
              <w:t>%</w:t>
            </w:r>
          </w:p>
        </w:tc>
      </w:tr>
      <w:tr>
        <w:trPr>
          <w:trHeight w:val="28"/>
        </w:trPr>
        <w:tc>
          <w:tcPr>
            <w:tcW w:w="42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5"/>
        </w:trPr>
        <w:tc>
          <w:tcPr>
            <w:tcW w:w="4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gridSpan w:val="5"/>
          </w:tcPr>
          <w:p>
            <w:pPr>
              <w:ind w:left="100"/>
              <w:spacing w:after="0"/>
              <w:rPr>
                <w:sz w:val="20"/>
                <w:szCs w:val="20"/>
                <w:color w:val="auto"/>
              </w:rPr>
            </w:pPr>
            <w:r>
              <w:rPr>
                <w:rFonts w:ascii="Arial" w:cs="Arial" w:eastAsia="Arial" w:hAnsi="Arial"/>
                <w:sz w:val="14"/>
                <w:szCs w:val="14"/>
                <w:b w:val="1"/>
                <w:bCs w:val="1"/>
                <w:color w:val="auto"/>
              </w:rPr>
              <w:t>in millions, except percentages</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33"/>
        </w:trPr>
        <w:tc>
          <w:tcPr>
            <w:tcW w:w="4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213"/>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Residential revenue:</w:t>
            </w: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r>
      <w:tr>
        <w:trPr>
          <w:trHeight w:val="209"/>
        </w:trPr>
        <w:tc>
          <w:tcPr>
            <w:tcW w:w="4280" w:type="dxa"/>
            <w:vAlign w:val="bottom"/>
          </w:tcPr>
          <w:p>
            <w:pPr>
              <w:ind w:left="140"/>
              <w:spacing w:after="0"/>
              <w:rPr>
                <w:sz w:val="20"/>
                <w:szCs w:val="20"/>
                <w:color w:val="auto"/>
              </w:rPr>
            </w:pPr>
            <w:r>
              <w:rPr>
                <w:rFonts w:ascii="Arial" w:cs="Arial" w:eastAsia="Arial" w:hAnsi="Arial"/>
                <w:sz w:val="16"/>
                <w:szCs w:val="16"/>
                <w:color w:val="auto"/>
              </w:rPr>
              <w:t>Residential cable revenue (a):</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4"/>
        </w:trPr>
        <w:tc>
          <w:tcPr>
            <w:tcW w:w="4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13"/>
        </w:trPr>
        <w:tc>
          <w:tcPr>
            <w:tcW w:w="4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Subscription revenue (b):</w:t>
            </w: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r>
      <w:tr>
        <w:trPr>
          <w:trHeight w:val="209"/>
        </w:trPr>
        <w:tc>
          <w:tcPr>
            <w:tcW w:w="4280" w:type="dxa"/>
            <w:vAlign w:val="bottom"/>
          </w:tcPr>
          <w:p>
            <w:pPr>
              <w:ind w:left="320"/>
              <w:spacing w:after="0"/>
              <w:rPr>
                <w:sz w:val="20"/>
                <w:szCs w:val="20"/>
                <w:color w:val="auto"/>
              </w:rPr>
            </w:pPr>
            <w:r>
              <w:rPr>
                <w:rFonts w:ascii="Arial" w:cs="Arial" w:eastAsia="Arial" w:hAnsi="Arial"/>
                <w:sz w:val="16"/>
                <w:szCs w:val="16"/>
                <w:color w:val="auto"/>
              </w:rPr>
              <w:t>Broadband internet</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4"/>
              <w:spacing w:after="0"/>
              <w:rPr>
                <w:sz w:val="20"/>
                <w:szCs w:val="20"/>
                <w:color w:val="auto"/>
              </w:rPr>
            </w:pPr>
            <w:r>
              <w:rPr>
                <w:rFonts w:ascii="Arial" w:cs="Arial" w:eastAsia="Arial" w:hAnsi="Arial"/>
                <w:sz w:val="16"/>
                <w:szCs w:val="16"/>
                <w:color w:val="auto"/>
              </w:rPr>
              <w:t>781.0</w:t>
            </w:r>
          </w:p>
        </w:tc>
        <w:tc>
          <w:tcPr>
            <w:tcW w:w="12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3"/>
              <w:spacing w:after="0"/>
              <w:rPr>
                <w:sz w:val="20"/>
                <w:szCs w:val="20"/>
                <w:color w:val="auto"/>
              </w:rPr>
            </w:pPr>
            <w:r>
              <w:rPr>
                <w:rFonts w:ascii="Arial" w:cs="Arial" w:eastAsia="Arial" w:hAnsi="Arial"/>
                <w:sz w:val="16"/>
                <w:szCs w:val="16"/>
                <w:color w:val="auto"/>
              </w:rPr>
              <w:t>799.5</w:t>
            </w:r>
          </w:p>
        </w:tc>
        <w:tc>
          <w:tcPr>
            <w:tcW w:w="100" w:type="dxa"/>
            <w:vAlign w:val="bottom"/>
          </w:tcPr>
          <w:p>
            <w:pPr>
              <w:spacing w:after="0"/>
              <w:rPr>
                <w:sz w:val="18"/>
                <w:szCs w:val="18"/>
                <w:color w:val="auto"/>
              </w:rPr>
            </w:pPr>
          </w:p>
        </w:tc>
        <w:tc>
          <w:tcPr>
            <w:tcW w:w="320" w:type="dxa"/>
            <w:vAlign w:val="bottom"/>
          </w:tcPr>
          <w:p>
            <w:pPr>
              <w:jc w:val="right"/>
              <w:ind w:right="145"/>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(18.5)</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23"/>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8"/>
                <w:szCs w:val="18"/>
                <w:color w:val="auto"/>
              </w:rPr>
            </w:pPr>
          </w:p>
        </w:tc>
        <w:tc>
          <w:tcPr>
            <w:tcW w:w="1000" w:type="dxa"/>
            <w:vAlign w:val="bottom"/>
          </w:tcPr>
          <w:p>
            <w:pPr>
              <w:jc w:val="right"/>
              <w:ind w:right="23"/>
              <w:spacing w:after="0"/>
              <w:rPr>
                <w:sz w:val="20"/>
                <w:szCs w:val="20"/>
                <w:color w:val="auto"/>
              </w:rPr>
            </w:pPr>
            <w:r>
              <w:rPr>
                <w:rFonts w:ascii="Arial" w:cs="Arial" w:eastAsia="Arial" w:hAnsi="Arial"/>
                <w:sz w:val="16"/>
                <w:szCs w:val="16"/>
                <w:color w:val="auto"/>
              </w:rPr>
              <w:t>0.2</w:t>
            </w:r>
          </w:p>
        </w:tc>
      </w:tr>
      <w:tr>
        <w:trPr>
          <w:trHeight w:val="24"/>
        </w:trPr>
        <w:tc>
          <w:tcPr>
            <w:tcW w:w="4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13"/>
        </w:trPr>
        <w:tc>
          <w:tcPr>
            <w:tcW w:w="42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Video</w:t>
            </w: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633.6</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676.6</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09"/>
        </w:trPr>
        <w:tc>
          <w:tcPr>
            <w:tcW w:w="4280" w:type="dxa"/>
            <w:vAlign w:val="bottom"/>
          </w:tcPr>
          <w:p>
            <w:pPr>
              <w:ind w:left="320"/>
              <w:spacing w:after="0"/>
              <w:rPr>
                <w:sz w:val="20"/>
                <w:szCs w:val="20"/>
                <w:color w:val="auto"/>
              </w:rPr>
            </w:pPr>
            <w:r>
              <w:rPr>
                <w:rFonts w:ascii="Arial" w:cs="Arial" w:eastAsia="Arial" w:hAnsi="Arial"/>
                <w:sz w:val="16"/>
                <w:szCs w:val="16"/>
                <w:color w:val="auto"/>
              </w:rPr>
              <w:t>Fixed-line telephony</w:t>
            </w:r>
          </w:p>
        </w:tc>
        <w:tc>
          <w:tcPr>
            <w:tcW w:w="260" w:type="dxa"/>
            <w:vAlign w:val="bottom"/>
          </w:tcPr>
          <w:p>
            <w:pPr>
              <w:spacing w:after="0"/>
              <w:rPr>
                <w:sz w:val="18"/>
                <w:szCs w:val="18"/>
                <w:color w:val="auto"/>
              </w:rPr>
            </w:pPr>
          </w:p>
        </w:tc>
        <w:tc>
          <w:tcPr>
            <w:tcW w:w="880" w:type="dxa"/>
            <w:vAlign w:val="bottom"/>
          </w:tcPr>
          <w:p>
            <w:pPr>
              <w:jc w:val="right"/>
              <w:ind w:right="44"/>
              <w:spacing w:after="0"/>
              <w:rPr>
                <w:sz w:val="20"/>
                <w:szCs w:val="20"/>
                <w:color w:val="auto"/>
              </w:rPr>
            </w:pPr>
            <w:r>
              <w:rPr>
                <w:rFonts w:ascii="Arial" w:cs="Arial" w:eastAsia="Arial" w:hAnsi="Arial"/>
                <w:sz w:val="16"/>
                <w:szCs w:val="16"/>
                <w:color w:val="auto"/>
              </w:rPr>
              <w:t>328.3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ind w:right="43"/>
              <w:spacing w:after="0"/>
              <w:rPr>
                <w:sz w:val="20"/>
                <w:szCs w:val="20"/>
                <w:color w:val="auto"/>
              </w:rPr>
            </w:pPr>
            <w:r>
              <w:rPr>
                <w:rFonts w:ascii="Arial" w:cs="Arial" w:eastAsia="Arial" w:hAnsi="Arial"/>
                <w:sz w:val="16"/>
                <w:szCs w:val="16"/>
                <w:color w:val="auto"/>
              </w:rPr>
              <w:t>360.4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(32.1)</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(22.7)</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24"/>
        </w:trPr>
        <w:tc>
          <w:tcPr>
            <w:tcW w:w="4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4"/>
        </w:trPr>
        <w:tc>
          <w:tcPr>
            <w:tcW w:w="42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Total subscription revenue</w:t>
            </w: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1,742.9</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1,836.5</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(93.6)</w:t>
            </w: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(48.0)</w:t>
            </w: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09"/>
        </w:trPr>
        <w:tc>
          <w:tcPr>
            <w:tcW w:w="4280" w:type="dxa"/>
            <w:vAlign w:val="bottom"/>
          </w:tcPr>
          <w:p>
            <w:pPr>
              <w:ind w:left="140"/>
              <w:spacing w:after="0"/>
              <w:rPr>
                <w:sz w:val="20"/>
                <w:szCs w:val="20"/>
                <w:color w:val="auto"/>
              </w:rPr>
            </w:pPr>
            <w:r>
              <w:rPr>
                <w:rFonts w:ascii="Arial" w:cs="Arial" w:eastAsia="Arial" w:hAnsi="Arial"/>
                <w:sz w:val="16"/>
                <w:szCs w:val="16"/>
                <w:color w:val="auto"/>
              </w:rPr>
              <w:t>Non-subscription revenue</w:t>
            </w:r>
          </w:p>
        </w:tc>
        <w:tc>
          <w:tcPr>
            <w:tcW w:w="260" w:type="dxa"/>
            <w:vAlign w:val="bottom"/>
          </w:tcPr>
          <w:p>
            <w:pPr>
              <w:spacing w:after="0"/>
              <w:rPr>
                <w:sz w:val="18"/>
                <w:szCs w:val="18"/>
                <w:color w:val="auto"/>
              </w:rPr>
            </w:pPr>
          </w:p>
        </w:tc>
        <w:tc>
          <w:tcPr>
            <w:tcW w:w="880" w:type="dxa"/>
            <w:vAlign w:val="bottom"/>
          </w:tcPr>
          <w:p>
            <w:pPr>
              <w:jc w:val="right"/>
              <w:ind w:right="44"/>
              <w:spacing w:after="0"/>
              <w:rPr>
                <w:sz w:val="20"/>
                <w:szCs w:val="20"/>
                <w:color w:val="auto"/>
              </w:rPr>
            </w:pPr>
            <w:r>
              <w:rPr>
                <w:rFonts w:ascii="Arial" w:cs="Arial" w:eastAsia="Arial" w:hAnsi="Arial"/>
                <w:sz w:val="16"/>
                <w:szCs w:val="16"/>
                <w:color w:val="auto"/>
              </w:rPr>
              <w:t>35.6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ind w:right="43"/>
              <w:spacing w:after="0"/>
              <w:rPr>
                <w:sz w:val="20"/>
                <w:szCs w:val="20"/>
                <w:color w:val="auto"/>
              </w:rPr>
            </w:pPr>
            <w:r>
              <w:rPr>
                <w:rFonts w:ascii="Arial" w:cs="Arial" w:eastAsia="Arial" w:hAnsi="Arial"/>
                <w:sz w:val="16"/>
                <w:szCs w:val="16"/>
                <w:color w:val="auto"/>
              </w:rPr>
              <w:t>44.5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(19.3)</w:t>
            </w:r>
          </w:p>
        </w:tc>
      </w:tr>
      <w:tr>
        <w:trPr>
          <w:trHeight w:val="24"/>
        </w:trPr>
        <w:tc>
          <w:tcPr>
            <w:tcW w:w="4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4"/>
        </w:trPr>
        <w:tc>
          <w:tcPr>
            <w:tcW w:w="4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residential cable revenue</w:t>
            </w: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1,778.5</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1,881.0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(102.5)</w:t>
            </w: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(56.6)</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189"/>
        </w:trPr>
        <w:tc>
          <w:tcPr>
            <w:tcW w:w="4280" w:type="dxa"/>
            <w:vAlign w:val="bottom"/>
          </w:tcPr>
          <w:p>
            <w:pPr>
              <w:ind w:left="140"/>
              <w:spacing w:after="0"/>
              <w:rPr>
                <w:sz w:val="20"/>
                <w:szCs w:val="20"/>
                <w:color w:val="auto"/>
              </w:rPr>
            </w:pPr>
            <w:r>
              <w:rPr>
                <w:rFonts w:ascii="Arial" w:cs="Arial" w:eastAsia="Arial" w:hAnsi="Arial"/>
                <w:sz w:val="16"/>
                <w:szCs w:val="16"/>
                <w:color w:val="auto"/>
              </w:rPr>
              <w:t>Residential mobile revenue (c):</w:t>
            </w: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r>
      <w:tr>
        <w:trPr>
          <w:trHeight w:val="35"/>
        </w:trPr>
        <w:tc>
          <w:tcPr>
            <w:tcW w:w="4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13"/>
        </w:trPr>
        <w:tc>
          <w:tcPr>
            <w:tcW w:w="4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Subscription revenue (b)</w:t>
            </w: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227.3</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231.4</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0.3</w:t>
            </w:r>
          </w:p>
        </w:tc>
      </w:tr>
      <w:tr>
        <w:trPr>
          <w:trHeight w:val="209"/>
        </w:trPr>
        <w:tc>
          <w:tcPr>
            <w:tcW w:w="4280" w:type="dxa"/>
            <w:vAlign w:val="bottom"/>
          </w:tcPr>
          <w:p>
            <w:pPr>
              <w:ind w:left="220"/>
              <w:spacing w:after="0"/>
              <w:rPr>
                <w:sz w:val="20"/>
                <w:szCs w:val="20"/>
                <w:color w:val="auto"/>
              </w:rPr>
            </w:pPr>
            <w:r>
              <w:rPr>
                <w:rFonts w:ascii="Arial" w:cs="Arial" w:eastAsia="Arial" w:hAnsi="Arial"/>
                <w:sz w:val="16"/>
                <w:szCs w:val="16"/>
                <w:color w:val="auto"/>
              </w:rPr>
              <w:t>Non-subscription revenue</w:t>
            </w:r>
          </w:p>
        </w:tc>
        <w:tc>
          <w:tcPr>
            <w:tcW w:w="260" w:type="dxa"/>
            <w:vAlign w:val="bottom"/>
          </w:tcPr>
          <w:p>
            <w:pPr>
              <w:spacing w:after="0"/>
              <w:rPr>
                <w:sz w:val="18"/>
                <w:szCs w:val="18"/>
                <w:color w:val="auto"/>
              </w:rPr>
            </w:pPr>
          </w:p>
        </w:tc>
        <w:tc>
          <w:tcPr>
            <w:tcW w:w="880" w:type="dxa"/>
            <w:vAlign w:val="bottom"/>
          </w:tcPr>
          <w:p>
            <w:pPr>
              <w:jc w:val="right"/>
              <w:ind w:right="44"/>
              <w:spacing w:after="0"/>
              <w:rPr>
                <w:sz w:val="20"/>
                <w:szCs w:val="20"/>
                <w:color w:val="auto"/>
              </w:rPr>
            </w:pPr>
            <w:r>
              <w:rPr>
                <w:rFonts w:ascii="Arial" w:cs="Arial" w:eastAsia="Arial" w:hAnsi="Arial"/>
                <w:sz w:val="16"/>
                <w:szCs w:val="16"/>
                <w:color w:val="auto"/>
              </w:rPr>
              <w:t>129.7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ind w:right="43"/>
              <w:spacing w:after="0"/>
              <w:rPr>
                <w:sz w:val="20"/>
                <w:szCs w:val="20"/>
                <w:color w:val="auto"/>
              </w:rPr>
            </w:pPr>
            <w:r>
              <w:rPr>
                <w:rFonts w:ascii="Arial" w:cs="Arial" w:eastAsia="Arial" w:hAnsi="Arial"/>
                <w:sz w:val="16"/>
                <w:szCs w:val="16"/>
                <w:color w:val="auto"/>
              </w:rPr>
              <w:t>173.3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(43.6)</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(40.9)</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(23.6)</w:t>
            </w:r>
          </w:p>
        </w:tc>
      </w:tr>
      <w:tr>
        <w:trPr>
          <w:trHeight w:val="24"/>
        </w:trPr>
        <w:tc>
          <w:tcPr>
            <w:tcW w:w="4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4"/>
        </w:trPr>
        <w:tc>
          <w:tcPr>
            <w:tcW w:w="42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Total residential mobile revenue</w:t>
            </w: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357.0</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404.7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(47.7)</w:t>
            </w: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(40.2)</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w:t>
            </w:r>
          </w:p>
        </w:tc>
      </w:tr>
      <w:tr>
        <w:trPr>
          <w:trHeight w:val="201"/>
        </w:trPr>
        <w:tc>
          <w:tcPr>
            <w:tcW w:w="4280" w:type="dxa"/>
            <w:vAlign w:val="bottom"/>
          </w:tcPr>
          <w:p>
            <w:pPr>
              <w:ind w:left="420"/>
              <w:spacing w:after="0"/>
              <w:rPr>
                <w:sz w:val="20"/>
                <w:szCs w:val="20"/>
                <w:color w:val="auto"/>
              </w:rPr>
            </w:pPr>
            <w:r>
              <w:rPr>
                <w:rFonts w:ascii="Arial" w:cs="Arial" w:eastAsia="Arial" w:hAnsi="Arial"/>
                <w:sz w:val="16"/>
                <w:szCs w:val="16"/>
                <w:color w:val="auto"/>
              </w:rPr>
              <w:t>Total residential revenue</w:t>
            </w: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2,135.5</w:t>
            </w: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2,285.7</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(150.2)</w:t>
            </w:r>
          </w:p>
        </w:tc>
        <w:tc>
          <w:tcPr>
            <w:tcW w:w="120" w:type="dxa"/>
            <w:vAlign w:val="bottom"/>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(96.8)</w:t>
            </w:r>
          </w:p>
        </w:tc>
        <w:tc>
          <w:tcPr>
            <w:tcW w:w="120" w:type="dxa"/>
            <w:vAlign w:val="bottom"/>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w:t>
            </w:r>
          </w:p>
        </w:tc>
      </w:tr>
      <w:tr>
        <w:trPr>
          <w:trHeight w:val="24"/>
        </w:trPr>
        <w:tc>
          <w:tcPr>
            <w:tcW w:w="4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4"/>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B2B revenue (d):</w:t>
            </w: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r>
      <w:tr>
        <w:trPr>
          <w:trHeight w:val="209"/>
        </w:trPr>
        <w:tc>
          <w:tcPr>
            <w:tcW w:w="4280" w:type="dxa"/>
            <w:vAlign w:val="bottom"/>
          </w:tcPr>
          <w:p>
            <w:pPr>
              <w:ind w:left="140"/>
              <w:spacing w:after="0"/>
              <w:rPr>
                <w:sz w:val="20"/>
                <w:szCs w:val="20"/>
                <w:color w:val="auto"/>
              </w:rPr>
            </w:pPr>
            <w:r>
              <w:rPr>
                <w:rFonts w:ascii="Arial" w:cs="Arial" w:eastAsia="Arial" w:hAnsi="Arial"/>
                <w:sz w:val="16"/>
                <w:szCs w:val="16"/>
                <w:color w:val="auto"/>
              </w:rPr>
              <w:t>Subscription revenue</w:t>
            </w:r>
          </w:p>
        </w:tc>
        <w:tc>
          <w:tcPr>
            <w:tcW w:w="260" w:type="dxa"/>
            <w:vAlign w:val="bottom"/>
          </w:tcPr>
          <w:p>
            <w:pPr>
              <w:spacing w:after="0"/>
              <w:rPr>
                <w:sz w:val="18"/>
                <w:szCs w:val="18"/>
                <w:color w:val="auto"/>
              </w:rPr>
            </w:pPr>
          </w:p>
        </w:tc>
        <w:tc>
          <w:tcPr>
            <w:tcW w:w="880" w:type="dxa"/>
            <w:vAlign w:val="bottom"/>
          </w:tcPr>
          <w:p>
            <w:pPr>
              <w:jc w:val="right"/>
              <w:ind w:right="44"/>
              <w:spacing w:after="0"/>
              <w:rPr>
                <w:sz w:val="20"/>
                <w:szCs w:val="20"/>
                <w:color w:val="auto"/>
              </w:rPr>
            </w:pPr>
            <w:r>
              <w:rPr>
                <w:rFonts w:ascii="Arial" w:cs="Arial" w:eastAsia="Arial" w:hAnsi="Arial"/>
                <w:sz w:val="16"/>
                <w:szCs w:val="16"/>
                <w:color w:val="auto"/>
              </w:rPr>
              <w:t>123.4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ind w:right="43"/>
              <w:spacing w:after="0"/>
              <w:rPr>
                <w:sz w:val="20"/>
                <w:szCs w:val="20"/>
                <w:color w:val="auto"/>
              </w:rPr>
            </w:pPr>
            <w:r>
              <w:rPr>
                <w:rFonts w:ascii="Arial" w:cs="Arial" w:eastAsia="Arial" w:hAnsi="Arial"/>
                <w:sz w:val="16"/>
                <w:szCs w:val="16"/>
                <w:color w:val="auto"/>
              </w:rPr>
              <w:t>116.8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ind w:right="23"/>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18"/>
                <w:szCs w:val="18"/>
                <w:color w:val="auto"/>
              </w:rPr>
            </w:pPr>
          </w:p>
        </w:tc>
        <w:tc>
          <w:tcPr>
            <w:tcW w:w="1020" w:type="dxa"/>
            <w:vAlign w:val="bottom"/>
          </w:tcPr>
          <w:p>
            <w:pPr>
              <w:jc w:val="right"/>
              <w:ind w:right="23"/>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23"/>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18"/>
                <w:szCs w:val="18"/>
                <w:color w:val="auto"/>
              </w:rPr>
            </w:pPr>
          </w:p>
        </w:tc>
        <w:tc>
          <w:tcPr>
            <w:tcW w:w="1000" w:type="dxa"/>
            <w:vAlign w:val="bottom"/>
          </w:tcPr>
          <w:p>
            <w:pPr>
              <w:jc w:val="right"/>
              <w:ind w:right="23"/>
              <w:spacing w:after="0"/>
              <w:rPr>
                <w:sz w:val="20"/>
                <w:szCs w:val="20"/>
                <w:color w:val="auto"/>
              </w:rPr>
            </w:pPr>
            <w:r>
              <w:rPr>
                <w:rFonts w:ascii="Arial" w:cs="Arial" w:eastAsia="Arial" w:hAnsi="Arial"/>
                <w:sz w:val="16"/>
                <w:szCs w:val="16"/>
                <w:color w:val="auto"/>
              </w:rPr>
              <w:t>8.4</w:t>
            </w:r>
          </w:p>
        </w:tc>
      </w:tr>
      <w:tr>
        <w:trPr>
          <w:trHeight w:val="24"/>
        </w:trPr>
        <w:tc>
          <w:tcPr>
            <w:tcW w:w="4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3"/>
        </w:trPr>
        <w:tc>
          <w:tcPr>
            <w:tcW w:w="4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Non-subscription revenue</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338.2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357.2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r>
      <w:tr>
        <w:trPr>
          <w:trHeight w:val="201"/>
        </w:trPr>
        <w:tc>
          <w:tcPr>
            <w:tcW w:w="4280" w:type="dxa"/>
            <w:vAlign w:val="bottom"/>
          </w:tcPr>
          <w:p>
            <w:pPr>
              <w:ind w:left="220"/>
              <w:spacing w:after="0"/>
              <w:rPr>
                <w:sz w:val="20"/>
                <w:szCs w:val="20"/>
                <w:color w:val="auto"/>
              </w:rPr>
            </w:pPr>
            <w:r>
              <w:rPr>
                <w:rFonts w:ascii="Arial" w:cs="Arial" w:eastAsia="Arial" w:hAnsi="Arial"/>
                <w:sz w:val="16"/>
                <w:szCs w:val="16"/>
                <w:color w:val="auto"/>
              </w:rPr>
              <w:t>Total B2B revenue</w:t>
            </w: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461.6</w:t>
            </w: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474.0</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(0.5)</w:t>
            </w:r>
          </w:p>
        </w:tc>
      </w:tr>
      <w:tr>
        <w:trPr>
          <w:trHeight w:val="24"/>
        </w:trPr>
        <w:tc>
          <w:tcPr>
            <w:tcW w:w="4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4"/>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revenue (e)</w:t>
            </w: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125.8</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90.7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35.1</w:t>
            </w: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38.7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w:t>
            </w:r>
          </w:p>
        </w:tc>
      </w:tr>
      <w:tr>
        <w:trPr>
          <w:trHeight w:val="201"/>
        </w:trPr>
        <w:tc>
          <w:tcPr>
            <w:tcW w:w="4280" w:type="dxa"/>
            <w:vAlign w:val="bottom"/>
          </w:tcPr>
          <w:p>
            <w:pPr>
              <w:ind w:left="42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2,722.9</w:t>
            </w:r>
          </w:p>
        </w:tc>
        <w:tc>
          <w:tcPr>
            <w:tcW w:w="120" w:type="dxa"/>
            <w:vAlign w:val="bottom"/>
          </w:tcPr>
          <w:p>
            <w:pPr>
              <w:spacing w:after="0"/>
              <w:rPr>
                <w:sz w:val="17"/>
                <w:szCs w:val="17"/>
                <w:color w:val="auto"/>
              </w:rPr>
            </w:pPr>
          </w:p>
        </w:tc>
        <w:tc>
          <w:tcPr>
            <w:tcW w:w="3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2,850.4</w:t>
            </w:r>
          </w:p>
        </w:tc>
        <w:tc>
          <w:tcPr>
            <w:tcW w:w="100" w:type="dxa"/>
            <w:vAlign w:val="bottom"/>
          </w:tcPr>
          <w:p>
            <w:pPr>
              <w:spacing w:after="0"/>
              <w:rPr>
                <w:sz w:val="17"/>
                <w:szCs w:val="17"/>
                <w:color w:val="auto"/>
              </w:rPr>
            </w:pPr>
          </w:p>
        </w:tc>
        <w:tc>
          <w:tcPr>
            <w:tcW w:w="320" w:type="dxa"/>
            <w:vAlign w:val="bottom"/>
            <w:tcBorders>
              <w:top w:val="single" w:sz="8" w:color="auto"/>
            </w:tcBorders>
          </w:tcPr>
          <w:p>
            <w:pPr>
              <w:jc w:val="right"/>
              <w:ind w:right="145"/>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(127.5)</w:t>
            </w:r>
          </w:p>
        </w:tc>
        <w:tc>
          <w:tcPr>
            <w:tcW w:w="120" w:type="dxa"/>
            <w:vAlign w:val="bottom"/>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(115.6)</w:t>
            </w:r>
          </w:p>
        </w:tc>
        <w:tc>
          <w:tcPr>
            <w:tcW w:w="120" w:type="dxa"/>
            <w:vAlign w:val="bottom"/>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w:t>
            </w:r>
          </w:p>
        </w:tc>
      </w:tr>
      <w:tr>
        <w:trPr>
          <w:trHeight w:val="24"/>
        </w:trPr>
        <w:tc>
          <w:tcPr>
            <w:tcW w:w="42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4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347"/>
        </w:trPr>
        <w:tc>
          <w:tcPr>
            <w:tcW w:w="4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Arial" w:cs="Arial" w:eastAsia="Arial" w:hAnsi="Arial"/>
                <w:sz w:val="16"/>
                <w:szCs w:val="16"/>
                <w:color w:val="auto"/>
              </w:rPr>
              <w:t>61</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260"/>
          </w:cols>
          <w:pgMar w:left="320" w:top="309" w:right="319" w:bottom="1440" w:gutter="0" w:footer="0" w:header="0"/>
        </w:sectPr>
      </w:pPr>
    </w:p>
    <w:bookmarkStart w:id="63" w:name="page64"/>
    <w:bookmarkEnd w:id="63"/>
    <w:p>
      <w:pPr>
        <w:spacing w:after="0" w:line="1"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4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40" w:type="dxa"/>
            <w:vAlign w:val="bottom"/>
            <w:gridSpan w:val="5"/>
          </w:tcPr>
          <w:p>
            <w:pPr>
              <w:ind w:left="42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gridSpan w:val="3"/>
          </w:tcPr>
          <w:p>
            <w:pPr>
              <w:jc w:val="right"/>
              <w:ind w:right="42"/>
              <w:spacing w:after="0"/>
              <w:rPr>
                <w:sz w:val="20"/>
                <w:szCs w:val="20"/>
                <w:color w:val="auto"/>
              </w:rPr>
            </w:pPr>
            <w:r>
              <w:rPr>
                <w:rFonts w:ascii="Arial" w:cs="Arial" w:eastAsia="Arial" w:hAnsi="Arial"/>
                <w:sz w:val="14"/>
                <w:szCs w:val="14"/>
                <w:b w:val="1"/>
                <w:bCs w:val="1"/>
                <w:color w:val="auto"/>
              </w:rPr>
              <w:t>June 30,</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gridSpan w:val="4"/>
          </w:tcPr>
          <w:p>
            <w:pPr>
              <w:ind w:left="460"/>
              <w:spacing w:after="0"/>
              <w:rPr>
                <w:sz w:val="20"/>
                <w:szCs w:val="20"/>
                <w:color w:val="auto"/>
              </w:rPr>
            </w:pPr>
            <w:r>
              <w:rPr>
                <w:rFonts w:ascii="Arial" w:cs="Arial" w:eastAsia="Arial" w:hAnsi="Arial"/>
                <w:sz w:val="14"/>
                <w:szCs w:val="14"/>
                <w:b w:val="1"/>
                <w:bCs w:val="1"/>
                <w:color w:val="auto"/>
              </w:rPr>
              <w:t>Increase (decrease)</w:t>
            </w:r>
          </w:p>
        </w:tc>
        <w:tc>
          <w:tcPr>
            <w:tcW w:w="200" w:type="dxa"/>
            <w:vAlign w:val="bottom"/>
          </w:tcPr>
          <w:p>
            <w:pPr>
              <w:spacing w:after="0"/>
              <w:rPr>
                <w:sz w:val="15"/>
                <w:szCs w:val="15"/>
                <w:color w:val="auto"/>
              </w:rPr>
            </w:pPr>
          </w:p>
        </w:tc>
        <w:tc>
          <w:tcPr>
            <w:tcW w:w="2020" w:type="dxa"/>
            <w:vAlign w:val="bottom"/>
            <w:gridSpan w:val="3"/>
          </w:tcPr>
          <w:p>
            <w:pPr>
              <w:jc w:val="right"/>
              <w:ind w:right="203"/>
              <w:spacing w:after="0"/>
              <w:rPr>
                <w:sz w:val="20"/>
                <w:szCs w:val="20"/>
                <w:color w:val="auto"/>
              </w:rPr>
            </w:pPr>
            <w:r>
              <w:rPr>
                <w:rFonts w:ascii="Arial" w:cs="Arial" w:eastAsia="Arial" w:hAnsi="Arial"/>
                <w:sz w:val="14"/>
                <w:szCs w:val="14"/>
                <w:b w:val="1"/>
                <w:bCs w:val="1"/>
                <w:color w:val="auto"/>
                <w:w w:val="91"/>
              </w:rPr>
              <w:t>Organic increase (decrease)</w:t>
            </w:r>
          </w:p>
        </w:tc>
        <w:tc>
          <w:tcPr>
            <w:tcW w:w="0" w:type="dxa"/>
            <w:vAlign w:val="bottom"/>
          </w:tcPr>
          <w:p>
            <w:pPr>
              <w:spacing w:after="0"/>
              <w:rPr>
                <w:sz w:val="1"/>
                <w:szCs w:val="1"/>
                <w:color w:val="auto"/>
              </w:rPr>
            </w:pPr>
          </w:p>
        </w:tc>
      </w:tr>
      <w:tr>
        <w:trPr>
          <w:trHeight w:val="28"/>
        </w:trPr>
        <w:tc>
          <w:tcPr>
            <w:tcW w:w="4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4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ind w:right="34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ind w:right="34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464"/>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1000" w:type="dxa"/>
            <w:vAlign w:val="bottom"/>
          </w:tcPr>
          <w:p>
            <w:pPr>
              <w:jc w:val="right"/>
              <w:ind w:right="36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38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120" w:type="dxa"/>
            <w:vAlign w:val="bottom"/>
          </w:tcPr>
          <w:p>
            <w:pPr>
              <w:jc w:val="right"/>
              <w:ind w:right="42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8"/>
        </w:trPr>
        <w:tc>
          <w:tcPr>
            <w:tcW w:w="4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4"/>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4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gridSpan w:val="4"/>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Residential revenue:</w:t>
            </w: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60" w:type="dxa"/>
            <w:vAlign w:val="bottom"/>
          </w:tcPr>
          <w:p>
            <w:pPr>
              <w:ind w:left="140"/>
              <w:spacing w:after="0"/>
              <w:rPr>
                <w:sz w:val="20"/>
                <w:szCs w:val="20"/>
                <w:color w:val="auto"/>
              </w:rPr>
            </w:pPr>
            <w:r>
              <w:rPr>
                <w:rFonts w:ascii="Arial" w:cs="Arial" w:eastAsia="Arial" w:hAnsi="Arial"/>
                <w:sz w:val="16"/>
                <w:szCs w:val="16"/>
                <w:color w:val="auto"/>
              </w:rPr>
              <w:t>Residential cable revenue (a):</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4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4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Subscription revenue (b):</w:t>
            </w: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60" w:type="dxa"/>
            <w:vAlign w:val="bottom"/>
          </w:tcPr>
          <w:p>
            <w:pPr>
              <w:ind w:left="320"/>
              <w:spacing w:after="0"/>
              <w:rPr>
                <w:sz w:val="20"/>
                <w:szCs w:val="20"/>
                <w:color w:val="auto"/>
              </w:rPr>
            </w:pPr>
            <w:r>
              <w:rPr>
                <w:rFonts w:ascii="Arial" w:cs="Arial" w:eastAsia="Arial" w:hAnsi="Arial"/>
                <w:sz w:val="16"/>
                <w:szCs w:val="16"/>
                <w:color w:val="auto"/>
              </w:rPr>
              <w:t>Broadband internet</w:t>
            </w:r>
          </w:p>
        </w:tc>
        <w:tc>
          <w:tcPr>
            <w:tcW w:w="28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4"/>
              <w:spacing w:after="0"/>
              <w:rPr>
                <w:sz w:val="20"/>
                <w:szCs w:val="20"/>
                <w:color w:val="auto"/>
              </w:rPr>
            </w:pPr>
            <w:r>
              <w:rPr>
                <w:rFonts w:ascii="Arial" w:cs="Arial" w:eastAsia="Arial" w:hAnsi="Arial"/>
                <w:sz w:val="16"/>
                <w:szCs w:val="16"/>
                <w:color w:val="auto"/>
              </w:rPr>
              <w:t>1,577.8</w:t>
            </w:r>
          </w:p>
        </w:tc>
        <w:tc>
          <w:tcPr>
            <w:tcW w:w="120" w:type="dxa"/>
            <w:vAlign w:val="bottom"/>
          </w:tcPr>
          <w:p>
            <w:pPr>
              <w:spacing w:after="0"/>
              <w:rPr>
                <w:sz w:val="18"/>
                <w:szCs w:val="18"/>
                <w:color w:val="auto"/>
              </w:rPr>
            </w:pP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23"/>
              <w:spacing w:after="0"/>
              <w:rPr>
                <w:sz w:val="20"/>
                <w:szCs w:val="20"/>
                <w:color w:val="auto"/>
              </w:rPr>
            </w:pPr>
            <w:r>
              <w:rPr>
                <w:rFonts w:ascii="Arial" w:cs="Arial" w:eastAsia="Arial" w:hAnsi="Arial"/>
                <w:sz w:val="16"/>
                <w:szCs w:val="16"/>
                <w:color w:val="auto"/>
              </w:rPr>
              <w:t>1,602.3</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(24.5)</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43"/>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18"/>
                <w:szCs w:val="18"/>
                <w:color w:val="auto"/>
              </w:rPr>
            </w:pP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4"/>
        </w:trPr>
        <w:tc>
          <w:tcPr>
            <w:tcW w:w="4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41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Video</w:t>
            </w: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1,316.7</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1,368.7</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(52.0)</w:t>
            </w: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9"/>
        </w:trPr>
        <w:tc>
          <w:tcPr>
            <w:tcW w:w="4160" w:type="dxa"/>
            <w:vAlign w:val="bottom"/>
          </w:tcPr>
          <w:p>
            <w:pPr>
              <w:ind w:left="320"/>
              <w:spacing w:after="0"/>
              <w:rPr>
                <w:sz w:val="20"/>
                <w:szCs w:val="20"/>
                <w:color w:val="auto"/>
              </w:rPr>
            </w:pPr>
            <w:r>
              <w:rPr>
                <w:rFonts w:ascii="Arial" w:cs="Arial" w:eastAsia="Arial" w:hAnsi="Arial"/>
                <w:sz w:val="16"/>
                <w:szCs w:val="16"/>
                <w:color w:val="auto"/>
              </w:rPr>
              <w:t>Fixed-line telephony</w:t>
            </w:r>
          </w:p>
        </w:tc>
        <w:tc>
          <w:tcPr>
            <w:tcW w:w="280" w:type="dxa"/>
            <w:vAlign w:val="bottom"/>
          </w:tcPr>
          <w:p>
            <w:pPr>
              <w:spacing w:after="0"/>
              <w:rPr>
                <w:sz w:val="18"/>
                <w:szCs w:val="18"/>
                <w:color w:val="auto"/>
              </w:rPr>
            </w:pPr>
          </w:p>
        </w:tc>
        <w:tc>
          <w:tcPr>
            <w:tcW w:w="860" w:type="dxa"/>
            <w:vAlign w:val="bottom"/>
          </w:tcPr>
          <w:p>
            <w:pPr>
              <w:jc w:val="right"/>
              <w:ind w:right="24"/>
              <w:spacing w:after="0"/>
              <w:rPr>
                <w:sz w:val="20"/>
                <w:szCs w:val="20"/>
                <w:color w:val="auto"/>
              </w:rPr>
            </w:pPr>
            <w:r>
              <w:rPr>
                <w:rFonts w:ascii="Arial" w:cs="Arial" w:eastAsia="Arial" w:hAnsi="Arial"/>
                <w:sz w:val="16"/>
                <w:szCs w:val="16"/>
                <w:color w:val="auto"/>
              </w:rPr>
              <w:t>666.5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ind w:right="23"/>
              <w:spacing w:after="0"/>
              <w:rPr>
                <w:sz w:val="20"/>
                <w:szCs w:val="20"/>
                <w:color w:val="auto"/>
              </w:rPr>
            </w:pPr>
            <w:r>
              <w:rPr>
                <w:rFonts w:ascii="Arial" w:cs="Arial" w:eastAsia="Arial" w:hAnsi="Arial"/>
                <w:sz w:val="16"/>
                <w:szCs w:val="16"/>
                <w:color w:val="auto"/>
              </w:rPr>
              <w:t>729.2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(62.7)</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(47.6)</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4"/>
        </w:trPr>
        <w:tc>
          <w:tcPr>
            <w:tcW w:w="4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1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Total subscription revenue</w:t>
            </w:r>
          </w:p>
        </w:tc>
        <w:tc>
          <w:tcPr>
            <w:tcW w:w="2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3,561.0</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3,700.2</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(139.2)</w:t>
            </w: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(65.2)</w:t>
            </w: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9"/>
        </w:trPr>
        <w:tc>
          <w:tcPr>
            <w:tcW w:w="4160" w:type="dxa"/>
            <w:vAlign w:val="bottom"/>
          </w:tcPr>
          <w:p>
            <w:pPr>
              <w:ind w:left="220"/>
              <w:spacing w:after="0"/>
              <w:rPr>
                <w:sz w:val="20"/>
                <w:szCs w:val="20"/>
                <w:color w:val="auto"/>
              </w:rPr>
            </w:pPr>
            <w:r>
              <w:rPr>
                <w:rFonts w:ascii="Arial" w:cs="Arial" w:eastAsia="Arial" w:hAnsi="Arial"/>
                <w:sz w:val="16"/>
                <w:szCs w:val="16"/>
                <w:color w:val="auto"/>
              </w:rPr>
              <w:t>Non-subscription revenue</w:t>
            </w:r>
          </w:p>
        </w:tc>
        <w:tc>
          <w:tcPr>
            <w:tcW w:w="280" w:type="dxa"/>
            <w:vAlign w:val="bottom"/>
          </w:tcPr>
          <w:p>
            <w:pPr>
              <w:spacing w:after="0"/>
              <w:rPr>
                <w:sz w:val="18"/>
                <w:szCs w:val="18"/>
                <w:color w:val="auto"/>
              </w:rPr>
            </w:pPr>
          </w:p>
        </w:tc>
        <w:tc>
          <w:tcPr>
            <w:tcW w:w="860" w:type="dxa"/>
            <w:vAlign w:val="bottom"/>
          </w:tcPr>
          <w:p>
            <w:pPr>
              <w:jc w:val="right"/>
              <w:ind w:right="24"/>
              <w:spacing w:after="0"/>
              <w:rPr>
                <w:sz w:val="20"/>
                <w:szCs w:val="20"/>
                <w:color w:val="auto"/>
              </w:rPr>
            </w:pPr>
            <w:r>
              <w:rPr>
                <w:rFonts w:ascii="Arial" w:cs="Arial" w:eastAsia="Arial" w:hAnsi="Arial"/>
                <w:sz w:val="16"/>
                <w:szCs w:val="16"/>
                <w:color w:val="auto"/>
              </w:rPr>
              <w:t>88.6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ind w:right="23"/>
              <w:spacing w:after="0"/>
              <w:rPr>
                <w:sz w:val="20"/>
                <w:szCs w:val="20"/>
                <w:color w:val="auto"/>
              </w:rPr>
            </w:pPr>
            <w:r>
              <w:rPr>
                <w:rFonts w:ascii="Arial" w:cs="Arial" w:eastAsia="Arial" w:hAnsi="Arial"/>
                <w:sz w:val="16"/>
                <w:szCs w:val="16"/>
                <w:color w:val="auto"/>
              </w:rPr>
              <w:t>98.5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(9.9)</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4"/>
        </w:trPr>
        <w:tc>
          <w:tcPr>
            <w:tcW w:w="4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residential cable revenue</w:t>
            </w: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3,649.6</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3,798.7</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(149.1)</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(74.1)</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89"/>
        </w:trPr>
        <w:tc>
          <w:tcPr>
            <w:tcW w:w="4160" w:type="dxa"/>
            <w:vAlign w:val="bottom"/>
          </w:tcPr>
          <w:p>
            <w:pPr>
              <w:ind w:left="140"/>
              <w:spacing w:after="0"/>
              <w:rPr>
                <w:sz w:val="20"/>
                <w:szCs w:val="20"/>
                <w:color w:val="auto"/>
              </w:rPr>
            </w:pPr>
            <w:r>
              <w:rPr>
                <w:rFonts w:ascii="Arial" w:cs="Arial" w:eastAsia="Arial" w:hAnsi="Arial"/>
                <w:sz w:val="16"/>
                <w:szCs w:val="16"/>
                <w:color w:val="auto"/>
              </w:rPr>
              <w:t>Residential mobile revenue (c):</w:t>
            </w:r>
          </w:p>
        </w:tc>
        <w:tc>
          <w:tcPr>
            <w:tcW w:w="2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4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4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Subscription revenue (b)</w:t>
            </w: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463.2</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459.4</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13.5</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09"/>
        </w:trPr>
        <w:tc>
          <w:tcPr>
            <w:tcW w:w="4160" w:type="dxa"/>
            <w:vAlign w:val="bottom"/>
          </w:tcPr>
          <w:p>
            <w:pPr>
              <w:ind w:left="220"/>
              <w:spacing w:after="0"/>
              <w:rPr>
                <w:sz w:val="20"/>
                <w:szCs w:val="20"/>
                <w:color w:val="auto"/>
              </w:rPr>
            </w:pPr>
            <w:r>
              <w:rPr>
                <w:rFonts w:ascii="Arial" w:cs="Arial" w:eastAsia="Arial" w:hAnsi="Arial"/>
                <w:sz w:val="16"/>
                <w:szCs w:val="16"/>
                <w:color w:val="auto"/>
              </w:rPr>
              <w:t>Non-subscription revenue</w:t>
            </w:r>
          </w:p>
        </w:tc>
        <w:tc>
          <w:tcPr>
            <w:tcW w:w="280" w:type="dxa"/>
            <w:vAlign w:val="bottom"/>
          </w:tcPr>
          <w:p>
            <w:pPr>
              <w:spacing w:after="0"/>
              <w:rPr>
                <w:sz w:val="18"/>
                <w:szCs w:val="18"/>
                <w:color w:val="auto"/>
              </w:rPr>
            </w:pPr>
          </w:p>
        </w:tc>
        <w:tc>
          <w:tcPr>
            <w:tcW w:w="860" w:type="dxa"/>
            <w:vAlign w:val="bottom"/>
          </w:tcPr>
          <w:p>
            <w:pPr>
              <w:jc w:val="right"/>
              <w:ind w:right="24"/>
              <w:spacing w:after="0"/>
              <w:rPr>
                <w:sz w:val="20"/>
                <w:szCs w:val="20"/>
                <w:color w:val="auto"/>
              </w:rPr>
            </w:pPr>
            <w:r>
              <w:rPr>
                <w:rFonts w:ascii="Arial" w:cs="Arial" w:eastAsia="Arial" w:hAnsi="Arial"/>
                <w:sz w:val="16"/>
                <w:szCs w:val="16"/>
                <w:color w:val="auto"/>
              </w:rPr>
              <w:t>275.0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ind w:right="23"/>
              <w:spacing w:after="0"/>
              <w:rPr>
                <w:sz w:val="20"/>
                <w:szCs w:val="20"/>
                <w:color w:val="auto"/>
              </w:rPr>
            </w:pPr>
            <w:r>
              <w:rPr>
                <w:rFonts w:ascii="Arial" w:cs="Arial" w:eastAsia="Arial" w:hAnsi="Arial"/>
                <w:sz w:val="16"/>
                <w:szCs w:val="16"/>
                <w:color w:val="auto"/>
              </w:rPr>
              <w:t>330.0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(55.0)</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(49.7)</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4"/>
        </w:trPr>
        <w:tc>
          <w:tcPr>
            <w:tcW w:w="4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1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Total residential mobile revenue</w:t>
            </w: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738.2</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789.4</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(51.2)</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(36.2)</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01"/>
        </w:trPr>
        <w:tc>
          <w:tcPr>
            <w:tcW w:w="4160" w:type="dxa"/>
            <w:vAlign w:val="bottom"/>
          </w:tcPr>
          <w:p>
            <w:pPr>
              <w:ind w:left="420"/>
              <w:spacing w:after="0"/>
              <w:rPr>
                <w:sz w:val="20"/>
                <w:szCs w:val="20"/>
                <w:color w:val="auto"/>
              </w:rPr>
            </w:pPr>
            <w:r>
              <w:rPr>
                <w:rFonts w:ascii="Arial" w:cs="Arial" w:eastAsia="Arial" w:hAnsi="Arial"/>
                <w:sz w:val="16"/>
                <w:szCs w:val="16"/>
                <w:color w:val="auto"/>
              </w:rPr>
              <w:t>Total residential revenue</w:t>
            </w:r>
          </w:p>
        </w:tc>
        <w:tc>
          <w:tcPr>
            <w:tcW w:w="2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24"/>
              <w:spacing w:after="0"/>
              <w:rPr>
                <w:sz w:val="20"/>
                <w:szCs w:val="20"/>
                <w:color w:val="auto"/>
              </w:rPr>
            </w:pPr>
            <w:r>
              <w:rPr>
                <w:rFonts w:ascii="Arial" w:cs="Arial" w:eastAsia="Arial" w:hAnsi="Arial"/>
                <w:sz w:val="16"/>
                <w:szCs w:val="16"/>
                <w:color w:val="auto"/>
              </w:rPr>
              <w:t>4,387.8</w:t>
            </w: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4,588.1</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(200.3)</w:t>
            </w:r>
          </w:p>
        </w:tc>
        <w:tc>
          <w:tcPr>
            <w:tcW w:w="120" w:type="dxa"/>
            <w:vAlign w:val="bottom"/>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(110.3)</w:t>
            </w:r>
          </w:p>
        </w:tc>
        <w:tc>
          <w:tcPr>
            <w:tcW w:w="100" w:type="dxa"/>
            <w:vAlign w:val="bottom"/>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4"/>
        </w:trPr>
        <w:tc>
          <w:tcPr>
            <w:tcW w:w="4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B2B revenue (d):</w:t>
            </w:r>
          </w:p>
        </w:tc>
        <w:tc>
          <w:tcPr>
            <w:tcW w:w="2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160" w:type="dxa"/>
            <w:vAlign w:val="bottom"/>
          </w:tcPr>
          <w:p>
            <w:pPr>
              <w:ind w:left="140"/>
              <w:spacing w:after="0"/>
              <w:rPr>
                <w:sz w:val="20"/>
                <w:szCs w:val="20"/>
                <w:color w:val="auto"/>
              </w:rPr>
            </w:pPr>
            <w:r>
              <w:rPr>
                <w:rFonts w:ascii="Arial" w:cs="Arial" w:eastAsia="Arial" w:hAnsi="Arial"/>
                <w:sz w:val="16"/>
                <w:szCs w:val="16"/>
                <w:color w:val="auto"/>
              </w:rPr>
              <w:t>Subscription revenue</w:t>
            </w:r>
          </w:p>
        </w:tc>
        <w:tc>
          <w:tcPr>
            <w:tcW w:w="280" w:type="dxa"/>
            <w:vAlign w:val="bottom"/>
          </w:tcPr>
          <w:p>
            <w:pPr>
              <w:spacing w:after="0"/>
              <w:rPr>
                <w:sz w:val="18"/>
                <w:szCs w:val="18"/>
                <w:color w:val="auto"/>
              </w:rPr>
            </w:pPr>
          </w:p>
        </w:tc>
        <w:tc>
          <w:tcPr>
            <w:tcW w:w="860" w:type="dxa"/>
            <w:vAlign w:val="bottom"/>
          </w:tcPr>
          <w:p>
            <w:pPr>
              <w:jc w:val="right"/>
              <w:ind w:right="24"/>
              <w:spacing w:after="0"/>
              <w:rPr>
                <w:sz w:val="20"/>
                <w:szCs w:val="20"/>
                <w:color w:val="auto"/>
              </w:rPr>
            </w:pPr>
            <w:r>
              <w:rPr>
                <w:rFonts w:ascii="Arial" w:cs="Arial" w:eastAsia="Arial" w:hAnsi="Arial"/>
                <w:sz w:val="16"/>
                <w:szCs w:val="16"/>
                <w:color w:val="auto"/>
              </w:rPr>
              <w:t>248.0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ind w:right="23"/>
              <w:spacing w:after="0"/>
              <w:rPr>
                <w:sz w:val="20"/>
                <w:szCs w:val="20"/>
                <w:color w:val="auto"/>
              </w:rPr>
            </w:pPr>
            <w:r>
              <w:rPr>
                <w:rFonts w:ascii="Arial" w:cs="Arial" w:eastAsia="Arial" w:hAnsi="Arial"/>
                <w:sz w:val="16"/>
                <w:szCs w:val="16"/>
                <w:color w:val="auto"/>
              </w:rPr>
              <w:t>230.6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44"/>
              <w:spacing w:after="0"/>
              <w:rPr>
                <w:sz w:val="20"/>
                <w:szCs w:val="20"/>
                <w:color w:val="auto"/>
              </w:rPr>
            </w:pPr>
            <w:r>
              <w:rPr>
                <w:rFonts w:ascii="Arial" w:cs="Arial" w:eastAsia="Arial" w:hAnsi="Arial"/>
                <w:sz w:val="16"/>
                <w:szCs w:val="16"/>
                <w:color w:val="auto"/>
              </w:rPr>
              <w:t>17.4</w:t>
            </w:r>
          </w:p>
        </w:tc>
        <w:tc>
          <w:tcPr>
            <w:tcW w:w="120" w:type="dxa"/>
            <w:vAlign w:val="bottom"/>
          </w:tcPr>
          <w:p>
            <w:pPr>
              <w:spacing w:after="0"/>
              <w:rPr>
                <w:sz w:val="18"/>
                <w:szCs w:val="18"/>
                <w:color w:val="auto"/>
              </w:rPr>
            </w:pPr>
          </w:p>
        </w:tc>
        <w:tc>
          <w:tcPr>
            <w:tcW w:w="1000" w:type="dxa"/>
            <w:vAlign w:val="bottom"/>
          </w:tcPr>
          <w:p>
            <w:pPr>
              <w:jc w:val="right"/>
              <w:ind w:right="23"/>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43"/>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18"/>
                <w:szCs w:val="18"/>
                <w:color w:val="auto"/>
              </w:rPr>
            </w:pP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4"/>
        </w:trPr>
        <w:tc>
          <w:tcPr>
            <w:tcW w:w="4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4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Non-subscription revenue</w:t>
            </w: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687.7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729.2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(41.5)</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01"/>
        </w:trPr>
        <w:tc>
          <w:tcPr>
            <w:tcW w:w="4160" w:type="dxa"/>
            <w:vAlign w:val="bottom"/>
          </w:tcPr>
          <w:p>
            <w:pPr>
              <w:ind w:left="220"/>
              <w:spacing w:after="0"/>
              <w:rPr>
                <w:sz w:val="20"/>
                <w:szCs w:val="20"/>
                <w:color w:val="auto"/>
              </w:rPr>
            </w:pPr>
            <w:r>
              <w:rPr>
                <w:rFonts w:ascii="Arial" w:cs="Arial" w:eastAsia="Arial" w:hAnsi="Arial"/>
                <w:sz w:val="16"/>
                <w:szCs w:val="16"/>
                <w:color w:val="auto"/>
              </w:rPr>
              <w:t>Total B2B revenue</w:t>
            </w:r>
          </w:p>
        </w:tc>
        <w:tc>
          <w:tcPr>
            <w:tcW w:w="2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24"/>
              <w:spacing w:after="0"/>
              <w:rPr>
                <w:sz w:val="20"/>
                <w:szCs w:val="20"/>
                <w:color w:val="auto"/>
              </w:rPr>
            </w:pPr>
            <w:r>
              <w:rPr>
                <w:rFonts w:ascii="Arial" w:cs="Arial" w:eastAsia="Arial" w:hAnsi="Arial"/>
                <w:sz w:val="16"/>
                <w:szCs w:val="16"/>
                <w:color w:val="auto"/>
              </w:rPr>
              <w:t>935.7</w:t>
            </w: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959.8</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(24.1)</w:t>
            </w:r>
          </w:p>
        </w:tc>
        <w:tc>
          <w:tcPr>
            <w:tcW w:w="120" w:type="dxa"/>
            <w:vAlign w:val="bottom"/>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4"/>
        </w:trPr>
        <w:tc>
          <w:tcPr>
            <w:tcW w:w="4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revenue (e)</w:t>
            </w: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275.2</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170.5</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104.7</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61.4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01"/>
        </w:trPr>
        <w:tc>
          <w:tcPr>
            <w:tcW w:w="4160" w:type="dxa"/>
            <w:vAlign w:val="bottom"/>
          </w:tcPr>
          <w:p>
            <w:pPr>
              <w:ind w:left="420"/>
              <w:spacing w:after="0"/>
              <w:rPr>
                <w:sz w:val="20"/>
                <w:szCs w:val="20"/>
                <w:color w:val="auto"/>
              </w:rPr>
            </w:pPr>
            <w:r>
              <w:rPr>
                <w:rFonts w:ascii="Arial" w:cs="Arial" w:eastAsia="Arial" w:hAnsi="Arial"/>
                <w:sz w:val="16"/>
                <w:szCs w:val="16"/>
                <w:color w:val="auto"/>
              </w:rPr>
              <w:t>Total</w:t>
            </w:r>
          </w:p>
        </w:tc>
        <w:tc>
          <w:tcPr>
            <w:tcW w:w="280" w:type="dxa"/>
            <w:vAlign w:val="bottom"/>
            <w:tcBorders>
              <w:top w:val="single" w:sz="8" w:color="auto"/>
            </w:tcBorders>
          </w:tcPr>
          <w:p>
            <w:pPr>
              <w:jc w:val="right"/>
              <w:ind w:right="82"/>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24"/>
              <w:spacing w:after="0"/>
              <w:rPr>
                <w:sz w:val="20"/>
                <w:szCs w:val="20"/>
                <w:color w:val="auto"/>
              </w:rPr>
            </w:pPr>
            <w:r>
              <w:rPr>
                <w:rFonts w:ascii="Arial" w:cs="Arial" w:eastAsia="Arial" w:hAnsi="Arial"/>
                <w:sz w:val="16"/>
                <w:szCs w:val="16"/>
                <w:color w:val="auto"/>
              </w:rPr>
              <w:t>5,598.7</w:t>
            </w:r>
          </w:p>
        </w:tc>
        <w:tc>
          <w:tcPr>
            <w:tcW w:w="120" w:type="dxa"/>
            <w:vAlign w:val="bottom"/>
          </w:tcPr>
          <w:p>
            <w:pPr>
              <w:spacing w:after="0"/>
              <w:rPr>
                <w:sz w:val="17"/>
                <w:szCs w:val="17"/>
                <w:color w:val="auto"/>
              </w:rPr>
            </w:pPr>
          </w:p>
        </w:tc>
        <w:tc>
          <w:tcPr>
            <w:tcW w:w="320" w:type="dxa"/>
            <w:vAlign w:val="bottom"/>
            <w:tcBorders>
              <w:top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5,718.4</w:t>
            </w:r>
          </w:p>
        </w:tc>
        <w:tc>
          <w:tcPr>
            <w:tcW w:w="1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(119.7)</w:t>
            </w:r>
          </w:p>
        </w:tc>
        <w:tc>
          <w:tcPr>
            <w:tcW w:w="120" w:type="dxa"/>
            <w:vAlign w:val="bottom"/>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(126.7)</w:t>
            </w:r>
          </w:p>
        </w:tc>
        <w:tc>
          <w:tcPr>
            <w:tcW w:w="100" w:type="dxa"/>
            <w:vAlign w:val="bottom"/>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4"/>
        </w:trPr>
        <w:tc>
          <w:tcPr>
            <w:tcW w:w="4160" w:type="dxa"/>
            <w:vAlign w:val="bottom"/>
            <w:vMerge w:val="restart"/>
          </w:tcPr>
          <w:p>
            <w:pPr>
              <w:spacing w:after="0"/>
              <w:rPr>
                <w:sz w:val="20"/>
                <w:szCs w:val="20"/>
                <w:color w:val="auto"/>
              </w:rPr>
            </w:pPr>
            <w:r>
              <w:rPr>
                <w:rFonts w:ascii="Arial" w:cs="Arial" w:eastAsia="Arial" w:hAnsi="Arial"/>
                <w:sz w:val="16"/>
                <w:szCs w:val="16"/>
                <w:color w:val="auto"/>
              </w:rPr>
              <w:t>_______________</w:t>
            </w: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6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416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427" w:hanging="427"/>
        <w:spacing w:after="0" w:line="329" w:lineRule="auto"/>
        <w:tabs>
          <w:tab w:leader="none" w:pos="427" w:val="left"/>
        </w:tabs>
        <w:numPr>
          <w:ilvl w:val="0"/>
          <w:numId w:val="55"/>
        </w:numPr>
        <w:rPr>
          <w:rFonts w:ascii="Arial" w:cs="Arial" w:eastAsia="Arial" w:hAnsi="Arial"/>
          <w:sz w:val="14"/>
          <w:szCs w:val="14"/>
          <w:color w:val="auto"/>
        </w:rPr>
      </w:pPr>
      <w:r>
        <w:rPr>
          <w:rFonts w:ascii="Arial" w:cs="Arial" w:eastAsia="Arial" w:hAnsi="Arial"/>
          <w:sz w:val="14"/>
          <w:szCs w:val="14"/>
          <w:color w:val="auto"/>
        </w:rPr>
        <w:t>Residential cable subscription revenue includes amounts received from subscribers for ongoing services and the recognition of deferred installation revenue over the associated contract period. Residential cable non-subscription revenue includes, among other items, channel carriage fees, late fees and revenue from the sale of equipment.</w:t>
      </w:r>
    </w:p>
    <w:p>
      <w:pPr>
        <w:spacing w:after="0" w:line="117" w:lineRule="exact"/>
        <w:rPr>
          <w:rFonts w:ascii="Arial" w:cs="Arial" w:eastAsia="Arial" w:hAnsi="Arial"/>
          <w:sz w:val="14"/>
          <w:szCs w:val="14"/>
          <w:color w:val="auto"/>
        </w:rPr>
      </w:pPr>
    </w:p>
    <w:p>
      <w:pPr>
        <w:jc w:val="both"/>
        <w:ind w:left="427" w:right="20" w:hanging="427"/>
        <w:spacing w:after="0" w:line="250" w:lineRule="auto"/>
        <w:tabs>
          <w:tab w:leader="none" w:pos="427" w:val="left"/>
        </w:tabs>
        <w:numPr>
          <w:ilvl w:val="0"/>
          <w:numId w:val="55"/>
        </w:numPr>
        <w:rPr>
          <w:rFonts w:ascii="Arial" w:cs="Arial" w:eastAsia="Arial" w:hAnsi="Arial"/>
          <w:sz w:val="16"/>
          <w:szCs w:val="16"/>
          <w:color w:val="auto"/>
        </w:rPr>
      </w:pPr>
      <w:r>
        <w:rPr>
          <w:rFonts w:ascii="Arial" w:cs="Arial" w:eastAsia="Arial" w:hAnsi="Arial"/>
          <w:sz w:val="16"/>
          <w:szCs w:val="16"/>
          <w:color w:val="auto"/>
        </w:rPr>
        <w:t>Residential subscription revenue from subscribers who purchase bundled services at a discounted rate is generally allocated proportionally to each service based on the standalone price for each individual service. As a result, changes in the standalone pricing of our cable and mobile products or the composition of bundles can contribute to changes in our product revenue categories from period to period.</w:t>
      </w:r>
    </w:p>
    <w:p>
      <w:pPr>
        <w:spacing w:after="0" w:line="169" w:lineRule="exact"/>
        <w:rPr>
          <w:rFonts w:ascii="Arial" w:cs="Arial" w:eastAsia="Arial" w:hAnsi="Arial"/>
          <w:sz w:val="16"/>
          <w:szCs w:val="16"/>
          <w:color w:val="auto"/>
        </w:rPr>
      </w:pPr>
    </w:p>
    <w:p>
      <w:pPr>
        <w:jc w:val="both"/>
        <w:ind w:left="427" w:hanging="427"/>
        <w:spacing w:after="0" w:line="303" w:lineRule="auto"/>
        <w:tabs>
          <w:tab w:leader="none" w:pos="427" w:val="left"/>
        </w:tabs>
        <w:numPr>
          <w:ilvl w:val="0"/>
          <w:numId w:val="55"/>
        </w:numPr>
        <w:rPr>
          <w:rFonts w:ascii="Arial" w:cs="Arial" w:eastAsia="Arial" w:hAnsi="Arial"/>
          <w:sz w:val="14"/>
          <w:szCs w:val="14"/>
          <w:color w:val="auto"/>
        </w:rPr>
      </w:pPr>
      <w:r>
        <w:rPr>
          <w:rFonts w:ascii="Arial" w:cs="Arial" w:eastAsia="Arial" w:hAnsi="Arial"/>
          <w:sz w:val="14"/>
          <w:szCs w:val="14"/>
          <w:color w:val="auto"/>
        </w:rPr>
        <w:t>Residential mobile subscription revenue includes amounts received from subscribers for ongoing services. Residential mobile non-subscription revenue includes, among other items, interconnect revenue and revenue from sales of mobile handsets and other devices. Residential mobile interconnect revenue was $48.9 million and $64.4 million during the three months ended June 30, 2020 and 2019, respectively, and $108.5 million and $125.4 million during the six months ended June 30, 2020 and 2019, respectively.</w:t>
      </w:r>
    </w:p>
    <w:p>
      <w:pPr>
        <w:spacing w:after="0" w:line="134" w:lineRule="exact"/>
        <w:rPr>
          <w:rFonts w:ascii="Arial" w:cs="Arial" w:eastAsia="Arial" w:hAnsi="Arial"/>
          <w:sz w:val="14"/>
          <w:szCs w:val="14"/>
          <w:color w:val="auto"/>
        </w:rPr>
      </w:pPr>
    </w:p>
    <w:p>
      <w:pPr>
        <w:jc w:val="both"/>
        <w:ind w:left="427" w:hanging="427"/>
        <w:spacing w:after="0" w:line="290" w:lineRule="auto"/>
        <w:tabs>
          <w:tab w:leader="none" w:pos="427" w:val="left"/>
        </w:tabs>
        <w:numPr>
          <w:ilvl w:val="0"/>
          <w:numId w:val="55"/>
        </w:numPr>
        <w:rPr>
          <w:rFonts w:ascii="Arial" w:cs="Arial" w:eastAsia="Arial" w:hAnsi="Arial"/>
          <w:sz w:val="14"/>
          <w:szCs w:val="14"/>
          <w:color w:val="auto"/>
        </w:rPr>
      </w:pPr>
      <w:r>
        <w:rPr>
          <w:rFonts w:ascii="Arial" w:cs="Arial" w:eastAsia="Arial" w:hAnsi="Arial"/>
          <w:sz w:val="14"/>
          <w:szCs w:val="14"/>
          <w:color w:val="auto"/>
        </w:rPr>
        <w:t>B2B subscription revenue represents revenue from SOHO subscribers. SOHO subscribers pay a premium price to receive expanded service levels along with broadband internet, video fixed-line telephony or mobile services that are the same or similar to the mass marketed products offered to our residential subscribers. A portion of the increase in our B2B subscription revenue is attributable to the conversion of certain residential subscribers to SOHO subscribers. B2B non-subscription revenue includes (i) revenue from business broadband internet, video, fixed-line telephony, mobile and data services offered to medium to large enterprises and, on a wholesale basis, to other operators and (ii) revenue from long-term leases of portions of our network.</w:t>
      </w:r>
    </w:p>
    <w:p>
      <w:pPr>
        <w:spacing w:after="0" w:line="144" w:lineRule="exact"/>
        <w:rPr>
          <w:rFonts w:ascii="Arial" w:cs="Arial" w:eastAsia="Arial" w:hAnsi="Arial"/>
          <w:sz w:val="14"/>
          <w:szCs w:val="14"/>
          <w:color w:val="auto"/>
        </w:rPr>
      </w:pPr>
    </w:p>
    <w:p>
      <w:pPr>
        <w:ind w:left="427" w:right="20" w:hanging="427"/>
        <w:spacing w:after="0" w:line="258" w:lineRule="auto"/>
        <w:tabs>
          <w:tab w:leader="none" w:pos="427" w:val="left"/>
        </w:tabs>
        <w:numPr>
          <w:ilvl w:val="0"/>
          <w:numId w:val="55"/>
        </w:numPr>
        <w:rPr>
          <w:rFonts w:ascii="Arial" w:cs="Arial" w:eastAsia="Arial" w:hAnsi="Arial"/>
          <w:sz w:val="16"/>
          <w:szCs w:val="16"/>
          <w:color w:val="auto"/>
        </w:rPr>
      </w:pPr>
      <w:r>
        <w:rPr>
          <w:rFonts w:ascii="Arial" w:cs="Arial" w:eastAsia="Arial" w:hAnsi="Arial"/>
          <w:sz w:val="16"/>
          <w:szCs w:val="16"/>
          <w:color w:val="auto"/>
        </w:rPr>
        <w:t>Other revenue includes, among other items, (i) revenue earned from transitional and other services provided to various third parties, (ii) revenue earned from the JV Services and the sale of customer premises equipment to the VodafoneZiggo JV and (iii) broadcasting revenue in Belgium and Ireland.</w:t>
      </w:r>
    </w:p>
    <w:p>
      <w:pPr>
        <w:spacing w:after="0" w:line="163"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267"/>
          </w:cols>
          <w:pgMar w:left="313" w:top="453" w:right="319" w:bottom="1440" w:gutter="0" w:footer="0" w:header="0"/>
        </w:sectPr>
      </w:pPr>
    </w:p>
    <w:bookmarkStart w:id="64" w:name="page65"/>
    <w:bookmarkEnd w:id="64"/>
    <w:p>
      <w:pPr>
        <w:jc w:val="both"/>
        <w:ind w:firstLine="279"/>
        <w:spacing w:after="0" w:line="248" w:lineRule="auto"/>
        <w:rPr>
          <w:sz w:val="20"/>
          <w:szCs w:val="20"/>
          <w:color w:val="auto"/>
        </w:rPr>
      </w:pPr>
      <w:r>
        <w:rPr>
          <w:rFonts w:ascii="Arial" w:cs="Arial" w:eastAsia="Arial" w:hAnsi="Arial"/>
          <w:sz w:val="16"/>
          <w:szCs w:val="16"/>
          <w:i w:val="1"/>
          <w:iCs w:val="1"/>
          <w:color w:val="auto"/>
        </w:rPr>
        <w:t xml:space="preserve">Total revenue. </w:t>
      </w:r>
      <w:r>
        <w:rPr>
          <w:rFonts w:ascii="Arial" w:cs="Arial" w:eastAsia="Arial" w:hAnsi="Arial"/>
          <w:sz w:val="16"/>
          <w:szCs w:val="16"/>
          <w:color w:val="auto"/>
        </w:rPr>
        <w:t>Our consolidated revenue decreased $127.5 million or 4.5% and $119.7 million or 2.1% during the three and six months ended June 30, 2020, respectively, as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corresponding periods in 2019. These decreases include (i) increases of $13.9 million and $42.8 million, respectively, attributable to the impact of the De Vijver Media Acquisition and (ii) a decrease of $2.8 million in each period attributable to the impact of a disposition. On an organic basis, our consolidated revenue decreased $115.6 million or 4.0% and $126.7 million or 2.2%, respectively.</w:t>
      </w:r>
    </w:p>
    <w:p>
      <w:pPr>
        <w:spacing w:after="0" w:line="170" w:lineRule="exact"/>
        <w:rPr>
          <w:sz w:val="20"/>
          <w:szCs w:val="20"/>
          <w:color w:val="auto"/>
        </w:rPr>
      </w:pPr>
    </w:p>
    <w:p>
      <w:pPr>
        <w:jc w:val="both"/>
        <w:ind w:firstLine="279"/>
        <w:spacing w:after="0" w:line="258" w:lineRule="auto"/>
        <w:rPr>
          <w:sz w:val="20"/>
          <w:szCs w:val="20"/>
          <w:color w:val="auto"/>
        </w:rPr>
      </w:pPr>
      <w:r>
        <w:rPr>
          <w:rFonts w:ascii="Arial" w:cs="Arial" w:eastAsia="Arial" w:hAnsi="Arial"/>
          <w:sz w:val="16"/>
          <w:szCs w:val="16"/>
          <w:i w:val="1"/>
          <w:iCs w:val="1"/>
          <w:color w:val="auto"/>
        </w:rPr>
        <w:t xml:space="preserve">Residential revenue. </w:t>
      </w:r>
      <w:r>
        <w:rPr>
          <w:rFonts w:ascii="Arial" w:cs="Arial" w:eastAsia="Arial" w:hAnsi="Arial"/>
          <w:sz w:val="16"/>
          <w:szCs w:val="16"/>
          <w:color w:val="auto"/>
        </w:rPr>
        <w:t>The details of the decreases in our consolidated residential revenue for the three and six months ended June 30, 2020, as compared to the corresponding</w:t>
      </w:r>
      <w:r>
        <w:rPr>
          <w:rFonts w:ascii="Arial" w:cs="Arial" w:eastAsia="Arial" w:hAnsi="Arial"/>
          <w:sz w:val="16"/>
          <w:szCs w:val="16"/>
          <w:i w:val="1"/>
          <w:iCs w:val="1"/>
          <w:color w:val="auto"/>
        </w:rPr>
        <w:t xml:space="preserve"> </w:t>
      </w:r>
      <w:r>
        <w:rPr>
          <w:rFonts w:ascii="Arial" w:cs="Arial" w:eastAsia="Arial" w:hAnsi="Arial"/>
          <w:sz w:val="16"/>
          <w:szCs w:val="16"/>
          <w:color w:val="auto"/>
        </w:rPr>
        <w:t>periods in 2019, are as follows:</w:t>
      </w:r>
    </w:p>
    <w:p>
      <w:pPr>
        <w:spacing w:after="0" w:line="126" w:lineRule="exact"/>
        <w:rPr>
          <w:sz w:val="20"/>
          <w:szCs w:val="20"/>
          <w:color w:val="auto"/>
        </w:rPr>
      </w:pPr>
    </w:p>
    <w:p>
      <w:pPr>
        <w:ind w:left="8520"/>
        <w:spacing w:after="0"/>
        <w:tabs>
          <w:tab w:leader="none" w:pos="10060" w:val="left"/>
        </w:tabs>
        <w:rPr>
          <w:sz w:val="20"/>
          <w:szCs w:val="20"/>
          <w:color w:val="auto"/>
        </w:rPr>
      </w:pPr>
      <w:r>
        <w:rPr>
          <w:rFonts w:ascii="Arial" w:cs="Arial" w:eastAsia="Arial" w:hAnsi="Arial"/>
          <w:sz w:val="14"/>
          <w:szCs w:val="14"/>
          <w:b w:val="1"/>
          <w:bCs w:val="1"/>
          <w:color w:val="auto"/>
        </w:rPr>
        <w:t>Three-month period</w:t>
      </w:r>
      <w:r>
        <w:rPr>
          <w:sz w:val="20"/>
          <w:szCs w:val="20"/>
          <w:color w:val="auto"/>
        </w:rPr>
        <w:tab/>
      </w:r>
      <w:r>
        <w:rPr>
          <w:rFonts w:ascii="Arial" w:cs="Arial" w:eastAsia="Arial" w:hAnsi="Arial"/>
          <w:sz w:val="12"/>
          <w:szCs w:val="12"/>
          <w:b w:val="1"/>
          <w:bCs w:val="1"/>
          <w:color w:val="auto"/>
        </w:rPr>
        <w:t>Six-month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5366385</wp:posOffset>
            </wp:positionH>
            <wp:positionV relativeFrom="paragraph">
              <wp:posOffset>31115</wp:posOffset>
            </wp:positionV>
            <wp:extent cx="178054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80540" cy="7620"/>
                    </a:xfrm>
                    <a:prstGeom prst="rect">
                      <a:avLst/>
                    </a:prstGeom>
                    <a:noFill/>
                  </pic:spPr>
                </pic:pic>
              </a:graphicData>
            </a:graphic>
          </wp:anchor>
        </w:drawing>
      </w:r>
    </w:p>
    <w:p>
      <w:pPr>
        <w:spacing w:after="0" w:line="52" w:lineRule="exact"/>
        <w:rPr>
          <w:sz w:val="20"/>
          <w:szCs w:val="20"/>
          <w:color w:val="auto"/>
        </w:rPr>
      </w:pPr>
    </w:p>
    <w:p>
      <w:pPr>
        <w:ind w:left="9560"/>
        <w:spacing w:after="0"/>
        <w:rPr>
          <w:sz w:val="20"/>
          <w:szCs w:val="20"/>
          <w:color w:val="auto"/>
        </w:rPr>
      </w:pPr>
      <w:r>
        <w:rPr>
          <w:rFonts w:ascii="Arial" w:cs="Arial" w:eastAsia="Arial" w:hAnsi="Arial"/>
          <w:sz w:val="14"/>
          <w:szCs w:val="14"/>
          <w:b w:val="1"/>
          <w:bCs w:val="1"/>
          <w:color w:val="auto"/>
        </w:rPr>
        <w:t>in millions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Decrease in residential cable subscription revenue due to change in:</w:t>
            </w:r>
          </w:p>
        </w:tc>
        <w:tc>
          <w:tcPr>
            <w:tcW w:w="4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09"/>
        </w:trPr>
        <w:tc>
          <w:tcPr>
            <w:tcW w:w="8460" w:type="dxa"/>
            <w:vAlign w:val="bottom"/>
          </w:tcPr>
          <w:p>
            <w:pPr>
              <w:ind w:left="140"/>
              <w:spacing w:after="0"/>
              <w:rPr>
                <w:sz w:val="20"/>
                <w:szCs w:val="20"/>
                <w:color w:val="auto"/>
              </w:rPr>
            </w:pPr>
            <w:r>
              <w:rPr>
                <w:rFonts w:ascii="Arial" w:cs="Arial" w:eastAsia="Arial" w:hAnsi="Arial"/>
                <w:sz w:val="16"/>
                <w:szCs w:val="16"/>
                <w:color w:val="auto"/>
              </w:rPr>
              <w:t>Average number of customers</w:t>
            </w:r>
          </w:p>
        </w:tc>
        <w:tc>
          <w:tcPr>
            <w:tcW w:w="460" w:type="dxa"/>
            <w:vAlign w:val="bottom"/>
          </w:tcPr>
          <w:p>
            <w:pPr>
              <w:jc w:val="right"/>
              <w:ind w:right="282"/>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(22.3)</w:t>
            </w:r>
          </w:p>
        </w:tc>
        <w:tc>
          <w:tcPr>
            <w:tcW w:w="100" w:type="dxa"/>
            <w:vAlign w:val="bottom"/>
          </w:tcPr>
          <w:p>
            <w:pPr>
              <w:spacing w:after="0"/>
              <w:rPr>
                <w:sz w:val="18"/>
                <w:szCs w:val="18"/>
                <w:color w:val="auto"/>
              </w:rPr>
            </w:pPr>
          </w:p>
        </w:tc>
        <w:tc>
          <w:tcPr>
            <w:tcW w:w="460" w:type="dxa"/>
            <w:vAlign w:val="bottom"/>
          </w:tcPr>
          <w:p>
            <w:pPr>
              <w:jc w:val="right"/>
              <w:ind w:right="282"/>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(46.4)</w:t>
            </w:r>
          </w:p>
        </w:tc>
      </w:tr>
      <w:tr>
        <w:trPr>
          <w:trHeight w:val="24"/>
        </w:trPr>
        <w:tc>
          <w:tcPr>
            <w:tcW w:w="8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13"/>
        </w:trPr>
        <w:tc>
          <w:tcPr>
            <w:tcW w:w="8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ARPU</w:t>
            </w:r>
          </w:p>
        </w:tc>
        <w:tc>
          <w:tcPr>
            <w:tcW w:w="4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(25.7)</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w:t>
            </w:r>
          </w:p>
        </w:tc>
      </w:tr>
      <w:tr>
        <w:trPr>
          <w:trHeight w:val="209"/>
        </w:trPr>
        <w:tc>
          <w:tcPr>
            <w:tcW w:w="8460" w:type="dxa"/>
            <w:vAlign w:val="bottom"/>
          </w:tcPr>
          <w:p>
            <w:pPr>
              <w:ind w:left="20"/>
              <w:spacing w:after="0"/>
              <w:rPr>
                <w:sz w:val="20"/>
                <w:szCs w:val="20"/>
                <w:color w:val="auto"/>
              </w:rPr>
            </w:pPr>
            <w:r>
              <w:rPr>
                <w:rFonts w:ascii="Arial" w:cs="Arial" w:eastAsia="Arial" w:hAnsi="Arial"/>
                <w:sz w:val="16"/>
                <w:szCs w:val="16"/>
                <w:color w:val="auto"/>
              </w:rPr>
              <w:t>Decrease in residential cable non-subscription revenue</w:t>
            </w:r>
          </w:p>
        </w:tc>
        <w:tc>
          <w:tcPr>
            <w:tcW w:w="460" w:type="dxa"/>
            <w:vAlign w:val="bottom"/>
          </w:tcPr>
          <w:p>
            <w:pPr>
              <w:spacing w:after="0"/>
              <w:rPr>
                <w:sz w:val="18"/>
                <w:szCs w:val="18"/>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(8.9)</w:t>
            </w:r>
          </w:p>
        </w:tc>
      </w:tr>
      <w:tr>
        <w:trPr>
          <w:trHeight w:val="24"/>
        </w:trPr>
        <w:tc>
          <w:tcPr>
            <w:tcW w:w="84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4"/>
        </w:trPr>
        <w:tc>
          <w:tcPr>
            <w:tcW w:w="8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decrease in residential cable revenue</w:t>
            </w:r>
          </w:p>
        </w:tc>
        <w:tc>
          <w:tcPr>
            <w:tcW w:w="4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(56.6)</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(74.1)</w:t>
            </w:r>
          </w:p>
        </w:tc>
      </w:tr>
      <w:tr>
        <w:trPr>
          <w:trHeight w:val="209"/>
        </w:trPr>
        <w:tc>
          <w:tcPr>
            <w:tcW w:w="8460" w:type="dxa"/>
            <w:vAlign w:val="bottom"/>
          </w:tcPr>
          <w:p>
            <w:pPr>
              <w:ind w:left="20"/>
              <w:spacing w:after="0"/>
              <w:rPr>
                <w:sz w:val="20"/>
                <w:szCs w:val="20"/>
                <w:color w:val="auto"/>
              </w:rPr>
            </w:pPr>
            <w:r>
              <w:rPr>
                <w:rFonts w:ascii="Arial" w:cs="Arial" w:eastAsia="Arial" w:hAnsi="Arial"/>
                <w:sz w:val="16"/>
                <w:szCs w:val="16"/>
                <w:color w:val="auto"/>
              </w:rPr>
              <w:t>Increase in residential mobile subscription revenue</w:t>
            </w:r>
          </w:p>
        </w:tc>
        <w:tc>
          <w:tcPr>
            <w:tcW w:w="460" w:type="dxa"/>
            <w:vAlign w:val="bottom"/>
          </w:tcPr>
          <w:p>
            <w:pPr>
              <w:spacing w:after="0"/>
              <w:rPr>
                <w:sz w:val="18"/>
                <w:szCs w:val="18"/>
                <w:color w:val="auto"/>
              </w:rPr>
            </w:pPr>
          </w:p>
        </w:tc>
        <w:tc>
          <w:tcPr>
            <w:tcW w:w="900" w:type="dxa"/>
            <w:vAlign w:val="bottom"/>
          </w:tcPr>
          <w:p>
            <w:pPr>
              <w:jc w:val="right"/>
              <w:ind w:right="42"/>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13.5</w:t>
            </w:r>
          </w:p>
        </w:tc>
      </w:tr>
      <w:tr>
        <w:trPr>
          <w:trHeight w:val="24"/>
        </w:trPr>
        <w:tc>
          <w:tcPr>
            <w:tcW w:w="8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3"/>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Decrease in residential mobile non-subscription revenue</w:t>
            </w: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(40.9)</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(49.7)</w:t>
            </w:r>
          </w:p>
        </w:tc>
      </w:tr>
      <w:tr>
        <w:trPr>
          <w:trHeight w:val="201"/>
        </w:trPr>
        <w:tc>
          <w:tcPr>
            <w:tcW w:w="8460" w:type="dxa"/>
            <w:vAlign w:val="bottom"/>
          </w:tcPr>
          <w:p>
            <w:pPr>
              <w:ind w:left="340"/>
              <w:spacing w:after="0"/>
              <w:rPr>
                <w:sz w:val="20"/>
                <w:szCs w:val="20"/>
                <w:color w:val="auto"/>
              </w:rPr>
            </w:pPr>
            <w:r>
              <w:rPr>
                <w:rFonts w:ascii="Arial" w:cs="Arial" w:eastAsia="Arial" w:hAnsi="Arial"/>
                <w:sz w:val="16"/>
                <w:szCs w:val="16"/>
                <w:color w:val="auto"/>
              </w:rPr>
              <w:t>Total organic decrease in residential revenue</w:t>
            </w:r>
          </w:p>
        </w:tc>
        <w:tc>
          <w:tcPr>
            <w:tcW w:w="4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(96.8)</w:t>
            </w:r>
          </w:p>
        </w:tc>
        <w:tc>
          <w:tcPr>
            <w:tcW w:w="10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(110.3)</w:t>
            </w:r>
          </w:p>
        </w:tc>
      </w:tr>
      <w:tr>
        <w:trPr>
          <w:trHeight w:val="24"/>
        </w:trPr>
        <w:tc>
          <w:tcPr>
            <w:tcW w:w="8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13"/>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Impact of acquisitions and dispositions</w:t>
            </w:r>
          </w:p>
        </w:tc>
        <w:tc>
          <w:tcPr>
            <w:tcW w:w="4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09"/>
        </w:trPr>
        <w:tc>
          <w:tcPr>
            <w:tcW w:w="8460" w:type="dxa"/>
            <w:vAlign w:val="bottom"/>
          </w:tcPr>
          <w:p>
            <w:pPr>
              <w:ind w:left="20"/>
              <w:spacing w:after="0"/>
              <w:rPr>
                <w:sz w:val="20"/>
                <w:szCs w:val="20"/>
                <w:color w:val="auto"/>
              </w:rPr>
            </w:pPr>
            <w:r>
              <w:rPr>
                <w:rFonts w:ascii="Arial" w:cs="Arial" w:eastAsia="Arial" w:hAnsi="Arial"/>
                <w:sz w:val="16"/>
                <w:szCs w:val="16"/>
                <w:color w:val="auto"/>
              </w:rPr>
              <w:t>Impact of FX</w:t>
            </w:r>
          </w:p>
        </w:tc>
        <w:tc>
          <w:tcPr>
            <w:tcW w:w="460" w:type="dxa"/>
            <w:vAlign w:val="bottom"/>
          </w:tcPr>
          <w:p>
            <w:pPr>
              <w:spacing w:after="0"/>
              <w:rPr>
                <w:sz w:val="18"/>
                <w:szCs w:val="18"/>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(51.5)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(87.1)</w:t>
            </w:r>
          </w:p>
        </w:tc>
      </w:tr>
      <w:tr>
        <w:trPr>
          <w:trHeight w:val="24"/>
        </w:trPr>
        <w:tc>
          <w:tcPr>
            <w:tcW w:w="84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8"/>
        </w:trPr>
        <w:tc>
          <w:tcPr>
            <w:tcW w:w="8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decrease in residential revenue</w:t>
            </w:r>
          </w:p>
        </w:tc>
        <w:tc>
          <w:tcPr>
            <w:tcW w:w="460" w:type="dxa"/>
            <w:vAlign w:val="bottom"/>
            <w:tcBorders>
              <w:bottom w:val="single" w:sz="8" w:color="auto"/>
            </w:tcBorders>
            <w:shd w:val="clear" w:color="auto" w:fill="CCEEFF"/>
          </w:tcPr>
          <w:p>
            <w:pPr>
              <w:jc w:val="right"/>
              <w:ind w:right="282"/>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(150.2)</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82"/>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(200.3)</w:t>
            </w:r>
          </w:p>
        </w:tc>
      </w:tr>
      <w:tr>
        <w:trPr>
          <w:trHeight w:val="20"/>
        </w:trPr>
        <w:tc>
          <w:tcPr>
            <w:tcW w:w="84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jc w:val="both"/>
        <w:ind w:right="20" w:firstLine="279"/>
        <w:spacing w:after="0" w:line="329" w:lineRule="auto"/>
        <w:rPr>
          <w:sz w:val="20"/>
          <w:szCs w:val="20"/>
          <w:color w:val="auto"/>
        </w:rPr>
      </w:pPr>
      <w:r>
        <w:rPr>
          <w:rFonts w:ascii="Arial" w:cs="Arial" w:eastAsia="Arial" w:hAnsi="Arial"/>
          <w:sz w:val="14"/>
          <w:szCs w:val="14"/>
          <w:color w:val="auto"/>
        </w:rPr>
        <w:t xml:space="preserve">On an organic basis, our consolidated residential cable subscription revenue decreased $48.0 million or 2.6% and $65.2 million or 1.8% during the three and six months ended June 30, 2020, respectively, as compared to the corresponding periods in 2019. These decreases are primarily attributable to decreases in Switzerland and </w:t>
      </w:r>
      <w:r>
        <w:rPr>
          <w:rFonts w:ascii="Arial" w:cs="Arial" w:eastAsia="Arial" w:hAnsi="Arial"/>
          <w:sz w:val="14"/>
          <w:szCs w:val="14"/>
          <w:color w:val="2C2C2C"/>
        </w:rPr>
        <w:t>U.K./Ireland</w:t>
      </w:r>
      <w:r>
        <w:rPr>
          <w:rFonts w:ascii="Arial" w:cs="Arial" w:eastAsia="Arial" w:hAnsi="Arial"/>
          <w:sz w:val="14"/>
          <w:szCs w:val="14"/>
          <w:color w:val="auto"/>
        </w:rPr>
        <w:t>.</w:t>
      </w:r>
    </w:p>
    <w:p>
      <w:pPr>
        <w:spacing w:after="0" w:line="117" w:lineRule="exact"/>
        <w:rPr>
          <w:sz w:val="20"/>
          <w:szCs w:val="20"/>
          <w:color w:val="auto"/>
        </w:rPr>
      </w:pPr>
    </w:p>
    <w:p>
      <w:pPr>
        <w:jc w:val="both"/>
        <w:ind w:firstLine="279"/>
        <w:spacing w:after="0" w:line="329" w:lineRule="auto"/>
        <w:rPr>
          <w:sz w:val="20"/>
          <w:szCs w:val="20"/>
          <w:color w:val="auto"/>
        </w:rPr>
      </w:pPr>
      <w:r>
        <w:rPr>
          <w:rFonts w:ascii="Arial" w:cs="Arial" w:eastAsia="Arial" w:hAnsi="Arial"/>
          <w:sz w:val="14"/>
          <w:szCs w:val="14"/>
          <w:color w:val="auto"/>
        </w:rPr>
        <w:t xml:space="preserve">On an organic basis, our consolidated residential cable non-subscription revenue decreased $8.6 million or 19.3% and $8.9 million or 9.1% during the three and six months ended June 30, 2020, respectively, as compared to the corresponding periods in 2019. These decreases are primarily due to decreases in </w:t>
      </w:r>
      <w:r>
        <w:rPr>
          <w:rFonts w:ascii="Arial" w:cs="Arial" w:eastAsia="Arial" w:hAnsi="Arial"/>
          <w:sz w:val="14"/>
          <w:szCs w:val="14"/>
          <w:color w:val="2C2C2C"/>
        </w:rPr>
        <w:t>U.K./Ireland</w:t>
      </w:r>
      <w:r>
        <w:rPr>
          <w:rFonts w:ascii="Arial" w:cs="Arial" w:eastAsia="Arial" w:hAnsi="Arial"/>
          <w:sz w:val="14"/>
          <w:szCs w:val="14"/>
          <w:color w:val="auto"/>
        </w:rPr>
        <w:t xml:space="preserve"> and Belgium.</w:t>
      </w:r>
    </w:p>
    <w:p>
      <w:pPr>
        <w:spacing w:after="0" w:line="117" w:lineRule="exact"/>
        <w:rPr>
          <w:sz w:val="20"/>
          <w:szCs w:val="20"/>
          <w:color w:val="auto"/>
        </w:rPr>
      </w:pPr>
    </w:p>
    <w:p>
      <w:pPr>
        <w:jc w:val="both"/>
        <w:ind w:firstLine="279"/>
        <w:spacing w:after="0" w:line="250" w:lineRule="auto"/>
        <w:rPr>
          <w:sz w:val="20"/>
          <w:szCs w:val="20"/>
          <w:color w:val="auto"/>
        </w:rPr>
      </w:pPr>
      <w:r>
        <w:rPr>
          <w:rFonts w:ascii="Arial" w:cs="Arial" w:eastAsia="Arial" w:hAnsi="Arial"/>
          <w:sz w:val="16"/>
          <w:szCs w:val="16"/>
          <w:color w:val="auto"/>
        </w:rPr>
        <w:t>On an organic basis, our consolidated residential mobile subscription revenue increased $0.7 million or 0.3% and $13.5 million or 2.9% during the three and six months ended June 30, 2020, respectively, as compared to the corresponding periods in 2019. These increases are primarily attributable to increases in Switzerland and, for the six-month comparison, Belgium.</w:t>
      </w:r>
    </w:p>
    <w:p>
      <w:pPr>
        <w:spacing w:after="0" w:line="170" w:lineRule="exact"/>
        <w:rPr>
          <w:sz w:val="20"/>
          <w:szCs w:val="20"/>
          <w:color w:val="auto"/>
        </w:rPr>
      </w:pPr>
    </w:p>
    <w:p>
      <w:pPr>
        <w:jc w:val="both"/>
        <w:ind w:firstLine="279"/>
        <w:spacing w:after="0" w:line="329" w:lineRule="auto"/>
        <w:rPr>
          <w:sz w:val="20"/>
          <w:szCs w:val="20"/>
          <w:color w:val="auto"/>
        </w:rPr>
      </w:pPr>
      <w:r>
        <w:rPr>
          <w:rFonts w:ascii="Arial" w:cs="Arial" w:eastAsia="Arial" w:hAnsi="Arial"/>
          <w:sz w:val="14"/>
          <w:szCs w:val="14"/>
          <w:color w:val="auto"/>
        </w:rPr>
        <w:t xml:space="preserve">On an organic basis, our consolidated residential mobile non-subscription revenue decreased $40.9 million or 23.6% and $49.7 million or 15.1% during the three and six months ended June 30, 2020, respectively, as compared to the corresponding periods in 2019. These decreases are primarily attributable to decreases in </w:t>
      </w:r>
      <w:r>
        <w:rPr>
          <w:rFonts w:ascii="Arial" w:cs="Arial" w:eastAsia="Arial" w:hAnsi="Arial"/>
          <w:sz w:val="14"/>
          <w:szCs w:val="14"/>
          <w:color w:val="2C2C2C"/>
        </w:rPr>
        <w:t>U.K./Ireland</w:t>
      </w:r>
      <w:r>
        <w:rPr>
          <w:rFonts w:ascii="Arial" w:cs="Arial" w:eastAsia="Arial" w:hAnsi="Arial"/>
          <w:sz w:val="14"/>
          <w:szCs w:val="14"/>
          <w:color w:val="auto"/>
        </w:rPr>
        <w:t xml:space="preserve"> and Belgium.</w:t>
      </w:r>
    </w:p>
    <w:p>
      <w:pPr>
        <w:spacing w:after="0" w:line="117" w:lineRule="exact"/>
        <w:rPr>
          <w:sz w:val="20"/>
          <w:szCs w:val="20"/>
          <w:color w:val="auto"/>
        </w:rPr>
      </w:pPr>
    </w:p>
    <w:p>
      <w:pPr>
        <w:jc w:val="both"/>
        <w:ind w:right="20" w:firstLine="279"/>
        <w:spacing w:after="0" w:line="329" w:lineRule="auto"/>
        <w:rPr>
          <w:sz w:val="20"/>
          <w:szCs w:val="20"/>
          <w:color w:val="auto"/>
        </w:rPr>
      </w:pPr>
      <w:r>
        <w:rPr>
          <w:rFonts w:ascii="Arial" w:cs="Arial" w:eastAsia="Arial" w:hAnsi="Arial"/>
          <w:sz w:val="14"/>
          <w:szCs w:val="14"/>
          <w:i w:val="1"/>
          <w:iCs w:val="1"/>
          <w:color w:val="auto"/>
        </w:rPr>
        <w:t xml:space="preserve">B2B revenue. </w:t>
      </w:r>
      <w:r>
        <w:rPr>
          <w:rFonts w:ascii="Arial" w:cs="Arial" w:eastAsia="Arial" w:hAnsi="Arial"/>
          <w:sz w:val="14"/>
          <w:szCs w:val="14"/>
          <w:color w:val="auto"/>
        </w:rPr>
        <w:t>On an organic basis, our consolidated B2B subscription revenue increased $9.8 million or 8.4% and $23.8 million or 10.3% during the three and six months ended</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June 30, 2020, respectively, as compared to the corresponding periods in 2019. These increases are primarily attributable to increases in Belgium and </w:t>
      </w:r>
      <w:r>
        <w:rPr>
          <w:rFonts w:ascii="Arial" w:cs="Arial" w:eastAsia="Arial" w:hAnsi="Arial"/>
          <w:sz w:val="14"/>
          <w:szCs w:val="14"/>
          <w:color w:val="2C2C2C"/>
        </w:rPr>
        <w:t>U.K./Ireland</w:t>
      </w:r>
      <w:r>
        <w:rPr>
          <w:rFonts w:ascii="Arial" w:cs="Arial" w:eastAsia="Arial" w:hAnsi="Arial"/>
          <w:sz w:val="14"/>
          <w:szCs w:val="14"/>
          <w:color w:val="auto"/>
        </w:rPr>
        <w:t>.</w:t>
      </w:r>
    </w:p>
    <w:p>
      <w:pPr>
        <w:spacing w:after="0" w:line="117" w:lineRule="exact"/>
        <w:rPr>
          <w:sz w:val="20"/>
          <w:szCs w:val="20"/>
          <w:color w:val="auto"/>
        </w:rPr>
      </w:pPr>
    </w:p>
    <w:p>
      <w:pPr>
        <w:jc w:val="both"/>
        <w:ind w:firstLine="279"/>
        <w:spacing w:after="0" w:line="329" w:lineRule="auto"/>
        <w:rPr>
          <w:sz w:val="20"/>
          <w:szCs w:val="20"/>
          <w:color w:val="auto"/>
        </w:rPr>
      </w:pPr>
      <w:r>
        <w:rPr>
          <w:rFonts w:ascii="Arial" w:cs="Arial" w:eastAsia="Arial" w:hAnsi="Arial"/>
          <w:sz w:val="14"/>
          <w:szCs w:val="14"/>
          <w:color w:val="auto"/>
        </w:rPr>
        <w:t xml:space="preserve">On an organic basis, our consolidated B2B non-subscription revenue decreased $12.4 million or 3.5% and $27.1 million or 3.7% during the three and six months ended June 30, 2020, respectively, as compared to the corresponding periods in 2019. These decreases are primarily due to decreases in </w:t>
      </w:r>
      <w:r>
        <w:rPr>
          <w:rFonts w:ascii="Arial" w:cs="Arial" w:eastAsia="Arial" w:hAnsi="Arial"/>
          <w:sz w:val="14"/>
          <w:szCs w:val="14"/>
          <w:color w:val="2C2C2C"/>
        </w:rPr>
        <w:t>U.K./Ireland</w:t>
      </w:r>
      <w:r>
        <w:rPr>
          <w:rFonts w:ascii="Arial" w:cs="Arial" w:eastAsia="Arial" w:hAnsi="Arial"/>
          <w:sz w:val="14"/>
          <w:szCs w:val="14"/>
          <w:color w:val="auto"/>
        </w:rPr>
        <w:t xml:space="preserve"> and Belgium.</w:t>
      </w:r>
    </w:p>
    <w:p>
      <w:pPr>
        <w:spacing w:after="0" w:line="117" w:lineRule="exact"/>
        <w:rPr>
          <w:sz w:val="20"/>
          <w:szCs w:val="20"/>
          <w:color w:val="auto"/>
        </w:rPr>
      </w:pPr>
    </w:p>
    <w:p>
      <w:pPr>
        <w:jc w:val="both"/>
        <w:ind w:firstLine="279"/>
        <w:spacing w:after="0" w:line="303" w:lineRule="auto"/>
        <w:rPr>
          <w:sz w:val="20"/>
          <w:szCs w:val="20"/>
          <w:color w:val="auto"/>
        </w:rPr>
      </w:pPr>
      <w:r>
        <w:rPr>
          <w:rFonts w:ascii="Arial" w:cs="Arial" w:eastAsia="Arial" w:hAnsi="Arial"/>
          <w:sz w:val="14"/>
          <w:szCs w:val="14"/>
          <w:i w:val="1"/>
          <w:iCs w:val="1"/>
          <w:color w:val="auto"/>
        </w:rPr>
        <w:t xml:space="preserve">Other revenue. </w:t>
      </w:r>
      <w:r>
        <w:rPr>
          <w:rFonts w:ascii="Arial" w:cs="Arial" w:eastAsia="Arial" w:hAnsi="Arial"/>
          <w:sz w:val="14"/>
          <w:szCs w:val="14"/>
          <w:color w:val="auto"/>
        </w:rPr>
        <w:t>On an organic basis, our consolidated other revenue decreased $16.2 million or 11.4% and $13.1 million or 4.5% during the three and six months ended June 30,</w:t>
      </w:r>
      <w:r>
        <w:rPr>
          <w:rFonts w:ascii="Arial" w:cs="Arial" w:eastAsia="Arial" w:hAnsi="Arial"/>
          <w:sz w:val="14"/>
          <w:szCs w:val="14"/>
          <w:i w:val="1"/>
          <w:iCs w:val="1"/>
          <w:color w:val="auto"/>
        </w:rPr>
        <w:t xml:space="preserve"> </w:t>
      </w:r>
      <w:r>
        <w:rPr>
          <w:rFonts w:ascii="Arial" w:cs="Arial" w:eastAsia="Arial" w:hAnsi="Arial"/>
          <w:sz w:val="14"/>
          <w:szCs w:val="14"/>
          <w:color w:val="auto"/>
        </w:rPr>
        <w:t>2020, respectively, as compared to the corresponding periods in 2019. These decreases are primarily attributable to (i) lower broadcasting revenue in Ireland and (ii) decreases in revenue earned from the JV Services and, for the three-month comparison, sales of customer premises equipment to the VodafoneZiggo JV.</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260"/>
          </w:cols>
          <w:pgMar w:left="320" w:top="501" w:right="319" w:bottom="1440" w:gutter="0" w:footer="0" w:header="0"/>
        </w:sectPr>
      </w:pPr>
    </w:p>
    <w:bookmarkStart w:id="65" w:name="page66"/>
    <w:bookmarkEnd w:id="65"/>
    <w:p>
      <w:pPr>
        <w:ind w:left="280"/>
        <w:spacing w:after="0"/>
        <w:rPr>
          <w:sz w:val="20"/>
          <w:szCs w:val="20"/>
          <w:color w:val="auto"/>
        </w:rPr>
      </w:pPr>
      <w:r>
        <w:rPr>
          <w:rFonts w:ascii="Arial" w:cs="Arial" w:eastAsia="Arial" w:hAnsi="Arial"/>
          <w:sz w:val="14"/>
          <w:szCs w:val="14"/>
          <w:color w:val="auto"/>
        </w:rPr>
        <w:t xml:space="preserve">For additional information concerning the changes in our residential, B2B and other revenue, see </w:t>
      </w:r>
      <w:r>
        <w:rPr>
          <w:rFonts w:ascii="Arial" w:cs="Arial" w:eastAsia="Arial" w:hAnsi="Arial"/>
          <w:sz w:val="14"/>
          <w:szCs w:val="14"/>
          <w:i w:val="1"/>
          <w:iCs w:val="1"/>
          <w:color w:val="auto"/>
        </w:rPr>
        <w:t>Discussion and Analysis of our Reportable Segments</w:t>
      </w:r>
      <w:r>
        <w:rPr>
          <w:rFonts w:ascii="Arial" w:cs="Arial" w:eastAsia="Arial" w:hAnsi="Arial"/>
          <w:sz w:val="14"/>
          <w:szCs w:val="14"/>
          <w:color w:val="auto"/>
        </w:rPr>
        <w:t xml:space="preserve"> above.</w:t>
      </w:r>
    </w:p>
    <w:p>
      <w:pPr>
        <w:spacing w:after="0" w:line="211"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Programming and other direct costs of services</w:t>
      </w:r>
    </w:p>
    <w:p>
      <w:pPr>
        <w:spacing w:after="0" w:line="188" w:lineRule="exact"/>
        <w:rPr>
          <w:sz w:val="20"/>
          <w:szCs w:val="20"/>
          <w:color w:val="auto"/>
        </w:rPr>
      </w:pPr>
    </w:p>
    <w:p>
      <w:pPr>
        <w:jc w:val="both"/>
        <w:ind w:firstLine="279"/>
        <w:spacing w:after="0" w:line="248" w:lineRule="auto"/>
        <w:rPr>
          <w:sz w:val="20"/>
          <w:szCs w:val="20"/>
          <w:color w:val="auto"/>
        </w:rPr>
      </w:pPr>
      <w:r>
        <w:rPr>
          <w:rFonts w:ascii="Arial" w:cs="Arial" w:eastAsia="Arial" w:hAnsi="Arial"/>
          <w:sz w:val="16"/>
          <w:szCs w:val="16"/>
          <w:color w:val="auto"/>
        </w:rPr>
        <w:t>Programming and other direct costs of services include programming and copyright costs, interconnect and access costs, costs of mobile handsets and other devices and other direct costs related to our operations. Programming and copyright costs represent a significant portion of our operating costs and are subject to rise in future periods due to various factors, including (i) higher costs associated with the expansion of our digital video content, including rights associated with ancillary product offerings and rights that provide for the broadcast of live sporting events and (ii) rate increases.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9"/>
              </w:rPr>
              <w:t>Three months ended June 30,</w:t>
            </w:r>
          </w:p>
        </w:tc>
        <w:tc>
          <w:tcPr>
            <w:tcW w:w="160" w:type="dxa"/>
            <w:vAlign w:val="bottom"/>
          </w:tcPr>
          <w:p>
            <w:pPr>
              <w:spacing w:after="0"/>
              <w:rPr>
                <w:sz w:val="15"/>
                <w:szCs w:val="15"/>
                <w:color w:val="auto"/>
              </w:rPr>
            </w:pPr>
          </w:p>
        </w:tc>
        <w:tc>
          <w:tcPr>
            <w:tcW w:w="2300" w:type="dxa"/>
            <w:vAlign w:val="bottom"/>
            <w:gridSpan w:val="4"/>
          </w:tcPr>
          <w:p>
            <w:pPr>
              <w:ind w:left="460"/>
              <w:spacing w:after="0"/>
              <w:rPr>
                <w:sz w:val="20"/>
                <w:szCs w:val="20"/>
                <w:color w:val="auto"/>
              </w:rPr>
            </w:pPr>
            <w:r>
              <w:rPr>
                <w:rFonts w:ascii="Arial" w:cs="Arial" w:eastAsia="Arial" w:hAnsi="Arial"/>
                <w:sz w:val="14"/>
                <w:szCs w:val="14"/>
                <w:b w:val="1"/>
                <w:bCs w:val="1"/>
                <w:color w:val="auto"/>
              </w:rPr>
              <w:t>Increase (decrease)</w:t>
            </w:r>
          </w:p>
        </w:tc>
        <w:tc>
          <w:tcPr>
            <w:tcW w:w="240" w:type="dxa"/>
            <w:vAlign w:val="bottom"/>
          </w:tcPr>
          <w:p>
            <w:pPr>
              <w:spacing w:after="0"/>
              <w:rPr>
                <w:sz w:val="15"/>
                <w:szCs w:val="15"/>
                <w:color w:val="auto"/>
              </w:rPr>
            </w:pPr>
          </w:p>
        </w:tc>
        <w:tc>
          <w:tcPr>
            <w:tcW w:w="2100" w:type="dxa"/>
            <w:vAlign w:val="bottom"/>
            <w:gridSpan w:val="3"/>
          </w:tcPr>
          <w:p>
            <w:pPr>
              <w:jc w:val="right"/>
              <w:ind w:right="263"/>
              <w:spacing w:after="0"/>
              <w:rPr>
                <w:sz w:val="20"/>
                <w:szCs w:val="20"/>
                <w:color w:val="auto"/>
              </w:rPr>
            </w:pPr>
            <w:r>
              <w:rPr>
                <w:rFonts w:ascii="Arial" w:cs="Arial" w:eastAsia="Arial" w:hAnsi="Arial"/>
                <w:sz w:val="14"/>
                <w:szCs w:val="14"/>
                <w:b w:val="1"/>
                <w:bCs w:val="1"/>
                <w:color w:val="auto"/>
                <w:w w:val="92"/>
              </w:rPr>
              <w:t>Organic increase (decrease)</w:t>
            </w:r>
          </w:p>
        </w:tc>
        <w:tc>
          <w:tcPr>
            <w:tcW w:w="0" w:type="dxa"/>
            <w:vAlign w:val="bottom"/>
          </w:tcPr>
          <w:p>
            <w:pPr>
              <w:spacing w:after="0"/>
              <w:rPr>
                <w:sz w:val="1"/>
                <w:szCs w:val="1"/>
                <w:color w:val="auto"/>
              </w:rPr>
            </w:pPr>
          </w:p>
        </w:tc>
      </w:tr>
      <w:tr>
        <w:trPr>
          <w:trHeight w:val="28"/>
        </w:trPr>
        <w:tc>
          <w:tcPr>
            <w:tcW w:w="39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3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36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ind w:right="36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465"/>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120" w:type="dxa"/>
            <w:vAlign w:val="bottom"/>
          </w:tcPr>
          <w:p>
            <w:pPr>
              <w:jc w:val="right"/>
              <w:ind w:right="40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44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120" w:type="dxa"/>
            <w:vAlign w:val="bottom"/>
          </w:tcPr>
          <w:p>
            <w:pPr>
              <w:jc w:val="right"/>
              <w:ind w:right="42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8"/>
        </w:trPr>
        <w:tc>
          <w:tcPr>
            <w:tcW w:w="39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4"/>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3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00" w:type="dxa"/>
            <w:vAlign w:val="bottom"/>
            <w:gridSpan w:val="4"/>
          </w:tcPr>
          <w:p>
            <w:pPr>
              <w:ind w:left="80"/>
              <w:spacing w:after="0"/>
              <w:rPr>
                <w:sz w:val="20"/>
                <w:szCs w:val="20"/>
                <w:color w:val="auto"/>
              </w:rPr>
            </w:pPr>
            <w:r>
              <w:rPr>
                <w:rFonts w:ascii="Arial" w:cs="Arial" w:eastAsia="Arial" w:hAnsi="Arial"/>
                <w:sz w:val="14"/>
                <w:szCs w:val="14"/>
                <w:b w:val="1"/>
                <w:bCs w:val="1"/>
                <w:color w:val="auto"/>
              </w:rPr>
              <w:t>in millions, except percentages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U.K./Ireland</w:t>
            </w:r>
          </w:p>
        </w:tc>
        <w:tc>
          <w:tcPr>
            <w:tcW w:w="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456.7</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504.1</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6"/>
                <w:szCs w:val="16"/>
                <w:color w:val="auto"/>
              </w:rPr>
              <w:t>(47.4)</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09"/>
        </w:trPr>
        <w:tc>
          <w:tcPr>
            <w:tcW w:w="3940" w:type="dxa"/>
            <w:vAlign w:val="bottom"/>
          </w:tcPr>
          <w:p>
            <w:pPr>
              <w:ind w:left="20"/>
              <w:spacing w:after="0"/>
              <w:rPr>
                <w:sz w:val="20"/>
                <w:szCs w:val="20"/>
                <w:color w:val="auto"/>
              </w:rPr>
            </w:pPr>
            <w:r>
              <w:rPr>
                <w:rFonts w:ascii="Arial" w:cs="Arial" w:eastAsia="Arial" w:hAnsi="Arial"/>
                <w:sz w:val="16"/>
                <w:szCs w:val="16"/>
                <w:color w:val="auto"/>
              </w:rPr>
              <w:t>Belgium</w:t>
            </w:r>
          </w:p>
        </w:tc>
        <w:tc>
          <w:tcPr>
            <w:tcW w:w="220" w:type="dxa"/>
            <w:vAlign w:val="bottom"/>
          </w:tcPr>
          <w:p>
            <w:pPr>
              <w:spacing w:after="0"/>
              <w:rPr>
                <w:sz w:val="18"/>
                <w:szCs w:val="18"/>
                <w:color w:val="auto"/>
              </w:rPr>
            </w:pPr>
          </w:p>
        </w:tc>
        <w:tc>
          <w:tcPr>
            <w:tcW w:w="920" w:type="dxa"/>
            <w:vAlign w:val="bottom"/>
          </w:tcPr>
          <w:p>
            <w:pPr>
              <w:jc w:val="right"/>
              <w:ind w:right="44"/>
              <w:spacing w:after="0"/>
              <w:rPr>
                <w:sz w:val="20"/>
                <w:szCs w:val="20"/>
                <w:color w:val="auto"/>
              </w:rPr>
            </w:pPr>
            <w:r>
              <w:rPr>
                <w:rFonts w:ascii="Arial" w:cs="Arial" w:eastAsia="Arial" w:hAnsi="Arial"/>
                <w:sz w:val="16"/>
                <w:szCs w:val="16"/>
                <w:color w:val="auto"/>
              </w:rPr>
              <w:t>142.4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ind w:right="43"/>
              <w:spacing w:after="0"/>
              <w:rPr>
                <w:sz w:val="20"/>
                <w:szCs w:val="20"/>
                <w:color w:val="auto"/>
              </w:rPr>
            </w:pPr>
            <w:r>
              <w:rPr>
                <w:rFonts w:ascii="Arial" w:cs="Arial" w:eastAsia="Arial" w:hAnsi="Arial"/>
                <w:sz w:val="16"/>
                <w:szCs w:val="16"/>
                <w:color w:val="auto"/>
              </w:rPr>
              <w:t>166.4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5"/>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(34.2)</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24"/>
        </w:trPr>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Switzerland</w:t>
            </w: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54.7</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63.5</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6"/>
                <w:szCs w:val="16"/>
                <w:color w:val="auto"/>
              </w:rPr>
              <w:t>(8.8)</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09"/>
        </w:trPr>
        <w:tc>
          <w:tcPr>
            <w:tcW w:w="3940" w:type="dxa"/>
            <w:vAlign w:val="bottom"/>
          </w:tcPr>
          <w:p>
            <w:pPr>
              <w:ind w:left="20"/>
              <w:spacing w:after="0"/>
              <w:rPr>
                <w:sz w:val="20"/>
                <w:szCs w:val="20"/>
                <w:color w:val="auto"/>
              </w:rPr>
            </w:pPr>
            <w:r>
              <w:rPr>
                <w:rFonts w:ascii="Arial" w:cs="Arial" w:eastAsia="Arial" w:hAnsi="Arial"/>
                <w:sz w:val="16"/>
                <w:szCs w:val="16"/>
                <w:color w:val="auto"/>
              </w:rPr>
              <w:t>Central and Eastern Europe</w:t>
            </w:r>
          </w:p>
        </w:tc>
        <w:tc>
          <w:tcPr>
            <w:tcW w:w="220" w:type="dxa"/>
            <w:vAlign w:val="bottom"/>
          </w:tcPr>
          <w:p>
            <w:pPr>
              <w:spacing w:after="0"/>
              <w:rPr>
                <w:sz w:val="18"/>
                <w:szCs w:val="18"/>
                <w:color w:val="auto"/>
              </w:rPr>
            </w:pPr>
          </w:p>
        </w:tc>
        <w:tc>
          <w:tcPr>
            <w:tcW w:w="920" w:type="dxa"/>
            <w:vAlign w:val="bottom"/>
          </w:tcPr>
          <w:p>
            <w:pPr>
              <w:jc w:val="right"/>
              <w:ind w:right="44"/>
              <w:spacing w:after="0"/>
              <w:rPr>
                <w:sz w:val="20"/>
                <w:szCs w:val="20"/>
                <w:color w:val="auto"/>
              </w:rPr>
            </w:pPr>
            <w:r>
              <w:rPr>
                <w:rFonts w:ascii="Arial" w:cs="Arial" w:eastAsia="Arial" w:hAnsi="Arial"/>
                <w:sz w:val="16"/>
                <w:szCs w:val="16"/>
                <w:color w:val="auto"/>
              </w:rPr>
              <w:t>30.4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ind w:right="43"/>
              <w:spacing w:after="0"/>
              <w:rPr>
                <w:sz w:val="20"/>
                <w:szCs w:val="20"/>
                <w:color w:val="auto"/>
              </w:rPr>
            </w:pPr>
            <w:r>
              <w:rPr>
                <w:rFonts w:ascii="Arial" w:cs="Arial" w:eastAsia="Arial" w:hAnsi="Arial"/>
                <w:sz w:val="16"/>
                <w:szCs w:val="16"/>
                <w:color w:val="auto"/>
              </w:rPr>
              <w:t>30.0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45"/>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8"/>
                <w:szCs w:val="18"/>
                <w:color w:val="auto"/>
              </w:rPr>
            </w:pP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44"/>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4"/>
        </w:trPr>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Central and Corporate</w:t>
            </w: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31.9</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22.9</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9.0</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39.3</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9.2</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38.8</w:t>
            </w:r>
          </w:p>
        </w:tc>
        <w:tc>
          <w:tcPr>
            <w:tcW w:w="0" w:type="dxa"/>
            <w:vAlign w:val="bottom"/>
          </w:tcPr>
          <w:p>
            <w:pPr>
              <w:spacing w:after="0"/>
              <w:rPr>
                <w:sz w:val="1"/>
                <w:szCs w:val="1"/>
                <w:color w:val="auto"/>
              </w:rPr>
            </w:pPr>
          </w:p>
        </w:tc>
      </w:tr>
      <w:tr>
        <w:trPr>
          <w:trHeight w:val="209"/>
        </w:trPr>
        <w:tc>
          <w:tcPr>
            <w:tcW w:w="3940" w:type="dxa"/>
            <w:vAlign w:val="bottom"/>
          </w:tcPr>
          <w:p>
            <w:pPr>
              <w:ind w:left="20"/>
              <w:spacing w:after="0"/>
              <w:rPr>
                <w:sz w:val="20"/>
                <w:szCs w:val="20"/>
                <w:color w:val="auto"/>
              </w:rPr>
            </w:pPr>
            <w:r>
              <w:rPr>
                <w:rFonts w:ascii="Arial" w:cs="Arial" w:eastAsia="Arial" w:hAnsi="Arial"/>
                <w:sz w:val="16"/>
                <w:szCs w:val="16"/>
                <w:color w:val="auto"/>
              </w:rPr>
              <w:t>Intersegment eliminations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ind w:right="3"/>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5"/>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8"/>
                <w:szCs w:val="18"/>
                <w:color w:val="auto"/>
              </w:rPr>
            </w:pPr>
          </w:p>
        </w:tc>
        <w:tc>
          <w:tcPr>
            <w:tcW w:w="1220" w:type="dxa"/>
            <w:vAlign w:val="bottom"/>
            <w:gridSpan w:val="2"/>
          </w:tcPr>
          <w:p>
            <w:pPr>
              <w:ind w:left="700"/>
              <w:spacing w:after="0"/>
              <w:rPr>
                <w:sz w:val="20"/>
                <w:szCs w:val="20"/>
                <w:color w:val="auto"/>
              </w:rPr>
            </w:pPr>
            <w:r>
              <w:rPr>
                <w:rFonts w:ascii="Arial" w:cs="Arial" w:eastAsia="Arial" w:hAnsi="Arial"/>
                <w:sz w:val="16"/>
                <w:szCs w:val="16"/>
                <w:color w:val="auto"/>
              </w:rPr>
              <w:t>N.M.</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8"/>
                <w:szCs w:val="18"/>
                <w:color w:val="auto"/>
              </w:rPr>
            </w:pP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4"/>
        </w:trPr>
        <w:tc>
          <w:tcPr>
            <w:tcW w:w="3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715.0</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786.3</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6"/>
                <w:szCs w:val="16"/>
                <w:color w:val="auto"/>
              </w:rPr>
              <w:t>(71.3)</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(65.5)</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7"/>
              </w:rPr>
              <w:t>Six months ended</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3"/>
          </w:tcPr>
          <w:p>
            <w:pPr>
              <w:jc w:val="center"/>
              <w:ind w:left="564"/>
              <w:spacing w:after="0"/>
              <w:rPr>
                <w:sz w:val="20"/>
                <w:szCs w:val="20"/>
                <w:color w:val="auto"/>
              </w:rPr>
            </w:pPr>
            <w:r>
              <w:rPr>
                <w:rFonts w:ascii="Arial" w:cs="Arial" w:eastAsia="Arial" w:hAnsi="Arial"/>
                <w:sz w:val="14"/>
                <w:szCs w:val="14"/>
                <w:b w:val="1"/>
                <w:bCs w:val="1"/>
                <w:color w:val="auto"/>
                <w:w w:val="89"/>
              </w:rPr>
              <w:t>June 30,</w:t>
            </w: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00" w:type="dxa"/>
            <w:vAlign w:val="bottom"/>
            <w:gridSpan w:val="4"/>
          </w:tcPr>
          <w:p>
            <w:pPr>
              <w:ind w:left="460"/>
              <w:spacing w:after="0"/>
              <w:rPr>
                <w:sz w:val="20"/>
                <w:szCs w:val="20"/>
                <w:color w:val="auto"/>
              </w:rPr>
            </w:pPr>
            <w:r>
              <w:rPr>
                <w:rFonts w:ascii="Arial" w:cs="Arial" w:eastAsia="Arial" w:hAnsi="Arial"/>
                <w:sz w:val="14"/>
                <w:szCs w:val="14"/>
                <w:b w:val="1"/>
                <w:bCs w:val="1"/>
                <w:color w:val="auto"/>
              </w:rPr>
              <w:t>Increase (decrease)</w:t>
            </w:r>
          </w:p>
        </w:tc>
        <w:tc>
          <w:tcPr>
            <w:tcW w:w="240" w:type="dxa"/>
            <w:vAlign w:val="bottom"/>
          </w:tcPr>
          <w:p>
            <w:pPr>
              <w:spacing w:after="0"/>
              <w:rPr>
                <w:sz w:val="15"/>
                <w:szCs w:val="15"/>
                <w:color w:val="auto"/>
              </w:rPr>
            </w:pPr>
          </w:p>
        </w:tc>
        <w:tc>
          <w:tcPr>
            <w:tcW w:w="2100" w:type="dxa"/>
            <w:vAlign w:val="bottom"/>
            <w:gridSpan w:val="3"/>
          </w:tcPr>
          <w:p>
            <w:pPr>
              <w:jc w:val="right"/>
              <w:ind w:right="263"/>
              <w:spacing w:after="0"/>
              <w:rPr>
                <w:sz w:val="20"/>
                <w:szCs w:val="20"/>
                <w:color w:val="auto"/>
              </w:rPr>
            </w:pPr>
            <w:r>
              <w:rPr>
                <w:rFonts w:ascii="Arial" w:cs="Arial" w:eastAsia="Arial" w:hAnsi="Arial"/>
                <w:sz w:val="14"/>
                <w:szCs w:val="14"/>
                <w:b w:val="1"/>
                <w:bCs w:val="1"/>
                <w:color w:val="auto"/>
                <w:w w:val="92"/>
              </w:rPr>
              <w:t>Organic increase (decrease)</w:t>
            </w:r>
          </w:p>
        </w:tc>
        <w:tc>
          <w:tcPr>
            <w:tcW w:w="0" w:type="dxa"/>
            <w:vAlign w:val="bottom"/>
          </w:tcPr>
          <w:p>
            <w:pPr>
              <w:spacing w:after="0"/>
              <w:rPr>
                <w:sz w:val="1"/>
                <w:szCs w:val="1"/>
                <w:color w:val="auto"/>
              </w:rPr>
            </w:pPr>
          </w:p>
        </w:tc>
      </w:tr>
      <w:tr>
        <w:trPr>
          <w:trHeight w:val="28"/>
        </w:trPr>
        <w:tc>
          <w:tcPr>
            <w:tcW w:w="39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3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36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ind w:right="36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465"/>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120" w:type="dxa"/>
            <w:vAlign w:val="bottom"/>
          </w:tcPr>
          <w:p>
            <w:pPr>
              <w:jc w:val="right"/>
              <w:ind w:right="40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44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120" w:type="dxa"/>
            <w:vAlign w:val="bottom"/>
          </w:tcPr>
          <w:p>
            <w:pPr>
              <w:jc w:val="right"/>
              <w:ind w:right="42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8"/>
        </w:trPr>
        <w:tc>
          <w:tcPr>
            <w:tcW w:w="39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4"/>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3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00" w:type="dxa"/>
            <w:vAlign w:val="bottom"/>
            <w:gridSpan w:val="4"/>
          </w:tcPr>
          <w:p>
            <w:pPr>
              <w:ind w:left="80"/>
              <w:spacing w:after="0"/>
              <w:rPr>
                <w:sz w:val="20"/>
                <w:szCs w:val="20"/>
                <w:color w:val="auto"/>
              </w:rPr>
            </w:pPr>
            <w:r>
              <w:rPr>
                <w:rFonts w:ascii="Arial" w:cs="Arial" w:eastAsia="Arial" w:hAnsi="Arial"/>
                <w:sz w:val="14"/>
                <w:szCs w:val="14"/>
                <w:b w:val="1"/>
                <w:bCs w:val="1"/>
                <w:color w:val="auto"/>
              </w:rPr>
              <w:t>in millions, except percentages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U.K./Ireland</w:t>
            </w:r>
          </w:p>
        </w:tc>
        <w:tc>
          <w:tcPr>
            <w:tcW w:w="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973.2</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1,024.4</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6"/>
                <w:szCs w:val="16"/>
                <w:color w:val="auto"/>
              </w:rPr>
              <w:t>(51.2)</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9"/>
        </w:trPr>
        <w:tc>
          <w:tcPr>
            <w:tcW w:w="3940" w:type="dxa"/>
            <w:vAlign w:val="bottom"/>
          </w:tcPr>
          <w:p>
            <w:pPr>
              <w:ind w:left="20"/>
              <w:spacing w:after="0"/>
              <w:rPr>
                <w:sz w:val="20"/>
                <w:szCs w:val="20"/>
                <w:color w:val="auto"/>
              </w:rPr>
            </w:pPr>
            <w:r>
              <w:rPr>
                <w:rFonts w:ascii="Arial" w:cs="Arial" w:eastAsia="Arial" w:hAnsi="Arial"/>
                <w:sz w:val="16"/>
                <w:szCs w:val="16"/>
                <w:color w:val="auto"/>
              </w:rPr>
              <w:t>Belgium</w:t>
            </w:r>
          </w:p>
        </w:tc>
        <w:tc>
          <w:tcPr>
            <w:tcW w:w="220" w:type="dxa"/>
            <w:vAlign w:val="bottom"/>
          </w:tcPr>
          <w:p>
            <w:pPr>
              <w:spacing w:after="0"/>
              <w:rPr>
                <w:sz w:val="18"/>
                <w:szCs w:val="18"/>
                <w:color w:val="auto"/>
              </w:rPr>
            </w:pPr>
          </w:p>
        </w:tc>
        <w:tc>
          <w:tcPr>
            <w:tcW w:w="920" w:type="dxa"/>
            <w:vAlign w:val="bottom"/>
          </w:tcPr>
          <w:p>
            <w:pPr>
              <w:jc w:val="right"/>
              <w:ind w:right="44"/>
              <w:spacing w:after="0"/>
              <w:rPr>
                <w:sz w:val="20"/>
                <w:szCs w:val="20"/>
                <w:color w:val="auto"/>
              </w:rPr>
            </w:pPr>
            <w:r>
              <w:rPr>
                <w:rFonts w:ascii="Arial" w:cs="Arial" w:eastAsia="Arial" w:hAnsi="Arial"/>
                <w:sz w:val="16"/>
                <w:szCs w:val="16"/>
                <w:color w:val="auto"/>
              </w:rPr>
              <w:t>331.3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ind w:right="43"/>
              <w:spacing w:after="0"/>
              <w:rPr>
                <w:sz w:val="20"/>
                <w:szCs w:val="20"/>
                <w:color w:val="auto"/>
              </w:rPr>
            </w:pPr>
            <w:r>
              <w:rPr>
                <w:rFonts w:ascii="Arial" w:cs="Arial" w:eastAsia="Arial" w:hAnsi="Arial"/>
                <w:sz w:val="16"/>
                <w:szCs w:val="16"/>
                <w:color w:val="auto"/>
              </w:rPr>
              <w:t>333.4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5"/>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(26.5)</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4"/>
        </w:trPr>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Switzerland</w:t>
            </w: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140.9</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128.1</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12.8</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09"/>
        </w:trPr>
        <w:tc>
          <w:tcPr>
            <w:tcW w:w="3940" w:type="dxa"/>
            <w:vAlign w:val="bottom"/>
          </w:tcPr>
          <w:p>
            <w:pPr>
              <w:ind w:left="20"/>
              <w:spacing w:after="0"/>
              <w:rPr>
                <w:sz w:val="20"/>
                <w:szCs w:val="20"/>
                <w:color w:val="auto"/>
              </w:rPr>
            </w:pPr>
            <w:r>
              <w:rPr>
                <w:rFonts w:ascii="Arial" w:cs="Arial" w:eastAsia="Arial" w:hAnsi="Arial"/>
                <w:sz w:val="16"/>
                <w:szCs w:val="16"/>
                <w:color w:val="auto"/>
              </w:rPr>
              <w:t>Central and Eastern Europe</w:t>
            </w:r>
          </w:p>
        </w:tc>
        <w:tc>
          <w:tcPr>
            <w:tcW w:w="220" w:type="dxa"/>
            <w:vAlign w:val="bottom"/>
          </w:tcPr>
          <w:p>
            <w:pPr>
              <w:spacing w:after="0"/>
              <w:rPr>
                <w:sz w:val="18"/>
                <w:szCs w:val="18"/>
                <w:color w:val="auto"/>
              </w:rPr>
            </w:pPr>
          </w:p>
        </w:tc>
        <w:tc>
          <w:tcPr>
            <w:tcW w:w="920" w:type="dxa"/>
            <w:vAlign w:val="bottom"/>
          </w:tcPr>
          <w:p>
            <w:pPr>
              <w:jc w:val="right"/>
              <w:ind w:right="44"/>
              <w:spacing w:after="0"/>
              <w:rPr>
                <w:sz w:val="20"/>
                <w:szCs w:val="20"/>
                <w:color w:val="auto"/>
              </w:rPr>
            </w:pPr>
            <w:r>
              <w:rPr>
                <w:rFonts w:ascii="Arial" w:cs="Arial" w:eastAsia="Arial" w:hAnsi="Arial"/>
                <w:sz w:val="16"/>
                <w:szCs w:val="16"/>
                <w:color w:val="auto"/>
              </w:rPr>
              <w:t>60.2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ind w:right="43"/>
              <w:spacing w:after="0"/>
              <w:rPr>
                <w:sz w:val="20"/>
                <w:szCs w:val="20"/>
                <w:color w:val="auto"/>
              </w:rPr>
            </w:pPr>
            <w:r>
              <w:rPr>
                <w:rFonts w:ascii="Arial" w:cs="Arial" w:eastAsia="Arial" w:hAnsi="Arial"/>
                <w:sz w:val="16"/>
                <w:szCs w:val="16"/>
                <w:color w:val="auto"/>
              </w:rPr>
              <w:t>60.2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ind w:right="44"/>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4"/>
        </w:trPr>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Central and Corporate</w:t>
            </w: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65.6</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41.2</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24.4</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59.2</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24.3</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56.4</w:t>
            </w:r>
          </w:p>
        </w:tc>
        <w:tc>
          <w:tcPr>
            <w:tcW w:w="0" w:type="dxa"/>
            <w:vAlign w:val="bottom"/>
          </w:tcPr>
          <w:p>
            <w:pPr>
              <w:spacing w:after="0"/>
              <w:rPr>
                <w:sz w:val="1"/>
                <w:szCs w:val="1"/>
                <w:color w:val="auto"/>
              </w:rPr>
            </w:pPr>
          </w:p>
        </w:tc>
      </w:tr>
      <w:tr>
        <w:trPr>
          <w:trHeight w:val="209"/>
        </w:trPr>
        <w:tc>
          <w:tcPr>
            <w:tcW w:w="3940" w:type="dxa"/>
            <w:vAlign w:val="bottom"/>
          </w:tcPr>
          <w:p>
            <w:pPr>
              <w:ind w:left="20"/>
              <w:spacing w:after="0"/>
              <w:rPr>
                <w:sz w:val="20"/>
                <w:szCs w:val="20"/>
                <w:color w:val="auto"/>
              </w:rPr>
            </w:pPr>
            <w:r>
              <w:rPr>
                <w:rFonts w:ascii="Arial" w:cs="Arial" w:eastAsia="Arial" w:hAnsi="Arial"/>
                <w:sz w:val="16"/>
                <w:szCs w:val="16"/>
                <w:color w:val="auto"/>
              </w:rPr>
              <w:t>Intersegment eliminations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ind w:right="3"/>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5"/>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8"/>
                <w:szCs w:val="18"/>
                <w:color w:val="auto"/>
              </w:rPr>
            </w:pPr>
          </w:p>
        </w:tc>
        <w:tc>
          <w:tcPr>
            <w:tcW w:w="1220" w:type="dxa"/>
            <w:vAlign w:val="bottom"/>
            <w:gridSpan w:val="2"/>
          </w:tcPr>
          <w:p>
            <w:pPr>
              <w:ind w:left="700"/>
              <w:spacing w:after="0"/>
              <w:rPr>
                <w:sz w:val="20"/>
                <w:szCs w:val="20"/>
                <w:color w:val="auto"/>
              </w:rPr>
            </w:pPr>
            <w:r>
              <w:rPr>
                <w:rFonts w:ascii="Arial" w:cs="Arial" w:eastAsia="Arial" w:hAnsi="Arial"/>
                <w:sz w:val="16"/>
                <w:szCs w:val="16"/>
                <w:color w:val="auto"/>
              </w:rPr>
              <w:t>N.M.</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8"/>
                <w:szCs w:val="18"/>
                <w:color w:val="auto"/>
              </w:rPr>
            </w:pP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4"/>
        </w:trPr>
        <w:tc>
          <w:tcPr>
            <w:tcW w:w="3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3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1,570.1</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1,586.7</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6"/>
                <w:szCs w:val="16"/>
                <w:color w:val="auto"/>
              </w:rPr>
              <w:t>(16.6)</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39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w:t>
      </w:r>
    </w:p>
    <w:p>
      <w:pPr>
        <w:spacing w:after="0" w:line="188" w:lineRule="exact"/>
        <w:rPr>
          <w:sz w:val="20"/>
          <w:szCs w:val="20"/>
          <w:color w:val="auto"/>
        </w:rPr>
      </w:pPr>
    </w:p>
    <w:p>
      <w:pPr>
        <w:jc w:val="both"/>
        <w:ind w:firstLine="279"/>
        <w:spacing w:after="0" w:line="248" w:lineRule="auto"/>
        <w:rPr>
          <w:sz w:val="20"/>
          <w:szCs w:val="20"/>
          <w:color w:val="auto"/>
        </w:rPr>
      </w:pPr>
      <w:r>
        <w:rPr>
          <w:rFonts w:ascii="Arial" w:cs="Arial" w:eastAsia="Arial" w:hAnsi="Arial"/>
          <w:sz w:val="16"/>
          <w:szCs w:val="16"/>
          <w:color w:val="auto"/>
        </w:rPr>
        <w:t>Our programming and other direct costs of services decreased $71.3 million or 9.1% and $16.6 million or 1.0% during the three and six months ended June 30, 2020, respectively, as compared to the corresponding periods in 2019. These decreases include increases of $13.6 million and $33.3 million, respectively, attributable to the impact of the De Vijver Media Acquisition. On an organic basis, our programming and other direct costs of services decreased $65.5 million or 8.2% and $17.4 million or 1.1%, respectively. These decreases include the following factors:</w:t>
      </w:r>
    </w:p>
    <w:p>
      <w:pPr>
        <w:spacing w:after="0" w:line="170" w:lineRule="exact"/>
        <w:rPr>
          <w:sz w:val="20"/>
          <w:szCs w:val="20"/>
          <w:color w:val="auto"/>
        </w:rPr>
      </w:pPr>
    </w:p>
    <w:p>
      <w:pPr>
        <w:jc w:val="both"/>
        <w:ind w:left="560" w:hanging="288"/>
        <w:spacing w:after="0" w:line="287" w:lineRule="auto"/>
        <w:tabs>
          <w:tab w:leader="none" w:pos="560" w:val="left"/>
        </w:tabs>
        <w:numPr>
          <w:ilvl w:val="0"/>
          <w:numId w:val="56"/>
        </w:numPr>
        <w:rPr>
          <w:rFonts w:ascii="Arial" w:cs="Arial" w:eastAsia="Arial" w:hAnsi="Arial"/>
          <w:sz w:val="14"/>
          <w:szCs w:val="14"/>
          <w:b w:val="1"/>
          <w:bCs w:val="1"/>
          <w:color w:val="auto"/>
        </w:rPr>
      </w:pPr>
      <w:r>
        <w:rPr>
          <w:rFonts w:ascii="Arial" w:cs="Arial" w:eastAsia="Arial" w:hAnsi="Arial"/>
          <w:sz w:val="14"/>
          <w:szCs w:val="14"/>
          <w:color w:val="auto"/>
        </w:rPr>
        <w:t>Decreases in programming and copyright costs of $46.5 million or 11.6% and $27.1 million or 3.3%, respectively, primarily due to decreases in U.K./Ireland, Switzerland and Belgium. These decreases are primarily due to lower costs for certain premium and/or basic content, including (i) a decrease of $28.9 million in U.K./Ireland related to credits received during the second quarter of 2020 in connection with the pausing or cancellation of certain sporting events due to the COVID-19 pandemic, which offset the aforementioned revenue declines, and (ii) a decrease of $14.2 million for the three-month comparison due to the acceleration of certain costs for sports rights as a result of the COVID-19 pandemic. In this regard, certain sports leagues in Belgium and Switzerland were cancelled and, accordingly, the prepaid amounts for the associated sports rights that would have been expensed during the second quarter of 2020 were recognized during the first quarter of 2020;</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260"/>
          </w:cols>
          <w:pgMar w:left="320" w:top="315" w:right="319" w:bottom="1440" w:gutter="0" w:footer="0" w:header="0"/>
        </w:sectPr>
      </w:pPr>
    </w:p>
    <w:bookmarkStart w:id="66" w:name="page67"/>
    <w:bookmarkEnd w:id="66"/>
    <w:p>
      <w:pPr>
        <w:ind w:left="560" w:right="20" w:hanging="288"/>
        <w:spacing w:after="0" w:line="329" w:lineRule="auto"/>
        <w:tabs>
          <w:tab w:leader="none" w:pos="560" w:val="left"/>
        </w:tabs>
        <w:numPr>
          <w:ilvl w:val="0"/>
          <w:numId w:val="57"/>
        </w:numPr>
        <w:rPr>
          <w:rFonts w:ascii="Arial" w:cs="Arial" w:eastAsia="Arial" w:hAnsi="Arial"/>
          <w:sz w:val="14"/>
          <w:szCs w:val="14"/>
          <w:b w:val="1"/>
          <w:bCs w:val="1"/>
          <w:color w:val="auto"/>
        </w:rPr>
      </w:pPr>
      <w:r>
        <w:rPr>
          <w:rFonts w:ascii="Arial" w:cs="Arial" w:eastAsia="Arial" w:hAnsi="Arial"/>
          <w:sz w:val="14"/>
          <w:szCs w:val="14"/>
          <w:color w:val="auto"/>
        </w:rPr>
        <w:t>Decreases in mobile handset and other device costs of $9.1 million or 10.5% and $11.5 million or 6.8%, respectively, primarily due to lower sales volumes in U.K./Ireland, Belgium and, for the three-month comparison, Switzerland, largely due to temporary retail store closures as a result of the COVID-19 pandemic;</w:t>
      </w:r>
    </w:p>
    <w:p>
      <w:pPr>
        <w:spacing w:after="0" w:line="117" w:lineRule="exact"/>
        <w:rPr>
          <w:rFonts w:ascii="Arial" w:cs="Arial" w:eastAsia="Arial" w:hAnsi="Arial"/>
          <w:sz w:val="14"/>
          <w:szCs w:val="14"/>
          <w:b w:val="1"/>
          <w:bCs w:val="1"/>
          <w:color w:val="auto"/>
        </w:rPr>
      </w:pPr>
    </w:p>
    <w:p>
      <w:pPr>
        <w:jc w:val="both"/>
        <w:ind w:left="560" w:hanging="288"/>
        <w:spacing w:after="0" w:line="248" w:lineRule="auto"/>
        <w:tabs>
          <w:tab w:leader="none" w:pos="560" w:val="left"/>
        </w:tabs>
        <w:numPr>
          <w:ilvl w:val="0"/>
          <w:numId w:val="57"/>
        </w:numPr>
        <w:rPr>
          <w:rFonts w:ascii="Arial" w:cs="Arial" w:eastAsia="Arial" w:hAnsi="Arial"/>
          <w:sz w:val="16"/>
          <w:szCs w:val="16"/>
          <w:b w:val="1"/>
          <w:bCs w:val="1"/>
          <w:color w:val="auto"/>
        </w:rPr>
      </w:pPr>
      <w:r>
        <w:rPr>
          <w:rFonts w:ascii="Arial" w:cs="Arial" w:eastAsia="Arial" w:hAnsi="Arial"/>
          <w:sz w:val="16"/>
          <w:szCs w:val="16"/>
          <w:color w:val="auto"/>
        </w:rPr>
        <w:t>The impact of the classification of costs associated with the delivery of certain transitional services provided by Central and Corporate to various third parties in connection with our recent dispositions. Beginning on the effective dates of the underlying agreements, these costs became direct costs of services, which resulted in direct cost increases of $6.6 million and $11.0 million, respectively, that were fully offset by corresponding decreases, primarily in various other operating expenses within Central and Corporate; and</w:t>
      </w:r>
    </w:p>
    <w:p>
      <w:pPr>
        <w:spacing w:after="0" w:line="170" w:lineRule="exact"/>
        <w:rPr>
          <w:rFonts w:ascii="Arial" w:cs="Arial" w:eastAsia="Arial" w:hAnsi="Arial"/>
          <w:sz w:val="16"/>
          <w:szCs w:val="16"/>
          <w:b w:val="1"/>
          <w:bCs w:val="1"/>
          <w:color w:val="auto"/>
        </w:rPr>
      </w:pPr>
    </w:p>
    <w:p>
      <w:pPr>
        <w:jc w:val="both"/>
        <w:ind w:left="560" w:hanging="288"/>
        <w:spacing w:after="0" w:line="294" w:lineRule="auto"/>
        <w:tabs>
          <w:tab w:leader="none" w:pos="560" w:val="left"/>
        </w:tabs>
        <w:numPr>
          <w:ilvl w:val="0"/>
          <w:numId w:val="57"/>
        </w:numPr>
        <w:rPr>
          <w:rFonts w:ascii="Arial" w:cs="Arial" w:eastAsia="Arial" w:hAnsi="Arial"/>
          <w:sz w:val="14"/>
          <w:szCs w:val="14"/>
          <w:color w:val="auto"/>
        </w:rPr>
      </w:pPr>
      <w:r>
        <w:rPr>
          <w:rFonts w:ascii="Arial" w:cs="Arial" w:eastAsia="Arial" w:hAnsi="Arial"/>
          <w:sz w:val="14"/>
          <w:szCs w:val="14"/>
          <w:color w:val="auto"/>
        </w:rPr>
        <w:t>An increase (decrease) in interconnect and access costs of ($15.2 million) or (7.2%) and $0.7 million or 0.2%, respectively, primarily due to the net effect of (i) higher MVNO costs in Switzerland and U.K./Ireland and (ii) lower interconnect and mobile roaming costs, as decreases in Belgium were only partially offset by increases in U.K./Ireland. Across all of our markets, interconnect and mobile roaming costs include the positive impact of changes in mobile usage associated with factors such as lower travel and the use of WiFi alternatives during stay-at-home mandates or recommendations as a result of the COVID-19 pandemic.</w:t>
      </w:r>
    </w:p>
    <w:p>
      <w:pPr>
        <w:spacing w:after="0" w:line="142"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Other operating expenses</w:t>
      </w:r>
    </w:p>
    <w:p>
      <w:pPr>
        <w:spacing w:after="0" w:line="188" w:lineRule="exact"/>
        <w:rPr>
          <w:sz w:val="20"/>
          <w:szCs w:val="20"/>
          <w:color w:val="auto"/>
        </w:rPr>
      </w:pPr>
    </w:p>
    <w:p>
      <w:pPr>
        <w:jc w:val="both"/>
        <w:ind w:firstLine="279"/>
        <w:spacing w:after="0" w:line="303" w:lineRule="auto"/>
        <w:rPr>
          <w:sz w:val="20"/>
          <w:szCs w:val="20"/>
          <w:color w:val="auto"/>
        </w:rPr>
      </w:pPr>
      <w:r>
        <w:rPr>
          <w:rFonts w:ascii="Arial" w:cs="Arial" w:eastAsia="Arial" w:hAnsi="Arial"/>
          <w:sz w:val="14"/>
          <w:szCs w:val="14"/>
          <w:color w:val="auto"/>
        </w:rPr>
        <w:t>Other operating expenses include network operations, customer operations, customer care, share-based compensation and other costs related to our operations. We do not include share-based compensation in the following discussion and analysis of the other operating expenses of our consolidated reportable segments as share-based compensation expense is not included in the performance measures of our consolidated reportable segments. Share-based compensation expense is separately discussed further below.</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0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7"/>
              </w:rPr>
              <w:t>Increase (decrease)</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00" w:type="dxa"/>
            <w:vAlign w:val="bottom"/>
            <w:gridSpan w:val="3"/>
          </w:tcPr>
          <w:p>
            <w:pPr>
              <w:jc w:val="right"/>
              <w:ind w:right="263"/>
              <w:spacing w:after="0"/>
              <w:rPr>
                <w:sz w:val="20"/>
                <w:szCs w:val="20"/>
                <w:color w:val="auto"/>
              </w:rPr>
            </w:pPr>
            <w:r>
              <w:rPr>
                <w:rFonts w:ascii="Arial" w:cs="Arial" w:eastAsia="Arial" w:hAnsi="Arial"/>
                <w:sz w:val="14"/>
                <w:szCs w:val="14"/>
                <w:b w:val="1"/>
                <w:bCs w:val="1"/>
                <w:color w:val="auto"/>
                <w:w w:val="92"/>
              </w:rPr>
              <w:t>Organic increase (decrease)</w:t>
            </w:r>
          </w:p>
        </w:tc>
        <w:tc>
          <w:tcPr>
            <w:tcW w:w="0" w:type="dxa"/>
            <w:vAlign w:val="bottom"/>
          </w:tcPr>
          <w:p>
            <w:pPr>
              <w:spacing w:after="0"/>
              <w:rPr>
                <w:sz w:val="1"/>
                <w:szCs w:val="1"/>
                <w:color w:val="auto"/>
              </w:rPr>
            </w:pPr>
          </w:p>
        </w:tc>
      </w:tr>
      <w:tr>
        <w:trPr>
          <w:trHeight w:val="28"/>
        </w:trPr>
        <w:tc>
          <w:tcPr>
            <w:tcW w:w="39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3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36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36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44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120" w:type="dxa"/>
            <w:vAlign w:val="bottom"/>
          </w:tcPr>
          <w:p>
            <w:pPr>
              <w:jc w:val="right"/>
              <w:ind w:right="42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8"/>
        </w:trPr>
        <w:tc>
          <w:tcPr>
            <w:tcW w:w="39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3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0" w:type="dxa"/>
            <w:vAlign w:val="bottom"/>
            <w:gridSpan w:val="5"/>
          </w:tcPr>
          <w:p>
            <w:pPr>
              <w:jc w:val="right"/>
              <w:ind w:right="222"/>
              <w:spacing w:after="0"/>
              <w:rPr>
                <w:sz w:val="20"/>
                <w:szCs w:val="20"/>
                <w:color w:val="auto"/>
              </w:rPr>
            </w:pPr>
            <w:r>
              <w:rPr>
                <w:rFonts w:ascii="Arial" w:cs="Arial" w:eastAsia="Arial" w:hAnsi="Arial"/>
                <w:sz w:val="14"/>
                <w:szCs w:val="14"/>
                <w:b w:val="1"/>
                <w:bCs w:val="1"/>
                <w:color w:val="auto"/>
                <w:w w:val="90"/>
              </w:rPr>
              <w:t>in millions, except percentages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U.K./Ireland</w:t>
            </w:r>
          </w:p>
        </w:tc>
        <w:tc>
          <w:tcPr>
            <w:tcW w:w="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228.2</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229.9</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09"/>
        </w:trPr>
        <w:tc>
          <w:tcPr>
            <w:tcW w:w="3940" w:type="dxa"/>
            <w:vAlign w:val="bottom"/>
          </w:tcPr>
          <w:p>
            <w:pPr>
              <w:ind w:left="20"/>
              <w:spacing w:after="0"/>
              <w:rPr>
                <w:sz w:val="20"/>
                <w:szCs w:val="20"/>
                <w:color w:val="auto"/>
              </w:rPr>
            </w:pPr>
            <w:r>
              <w:rPr>
                <w:rFonts w:ascii="Arial" w:cs="Arial" w:eastAsia="Arial" w:hAnsi="Arial"/>
                <w:sz w:val="16"/>
                <w:szCs w:val="16"/>
                <w:color w:val="auto"/>
              </w:rPr>
              <w:t>Belgium</w:t>
            </w:r>
          </w:p>
        </w:tc>
        <w:tc>
          <w:tcPr>
            <w:tcW w:w="220" w:type="dxa"/>
            <w:vAlign w:val="bottom"/>
          </w:tcPr>
          <w:p>
            <w:pPr>
              <w:spacing w:after="0"/>
              <w:rPr>
                <w:sz w:val="18"/>
                <w:szCs w:val="18"/>
                <w:color w:val="auto"/>
              </w:rPr>
            </w:pPr>
          </w:p>
        </w:tc>
        <w:tc>
          <w:tcPr>
            <w:tcW w:w="920" w:type="dxa"/>
            <w:vAlign w:val="bottom"/>
          </w:tcPr>
          <w:p>
            <w:pPr>
              <w:jc w:val="right"/>
              <w:ind w:right="44"/>
              <w:spacing w:after="0"/>
              <w:rPr>
                <w:sz w:val="20"/>
                <w:szCs w:val="20"/>
                <w:color w:val="auto"/>
              </w:rPr>
            </w:pPr>
            <w:r>
              <w:rPr>
                <w:rFonts w:ascii="Arial" w:cs="Arial" w:eastAsia="Arial" w:hAnsi="Arial"/>
                <w:sz w:val="16"/>
                <w:szCs w:val="16"/>
                <w:color w:val="auto"/>
              </w:rPr>
              <w:t>94.9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43"/>
              <w:spacing w:after="0"/>
              <w:rPr>
                <w:sz w:val="20"/>
                <w:szCs w:val="20"/>
                <w:color w:val="auto"/>
              </w:rPr>
            </w:pPr>
            <w:r>
              <w:rPr>
                <w:rFonts w:ascii="Arial" w:cs="Arial" w:eastAsia="Arial" w:hAnsi="Arial"/>
                <w:sz w:val="16"/>
                <w:szCs w:val="16"/>
                <w:color w:val="auto"/>
              </w:rPr>
              <w:t>98.3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jc w:val="right"/>
              <w:ind w:right="4"/>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4"/>
        </w:trPr>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Switzerland</w:t>
            </w: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45.5</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46.6</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09"/>
        </w:trPr>
        <w:tc>
          <w:tcPr>
            <w:tcW w:w="3940" w:type="dxa"/>
            <w:vAlign w:val="bottom"/>
          </w:tcPr>
          <w:p>
            <w:pPr>
              <w:ind w:left="20"/>
              <w:spacing w:after="0"/>
              <w:rPr>
                <w:sz w:val="20"/>
                <w:szCs w:val="20"/>
                <w:color w:val="auto"/>
              </w:rPr>
            </w:pPr>
            <w:r>
              <w:rPr>
                <w:rFonts w:ascii="Arial" w:cs="Arial" w:eastAsia="Arial" w:hAnsi="Arial"/>
                <w:sz w:val="16"/>
                <w:szCs w:val="16"/>
                <w:color w:val="auto"/>
              </w:rPr>
              <w:t>Central and Eastern Europe</w:t>
            </w:r>
          </w:p>
        </w:tc>
        <w:tc>
          <w:tcPr>
            <w:tcW w:w="220" w:type="dxa"/>
            <w:vAlign w:val="bottom"/>
          </w:tcPr>
          <w:p>
            <w:pPr>
              <w:spacing w:after="0"/>
              <w:rPr>
                <w:sz w:val="18"/>
                <w:szCs w:val="18"/>
                <w:color w:val="auto"/>
              </w:rPr>
            </w:pPr>
          </w:p>
        </w:tc>
        <w:tc>
          <w:tcPr>
            <w:tcW w:w="920" w:type="dxa"/>
            <w:vAlign w:val="bottom"/>
          </w:tcPr>
          <w:p>
            <w:pPr>
              <w:jc w:val="right"/>
              <w:ind w:right="44"/>
              <w:spacing w:after="0"/>
              <w:rPr>
                <w:sz w:val="20"/>
                <w:szCs w:val="20"/>
                <w:color w:val="auto"/>
              </w:rPr>
            </w:pPr>
            <w:r>
              <w:rPr>
                <w:rFonts w:ascii="Arial" w:cs="Arial" w:eastAsia="Arial" w:hAnsi="Arial"/>
                <w:sz w:val="16"/>
                <w:szCs w:val="16"/>
                <w:color w:val="auto"/>
              </w:rPr>
              <w:t>15.7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43"/>
              <w:spacing w:after="0"/>
              <w:rPr>
                <w:sz w:val="20"/>
                <w:szCs w:val="20"/>
                <w:color w:val="auto"/>
              </w:rPr>
            </w:pPr>
            <w:r>
              <w:rPr>
                <w:rFonts w:ascii="Arial" w:cs="Arial" w:eastAsia="Arial" w:hAnsi="Arial"/>
                <w:sz w:val="16"/>
                <w:szCs w:val="16"/>
                <w:color w:val="auto"/>
              </w:rPr>
              <w:t>17.3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jc w:val="right"/>
              <w:ind w:right="4"/>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4"/>
        </w:trPr>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Central and Corporate</w:t>
            </w: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13.1</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29.4</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(16.3)</w:t>
            </w: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(55.4)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(66.9)</w:t>
            </w:r>
          </w:p>
        </w:tc>
        <w:tc>
          <w:tcPr>
            <w:tcW w:w="0" w:type="dxa"/>
            <w:vAlign w:val="bottom"/>
          </w:tcPr>
          <w:p>
            <w:pPr>
              <w:spacing w:after="0"/>
              <w:rPr>
                <w:sz w:val="1"/>
                <w:szCs w:val="1"/>
                <w:color w:val="auto"/>
              </w:rPr>
            </w:pPr>
          </w:p>
        </w:tc>
      </w:tr>
      <w:tr>
        <w:trPr>
          <w:trHeight w:val="209"/>
        </w:trPr>
        <w:tc>
          <w:tcPr>
            <w:tcW w:w="3940" w:type="dxa"/>
            <w:vAlign w:val="bottom"/>
          </w:tcPr>
          <w:p>
            <w:pPr>
              <w:ind w:left="20"/>
              <w:spacing w:after="0"/>
              <w:rPr>
                <w:sz w:val="20"/>
                <w:szCs w:val="20"/>
                <w:color w:val="auto"/>
              </w:rPr>
            </w:pPr>
            <w:r>
              <w:rPr>
                <w:rFonts w:ascii="Arial" w:cs="Arial" w:eastAsia="Arial" w:hAnsi="Arial"/>
                <w:sz w:val="16"/>
                <w:szCs w:val="16"/>
                <w:color w:val="auto"/>
              </w:rPr>
              <w:t>Intersegment eliminations</w:t>
            </w:r>
          </w:p>
        </w:tc>
        <w:tc>
          <w:tcPr>
            <w:tcW w:w="220" w:type="dxa"/>
            <w:vAlign w:val="bottom"/>
          </w:tcPr>
          <w:p>
            <w:pPr>
              <w:spacing w:after="0"/>
              <w:rPr>
                <w:sz w:val="18"/>
                <w:szCs w:val="18"/>
                <w:color w:val="auto"/>
              </w:rPr>
            </w:pPr>
          </w:p>
        </w:tc>
        <w:tc>
          <w:tcPr>
            <w:tcW w:w="920" w:type="dxa"/>
            <w:vAlign w:val="bottom"/>
          </w:tcPr>
          <w:p>
            <w:pPr>
              <w:jc w:val="right"/>
              <w:ind w:right="44"/>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3"/>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jc w:val="right"/>
              <w:ind w:right="44"/>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jc w:val="right"/>
              <w:ind w:right="22"/>
              <w:spacing w:after="0"/>
              <w:rPr>
                <w:sz w:val="20"/>
                <w:szCs w:val="20"/>
                <w:color w:val="auto"/>
              </w:rPr>
            </w:pPr>
            <w:r>
              <w:rPr>
                <w:rFonts w:ascii="Arial" w:cs="Arial" w:eastAsia="Arial" w:hAnsi="Arial"/>
                <w:sz w:val="16"/>
                <w:szCs w:val="16"/>
                <w:color w:val="auto"/>
              </w:rPr>
              <w:t>N.M.</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44"/>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8"/>
                <w:szCs w:val="18"/>
                <w:color w:val="auto"/>
              </w:rPr>
            </w:pP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4"/>
        </w:trPr>
        <w:tc>
          <w:tcPr>
            <w:tcW w:w="3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3940" w:type="dxa"/>
            <w:vAlign w:val="bottom"/>
            <w:shd w:val="clear" w:color="auto" w:fill="CCEEFF"/>
          </w:tcPr>
          <w:p>
            <w:pPr>
              <w:ind w:left="140"/>
              <w:spacing w:after="0" w:line="179" w:lineRule="exact"/>
              <w:rPr>
                <w:sz w:val="20"/>
                <w:szCs w:val="20"/>
                <w:color w:val="auto"/>
              </w:rPr>
            </w:pPr>
            <w:r>
              <w:rPr>
                <w:rFonts w:ascii="Arial" w:cs="Arial" w:eastAsia="Arial" w:hAnsi="Arial"/>
                <w:sz w:val="16"/>
                <w:szCs w:val="16"/>
                <w:color w:val="auto"/>
                <w:w w:val="97"/>
              </w:rPr>
              <w:t>Total other operating expenses excluding share-based</w:t>
            </w: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2"/>
        </w:trPr>
        <w:tc>
          <w:tcPr>
            <w:tcW w:w="39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compensation expense</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399.5</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416.8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(17.3)</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340" w:type="dxa"/>
            <w:vAlign w:val="bottom"/>
            <w:gridSpan w:val="2"/>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Share-based compensation expense</w:t>
            </w: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CCEEFF"/>
            </w:tcBorders>
            <w:vMerge w:val="restart"/>
          </w:tcPr>
          <w:p>
            <w:pPr>
              <w:jc w:val="right"/>
              <w:ind w:right="44"/>
              <w:spacing w:after="0"/>
              <w:rPr>
                <w:sz w:val="20"/>
                <w:szCs w:val="20"/>
                <w:color w:val="auto"/>
              </w:rPr>
            </w:pPr>
            <w:r>
              <w:rPr>
                <w:rFonts w:ascii="Arial" w:cs="Arial" w:eastAsia="Arial" w:hAnsi="Arial"/>
                <w:sz w:val="16"/>
                <w:szCs w:val="16"/>
                <w:color w:val="auto"/>
              </w:rPr>
              <w:t>1.6</w:t>
            </w: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CCEEFF"/>
            </w:tcBorders>
            <w:vMerge w:val="restart"/>
          </w:tcPr>
          <w:p>
            <w:pPr>
              <w:jc w:val="right"/>
              <w:ind w:right="43"/>
              <w:spacing w:after="0"/>
              <w:rPr>
                <w:sz w:val="20"/>
                <w:szCs w:val="20"/>
                <w:color w:val="auto"/>
              </w:rPr>
            </w:pPr>
            <w:r>
              <w:rPr>
                <w:rFonts w:ascii="Arial" w:cs="Arial" w:eastAsia="Arial" w:hAnsi="Arial"/>
                <w:sz w:val="16"/>
                <w:szCs w:val="16"/>
                <w:color w:val="auto"/>
              </w:rPr>
              <w:t>1.0</w:t>
            </w: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CCEEFF"/>
            </w:tcBorders>
            <w:vMerge w:val="restart"/>
          </w:tcPr>
          <w:p>
            <w:pPr>
              <w:jc w:val="right"/>
              <w:ind w:right="44"/>
              <w:spacing w:after="0"/>
              <w:rPr>
                <w:sz w:val="20"/>
                <w:szCs w:val="20"/>
                <w:color w:val="auto"/>
              </w:rPr>
            </w:pPr>
            <w:r>
              <w:rPr>
                <w:rFonts w:ascii="Arial" w:cs="Arial" w:eastAsia="Arial" w:hAnsi="Arial"/>
                <w:sz w:val="16"/>
                <w:szCs w:val="16"/>
                <w:color w:val="auto"/>
              </w:rPr>
              <w:t>0.6</w:t>
            </w: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CCEEFF"/>
            </w:tcBorders>
            <w:vMerge w:val="restart"/>
          </w:tcPr>
          <w:p>
            <w:pPr>
              <w:jc w:val="right"/>
              <w:ind w:right="22"/>
              <w:spacing w:after="0"/>
              <w:rPr>
                <w:sz w:val="20"/>
                <w:szCs w:val="20"/>
                <w:color w:val="auto"/>
              </w:rPr>
            </w:pPr>
            <w:r>
              <w:rPr>
                <w:rFonts w:ascii="Arial" w:cs="Arial" w:eastAsia="Arial" w:hAnsi="Arial"/>
                <w:sz w:val="16"/>
                <w:szCs w:val="16"/>
                <w:color w:val="auto"/>
              </w:rPr>
              <w:t>N.M.</w:t>
            </w: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9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3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401.1</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417.8</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(16.7)</w:t>
            </w: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3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ind w:right="563"/>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315" w:right="319" w:bottom="1440" w:gutter="0" w:footer="0" w:header="0"/>
        </w:sectPr>
      </w:pPr>
    </w:p>
    <w:bookmarkStart w:id="67" w:name="page68"/>
    <w:bookmarkEnd w:id="6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60" w:type="dxa"/>
            <w:vAlign w:val="bottom"/>
            <w:gridSpan w:val="5"/>
          </w:tcPr>
          <w:p>
            <w:pPr>
              <w:ind w:left="420"/>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gridSpan w:val="3"/>
          </w:tcPr>
          <w:p>
            <w:pPr>
              <w:jc w:val="right"/>
              <w:ind w:right="22"/>
              <w:spacing w:after="0"/>
              <w:rPr>
                <w:sz w:val="20"/>
                <w:szCs w:val="20"/>
                <w:color w:val="auto"/>
              </w:rPr>
            </w:pPr>
            <w:r>
              <w:rPr>
                <w:rFonts w:ascii="Arial" w:cs="Arial" w:eastAsia="Arial" w:hAnsi="Arial"/>
                <w:sz w:val="14"/>
                <w:szCs w:val="14"/>
                <w:b w:val="1"/>
                <w:bCs w:val="1"/>
                <w:color w:val="auto"/>
              </w:rPr>
              <w:t>June 30,</w:t>
            </w: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7"/>
              </w:rPr>
              <w:t>Increase (decrease)</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00" w:type="dxa"/>
            <w:vAlign w:val="bottom"/>
            <w:gridSpan w:val="3"/>
          </w:tcPr>
          <w:p>
            <w:pPr>
              <w:jc w:val="right"/>
              <w:ind w:right="263"/>
              <w:spacing w:after="0"/>
              <w:rPr>
                <w:sz w:val="20"/>
                <w:szCs w:val="20"/>
                <w:color w:val="auto"/>
              </w:rPr>
            </w:pPr>
            <w:r>
              <w:rPr>
                <w:rFonts w:ascii="Arial" w:cs="Arial" w:eastAsia="Arial" w:hAnsi="Arial"/>
                <w:sz w:val="14"/>
                <w:szCs w:val="14"/>
                <w:b w:val="1"/>
                <w:bCs w:val="1"/>
                <w:color w:val="auto"/>
                <w:w w:val="92"/>
              </w:rPr>
              <w:t>Organic increase (decrease)</w:t>
            </w:r>
          </w:p>
        </w:tc>
        <w:tc>
          <w:tcPr>
            <w:tcW w:w="0" w:type="dxa"/>
            <w:vAlign w:val="bottom"/>
          </w:tcPr>
          <w:p>
            <w:pPr>
              <w:spacing w:after="0"/>
              <w:rPr>
                <w:sz w:val="1"/>
                <w:szCs w:val="1"/>
                <w:color w:val="auto"/>
              </w:rPr>
            </w:pPr>
          </w:p>
        </w:tc>
      </w:tr>
      <w:tr>
        <w:trPr>
          <w:trHeight w:val="28"/>
        </w:trPr>
        <w:tc>
          <w:tcPr>
            <w:tcW w:w="39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3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36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ind w:right="36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44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120" w:type="dxa"/>
            <w:vAlign w:val="bottom"/>
          </w:tcPr>
          <w:p>
            <w:pPr>
              <w:jc w:val="right"/>
              <w:ind w:right="42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8"/>
        </w:trPr>
        <w:tc>
          <w:tcPr>
            <w:tcW w:w="39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3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0" w:type="dxa"/>
            <w:vAlign w:val="bottom"/>
            <w:gridSpan w:val="5"/>
          </w:tcPr>
          <w:p>
            <w:pPr>
              <w:jc w:val="right"/>
              <w:ind w:right="222"/>
              <w:spacing w:after="0"/>
              <w:rPr>
                <w:sz w:val="20"/>
                <w:szCs w:val="20"/>
                <w:color w:val="auto"/>
              </w:rPr>
            </w:pPr>
            <w:r>
              <w:rPr>
                <w:rFonts w:ascii="Arial" w:cs="Arial" w:eastAsia="Arial" w:hAnsi="Arial"/>
                <w:sz w:val="14"/>
                <w:szCs w:val="14"/>
                <w:b w:val="1"/>
                <w:bCs w:val="1"/>
                <w:color w:val="auto"/>
                <w:w w:val="90"/>
              </w:rPr>
              <w:t>in millions, except percentages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U.K./Ireland</w:t>
            </w:r>
          </w:p>
        </w:tc>
        <w:tc>
          <w:tcPr>
            <w:tcW w:w="2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469.7</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462.5</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1.6</w:t>
            </w: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19.8</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09"/>
        </w:trPr>
        <w:tc>
          <w:tcPr>
            <w:tcW w:w="3940" w:type="dxa"/>
            <w:vAlign w:val="bottom"/>
          </w:tcPr>
          <w:p>
            <w:pPr>
              <w:ind w:left="20"/>
              <w:spacing w:after="0"/>
              <w:rPr>
                <w:sz w:val="20"/>
                <w:szCs w:val="20"/>
                <w:color w:val="auto"/>
              </w:rPr>
            </w:pPr>
            <w:r>
              <w:rPr>
                <w:rFonts w:ascii="Arial" w:cs="Arial" w:eastAsia="Arial" w:hAnsi="Arial"/>
                <w:sz w:val="16"/>
                <w:szCs w:val="16"/>
                <w:color w:val="auto"/>
              </w:rPr>
              <w:t>Belgium</w:t>
            </w:r>
          </w:p>
        </w:tc>
        <w:tc>
          <w:tcPr>
            <w:tcW w:w="260" w:type="dxa"/>
            <w:vAlign w:val="bottom"/>
          </w:tcPr>
          <w:p>
            <w:pPr>
              <w:spacing w:after="0"/>
              <w:rPr>
                <w:sz w:val="18"/>
                <w:szCs w:val="18"/>
                <w:color w:val="auto"/>
              </w:rPr>
            </w:pPr>
          </w:p>
        </w:tc>
        <w:tc>
          <w:tcPr>
            <w:tcW w:w="880" w:type="dxa"/>
            <w:vAlign w:val="bottom"/>
          </w:tcPr>
          <w:p>
            <w:pPr>
              <w:jc w:val="right"/>
              <w:ind w:right="44"/>
              <w:spacing w:after="0"/>
              <w:rPr>
                <w:sz w:val="20"/>
                <w:szCs w:val="20"/>
                <w:color w:val="auto"/>
              </w:rPr>
            </w:pPr>
            <w:r>
              <w:rPr>
                <w:rFonts w:ascii="Arial" w:cs="Arial" w:eastAsia="Arial" w:hAnsi="Arial"/>
                <w:sz w:val="16"/>
                <w:szCs w:val="16"/>
                <w:color w:val="auto"/>
              </w:rPr>
              <w:t>188.1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ind w:right="43"/>
              <w:spacing w:after="0"/>
              <w:rPr>
                <w:sz w:val="20"/>
                <w:szCs w:val="20"/>
                <w:color w:val="auto"/>
              </w:rPr>
            </w:pPr>
            <w:r>
              <w:rPr>
                <w:rFonts w:ascii="Arial" w:cs="Arial" w:eastAsia="Arial" w:hAnsi="Arial"/>
                <w:sz w:val="16"/>
                <w:szCs w:val="16"/>
                <w:color w:val="auto"/>
              </w:rPr>
              <w:t>198.8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jc w:val="right"/>
              <w:ind w:right="4"/>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4"/>
        </w:trPr>
        <w:tc>
          <w:tcPr>
            <w:tcW w:w="3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Switzerland</w:t>
            </w: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91.9</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92.1</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09"/>
        </w:trPr>
        <w:tc>
          <w:tcPr>
            <w:tcW w:w="3940" w:type="dxa"/>
            <w:vAlign w:val="bottom"/>
          </w:tcPr>
          <w:p>
            <w:pPr>
              <w:ind w:left="20"/>
              <w:spacing w:after="0"/>
              <w:rPr>
                <w:sz w:val="20"/>
                <w:szCs w:val="20"/>
                <w:color w:val="auto"/>
              </w:rPr>
            </w:pPr>
            <w:r>
              <w:rPr>
                <w:rFonts w:ascii="Arial" w:cs="Arial" w:eastAsia="Arial" w:hAnsi="Arial"/>
                <w:sz w:val="16"/>
                <w:szCs w:val="16"/>
                <w:color w:val="auto"/>
              </w:rPr>
              <w:t>Central and Eastern Europe</w:t>
            </w:r>
          </w:p>
        </w:tc>
        <w:tc>
          <w:tcPr>
            <w:tcW w:w="260" w:type="dxa"/>
            <w:vAlign w:val="bottom"/>
          </w:tcPr>
          <w:p>
            <w:pPr>
              <w:spacing w:after="0"/>
              <w:rPr>
                <w:sz w:val="18"/>
                <w:szCs w:val="18"/>
                <w:color w:val="auto"/>
              </w:rPr>
            </w:pPr>
          </w:p>
        </w:tc>
        <w:tc>
          <w:tcPr>
            <w:tcW w:w="880" w:type="dxa"/>
            <w:vAlign w:val="bottom"/>
          </w:tcPr>
          <w:p>
            <w:pPr>
              <w:jc w:val="right"/>
              <w:ind w:right="44"/>
              <w:spacing w:after="0"/>
              <w:rPr>
                <w:sz w:val="20"/>
                <w:szCs w:val="20"/>
                <w:color w:val="auto"/>
              </w:rPr>
            </w:pPr>
            <w:r>
              <w:rPr>
                <w:rFonts w:ascii="Arial" w:cs="Arial" w:eastAsia="Arial" w:hAnsi="Arial"/>
                <w:sz w:val="16"/>
                <w:szCs w:val="16"/>
                <w:color w:val="auto"/>
              </w:rPr>
              <w:t>32.1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ind w:right="43"/>
              <w:spacing w:after="0"/>
              <w:rPr>
                <w:sz w:val="20"/>
                <w:szCs w:val="20"/>
                <w:color w:val="auto"/>
              </w:rPr>
            </w:pPr>
            <w:r>
              <w:rPr>
                <w:rFonts w:ascii="Arial" w:cs="Arial" w:eastAsia="Arial" w:hAnsi="Arial"/>
                <w:sz w:val="16"/>
                <w:szCs w:val="16"/>
                <w:color w:val="auto"/>
              </w:rPr>
              <w:t>34.3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jc w:val="right"/>
              <w:ind w:right="4"/>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4"/>
        </w:trPr>
        <w:tc>
          <w:tcPr>
            <w:tcW w:w="3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Central and Corporate</w:t>
            </w: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35.0</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55.3</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(20.3)</w:t>
            </w: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(36.7)</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(42.6)</w:t>
            </w:r>
          </w:p>
        </w:tc>
        <w:tc>
          <w:tcPr>
            <w:tcW w:w="0" w:type="dxa"/>
            <w:vAlign w:val="bottom"/>
          </w:tcPr>
          <w:p>
            <w:pPr>
              <w:spacing w:after="0"/>
              <w:rPr>
                <w:sz w:val="1"/>
                <w:szCs w:val="1"/>
                <w:color w:val="auto"/>
              </w:rPr>
            </w:pPr>
          </w:p>
        </w:tc>
      </w:tr>
      <w:tr>
        <w:trPr>
          <w:trHeight w:val="209"/>
        </w:trPr>
        <w:tc>
          <w:tcPr>
            <w:tcW w:w="3940" w:type="dxa"/>
            <w:vAlign w:val="bottom"/>
          </w:tcPr>
          <w:p>
            <w:pPr>
              <w:ind w:left="20"/>
              <w:spacing w:after="0"/>
              <w:rPr>
                <w:sz w:val="20"/>
                <w:szCs w:val="20"/>
                <w:color w:val="auto"/>
              </w:rPr>
            </w:pPr>
            <w:r>
              <w:rPr>
                <w:rFonts w:ascii="Arial" w:cs="Arial" w:eastAsia="Arial" w:hAnsi="Arial"/>
                <w:sz w:val="16"/>
                <w:szCs w:val="16"/>
                <w:color w:val="auto"/>
              </w:rPr>
              <w:t>Intersegment eliminations</w:t>
            </w:r>
          </w:p>
        </w:tc>
        <w:tc>
          <w:tcPr>
            <w:tcW w:w="260" w:type="dxa"/>
            <w:vAlign w:val="bottom"/>
          </w:tcPr>
          <w:p>
            <w:pPr>
              <w:spacing w:after="0"/>
              <w:rPr>
                <w:sz w:val="18"/>
                <w:szCs w:val="18"/>
                <w:color w:val="auto"/>
              </w:rPr>
            </w:pPr>
          </w:p>
        </w:tc>
        <w:tc>
          <w:tcPr>
            <w:tcW w:w="880" w:type="dxa"/>
            <w:vAlign w:val="bottom"/>
          </w:tcPr>
          <w:p>
            <w:pPr>
              <w:jc w:val="right"/>
              <w:ind w:right="44"/>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ind w:right="3"/>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jc w:val="right"/>
              <w:ind w:right="44"/>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jc w:val="right"/>
              <w:ind w:right="22"/>
              <w:spacing w:after="0"/>
              <w:rPr>
                <w:sz w:val="20"/>
                <w:szCs w:val="20"/>
                <w:color w:val="auto"/>
              </w:rPr>
            </w:pPr>
            <w:r>
              <w:rPr>
                <w:rFonts w:ascii="Arial" w:cs="Arial" w:eastAsia="Arial" w:hAnsi="Arial"/>
                <w:sz w:val="16"/>
                <w:szCs w:val="16"/>
                <w:color w:val="auto"/>
              </w:rPr>
              <w:t>N.M.</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44"/>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8"/>
                <w:szCs w:val="18"/>
                <w:color w:val="auto"/>
              </w:rPr>
            </w:pP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4"/>
        </w:trPr>
        <w:tc>
          <w:tcPr>
            <w:tcW w:w="3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3940" w:type="dxa"/>
            <w:vAlign w:val="bottom"/>
            <w:shd w:val="clear" w:color="auto" w:fill="CCEEFF"/>
          </w:tcPr>
          <w:p>
            <w:pPr>
              <w:ind w:left="140"/>
              <w:spacing w:after="0" w:line="179" w:lineRule="exact"/>
              <w:rPr>
                <w:sz w:val="20"/>
                <w:szCs w:val="20"/>
                <w:color w:val="auto"/>
              </w:rPr>
            </w:pPr>
            <w:r>
              <w:rPr>
                <w:rFonts w:ascii="Arial" w:cs="Arial" w:eastAsia="Arial" w:hAnsi="Arial"/>
                <w:sz w:val="16"/>
                <w:szCs w:val="16"/>
                <w:color w:val="auto"/>
                <w:w w:val="97"/>
              </w:rPr>
              <w:t>Total other operating expenses excluding share-based</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02"/>
        </w:trPr>
        <w:tc>
          <w:tcPr>
            <w:tcW w:w="39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compensation expense</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818.9</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835.3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(16.4)</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340" w:type="dxa"/>
            <w:vAlign w:val="bottom"/>
            <w:gridSpan w:val="2"/>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Share-based compensation expense</w:t>
            </w: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CCEEFF"/>
            </w:tcBorders>
            <w:vMerge w:val="restart"/>
          </w:tcPr>
          <w:p>
            <w:pPr>
              <w:jc w:val="right"/>
              <w:ind w:right="44"/>
              <w:spacing w:after="0"/>
              <w:rPr>
                <w:sz w:val="20"/>
                <w:szCs w:val="20"/>
                <w:color w:val="auto"/>
              </w:rPr>
            </w:pPr>
            <w:r>
              <w:rPr>
                <w:rFonts w:ascii="Arial" w:cs="Arial" w:eastAsia="Arial" w:hAnsi="Arial"/>
                <w:sz w:val="16"/>
                <w:szCs w:val="16"/>
                <w:color w:val="auto"/>
              </w:rPr>
              <w:t>2.3</w:t>
            </w: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CCEEFF"/>
            </w:tcBorders>
            <w:vMerge w:val="restart"/>
          </w:tcPr>
          <w:p>
            <w:pPr>
              <w:jc w:val="right"/>
              <w:ind w:right="43"/>
              <w:spacing w:after="0"/>
              <w:rPr>
                <w:sz w:val="20"/>
                <w:szCs w:val="20"/>
                <w:color w:val="auto"/>
              </w:rPr>
            </w:pPr>
            <w:r>
              <w:rPr>
                <w:rFonts w:ascii="Arial" w:cs="Arial" w:eastAsia="Arial" w:hAnsi="Arial"/>
                <w:sz w:val="16"/>
                <w:szCs w:val="16"/>
                <w:color w:val="auto"/>
              </w:rPr>
              <w:t>1.9</w:t>
            </w: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CCEEFF"/>
            </w:tcBorders>
            <w:vMerge w:val="restart"/>
          </w:tcPr>
          <w:p>
            <w:pPr>
              <w:jc w:val="right"/>
              <w:ind w:right="44"/>
              <w:spacing w:after="0"/>
              <w:rPr>
                <w:sz w:val="20"/>
                <w:szCs w:val="20"/>
                <w:color w:val="auto"/>
              </w:rPr>
            </w:pPr>
            <w:r>
              <w:rPr>
                <w:rFonts w:ascii="Arial" w:cs="Arial" w:eastAsia="Arial" w:hAnsi="Arial"/>
                <w:sz w:val="16"/>
                <w:szCs w:val="16"/>
                <w:color w:val="auto"/>
              </w:rPr>
              <w:t>0.4</w:t>
            </w: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CCEEFF"/>
            </w:tcBorders>
            <w:vMerge w:val="restart"/>
          </w:tcPr>
          <w:p>
            <w:pPr>
              <w:jc w:val="right"/>
              <w:ind w:right="22"/>
              <w:spacing w:after="0"/>
              <w:rPr>
                <w:sz w:val="20"/>
                <w:szCs w:val="20"/>
                <w:color w:val="auto"/>
              </w:rPr>
            </w:pPr>
            <w:r>
              <w:rPr>
                <w:rFonts w:ascii="Arial" w:cs="Arial" w:eastAsia="Arial" w:hAnsi="Arial"/>
                <w:sz w:val="16"/>
                <w:szCs w:val="16"/>
                <w:color w:val="auto"/>
              </w:rPr>
              <w:t>21.1</w:t>
            </w: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9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3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821.2</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837.2</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(16.0)</w:t>
            </w: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394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w:t>
      </w:r>
    </w:p>
    <w:p>
      <w:pPr>
        <w:spacing w:after="0" w:line="188" w:lineRule="exact"/>
        <w:rPr>
          <w:sz w:val="20"/>
          <w:szCs w:val="20"/>
          <w:color w:val="auto"/>
        </w:rPr>
      </w:pPr>
    </w:p>
    <w:p>
      <w:pPr>
        <w:jc w:val="both"/>
        <w:ind w:firstLine="279"/>
        <w:spacing w:after="0" w:line="250" w:lineRule="auto"/>
        <w:rPr>
          <w:sz w:val="20"/>
          <w:szCs w:val="20"/>
          <w:color w:val="auto"/>
        </w:rPr>
      </w:pPr>
      <w:r>
        <w:rPr>
          <w:rFonts w:ascii="Arial" w:cs="Arial" w:eastAsia="Arial" w:hAnsi="Arial"/>
          <w:sz w:val="16"/>
          <w:szCs w:val="16"/>
          <w:color w:val="auto"/>
        </w:rPr>
        <w:t>Our other operating expenses (exclusive of share-based compensation expense) decreased $17.3 million or 4.2% and $16.4 million or 2.0% during the three and six months ended June 30, 2020, respectively, as compared to the corresponding periods in 2019. On an organic basis, our other operating expenses decreased $10.3 million or 2.5% and $2.7 million or 0.3%, respectively. These decreases include the following factors:</w:t>
      </w:r>
    </w:p>
    <w:p>
      <w:pPr>
        <w:spacing w:after="0" w:line="170" w:lineRule="exact"/>
        <w:rPr>
          <w:sz w:val="20"/>
          <w:szCs w:val="20"/>
          <w:color w:val="auto"/>
        </w:rPr>
      </w:pPr>
    </w:p>
    <w:p>
      <w:pPr>
        <w:ind w:left="560" w:right="20" w:hanging="288"/>
        <w:spacing w:after="0" w:line="329" w:lineRule="auto"/>
        <w:tabs>
          <w:tab w:leader="none" w:pos="560" w:val="left"/>
        </w:tabs>
        <w:numPr>
          <w:ilvl w:val="0"/>
          <w:numId w:val="58"/>
        </w:numPr>
        <w:rPr>
          <w:rFonts w:ascii="Arial" w:cs="Arial" w:eastAsia="Arial" w:hAnsi="Arial"/>
          <w:sz w:val="14"/>
          <w:szCs w:val="14"/>
          <w:b w:val="1"/>
          <w:bCs w:val="1"/>
          <w:color w:val="auto"/>
        </w:rPr>
      </w:pPr>
      <w:r>
        <w:rPr>
          <w:rFonts w:ascii="Arial" w:cs="Arial" w:eastAsia="Arial" w:hAnsi="Arial"/>
          <w:sz w:val="14"/>
          <w:szCs w:val="14"/>
          <w:color w:val="auto"/>
        </w:rPr>
        <w:t>Increases in network infrastructure charges in U.K./Ireland of $4.4 million and $14.4 million, respectively, following an increase in the rateable value of certain of Virgin Media’s assets. For additional information, see “</w:t>
      </w:r>
      <w:r>
        <w:rPr>
          <w:rFonts w:ascii="Arial" w:cs="Arial" w:eastAsia="Arial" w:hAnsi="Arial"/>
          <w:sz w:val="14"/>
          <w:szCs w:val="14"/>
          <w:i w:val="1"/>
          <w:iCs w:val="1"/>
          <w:color w:val="auto"/>
        </w:rPr>
        <w:t>Other Regulatory Issues”</w:t>
      </w:r>
      <w:r>
        <w:rPr>
          <w:rFonts w:ascii="Arial" w:cs="Arial" w:eastAsia="Arial" w:hAnsi="Arial"/>
          <w:sz w:val="14"/>
          <w:szCs w:val="14"/>
          <w:color w:val="auto"/>
        </w:rPr>
        <w:t xml:space="preserve"> in note 16 to our condensed consolidated financial statements;</w:t>
      </w:r>
    </w:p>
    <w:p>
      <w:pPr>
        <w:spacing w:after="0" w:line="117" w:lineRule="exact"/>
        <w:rPr>
          <w:rFonts w:ascii="Arial" w:cs="Arial" w:eastAsia="Arial" w:hAnsi="Arial"/>
          <w:sz w:val="14"/>
          <w:szCs w:val="14"/>
          <w:b w:val="1"/>
          <w:bCs w:val="1"/>
          <w:color w:val="auto"/>
        </w:rPr>
      </w:pPr>
    </w:p>
    <w:p>
      <w:pPr>
        <w:jc w:val="both"/>
        <w:ind w:left="560" w:hanging="288"/>
        <w:spacing w:after="0" w:line="250" w:lineRule="auto"/>
        <w:tabs>
          <w:tab w:leader="none" w:pos="5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Decreases in customer service costs of $13.2 million or 21.4% and $12.5 million or 9.9%, respectively, primarily due to lower call center costs in U.K./Ireland and Belgium. The lower call center costs in U.K./Ireland are primarily due to lockdowns during the second quarter of 2020 associated with the COVID-19 pandemic, which prevented certain outsourced contract services from being performed;</w:t>
      </w:r>
    </w:p>
    <w:p>
      <w:pPr>
        <w:spacing w:after="0" w:line="169" w:lineRule="exact"/>
        <w:rPr>
          <w:rFonts w:ascii="Arial" w:cs="Arial" w:eastAsia="Arial" w:hAnsi="Arial"/>
          <w:sz w:val="16"/>
          <w:szCs w:val="16"/>
          <w:color w:val="auto"/>
        </w:rPr>
      </w:pPr>
    </w:p>
    <w:p>
      <w:pPr>
        <w:jc w:val="both"/>
        <w:ind w:left="560" w:hanging="288"/>
        <w:spacing w:after="0" w:line="303" w:lineRule="auto"/>
        <w:tabs>
          <w:tab w:leader="none" w:pos="5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aforementioned impact of the classification of costs associated with the delivery of certain transitional services provided by Central and Corporate to various third parties in connection with our recent dispositions. Beginning on the effective dates of the underlying agreements, these costs became direct costs of services, which resulted in decreases in various other operating expenses of $6.3 million and $10.7 million, respectively, within Central and Corporate; and</w:t>
      </w:r>
    </w:p>
    <w:p>
      <w:pPr>
        <w:spacing w:after="0" w:line="134" w:lineRule="exact"/>
        <w:rPr>
          <w:rFonts w:ascii="Arial" w:cs="Arial" w:eastAsia="Arial" w:hAnsi="Arial"/>
          <w:sz w:val="14"/>
          <w:szCs w:val="14"/>
          <w:color w:val="auto"/>
        </w:rPr>
      </w:pPr>
    </w:p>
    <w:p>
      <w:pPr>
        <w:jc w:val="both"/>
        <w:ind w:left="560" w:hanging="288"/>
        <w:spacing w:after="0" w:line="250" w:lineRule="auto"/>
        <w:tabs>
          <w:tab w:leader="none" w:pos="5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Increases in personnel costs of $10.7 million or 8.8% and $8.4 million or 3.4%, respectively, primarily due to the net effect of (i) higher average costs per employee, primarily in U.K./Ireland and Central and Corporate, (ii) lower staffing levels, primarily in U.K./Ireland and Central and Corporate, and (iii) decreases in temporary personnel costs, primarily in U.K./Ireland.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260"/>
          </w:cols>
          <w:pgMar w:left="320" w:top="453" w:right="319" w:bottom="1440" w:gutter="0" w:footer="0" w:header="0"/>
        </w:sectPr>
      </w:pPr>
    </w:p>
    <w:bookmarkStart w:id="68" w:name="page69"/>
    <w:bookmarkEnd w:id="68"/>
    <w:p>
      <w:pPr>
        <w:ind w:left="140"/>
        <w:spacing w:after="0"/>
        <w:rPr>
          <w:sz w:val="20"/>
          <w:szCs w:val="20"/>
          <w:color w:val="auto"/>
        </w:rPr>
      </w:pPr>
      <w:r>
        <w:rPr>
          <w:rFonts w:ascii="Arial" w:cs="Arial" w:eastAsia="Arial" w:hAnsi="Arial"/>
          <w:sz w:val="16"/>
          <w:szCs w:val="16"/>
          <w:i w:val="1"/>
          <w:iCs w:val="1"/>
          <w:color w:val="auto"/>
        </w:rPr>
        <w:t>SG&amp;A expenses</w:t>
      </w:r>
    </w:p>
    <w:p>
      <w:pPr>
        <w:spacing w:after="0" w:line="188" w:lineRule="exact"/>
        <w:rPr>
          <w:sz w:val="20"/>
          <w:szCs w:val="20"/>
          <w:color w:val="auto"/>
        </w:rPr>
      </w:pPr>
    </w:p>
    <w:p>
      <w:pPr>
        <w:jc w:val="both"/>
        <w:ind w:firstLine="279"/>
        <w:spacing w:after="0" w:line="248" w:lineRule="auto"/>
        <w:rPr>
          <w:sz w:val="20"/>
          <w:szCs w:val="20"/>
          <w:color w:val="auto"/>
        </w:rPr>
      </w:pPr>
      <w:r>
        <w:rPr>
          <w:rFonts w:ascii="Arial" w:cs="Arial" w:eastAsia="Arial" w:hAnsi="Arial"/>
          <w:sz w:val="16"/>
          <w:szCs w:val="16"/>
          <w:color w:val="auto"/>
        </w:rPr>
        <w:t>SG&amp;A expenses include human resources, information technology, general services, management, finance, legal, external sales and marketing costs, share-based compensation and other general expenses. We do not include share-based compensation in the following discussion and analysis of the SG&amp;A expenses of our consolidated reportable segments as share-based compensation expense is not included in the performance measures of our consolidated reportable segments. Share-based compensation expense is separately discussed further below.</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9"/>
              </w:rPr>
              <w:t>Three months ended June 30,</w:t>
            </w: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7"/>
              </w:rPr>
              <w:t>Increase (decrease)</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00" w:type="dxa"/>
            <w:vAlign w:val="bottom"/>
            <w:gridSpan w:val="3"/>
          </w:tcPr>
          <w:p>
            <w:pPr>
              <w:jc w:val="right"/>
              <w:ind w:right="263"/>
              <w:spacing w:after="0"/>
              <w:rPr>
                <w:sz w:val="20"/>
                <w:szCs w:val="20"/>
                <w:color w:val="auto"/>
              </w:rPr>
            </w:pPr>
            <w:r>
              <w:rPr>
                <w:rFonts w:ascii="Arial" w:cs="Arial" w:eastAsia="Arial" w:hAnsi="Arial"/>
                <w:sz w:val="14"/>
                <w:szCs w:val="14"/>
                <w:b w:val="1"/>
                <w:bCs w:val="1"/>
                <w:color w:val="auto"/>
                <w:w w:val="92"/>
              </w:rPr>
              <w:t>Organic increase (decrease)</w:t>
            </w:r>
          </w:p>
        </w:tc>
        <w:tc>
          <w:tcPr>
            <w:tcW w:w="0" w:type="dxa"/>
            <w:vAlign w:val="bottom"/>
          </w:tcPr>
          <w:p>
            <w:pPr>
              <w:spacing w:after="0"/>
              <w:rPr>
                <w:sz w:val="1"/>
                <w:szCs w:val="1"/>
                <w:color w:val="auto"/>
              </w:rPr>
            </w:pPr>
          </w:p>
        </w:tc>
      </w:tr>
      <w:tr>
        <w:trPr>
          <w:trHeight w:val="28"/>
        </w:trPr>
        <w:tc>
          <w:tcPr>
            <w:tcW w:w="39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3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36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ind w:right="36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44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120" w:type="dxa"/>
            <w:vAlign w:val="bottom"/>
          </w:tcPr>
          <w:p>
            <w:pPr>
              <w:jc w:val="right"/>
              <w:ind w:right="42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8"/>
        </w:trPr>
        <w:tc>
          <w:tcPr>
            <w:tcW w:w="39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3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0" w:type="dxa"/>
            <w:vAlign w:val="bottom"/>
            <w:gridSpan w:val="5"/>
          </w:tcPr>
          <w:p>
            <w:pPr>
              <w:jc w:val="right"/>
              <w:ind w:right="222"/>
              <w:spacing w:after="0"/>
              <w:rPr>
                <w:sz w:val="20"/>
                <w:szCs w:val="20"/>
                <w:color w:val="auto"/>
              </w:rPr>
            </w:pPr>
            <w:r>
              <w:rPr>
                <w:rFonts w:ascii="Arial" w:cs="Arial" w:eastAsia="Arial" w:hAnsi="Arial"/>
                <w:sz w:val="14"/>
                <w:szCs w:val="14"/>
                <w:b w:val="1"/>
                <w:bCs w:val="1"/>
                <w:color w:val="auto"/>
                <w:w w:val="90"/>
              </w:rPr>
              <w:t>in millions, except percentages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U.K./Ireland</w:t>
            </w:r>
          </w:p>
        </w:tc>
        <w:tc>
          <w:tcPr>
            <w:tcW w:w="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192.0</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222.5</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(30.5)</w:t>
            </w: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(13.7)</w:t>
            </w: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09"/>
        </w:trPr>
        <w:tc>
          <w:tcPr>
            <w:tcW w:w="3940" w:type="dxa"/>
            <w:vAlign w:val="bottom"/>
          </w:tcPr>
          <w:p>
            <w:pPr>
              <w:ind w:left="20"/>
              <w:spacing w:after="0"/>
              <w:rPr>
                <w:sz w:val="20"/>
                <w:szCs w:val="20"/>
                <w:color w:val="auto"/>
              </w:rPr>
            </w:pPr>
            <w:r>
              <w:rPr>
                <w:rFonts w:ascii="Arial" w:cs="Arial" w:eastAsia="Arial" w:hAnsi="Arial"/>
                <w:sz w:val="16"/>
                <w:szCs w:val="16"/>
                <w:color w:val="auto"/>
              </w:rPr>
              <w:t>Belgium</w:t>
            </w:r>
          </w:p>
        </w:tc>
        <w:tc>
          <w:tcPr>
            <w:tcW w:w="220" w:type="dxa"/>
            <w:vAlign w:val="bottom"/>
          </w:tcPr>
          <w:p>
            <w:pPr>
              <w:spacing w:after="0"/>
              <w:rPr>
                <w:sz w:val="18"/>
                <w:szCs w:val="18"/>
                <w:color w:val="auto"/>
              </w:rPr>
            </w:pPr>
          </w:p>
        </w:tc>
        <w:tc>
          <w:tcPr>
            <w:tcW w:w="920" w:type="dxa"/>
            <w:vAlign w:val="bottom"/>
          </w:tcPr>
          <w:p>
            <w:pPr>
              <w:jc w:val="right"/>
              <w:ind w:right="44"/>
              <w:spacing w:after="0"/>
              <w:rPr>
                <w:sz w:val="20"/>
                <w:szCs w:val="20"/>
                <w:color w:val="auto"/>
              </w:rPr>
            </w:pPr>
            <w:r>
              <w:rPr>
                <w:rFonts w:ascii="Arial" w:cs="Arial" w:eastAsia="Arial" w:hAnsi="Arial"/>
                <w:sz w:val="16"/>
                <w:szCs w:val="16"/>
                <w:color w:val="auto"/>
              </w:rPr>
              <w:t>91.1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ind w:right="43"/>
              <w:spacing w:after="0"/>
              <w:rPr>
                <w:sz w:val="20"/>
                <w:szCs w:val="20"/>
                <w:color w:val="auto"/>
              </w:rPr>
            </w:pPr>
            <w:r>
              <w:rPr>
                <w:rFonts w:ascii="Arial" w:cs="Arial" w:eastAsia="Arial" w:hAnsi="Arial"/>
                <w:sz w:val="16"/>
                <w:szCs w:val="16"/>
                <w:color w:val="auto"/>
              </w:rPr>
              <w:t>99.1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jc w:val="right"/>
              <w:ind w:right="4"/>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4"/>
        </w:trPr>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Switzerland</w:t>
            </w: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48.0</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45.1</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9"/>
        </w:trPr>
        <w:tc>
          <w:tcPr>
            <w:tcW w:w="3940" w:type="dxa"/>
            <w:vAlign w:val="bottom"/>
          </w:tcPr>
          <w:p>
            <w:pPr>
              <w:ind w:left="20"/>
              <w:spacing w:after="0"/>
              <w:rPr>
                <w:sz w:val="20"/>
                <w:szCs w:val="20"/>
                <w:color w:val="auto"/>
              </w:rPr>
            </w:pPr>
            <w:r>
              <w:rPr>
                <w:rFonts w:ascii="Arial" w:cs="Arial" w:eastAsia="Arial" w:hAnsi="Arial"/>
                <w:sz w:val="16"/>
                <w:szCs w:val="16"/>
                <w:color w:val="auto"/>
              </w:rPr>
              <w:t>Central and Eastern Europe</w:t>
            </w:r>
          </w:p>
        </w:tc>
        <w:tc>
          <w:tcPr>
            <w:tcW w:w="220" w:type="dxa"/>
            <w:vAlign w:val="bottom"/>
          </w:tcPr>
          <w:p>
            <w:pPr>
              <w:spacing w:after="0"/>
              <w:rPr>
                <w:sz w:val="18"/>
                <w:szCs w:val="18"/>
                <w:color w:val="auto"/>
              </w:rPr>
            </w:pPr>
          </w:p>
        </w:tc>
        <w:tc>
          <w:tcPr>
            <w:tcW w:w="920" w:type="dxa"/>
            <w:vAlign w:val="bottom"/>
          </w:tcPr>
          <w:p>
            <w:pPr>
              <w:jc w:val="right"/>
              <w:ind w:right="44"/>
              <w:spacing w:after="0"/>
              <w:rPr>
                <w:sz w:val="20"/>
                <w:szCs w:val="20"/>
                <w:color w:val="auto"/>
              </w:rPr>
            </w:pPr>
            <w:r>
              <w:rPr>
                <w:rFonts w:ascii="Arial" w:cs="Arial" w:eastAsia="Arial" w:hAnsi="Arial"/>
                <w:sz w:val="16"/>
                <w:szCs w:val="16"/>
                <w:color w:val="auto"/>
              </w:rPr>
              <w:t>17.4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ind w:right="43"/>
              <w:spacing w:after="0"/>
              <w:rPr>
                <w:sz w:val="20"/>
                <w:szCs w:val="20"/>
                <w:color w:val="auto"/>
              </w:rPr>
            </w:pPr>
            <w:r>
              <w:rPr>
                <w:rFonts w:ascii="Arial" w:cs="Arial" w:eastAsia="Arial" w:hAnsi="Arial"/>
                <w:sz w:val="16"/>
                <w:szCs w:val="16"/>
                <w:color w:val="auto"/>
              </w:rPr>
              <w:t>17.7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jc w:val="right"/>
              <w:ind w:right="4"/>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44"/>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8"/>
                <w:szCs w:val="18"/>
                <w:color w:val="auto"/>
              </w:rPr>
            </w:pP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4"/>
        </w:trPr>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Central and Corporate</w:t>
            </w: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72.8</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68.0</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09"/>
        </w:trPr>
        <w:tc>
          <w:tcPr>
            <w:tcW w:w="3940" w:type="dxa"/>
            <w:vAlign w:val="bottom"/>
          </w:tcPr>
          <w:p>
            <w:pPr>
              <w:ind w:left="20"/>
              <w:spacing w:after="0"/>
              <w:rPr>
                <w:sz w:val="20"/>
                <w:szCs w:val="20"/>
                <w:color w:val="auto"/>
              </w:rPr>
            </w:pPr>
            <w:r>
              <w:rPr>
                <w:rFonts w:ascii="Arial" w:cs="Arial" w:eastAsia="Arial" w:hAnsi="Arial"/>
                <w:sz w:val="16"/>
                <w:szCs w:val="16"/>
                <w:color w:val="auto"/>
              </w:rPr>
              <w:t>Intersegment eliminations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ind w:right="43"/>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jc w:val="right"/>
              <w:ind w:right="4"/>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jc w:val="right"/>
              <w:ind w:right="22"/>
              <w:spacing w:after="0"/>
              <w:rPr>
                <w:sz w:val="20"/>
                <w:szCs w:val="20"/>
                <w:color w:val="auto"/>
              </w:rPr>
            </w:pPr>
            <w:r>
              <w:rPr>
                <w:rFonts w:ascii="Arial" w:cs="Arial" w:eastAsia="Arial" w:hAnsi="Arial"/>
                <w:sz w:val="16"/>
                <w:szCs w:val="16"/>
                <w:color w:val="auto"/>
              </w:rPr>
              <w:t>N.M.</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4"/>
        </w:trPr>
        <w:tc>
          <w:tcPr>
            <w:tcW w:w="3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3940" w:type="dxa"/>
            <w:vAlign w:val="bottom"/>
            <w:shd w:val="clear" w:color="auto" w:fill="CCEEFF"/>
          </w:tcPr>
          <w:p>
            <w:pPr>
              <w:ind w:left="140"/>
              <w:spacing w:after="0" w:line="179" w:lineRule="exact"/>
              <w:rPr>
                <w:sz w:val="20"/>
                <w:szCs w:val="20"/>
                <w:color w:val="auto"/>
              </w:rPr>
            </w:pPr>
            <w:r>
              <w:rPr>
                <w:rFonts w:ascii="Arial" w:cs="Arial" w:eastAsia="Arial" w:hAnsi="Arial"/>
                <w:sz w:val="16"/>
                <w:szCs w:val="16"/>
                <w:color w:val="auto"/>
                <w:w w:val="88"/>
              </w:rPr>
              <w:t>Total SG&amp;A expenses excluding share-based compensation</w:t>
            </w: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(34.1)</w:t>
            </w:r>
          </w:p>
        </w:tc>
        <w:tc>
          <w:tcPr>
            <w:tcW w:w="10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02"/>
        </w:trPr>
        <w:tc>
          <w:tcPr>
            <w:tcW w:w="39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expense</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419.9</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456.6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(36.7)</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340" w:type="dxa"/>
            <w:vAlign w:val="bottom"/>
            <w:gridSpan w:val="2"/>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Share-based compensation expense</w:t>
            </w: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CCEEFF"/>
            </w:tcBorders>
            <w:vMerge w:val="restart"/>
          </w:tcPr>
          <w:p>
            <w:pPr>
              <w:jc w:val="right"/>
              <w:ind w:right="44"/>
              <w:spacing w:after="0"/>
              <w:rPr>
                <w:sz w:val="20"/>
                <w:szCs w:val="20"/>
                <w:color w:val="auto"/>
              </w:rPr>
            </w:pPr>
            <w:r>
              <w:rPr>
                <w:rFonts w:ascii="Arial" w:cs="Arial" w:eastAsia="Arial" w:hAnsi="Arial"/>
                <w:sz w:val="16"/>
                <w:szCs w:val="16"/>
                <w:color w:val="auto"/>
              </w:rPr>
              <w:t>82.2</w:t>
            </w: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CCEEFF"/>
            </w:tcBorders>
            <w:vMerge w:val="restart"/>
          </w:tcPr>
          <w:p>
            <w:pPr>
              <w:jc w:val="right"/>
              <w:ind w:right="43"/>
              <w:spacing w:after="0"/>
              <w:rPr>
                <w:sz w:val="20"/>
                <w:szCs w:val="20"/>
                <w:color w:val="auto"/>
              </w:rPr>
            </w:pPr>
            <w:r>
              <w:rPr>
                <w:rFonts w:ascii="Arial" w:cs="Arial" w:eastAsia="Arial" w:hAnsi="Arial"/>
                <w:sz w:val="16"/>
                <w:szCs w:val="16"/>
                <w:color w:val="auto"/>
              </w:rPr>
              <w:t>86.0</w:t>
            </w: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CCEEFF"/>
            </w:tcBorders>
            <w:vMerge w:val="restart"/>
          </w:tcPr>
          <w:p>
            <w:pPr>
              <w:jc w:val="right"/>
              <w:ind w:right="4"/>
              <w:spacing w:after="0"/>
              <w:rPr>
                <w:sz w:val="20"/>
                <w:szCs w:val="20"/>
                <w:color w:val="auto"/>
              </w:rPr>
            </w:pPr>
            <w:r>
              <w:rPr>
                <w:rFonts w:ascii="Arial" w:cs="Arial" w:eastAsia="Arial" w:hAnsi="Arial"/>
                <w:sz w:val="16"/>
                <w:szCs w:val="16"/>
                <w:color w:val="auto"/>
              </w:rPr>
              <w:t>(3.8)</w:t>
            </w: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(4.4)</w:t>
            </w: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9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3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502.1</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542.6</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(40.5)</w:t>
            </w: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7"/>
              </w:rPr>
              <w:t>Six months ended</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3"/>
          </w:tcPr>
          <w:p>
            <w:pPr>
              <w:jc w:val="center"/>
              <w:ind w:left="564"/>
              <w:spacing w:after="0"/>
              <w:rPr>
                <w:sz w:val="20"/>
                <w:szCs w:val="20"/>
                <w:color w:val="auto"/>
              </w:rPr>
            </w:pPr>
            <w:r>
              <w:rPr>
                <w:rFonts w:ascii="Arial" w:cs="Arial" w:eastAsia="Arial" w:hAnsi="Arial"/>
                <w:sz w:val="14"/>
                <w:szCs w:val="14"/>
                <w:b w:val="1"/>
                <w:bCs w:val="1"/>
                <w:color w:val="auto"/>
                <w:w w:val="89"/>
              </w:rPr>
              <w:t>June 30,</w:t>
            </w: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7"/>
              </w:rPr>
              <w:t>Increase (decrease)</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00" w:type="dxa"/>
            <w:vAlign w:val="bottom"/>
            <w:gridSpan w:val="3"/>
          </w:tcPr>
          <w:p>
            <w:pPr>
              <w:jc w:val="right"/>
              <w:ind w:right="263"/>
              <w:spacing w:after="0"/>
              <w:rPr>
                <w:sz w:val="20"/>
                <w:szCs w:val="20"/>
                <w:color w:val="auto"/>
              </w:rPr>
            </w:pPr>
            <w:r>
              <w:rPr>
                <w:rFonts w:ascii="Arial" w:cs="Arial" w:eastAsia="Arial" w:hAnsi="Arial"/>
                <w:sz w:val="14"/>
                <w:szCs w:val="14"/>
                <w:b w:val="1"/>
                <w:bCs w:val="1"/>
                <w:color w:val="auto"/>
                <w:w w:val="92"/>
              </w:rPr>
              <w:t>Organic increase (decrease)</w:t>
            </w:r>
          </w:p>
        </w:tc>
        <w:tc>
          <w:tcPr>
            <w:tcW w:w="0" w:type="dxa"/>
            <w:vAlign w:val="bottom"/>
          </w:tcPr>
          <w:p>
            <w:pPr>
              <w:spacing w:after="0"/>
              <w:rPr>
                <w:sz w:val="1"/>
                <w:szCs w:val="1"/>
                <w:color w:val="auto"/>
              </w:rPr>
            </w:pPr>
          </w:p>
        </w:tc>
      </w:tr>
      <w:tr>
        <w:trPr>
          <w:trHeight w:val="28"/>
        </w:trPr>
        <w:tc>
          <w:tcPr>
            <w:tcW w:w="39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3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36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ind w:right="36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44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120" w:type="dxa"/>
            <w:vAlign w:val="bottom"/>
          </w:tcPr>
          <w:p>
            <w:pPr>
              <w:jc w:val="right"/>
              <w:ind w:right="42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8"/>
        </w:trPr>
        <w:tc>
          <w:tcPr>
            <w:tcW w:w="39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3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0" w:type="dxa"/>
            <w:vAlign w:val="bottom"/>
            <w:gridSpan w:val="5"/>
          </w:tcPr>
          <w:p>
            <w:pPr>
              <w:jc w:val="right"/>
              <w:ind w:right="222"/>
              <w:spacing w:after="0"/>
              <w:rPr>
                <w:sz w:val="20"/>
                <w:szCs w:val="20"/>
                <w:color w:val="auto"/>
              </w:rPr>
            </w:pPr>
            <w:r>
              <w:rPr>
                <w:rFonts w:ascii="Arial" w:cs="Arial" w:eastAsia="Arial" w:hAnsi="Arial"/>
                <w:sz w:val="14"/>
                <w:szCs w:val="14"/>
                <w:b w:val="1"/>
                <w:bCs w:val="1"/>
                <w:color w:val="auto"/>
                <w:w w:val="90"/>
              </w:rPr>
              <w:t>in millions, except percentages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gridSpan w:val="2"/>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U.K./Ireland</w:t>
            </w:r>
          </w:p>
        </w:tc>
        <w:tc>
          <w:tcPr>
            <w:tcW w:w="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399.2</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438.7</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(39.5)</w:t>
            </w: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09"/>
        </w:trPr>
        <w:tc>
          <w:tcPr>
            <w:tcW w:w="3940" w:type="dxa"/>
            <w:vAlign w:val="bottom"/>
          </w:tcPr>
          <w:p>
            <w:pPr>
              <w:ind w:left="20"/>
              <w:spacing w:after="0"/>
              <w:rPr>
                <w:sz w:val="20"/>
                <w:szCs w:val="20"/>
                <w:color w:val="auto"/>
              </w:rPr>
            </w:pPr>
            <w:r>
              <w:rPr>
                <w:rFonts w:ascii="Arial" w:cs="Arial" w:eastAsia="Arial" w:hAnsi="Arial"/>
                <w:sz w:val="16"/>
                <w:szCs w:val="16"/>
                <w:color w:val="auto"/>
              </w:rPr>
              <w:t>Belgium</w:t>
            </w:r>
          </w:p>
        </w:tc>
        <w:tc>
          <w:tcPr>
            <w:tcW w:w="220" w:type="dxa"/>
            <w:vAlign w:val="bottom"/>
          </w:tcPr>
          <w:p>
            <w:pPr>
              <w:spacing w:after="0"/>
              <w:rPr>
                <w:sz w:val="18"/>
                <w:szCs w:val="18"/>
                <w:color w:val="auto"/>
              </w:rPr>
            </w:pPr>
          </w:p>
        </w:tc>
        <w:tc>
          <w:tcPr>
            <w:tcW w:w="920" w:type="dxa"/>
            <w:vAlign w:val="bottom"/>
          </w:tcPr>
          <w:p>
            <w:pPr>
              <w:jc w:val="right"/>
              <w:ind w:right="44"/>
              <w:spacing w:after="0"/>
              <w:rPr>
                <w:sz w:val="20"/>
                <w:szCs w:val="20"/>
                <w:color w:val="auto"/>
              </w:rPr>
            </w:pPr>
            <w:r>
              <w:rPr>
                <w:rFonts w:ascii="Arial" w:cs="Arial" w:eastAsia="Arial" w:hAnsi="Arial"/>
                <w:sz w:val="16"/>
                <w:szCs w:val="16"/>
                <w:color w:val="auto"/>
              </w:rPr>
              <w:t>195.5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ind w:right="43"/>
              <w:spacing w:after="0"/>
              <w:rPr>
                <w:sz w:val="20"/>
                <w:szCs w:val="20"/>
                <w:color w:val="auto"/>
              </w:rPr>
            </w:pPr>
            <w:r>
              <w:rPr>
                <w:rFonts w:ascii="Arial" w:cs="Arial" w:eastAsia="Arial" w:hAnsi="Arial"/>
                <w:sz w:val="16"/>
                <w:szCs w:val="16"/>
                <w:color w:val="auto"/>
              </w:rPr>
              <w:t>204.5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jc w:val="right"/>
              <w:ind w:right="4"/>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(21.6)</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4"/>
        </w:trPr>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Switzerland</w:t>
            </w: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98.1</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94.7</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940" w:type="dxa"/>
            <w:vAlign w:val="bottom"/>
          </w:tcPr>
          <w:p>
            <w:pPr>
              <w:ind w:left="20"/>
              <w:spacing w:after="0"/>
              <w:rPr>
                <w:sz w:val="20"/>
                <w:szCs w:val="20"/>
                <w:color w:val="auto"/>
              </w:rPr>
            </w:pPr>
            <w:r>
              <w:rPr>
                <w:rFonts w:ascii="Arial" w:cs="Arial" w:eastAsia="Arial" w:hAnsi="Arial"/>
                <w:sz w:val="16"/>
                <w:szCs w:val="16"/>
                <w:color w:val="auto"/>
              </w:rPr>
              <w:t>Central and Eastern Europe</w:t>
            </w:r>
          </w:p>
        </w:tc>
        <w:tc>
          <w:tcPr>
            <w:tcW w:w="220" w:type="dxa"/>
            <w:vAlign w:val="bottom"/>
          </w:tcPr>
          <w:p>
            <w:pPr>
              <w:spacing w:after="0"/>
              <w:rPr>
                <w:sz w:val="18"/>
                <w:szCs w:val="18"/>
                <w:color w:val="auto"/>
              </w:rPr>
            </w:pPr>
          </w:p>
        </w:tc>
        <w:tc>
          <w:tcPr>
            <w:tcW w:w="920" w:type="dxa"/>
            <w:vAlign w:val="bottom"/>
          </w:tcPr>
          <w:p>
            <w:pPr>
              <w:jc w:val="right"/>
              <w:ind w:right="44"/>
              <w:spacing w:after="0"/>
              <w:rPr>
                <w:sz w:val="20"/>
                <w:szCs w:val="20"/>
                <w:color w:val="auto"/>
              </w:rPr>
            </w:pPr>
            <w:r>
              <w:rPr>
                <w:rFonts w:ascii="Arial" w:cs="Arial" w:eastAsia="Arial" w:hAnsi="Arial"/>
                <w:sz w:val="16"/>
                <w:szCs w:val="16"/>
                <w:color w:val="auto"/>
              </w:rPr>
              <w:t>36.0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ind w:right="43"/>
              <w:spacing w:after="0"/>
              <w:rPr>
                <w:sz w:val="20"/>
                <w:szCs w:val="20"/>
                <w:color w:val="auto"/>
              </w:rPr>
            </w:pPr>
            <w:r>
              <w:rPr>
                <w:rFonts w:ascii="Arial" w:cs="Arial" w:eastAsia="Arial" w:hAnsi="Arial"/>
                <w:sz w:val="16"/>
                <w:szCs w:val="16"/>
                <w:color w:val="auto"/>
              </w:rPr>
              <w:t>35.9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jc w:val="right"/>
              <w:ind w:right="44"/>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jc w:val="right"/>
              <w:ind w:right="22"/>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44"/>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4"/>
        </w:trPr>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Central and Corporate</w:t>
            </w: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143.5</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143.8</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9"/>
        </w:trPr>
        <w:tc>
          <w:tcPr>
            <w:tcW w:w="3940" w:type="dxa"/>
            <w:vAlign w:val="bottom"/>
          </w:tcPr>
          <w:p>
            <w:pPr>
              <w:ind w:left="20"/>
              <w:spacing w:after="0"/>
              <w:rPr>
                <w:sz w:val="20"/>
                <w:szCs w:val="20"/>
                <w:color w:val="auto"/>
              </w:rPr>
            </w:pPr>
            <w:r>
              <w:rPr>
                <w:rFonts w:ascii="Arial" w:cs="Arial" w:eastAsia="Arial" w:hAnsi="Arial"/>
                <w:sz w:val="16"/>
                <w:szCs w:val="16"/>
                <w:color w:val="auto"/>
              </w:rPr>
              <w:t>Intersegment eliminations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ind w:right="43"/>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jc w:val="right"/>
              <w:ind w:right="4"/>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jc w:val="right"/>
              <w:ind w:right="22"/>
              <w:spacing w:after="0"/>
              <w:rPr>
                <w:sz w:val="20"/>
                <w:szCs w:val="20"/>
                <w:color w:val="auto"/>
              </w:rPr>
            </w:pPr>
            <w:r>
              <w:rPr>
                <w:rFonts w:ascii="Arial" w:cs="Arial" w:eastAsia="Arial" w:hAnsi="Arial"/>
                <w:sz w:val="16"/>
                <w:szCs w:val="16"/>
                <w:color w:val="auto"/>
              </w:rPr>
              <w:t>N.M.</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8"/>
                <w:szCs w:val="18"/>
                <w:color w:val="auto"/>
              </w:rPr>
            </w:pP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4"/>
        </w:trPr>
        <w:tc>
          <w:tcPr>
            <w:tcW w:w="3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3940" w:type="dxa"/>
            <w:vAlign w:val="bottom"/>
            <w:shd w:val="clear" w:color="auto" w:fill="CCEEFF"/>
          </w:tcPr>
          <w:p>
            <w:pPr>
              <w:ind w:left="140"/>
              <w:spacing w:after="0" w:line="179" w:lineRule="exact"/>
              <w:rPr>
                <w:sz w:val="20"/>
                <w:szCs w:val="20"/>
                <w:color w:val="auto"/>
              </w:rPr>
            </w:pPr>
            <w:r>
              <w:rPr>
                <w:rFonts w:ascii="Arial" w:cs="Arial" w:eastAsia="Arial" w:hAnsi="Arial"/>
                <w:sz w:val="16"/>
                <w:szCs w:val="16"/>
                <w:color w:val="auto"/>
                <w:w w:val="88"/>
              </w:rPr>
              <w:t>Total SG&amp;A expenses excluding share-based compensation</w:t>
            </w: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(53.1)</w:t>
            </w:r>
          </w:p>
        </w:tc>
        <w:tc>
          <w:tcPr>
            <w:tcW w:w="10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02"/>
        </w:trPr>
        <w:tc>
          <w:tcPr>
            <w:tcW w:w="39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expense</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870.9</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922.4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(51.5)</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340" w:type="dxa"/>
            <w:vAlign w:val="bottom"/>
            <w:gridSpan w:val="2"/>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Share-based compensation expense</w:t>
            </w: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CCEEFF"/>
            </w:tcBorders>
            <w:vMerge w:val="restart"/>
          </w:tcPr>
          <w:p>
            <w:pPr>
              <w:jc w:val="right"/>
              <w:ind w:right="44"/>
              <w:spacing w:after="0"/>
              <w:rPr>
                <w:sz w:val="20"/>
                <w:szCs w:val="20"/>
                <w:color w:val="auto"/>
              </w:rPr>
            </w:pPr>
            <w:r>
              <w:rPr>
                <w:rFonts w:ascii="Arial" w:cs="Arial" w:eastAsia="Arial" w:hAnsi="Arial"/>
                <w:sz w:val="16"/>
                <w:szCs w:val="16"/>
                <w:color w:val="auto"/>
              </w:rPr>
              <w:t>136.7</w:t>
            </w: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CCEEFF"/>
            </w:tcBorders>
            <w:vMerge w:val="restart"/>
          </w:tcPr>
          <w:p>
            <w:pPr>
              <w:jc w:val="right"/>
              <w:ind w:right="43"/>
              <w:spacing w:after="0"/>
              <w:rPr>
                <w:sz w:val="20"/>
                <w:szCs w:val="20"/>
                <w:color w:val="auto"/>
              </w:rPr>
            </w:pPr>
            <w:r>
              <w:rPr>
                <w:rFonts w:ascii="Arial" w:cs="Arial" w:eastAsia="Arial" w:hAnsi="Arial"/>
                <w:sz w:val="16"/>
                <w:szCs w:val="16"/>
                <w:color w:val="auto"/>
              </w:rPr>
              <w:t>152.4</w:t>
            </w: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CCEEFF"/>
            </w:tcBorders>
            <w:vMerge w:val="restart"/>
          </w:tcPr>
          <w:p>
            <w:pPr>
              <w:jc w:val="right"/>
              <w:ind w:right="4"/>
              <w:spacing w:after="0"/>
              <w:rPr>
                <w:sz w:val="20"/>
                <w:szCs w:val="20"/>
                <w:color w:val="auto"/>
              </w:rPr>
            </w:pPr>
            <w:r>
              <w:rPr>
                <w:rFonts w:ascii="Arial" w:cs="Arial" w:eastAsia="Arial" w:hAnsi="Arial"/>
                <w:sz w:val="16"/>
                <w:szCs w:val="16"/>
                <w:color w:val="auto"/>
              </w:rPr>
              <w:t>(15.7)</w:t>
            </w: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w w:val="95"/>
              </w:rPr>
              <w:t>(10.3)</w:t>
            </w: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9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3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1,007.6</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1,074.8</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(67.2)</w:t>
            </w: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color w:val="auto"/>
        </w:rPr>
        <w:t>_______________</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260"/>
          </w:cols>
          <w:pgMar w:left="320" w:top="501" w:right="319" w:bottom="1440" w:gutter="0" w:footer="0" w:header="0"/>
        </w:sectPr>
      </w:pPr>
    </w:p>
    <w:bookmarkStart w:id="69" w:name="page70"/>
    <w:bookmarkEnd w:id="69"/>
    <w:p>
      <w:pPr>
        <w:ind w:left="147"/>
        <w:spacing w:after="0"/>
        <w:rPr>
          <w:sz w:val="20"/>
          <w:szCs w:val="20"/>
          <w:color w:val="auto"/>
        </w:rPr>
      </w:pPr>
      <w:r>
        <w:rPr>
          <w:rFonts w:ascii="Arial" w:cs="Arial" w:eastAsia="Arial" w:hAnsi="Arial"/>
          <w:sz w:val="16"/>
          <w:szCs w:val="16"/>
          <w:i w:val="1"/>
          <w:iCs w:val="1"/>
          <w:color w:val="auto"/>
        </w:rPr>
        <w:t>Supplemental SG&amp;A expense information</w:t>
      </w:r>
    </w:p>
    <w:p>
      <w:pPr>
        <w:spacing w:after="0" w:line="152" w:lineRule="exact"/>
        <w:rPr>
          <w:sz w:val="20"/>
          <w:szCs w:val="20"/>
          <w:color w:val="auto"/>
        </w:rPr>
      </w:pPr>
    </w:p>
    <w:tbl>
      <w:tblPr>
        <w:tblLayout w:type="fixed"/>
        <w:tblInd w:w="7" w:type="dxa"/>
        <w:tblCellMar>
          <w:top w:w="0" w:type="dxa"/>
          <w:left w:w="0" w:type="dxa"/>
          <w:bottom w:w="0" w:type="dxa"/>
          <w:right w:w="0" w:type="dxa"/>
        </w:tblCellMar>
      </w:tblPr>
      <w:tr>
        <w:trPr>
          <w:trHeight w:val="182"/>
        </w:trPr>
        <w:tc>
          <w:tcPr>
            <w:tcW w:w="3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9"/>
              </w:rPr>
              <w:t>Three months ended June 30,</w:t>
            </w:r>
          </w:p>
        </w:tc>
        <w:tc>
          <w:tcPr>
            <w:tcW w:w="160" w:type="dxa"/>
            <w:vAlign w:val="bottom"/>
          </w:tcPr>
          <w:p>
            <w:pPr>
              <w:spacing w:after="0"/>
              <w:rPr>
                <w:sz w:val="15"/>
                <w:szCs w:val="15"/>
                <w:color w:val="auto"/>
              </w:rPr>
            </w:pPr>
          </w:p>
        </w:tc>
        <w:tc>
          <w:tcPr>
            <w:tcW w:w="1440" w:type="dxa"/>
            <w:vAlign w:val="bottom"/>
            <w:gridSpan w:val="3"/>
          </w:tcPr>
          <w:p>
            <w:pPr>
              <w:ind w:left="760"/>
              <w:spacing w:after="0"/>
              <w:rPr>
                <w:sz w:val="20"/>
                <w:szCs w:val="20"/>
                <w:color w:val="auto"/>
              </w:rPr>
            </w:pPr>
            <w:r>
              <w:rPr>
                <w:rFonts w:ascii="Arial" w:cs="Arial" w:eastAsia="Arial" w:hAnsi="Arial"/>
                <w:sz w:val="14"/>
                <w:szCs w:val="14"/>
                <w:b w:val="1"/>
                <w:bCs w:val="1"/>
                <w:color w:val="auto"/>
              </w:rPr>
              <w:t>Decrease</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gridSpan w:val="3"/>
          </w:tcPr>
          <w:p>
            <w:pPr>
              <w:ind w:left="340"/>
              <w:spacing w:after="0"/>
              <w:rPr>
                <w:sz w:val="20"/>
                <w:szCs w:val="20"/>
                <w:color w:val="auto"/>
              </w:rPr>
            </w:pPr>
            <w:r>
              <w:rPr>
                <w:rFonts w:ascii="Arial" w:cs="Arial" w:eastAsia="Arial" w:hAnsi="Arial"/>
                <w:sz w:val="14"/>
                <w:szCs w:val="14"/>
                <w:b w:val="1"/>
                <w:bCs w:val="1"/>
                <w:color w:val="auto"/>
                <w:w w:val="86"/>
              </w:rPr>
              <w:t>Organic decrease</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39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3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366"/>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ind w:right="36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46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jc w:val="right"/>
              <w:ind w:right="40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44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jc w:val="right"/>
              <w:ind w:right="424"/>
              <w:spacing w:after="0"/>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28"/>
        </w:trPr>
        <w:tc>
          <w:tcPr>
            <w:tcW w:w="39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5"/>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3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00" w:type="dxa"/>
            <w:vAlign w:val="bottom"/>
            <w:gridSpan w:val="5"/>
          </w:tcPr>
          <w:p>
            <w:pPr>
              <w:ind w:left="80"/>
              <w:spacing w:after="0"/>
              <w:rPr>
                <w:sz w:val="20"/>
                <w:szCs w:val="20"/>
                <w:color w:val="auto"/>
              </w:rPr>
            </w:pPr>
            <w:r>
              <w:rPr>
                <w:rFonts w:ascii="Arial" w:cs="Arial" w:eastAsia="Arial" w:hAnsi="Arial"/>
                <w:sz w:val="14"/>
                <w:szCs w:val="14"/>
                <w:b w:val="1"/>
                <w:bCs w:val="1"/>
                <w:color w:val="auto"/>
              </w:rPr>
              <w:t>in millions, except percentages</w:t>
            </w: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General and administrative (a)</w:t>
            </w:r>
          </w:p>
        </w:tc>
        <w:tc>
          <w:tcPr>
            <w:tcW w:w="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6"/>
                <w:szCs w:val="16"/>
                <w:color w:val="auto"/>
              </w:rPr>
              <w:t>334.8</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356.0</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6"/>
                <w:szCs w:val="16"/>
                <w:color w:val="auto"/>
              </w:rPr>
              <w:t>(21.2)</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09"/>
        </w:trPr>
        <w:tc>
          <w:tcPr>
            <w:tcW w:w="3940" w:type="dxa"/>
            <w:vAlign w:val="bottom"/>
          </w:tcPr>
          <w:p>
            <w:pPr>
              <w:ind w:left="20"/>
              <w:spacing w:after="0"/>
              <w:rPr>
                <w:sz w:val="20"/>
                <w:szCs w:val="20"/>
                <w:color w:val="auto"/>
              </w:rPr>
            </w:pPr>
            <w:r>
              <w:rPr>
                <w:rFonts w:ascii="Arial" w:cs="Arial" w:eastAsia="Arial" w:hAnsi="Arial"/>
                <w:sz w:val="16"/>
                <w:szCs w:val="16"/>
                <w:color w:val="auto"/>
              </w:rPr>
              <w:t>External sales and marketing</w:t>
            </w:r>
          </w:p>
        </w:tc>
        <w:tc>
          <w:tcPr>
            <w:tcW w:w="220" w:type="dxa"/>
            <w:vAlign w:val="bottom"/>
          </w:tcPr>
          <w:p>
            <w:pPr>
              <w:spacing w:after="0"/>
              <w:rPr>
                <w:sz w:val="18"/>
                <w:szCs w:val="18"/>
                <w:color w:val="auto"/>
              </w:rPr>
            </w:pPr>
          </w:p>
        </w:tc>
        <w:tc>
          <w:tcPr>
            <w:tcW w:w="920" w:type="dxa"/>
            <w:vAlign w:val="bottom"/>
          </w:tcPr>
          <w:p>
            <w:pPr>
              <w:jc w:val="right"/>
              <w:ind w:right="46"/>
              <w:spacing w:after="0"/>
              <w:rPr>
                <w:sz w:val="20"/>
                <w:szCs w:val="20"/>
                <w:color w:val="auto"/>
              </w:rPr>
            </w:pPr>
            <w:r>
              <w:rPr>
                <w:rFonts w:ascii="Arial" w:cs="Arial" w:eastAsia="Arial" w:hAnsi="Arial"/>
                <w:sz w:val="16"/>
                <w:szCs w:val="16"/>
                <w:color w:val="auto"/>
              </w:rPr>
              <w:t>85.1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ind w:right="44"/>
              <w:spacing w:after="0"/>
              <w:rPr>
                <w:sz w:val="20"/>
                <w:szCs w:val="20"/>
                <w:color w:val="auto"/>
              </w:rPr>
            </w:pPr>
            <w:r>
              <w:rPr>
                <w:rFonts w:ascii="Arial" w:cs="Arial" w:eastAsia="Arial" w:hAnsi="Arial"/>
                <w:sz w:val="16"/>
                <w:szCs w:val="16"/>
                <w:color w:val="auto"/>
              </w:rPr>
              <w:t>100.6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6"/>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24"/>
        </w:trPr>
        <w:tc>
          <w:tcPr>
            <w:tcW w:w="3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6"/>
                <w:szCs w:val="16"/>
                <w:color w:val="auto"/>
              </w:rPr>
              <w:t>419.9</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456.6</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(36.7)</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3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7"/>
              </w:rPr>
              <w:t>Six months ended</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3"/>
          </w:tcPr>
          <w:p>
            <w:pPr>
              <w:jc w:val="center"/>
              <w:ind w:left="566"/>
              <w:spacing w:after="0"/>
              <w:rPr>
                <w:sz w:val="20"/>
                <w:szCs w:val="20"/>
                <w:color w:val="auto"/>
              </w:rPr>
            </w:pPr>
            <w:r>
              <w:rPr>
                <w:rFonts w:ascii="Arial" w:cs="Arial" w:eastAsia="Arial" w:hAnsi="Arial"/>
                <w:sz w:val="14"/>
                <w:szCs w:val="14"/>
                <w:b w:val="1"/>
                <w:bCs w:val="1"/>
                <w:color w:val="auto"/>
                <w:w w:val="89"/>
              </w:rPr>
              <w:t>June 30,</w:t>
            </w: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gridSpan w:val="3"/>
          </w:tcPr>
          <w:p>
            <w:pPr>
              <w:ind w:left="760"/>
              <w:spacing w:after="0"/>
              <w:rPr>
                <w:sz w:val="20"/>
                <w:szCs w:val="20"/>
                <w:color w:val="auto"/>
              </w:rPr>
            </w:pPr>
            <w:r>
              <w:rPr>
                <w:rFonts w:ascii="Arial" w:cs="Arial" w:eastAsia="Arial" w:hAnsi="Arial"/>
                <w:sz w:val="14"/>
                <w:szCs w:val="14"/>
                <w:b w:val="1"/>
                <w:bCs w:val="1"/>
                <w:color w:val="auto"/>
              </w:rPr>
              <w:t>Decrease</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gridSpan w:val="3"/>
          </w:tcPr>
          <w:p>
            <w:pPr>
              <w:ind w:left="340"/>
              <w:spacing w:after="0"/>
              <w:rPr>
                <w:sz w:val="20"/>
                <w:szCs w:val="20"/>
                <w:color w:val="auto"/>
              </w:rPr>
            </w:pPr>
            <w:r>
              <w:rPr>
                <w:rFonts w:ascii="Arial" w:cs="Arial" w:eastAsia="Arial" w:hAnsi="Arial"/>
                <w:sz w:val="14"/>
                <w:szCs w:val="14"/>
                <w:b w:val="1"/>
                <w:bCs w:val="1"/>
                <w:color w:val="auto"/>
                <w:w w:val="86"/>
              </w:rPr>
              <w:t>Organic decrease</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39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3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366"/>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ind w:right="36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46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jc w:val="right"/>
              <w:ind w:right="40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44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jc w:val="right"/>
              <w:ind w:right="424"/>
              <w:spacing w:after="0"/>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28"/>
        </w:trPr>
        <w:tc>
          <w:tcPr>
            <w:tcW w:w="39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5"/>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3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00" w:type="dxa"/>
            <w:vAlign w:val="bottom"/>
            <w:gridSpan w:val="5"/>
          </w:tcPr>
          <w:p>
            <w:pPr>
              <w:ind w:left="80"/>
              <w:spacing w:after="0"/>
              <w:rPr>
                <w:sz w:val="20"/>
                <w:szCs w:val="20"/>
                <w:color w:val="auto"/>
              </w:rPr>
            </w:pPr>
            <w:r>
              <w:rPr>
                <w:rFonts w:ascii="Arial" w:cs="Arial" w:eastAsia="Arial" w:hAnsi="Arial"/>
                <w:sz w:val="14"/>
                <w:szCs w:val="14"/>
                <w:b w:val="1"/>
                <w:bCs w:val="1"/>
                <w:color w:val="auto"/>
              </w:rPr>
              <w:t>in millions, except percentages</w:t>
            </w: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General and administrative (a)</w:t>
            </w:r>
          </w:p>
        </w:tc>
        <w:tc>
          <w:tcPr>
            <w:tcW w:w="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6"/>
                <w:szCs w:val="16"/>
                <w:color w:val="auto"/>
              </w:rPr>
              <w:t>691.3</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716.6</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6"/>
                <w:szCs w:val="16"/>
                <w:color w:val="auto"/>
              </w:rPr>
              <w:t>(25.3)</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09"/>
        </w:trPr>
        <w:tc>
          <w:tcPr>
            <w:tcW w:w="3940" w:type="dxa"/>
            <w:vAlign w:val="bottom"/>
          </w:tcPr>
          <w:p>
            <w:pPr>
              <w:ind w:left="20"/>
              <w:spacing w:after="0"/>
              <w:rPr>
                <w:sz w:val="20"/>
                <w:szCs w:val="20"/>
                <w:color w:val="auto"/>
              </w:rPr>
            </w:pPr>
            <w:r>
              <w:rPr>
                <w:rFonts w:ascii="Arial" w:cs="Arial" w:eastAsia="Arial" w:hAnsi="Arial"/>
                <w:sz w:val="16"/>
                <w:szCs w:val="16"/>
                <w:color w:val="auto"/>
              </w:rPr>
              <w:t>External sales and marketing</w:t>
            </w:r>
          </w:p>
        </w:tc>
        <w:tc>
          <w:tcPr>
            <w:tcW w:w="220" w:type="dxa"/>
            <w:vAlign w:val="bottom"/>
          </w:tcPr>
          <w:p>
            <w:pPr>
              <w:spacing w:after="0"/>
              <w:rPr>
                <w:sz w:val="18"/>
                <w:szCs w:val="18"/>
                <w:color w:val="auto"/>
              </w:rPr>
            </w:pPr>
          </w:p>
        </w:tc>
        <w:tc>
          <w:tcPr>
            <w:tcW w:w="920" w:type="dxa"/>
            <w:vAlign w:val="bottom"/>
          </w:tcPr>
          <w:p>
            <w:pPr>
              <w:jc w:val="right"/>
              <w:ind w:right="46"/>
              <w:spacing w:after="0"/>
              <w:rPr>
                <w:sz w:val="20"/>
                <w:szCs w:val="20"/>
                <w:color w:val="auto"/>
              </w:rPr>
            </w:pPr>
            <w:r>
              <w:rPr>
                <w:rFonts w:ascii="Arial" w:cs="Arial" w:eastAsia="Arial" w:hAnsi="Arial"/>
                <w:sz w:val="16"/>
                <w:szCs w:val="16"/>
                <w:color w:val="auto"/>
              </w:rPr>
              <w:t>179.6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ind w:right="44"/>
              <w:spacing w:after="0"/>
              <w:rPr>
                <w:sz w:val="20"/>
                <w:szCs w:val="20"/>
                <w:color w:val="auto"/>
              </w:rPr>
            </w:pPr>
            <w:r>
              <w:rPr>
                <w:rFonts w:ascii="Arial" w:cs="Arial" w:eastAsia="Arial" w:hAnsi="Arial"/>
                <w:sz w:val="16"/>
                <w:szCs w:val="16"/>
                <w:color w:val="auto"/>
              </w:rPr>
              <w:t>205.8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6"/>
              <w:spacing w:after="0"/>
              <w:rPr>
                <w:sz w:val="20"/>
                <w:szCs w:val="20"/>
                <w:color w:val="auto"/>
              </w:rPr>
            </w:pPr>
            <w:r>
              <w:rPr>
                <w:rFonts w:ascii="Arial" w:cs="Arial" w:eastAsia="Arial" w:hAnsi="Arial"/>
                <w:sz w:val="16"/>
                <w:szCs w:val="16"/>
                <w:color w:val="auto"/>
              </w:rPr>
              <w:t>(26.2)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(27.4)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4"/>
        </w:trPr>
        <w:tc>
          <w:tcPr>
            <w:tcW w:w="3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6"/>
                <w:szCs w:val="16"/>
                <w:color w:val="auto"/>
              </w:rPr>
              <w:t>870.9</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922.4</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(51.5)</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(53.1)</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0"/>
        </w:trPr>
        <w:tc>
          <w:tcPr>
            <w:tcW w:w="3940" w:type="dxa"/>
            <w:vAlign w:val="bottom"/>
            <w:vMerge w:val="restart"/>
          </w:tcPr>
          <w:p>
            <w:pPr>
              <w:spacing w:after="0"/>
              <w:rPr>
                <w:sz w:val="20"/>
                <w:szCs w:val="20"/>
                <w:color w:val="auto"/>
              </w:rPr>
            </w:pPr>
            <w:r>
              <w:rPr>
                <w:rFonts w:ascii="Arial" w:cs="Arial" w:eastAsia="Arial" w:hAnsi="Arial"/>
                <w:sz w:val="16"/>
                <w:szCs w:val="16"/>
                <w:color w:val="auto"/>
              </w:rPr>
              <w:t>_______________</w:t>
            </w: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9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427" w:right="20" w:hanging="427"/>
        <w:spacing w:after="0" w:line="258" w:lineRule="auto"/>
        <w:tabs>
          <w:tab w:leader="none" w:pos="427" w:val="left"/>
        </w:tabs>
        <w:numPr>
          <w:ilvl w:val="0"/>
          <w:numId w:val="59"/>
        </w:numPr>
        <w:rPr>
          <w:rFonts w:ascii="Arial" w:cs="Arial" w:eastAsia="Arial" w:hAnsi="Arial"/>
          <w:sz w:val="16"/>
          <w:szCs w:val="16"/>
          <w:color w:val="auto"/>
        </w:rPr>
      </w:pPr>
      <w:r>
        <w:rPr>
          <w:rFonts w:ascii="Arial" w:cs="Arial" w:eastAsia="Arial" w:hAnsi="Arial"/>
          <w:sz w:val="16"/>
          <w:szCs w:val="16"/>
          <w:color w:val="auto"/>
        </w:rPr>
        <w:t>General and administrative expenses include all personnel-related costs within our SG&amp;A expenses, including personnel-related costs associated with our sales and marketing function.</w:t>
      </w:r>
    </w:p>
    <w:p>
      <w:pPr>
        <w:spacing w:after="0" w:line="163" w:lineRule="exact"/>
        <w:rPr>
          <w:sz w:val="20"/>
          <w:szCs w:val="20"/>
          <w:color w:val="auto"/>
        </w:rPr>
      </w:pPr>
    </w:p>
    <w:p>
      <w:pPr>
        <w:jc w:val="both"/>
        <w:ind w:left="7" w:firstLine="279"/>
        <w:spacing w:after="0" w:line="248" w:lineRule="auto"/>
        <w:rPr>
          <w:sz w:val="20"/>
          <w:szCs w:val="20"/>
          <w:color w:val="auto"/>
        </w:rPr>
      </w:pPr>
      <w:r>
        <w:rPr>
          <w:rFonts w:ascii="Arial" w:cs="Arial" w:eastAsia="Arial" w:hAnsi="Arial"/>
          <w:sz w:val="16"/>
          <w:szCs w:val="16"/>
          <w:color w:val="auto"/>
        </w:rPr>
        <w:t>Our SG&amp;A expenses (exclusive of share-based compensation expense) decreased $36.7 million or 8.0% and $51.5 million or 5.6% during the three and six months ended June 30, 2020, respectively, as compared to the corresponding periods in 2019. These decreases include increases of $6.7 million and $18.1 million, respectively, attributable to the impact of the De Vijver Media Acquisition. On an organic basis, our SG&amp;A expenses decreased $34.1 million or 7.4% and $53.1 million or 5.6%, respectively. These decreases include the following factors:</w:t>
      </w:r>
    </w:p>
    <w:p>
      <w:pPr>
        <w:spacing w:after="0" w:line="170" w:lineRule="exact"/>
        <w:rPr>
          <w:sz w:val="20"/>
          <w:szCs w:val="20"/>
          <w:color w:val="auto"/>
        </w:rPr>
      </w:pPr>
    </w:p>
    <w:p>
      <w:pPr>
        <w:ind w:left="567" w:hanging="288"/>
        <w:spacing w:after="0" w:line="258" w:lineRule="auto"/>
        <w:tabs>
          <w:tab w:leader="none" w:pos="567" w:val="left"/>
        </w:tabs>
        <w:numPr>
          <w:ilvl w:val="0"/>
          <w:numId w:val="60"/>
        </w:numPr>
        <w:rPr>
          <w:rFonts w:ascii="Arial" w:cs="Arial" w:eastAsia="Arial" w:hAnsi="Arial"/>
          <w:sz w:val="16"/>
          <w:szCs w:val="16"/>
          <w:color w:val="auto"/>
        </w:rPr>
      </w:pPr>
      <w:r>
        <w:rPr>
          <w:rFonts w:ascii="Arial" w:cs="Arial" w:eastAsia="Arial" w:hAnsi="Arial"/>
          <w:sz w:val="16"/>
          <w:szCs w:val="16"/>
          <w:color w:val="auto"/>
        </w:rPr>
        <w:t>Decreases in external sales and marketing costs of $15.1 million or 14.8% and $27.4 million or 13.0%, respectively, due to lower costs associated with advertising campaigns in U.K./Ireland, Belgium and Switzerland; and</w:t>
      </w:r>
    </w:p>
    <w:p>
      <w:pPr>
        <w:spacing w:after="0" w:line="162" w:lineRule="exact"/>
        <w:rPr>
          <w:rFonts w:ascii="Arial" w:cs="Arial" w:eastAsia="Arial" w:hAnsi="Arial"/>
          <w:sz w:val="16"/>
          <w:szCs w:val="16"/>
          <w:color w:val="auto"/>
        </w:rPr>
      </w:pPr>
    </w:p>
    <w:p>
      <w:pPr>
        <w:jc w:val="both"/>
        <w:ind w:left="567" w:hanging="288"/>
        <w:spacing w:after="0" w:line="281" w:lineRule="auto"/>
        <w:tabs>
          <w:tab w:leader="none" w:pos="567" w:val="left"/>
        </w:tabs>
        <w:numPr>
          <w:ilvl w:val="0"/>
          <w:numId w:val="60"/>
        </w:numPr>
        <w:rPr>
          <w:rFonts w:ascii="Arial" w:cs="Arial" w:eastAsia="Arial" w:hAnsi="Arial"/>
          <w:sz w:val="14"/>
          <w:szCs w:val="14"/>
          <w:b w:val="1"/>
          <w:bCs w:val="1"/>
          <w:color w:val="auto"/>
        </w:rPr>
      </w:pPr>
      <w:r>
        <w:rPr>
          <w:rFonts w:ascii="Arial" w:cs="Arial" w:eastAsia="Arial" w:hAnsi="Arial"/>
          <w:sz w:val="14"/>
          <w:szCs w:val="14"/>
          <w:color w:val="auto"/>
        </w:rPr>
        <w:t>Decreases in personnel costs of $11.4 million or 5.3% and $13.4 million or 3.1%, respectively, primarily due to the net effect of (i) higher average costs per employee, primarily in U.K./Ireland, Central and Corporate and, for the six-month comparison, Belgium, (ii) lower staffing levels, primarily in U.K./Ireland and Central and Corporate, and (iii) decreases in temporary personnel costs, primarily in U.K./Ireland. The higher average costs per employee include the impact of (a) lower severance costs in U.K./Ireland of $6.3 million associated with revisions to our operating model and decreases in senior management personnel during the second quarter of 2019 and</w:t>
      </w:r>
    </w:p>
    <w:p>
      <w:pPr>
        <w:ind w:left="567" w:right="20"/>
        <w:spacing w:after="0" w:line="245" w:lineRule="auto"/>
        <w:rPr>
          <w:rFonts w:ascii="Arial" w:cs="Arial" w:eastAsia="Arial" w:hAnsi="Arial"/>
          <w:sz w:val="14"/>
          <w:szCs w:val="14"/>
          <w:b w:val="1"/>
          <w:bCs w:val="1"/>
          <w:color w:val="auto"/>
        </w:rPr>
      </w:pPr>
      <w:r>
        <w:rPr>
          <w:rFonts w:ascii="Arial" w:cs="Arial" w:eastAsia="Arial" w:hAnsi="Arial"/>
          <w:sz w:val="16"/>
          <w:szCs w:val="16"/>
          <w:color w:val="auto"/>
        </w:rPr>
        <w:t>(b) decreases in Central and Corporate related to a $5.0 million cash bonus associated with the renewal of an existing executive employment contract on similar terms paid in the second quarter of 2019.</w:t>
      </w:r>
    </w:p>
    <w:p>
      <w:pPr>
        <w:spacing w:after="0" w:line="359"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267"/>
          </w:cols>
          <w:pgMar w:left="313" w:top="315" w:right="319" w:bottom="1440" w:gutter="0" w:footer="0" w:header="0"/>
        </w:sectPr>
      </w:pPr>
    </w:p>
    <w:bookmarkStart w:id="70" w:name="page71"/>
    <w:bookmarkEnd w:id="70"/>
    <w:p>
      <w:pPr>
        <w:ind w:left="147"/>
        <w:spacing w:after="0"/>
        <w:rPr>
          <w:sz w:val="20"/>
          <w:szCs w:val="20"/>
          <w:color w:val="auto"/>
        </w:rPr>
      </w:pPr>
      <w:r>
        <w:rPr>
          <w:rFonts w:ascii="Arial" w:cs="Arial" w:eastAsia="Arial" w:hAnsi="Arial"/>
          <w:sz w:val="16"/>
          <w:szCs w:val="16"/>
          <w:i w:val="1"/>
          <w:iCs w:val="1"/>
          <w:color w:val="auto"/>
        </w:rPr>
        <w:t>Share-based compensation expense</w:t>
      </w:r>
    </w:p>
    <w:p>
      <w:pPr>
        <w:spacing w:after="0" w:line="188" w:lineRule="exact"/>
        <w:rPr>
          <w:sz w:val="20"/>
          <w:szCs w:val="20"/>
          <w:color w:val="auto"/>
        </w:rPr>
      </w:pPr>
    </w:p>
    <w:p>
      <w:pPr>
        <w:ind w:left="7" w:firstLine="279"/>
        <w:spacing w:after="0" w:line="258" w:lineRule="auto"/>
        <w:rPr>
          <w:sz w:val="20"/>
          <w:szCs w:val="20"/>
          <w:color w:val="auto"/>
        </w:rPr>
      </w:pPr>
      <w:r>
        <w:rPr>
          <w:rFonts w:ascii="Arial" w:cs="Arial" w:eastAsia="Arial" w:hAnsi="Arial"/>
          <w:sz w:val="16"/>
          <w:szCs w:val="16"/>
          <w:color w:val="auto"/>
        </w:rPr>
        <w:t>Our share-based compensation expense primarily relates to the share-based incentive awards issued by Liberty Global to its employees and employees of its subsidiaries. A summary of our aggregate share-based compensation expense is set forth below:</w:t>
      </w:r>
    </w:p>
    <w:p>
      <w:pPr>
        <w:spacing w:after="0" w:line="114"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6420" w:type="dxa"/>
            <w:vAlign w:val="bottom"/>
          </w:tcPr>
          <w:p>
            <w:pPr>
              <w:spacing w:after="0"/>
              <w:rPr>
                <w:sz w:val="15"/>
                <w:szCs w:val="15"/>
                <w:color w:val="auto"/>
              </w:rPr>
            </w:pPr>
          </w:p>
        </w:tc>
        <w:tc>
          <w:tcPr>
            <w:tcW w:w="1980" w:type="dxa"/>
            <w:vAlign w:val="bottom"/>
            <w:gridSpan w:val="4"/>
          </w:tcPr>
          <w:p>
            <w:pPr>
              <w:jc w:val="right"/>
              <w:ind w:right="84"/>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0" w:type="dxa"/>
            <w:vAlign w:val="bottom"/>
            <w:gridSpan w:val="4"/>
          </w:tcPr>
          <w:p>
            <w:pPr>
              <w:jc w:val="right"/>
              <w:ind w:right="54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2"/>
        </w:trPr>
        <w:tc>
          <w:tcPr>
            <w:tcW w:w="6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60" w:type="dxa"/>
            <w:vAlign w:val="bottom"/>
            <w:gridSpan w:val="3"/>
          </w:tcPr>
          <w:p>
            <w:pPr>
              <w:jc w:val="right"/>
              <w:ind w:right="444"/>
              <w:spacing w:after="0"/>
              <w:rPr>
                <w:sz w:val="20"/>
                <w:szCs w:val="20"/>
                <w:color w:val="auto"/>
              </w:rPr>
            </w:pPr>
            <w:r>
              <w:rPr>
                <w:rFonts w:ascii="Arial" w:cs="Arial" w:eastAsia="Arial" w:hAnsi="Arial"/>
                <w:sz w:val="14"/>
                <w:szCs w:val="14"/>
                <w:b w:val="1"/>
                <w:bCs w:val="1"/>
                <w:color w:val="auto"/>
              </w:rPr>
              <w:t>June 30,</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gridSpan w:val="3"/>
          </w:tcPr>
          <w:p>
            <w:pPr>
              <w:jc w:val="right"/>
              <w:ind w:right="22"/>
              <w:spacing w:after="0"/>
              <w:rPr>
                <w:sz w:val="20"/>
                <w:szCs w:val="20"/>
                <w:color w:val="auto"/>
              </w:rPr>
            </w:pPr>
            <w:r>
              <w:rPr>
                <w:rFonts w:ascii="Arial" w:cs="Arial" w:eastAsia="Arial" w:hAnsi="Arial"/>
                <w:sz w:val="14"/>
                <w:szCs w:val="14"/>
                <w:b w:val="1"/>
                <w:bCs w:val="1"/>
                <w:color w:val="auto"/>
              </w:rPr>
              <w:t>June 30,</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64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64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ind w:right="34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34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8"/>
        </w:trPr>
        <w:tc>
          <w:tcPr>
            <w:tcW w:w="64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6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60" w:type="dxa"/>
            <w:vAlign w:val="bottom"/>
            <w:gridSpan w:val="3"/>
          </w:tcPr>
          <w:p>
            <w:pPr>
              <w:jc w:val="right"/>
              <w:ind w:right="22"/>
              <w:spacing w:after="0"/>
              <w:rPr>
                <w:sz w:val="20"/>
                <w:szCs w:val="20"/>
                <w:color w:val="auto"/>
              </w:rPr>
            </w:pPr>
            <w:r>
              <w:rPr>
                <w:rFonts w:ascii="Arial" w:cs="Arial" w:eastAsia="Arial" w:hAnsi="Arial"/>
                <w:sz w:val="14"/>
                <w:szCs w:val="14"/>
                <w:b w:val="1"/>
                <w:bCs w:val="1"/>
                <w:color w:val="auto"/>
              </w:rPr>
              <w:t>in millions</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6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Liberty Global:</w:t>
            </w:r>
          </w:p>
        </w:tc>
        <w:tc>
          <w:tcPr>
            <w:tcW w:w="7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20" w:type="dxa"/>
            <w:vAlign w:val="bottom"/>
          </w:tcPr>
          <w:p>
            <w:pPr>
              <w:ind w:left="140"/>
              <w:spacing w:after="0"/>
              <w:rPr>
                <w:sz w:val="20"/>
                <w:szCs w:val="20"/>
                <w:color w:val="auto"/>
              </w:rPr>
            </w:pPr>
            <w:r>
              <w:rPr>
                <w:rFonts w:ascii="Arial" w:cs="Arial" w:eastAsia="Arial" w:hAnsi="Arial"/>
                <w:sz w:val="16"/>
                <w:szCs w:val="16"/>
                <w:color w:val="auto"/>
              </w:rPr>
              <w:t>Performance-based incentive awards (a)</w:t>
            </w:r>
          </w:p>
        </w:tc>
        <w:tc>
          <w:tcPr>
            <w:tcW w:w="720" w:type="dxa"/>
            <w:vAlign w:val="bottom"/>
          </w:tcPr>
          <w:p>
            <w:pPr>
              <w:jc w:val="right"/>
              <w:ind w:right="545"/>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ind w:right="43"/>
              <w:spacing w:after="0"/>
              <w:rPr>
                <w:sz w:val="20"/>
                <w:szCs w:val="20"/>
                <w:color w:val="auto"/>
              </w:rPr>
            </w:pPr>
            <w:r>
              <w:rPr>
                <w:rFonts w:ascii="Arial" w:cs="Arial" w:eastAsia="Arial" w:hAnsi="Arial"/>
                <w:sz w:val="16"/>
                <w:szCs w:val="16"/>
                <w:color w:val="auto"/>
                <w:w w:val="89"/>
              </w:rPr>
              <w:t>21.6</w:t>
            </w:r>
          </w:p>
        </w:tc>
        <w:tc>
          <w:tcPr>
            <w:tcW w:w="120" w:type="dxa"/>
            <w:vAlign w:val="bottom"/>
          </w:tcPr>
          <w:p>
            <w:pPr>
              <w:spacing w:after="0"/>
              <w:rPr>
                <w:sz w:val="18"/>
                <w:szCs w:val="18"/>
                <w:color w:val="auto"/>
              </w:rPr>
            </w:pPr>
          </w:p>
        </w:tc>
        <w:tc>
          <w:tcPr>
            <w:tcW w:w="720" w:type="dxa"/>
            <w:vAlign w:val="bottom"/>
          </w:tcPr>
          <w:p>
            <w:pPr>
              <w:jc w:val="right"/>
              <w:ind w:right="544"/>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ind w:right="43"/>
              <w:spacing w:after="0"/>
              <w:rPr>
                <w:sz w:val="20"/>
                <w:szCs w:val="20"/>
                <w:color w:val="auto"/>
              </w:rPr>
            </w:pPr>
            <w:r>
              <w:rPr>
                <w:rFonts w:ascii="Arial" w:cs="Arial" w:eastAsia="Arial" w:hAnsi="Arial"/>
                <w:sz w:val="16"/>
                <w:szCs w:val="16"/>
                <w:color w:val="auto"/>
                <w:w w:val="89"/>
              </w:rPr>
              <w:t>38.0</w:t>
            </w:r>
          </w:p>
        </w:tc>
        <w:tc>
          <w:tcPr>
            <w:tcW w:w="100" w:type="dxa"/>
            <w:vAlign w:val="bottom"/>
          </w:tcPr>
          <w:p>
            <w:pPr>
              <w:spacing w:after="0"/>
              <w:rPr>
                <w:sz w:val="18"/>
                <w:szCs w:val="18"/>
                <w:color w:val="auto"/>
              </w:rPr>
            </w:pP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24"/>
              <w:spacing w:after="0"/>
              <w:rPr>
                <w:sz w:val="20"/>
                <w:szCs w:val="20"/>
                <w:color w:val="auto"/>
              </w:rPr>
            </w:pPr>
            <w:r>
              <w:rPr>
                <w:rFonts w:ascii="Arial" w:cs="Arial" w:eastAsia="Arial" w:hAnsi="Arial"/>
                <w:sz w:val="16"/>
                <w:szCs w:val="16"/>
                <w:color w:val="auto"/>
              </w:rPr>
              <w:t>49.3</w:t>
            </w:r>
          </w:p>
        </w:tc>
        <w:tc>
          <w:tcPr>
            <w:tcW w:w="100" w:type="dxa"/>
            <w:vAlign w:val="bottom"/>
          </w:tcPr>
          <w:p>
            <w:pPr>
              <w:spacing w:after="0"/>
              <w:rPr>
                <w:sz w:val="18"/>
                <w:szCs w:val="18"/>
                <w:color w:val="auto"/>
              </w:rPr>
            </w:pPr>
          </w:p>
        </w:tc>
        <w:tc>
          <w:tcPr>
            <w:tcW w:w="32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3"/>
              <w:spacing w:after="0"/>
              <w:rPr>
                <w:sz w:val="20"/>
                <w:szCs w:val="20"/>
                <w:color w:val="auto"/>
              </w:rPr>
            </w:pPr>
            <w:r>
              <w:rPr>
                <w:rFonts w:ascii="Arial" w:cs="Arial" w:eastAsia="Arial" w:hAnsi="Arial"/>
                <w:sz w:val="16"/>
                <w:szCs w:val="16"/>
                <w:color w:val="auto"/>
              </w:rPr>
              <w:t>67.9</w:t>
            </w:r>
          </w:p>
        </w:tc>
        <w:tc>
          <w:tcPr>
            <w:tcW w:w="0" w:type="dxa"/>
            <w:vAlign w:val="bottom"/>
          </w:tcPr>
          <w:p>
            <w:pPr>
              <w:spacing w:after="0"/>
              <w:rPr>
                <w:sz w:val="1"/>
                <w:szCs w:val="1"/>
                <w:color w:val="auto"/>
              </w:rPr>
            </w:pPr>
          </w:p>
        </w:tc>
      </w:tr>
      <w:tr>
        <w:trPr>
          <w:trHeight w:val="24"/>
        </w:trPr>
        <w:tc>
          <w:tcPr>
            <w:tcW w:w="6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6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Non-performance based incentive awards (b)</w:t>
            </w:r>
          </w:p>
        </w:tc>
        <w:tc>
          <w:tcPr>
            <w:tcW w:w="7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w w:val="89"/>
              </w:rPr>
              <w:t>47.8</w:t>
            </w: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w w:val="89"/>
              </w:rPr>
              <w:t>29.0</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66.1</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51.0</w:t>
            </w:r>
          </w:p>
        </w:tc>
        <w:tc>
          <w:tcPr>
            <w:tcW w:w="0" w:type="dxa"/>
            <w:vAlign w:val="bottom"/>
          </w:tcPr>
          <w:p>
            <w:pPr>
              <w:spacing w:after="0"/>
              <w:rPr>
                <w:sz w:val="1"/>
                <w:szCs w:val="1"/>
                <w:color w:val="auto"/>
              </w:rPr>
            </w:pPr>
          </w:p>
        </w:tc>
      </w:tr>
      <w:tr>
        <w:trPr>
          <w:trHeight w:val="209"/>
        </w:trPr>
        <w:tc>
          <w:tcPr>
            <w:tcW w:w="6420" w:type="dxa"/>
            <w:vAlign w:val="bottom"/>
          </w:tcPr>
          <w:p>
            <w:pPr>
              <w:ind w:left="140"/>
              <w:spacing w:after="0"/>
              <w:rPr>
                <w:sz w:val="20"/>
                <w:szCs w:val="20"/>
                <w:color w:val="auto"/>
              </w:rPr>
            </w:pPr>
            <w:r>
              <w:rPr>
                <w:rFonts w:ascii="Arial" w:cs="Arial" w:eastAsia="Arial" w:hAnsi="Arial"/>
                <w:sz w:val="16"/>
                <w:szCs w:val="16"/>
                <w:color w:val="auto"/>
              </w:rPr>
              <w:t>Other (c)</w:t>
            </w:r>
          </w:p>
        </w:tc>
        <w:tc>
          <w:tcPr>
            <w:tcW w:w="720" w:type="dxa"/>
            <w:vAlign w:val="bottom"/>
          </w:tcPr>
          <w:p>
            <w:pPr>
              <w:spacing w:after="0"/>
              <w:rPr>
                <w:sz w:val="18"/>
                <w:szCs w:val="18"/>
                <w:color w:val="auto"/>
              </w:rPr>
            </w:pPr>
          </w:p>
        </w:tc>
        <w:tc>
          <w:tcPr>
            <w:tcW w:w="420" w:type="dxa"/>
            <w:vAlign w:val="bottom"/>
          </w:tcPr>
          <w:p>
            <w:pPr>
              <w:jc w:val="right"/>
              <w:ind w:right="43"/>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jc w:val="right"/>
              <w:ind w:right="43"/>
              <w:spacing w:after="0"/>
              <w:rPr>
                <w:sz w:val="20"/>
                <w:szCs w:val="20"/>
                <w:color w:val="auto"/>
              </w:rPr>
            </w:pPr>
            <w:r>
              <w:rPr>
                <w:rFonts w:ascii="Arial" w:cs="Arial" w:eastAsia="Arial" w:hAnsi="Arial"/>
                <w:sz w:val="16"/>
                <w:szCs w:val="16"/>
                <w:color w:val="auto"/>
                <w:w w:val="89"/>
              </w:rPr>
              <w:t>12.6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ind w:right="24"/>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23"/>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24"/>
        </w:trPr>
        <w:tc>
          <w:tcPr>
            <w:tcW w:w="64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6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Liberty Global</w:t>
            </w:r>
          </w:p>
        </w:tc>
        <w:tc>
          <w:tcPr>
            <w:tcW w:w="7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w w:val="89"/>
              </w:rPr>
              <w:t>75.4</w:t>
            </w: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w w:val="89"/>
              </w:rPr>
              <w:t>79.6</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127.6</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141.4</w:t>
            </w:r>
          </w:p>
        </w:tc>
        <w:tc>
          <w:tcPr>
            <w:tcW w:w="0" w:type="dxa"/>
            <w:vAlign w:val="bottom"/>
          </w:tcPr>
          <w:p>
            <w:pPr>
              <w:spacing w:after="0"/>
              <w:rPr>
                <w:sz w:val="1"/>
                <w:szCs w:val="1"/>
                <w:color w:val="auto"/>
              </w:rPr>
            </w:pPr>
          </w:p>
        </w:tc>
      </w:tr>
      <w:tr>
        <w:trPr>
          <w:trHeight w:val="209"/>
        </w:trPr>
        <w:tc>
          <w:tcPr>
            <w:tcW w:w="6420" w:type="dxa"/>
            <w:vAlign w:val="bottom"/>
          </w:tcPr>
          <w:p>
            <w:pPr>
              <w:ind w:left="20"/>
              <w:spacing w:after="0"/>
              <w:rPr>
                <w:sz w:val="20"/>
                <w:szCs w:val="20"/>
                <w:color w:val="auto"/>
              </w:rPr>
            </w:pPr>
            <w:r>
              <w:rPr>
                <w:rFonts w:ascii="Arial" w:cs="Arial" w:eastAsia="Arial" w:hAnsi="Arial"/>
                <w:sz w:val="16"/>
                <w:szCs w:val="16"/>
                <w:color w:val="auto"/>
              </w:rPr>
              <w:t>Other</w:t>
            </w:r>
          </w:p>
        </w:tc>
        <w:tc>
          <w:tcPr>
            <w:tcW w:w="720" w:type="dxa"/>
            <w:vAlign w:val="bottom"/>
          </w:tcPr>
          <w:p>
            <w:pPr>
              <w:spacing w:after="0"/>
              <w:rPr>
                <w:sz w:val="18"/>
                <w:szCs w:val="18"/>
                <w:color w:val="auto"/>
              </w:rPr>
            </w:pPr>
          </w:p>
        </w:tc>
        <w:tc>
          <w:tcPr>
            <w:tcW w:w="420" w:type="dxa"/>
            <w:vAlign w:val="bottom"/>
          </w:tcPr>
          <w:p>
            <w:pPr>
              <w:jc w:val="right"/>
              <w:ind w:right="43"/>
              <w:spacing w:after="0"/>
              <w:rPr>
                <w:sz w:val="20"/>
                <w:szCs w:val="20"/>
                <w:color w:val="auto"/>
              </w:rPr>
            </w:pPr>
            <w:r>
              <w:rPr>
                <w:rFonts w:ascii="Arial" w:cs="Arial" w:eastAsia="Arial" w:hAnsi="Arial"/>
                <w:sz w:val="16"/>
                <w:szCs w:val="16"/>
                <w:color w:val="auto"/>
              </w:rPr>
              <w:t>8.4</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jc w:val="right"/>
              <w:ind w:right="43"/>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ind w:right="24"/>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23"/>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4"/>
        </w:trPr>
        <w:tc>
          <w:tcPr>
            <w:tcW w:w="64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6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w:t>
            </w:r>
          </w:p>
        </w:tc>
        <w:tc>
          <w:tcPr>
            <w:tcW w:w="720" w:type="dxa"/>
            <w:vAlign w:val="bottom"/>
            <w:tcBorders>
              <w:bottom w:val="single" w:sz="8" w:color="CCEEFF"/>
            </w:tcBorders>
            <w:shd w:val="clear" w:color="auto" w:fill="CCEEFF"/>
          </w:tcPr>
          <w:p>
            <w:pPr>
              <w:jc w:val="right"/>
              <w:ind w:right="545"/>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w w:val="89"/>
              </w:rPr>
              <w:t>83.8</w:t>
            </w:r>
          </w:p>
        </w:tc>
        <w:tc>
          <w:tcPr>
            <w:tcW w:w="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544"/>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w w:val="89"/>
              </w:rPr>
              <w:t>87.0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139.0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154.3</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Included in:</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420" w:type="dxa"/>
            <w:vAlign w:val="bottom"/>
            <w:vMerge w:val="continue"/>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6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6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Other operating expense</w:t>
            </w:r>
          </w:p>
        </w:tc>
        <w:tc>
          <w:tcPr>
            <w:tcW w:w="720" w:type="dxa"/>
            <w:vAlign w:val="bottom"/>
            <w:tcBorders>
              <w:bottom w:val="single" w:sz="8" w:color="CCEEFF"/>
            </w:tcBorders>
            <w:shd w:val="clear" w:color="auto" w:fill="CCEEFF"/>
          </w:tcPr>
          <w:p>
            <w:pPr>
              <w:jc w:val="right"/>
              <w:ind w:right="545"/>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544"/>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9"/>
        </w:trPr>
        <w:tc>
          <w:tcPr>
            <w:tcW w:w="6420" w:type="dxa"/>
            <w:vAlign w:val="bottom"/>
          </w:tcPr>
          <w:p>
            <w:pPr>
              <w:ind w:left="140"/>
              <w:spacing w:after="0"/>
              <w:rPr>
                <w:sz w:val="20"/>
                <w:szCs w:val="20"/>
                <w:color w:val="auto"/>
              </w:rPr>
            </w:pPr>
            <w:r>
              <w:rPr>
                <w:rFonts w:ascii="Arial" w:cs="Arial" w:eastAsia="Arial" w:hAnsi="Arial"/>
                <w:sz w:val="16"/>
                <w:szCs w:val="16"/>
                <w:color w:val="auto"/>
              </w:rPr>
              <w:t>SG&amp;A expense</w:t>
            </w:r>
          </w:p>
        </w:tc>
        <w:tc>
          <w:tcPr>
            <w:tcW w:w="720" w:type="dxa"/>
            <w:vAlign w:val="bottom"/>
          </w:tcPr>
          <w:p>
            <w:pPr>
              <w:spacing w:after="0"/>
              <w:rPr>
                <w:sz w:val="18"/>
                <w:szCs w:val="18"/>
                <w:color w:val="auto"/>
              </w:rPr>
            </w:pPr>
          </w:p>
        </w:tc>
        <w:tc>
          <w:tcPr>
            <w:tcW w:w="420" w:type="dxa"/>
            <w:vAlign w:val="bottom"/>
          </w:tcPr>
          <w:p>
            <w:pPr>
              <w:jc w:val="right"/>
              <w:ind w:right="43"/>
              <w:spacing w:after="0"/>
              <w:rPr>
                <w:sz w:val="20"/>
                <w:szCs w:val="20"/>
                <w:color w:val="auto"/>
              </w:rPr>
            </w:pPr>
            <w:r>
              <w:rPr>
                <w:rFonts w:ascii="Arial" w:cs="Arial" w:eastAsia="Arial" w:hAnsi="Arial"/>
                <w:sz w:val="16"/>
                <w:szCs w:val="16"/>
                <w:color w:val="auto"/>
                <w:w w:val="89"/>
              </w:rPr>
              <w:t>82.2</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jc w:val="right"/>
              <w:ind w:right="43"/>
              <w:spacing w:after="0"/>
              <w:rPr>
                <w:sz w:val="20"/>
                <w:szCs w:val="20"/>
                <w:color w:val="auto"/>
              </w:rPr>
            </w:pPr>
            <w:r>
              <w:rPr>
                <w:rFonts w:ascii="Arial" w:cs="Arial" w:eastAsia="Arial" w:hAnsi="Arial"/>
                <w:sz w:val="16"/>
                <w:szCs w:val="16"/>
                <w:color w:val="auto"/>
                <w:w w:val="89"/>
              </w:rPr>
              <w:t>86.0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ind w:right="24"/>
              <w:spacing w:after="0"/>
              <w:rPr>
                <w:sz w:val="20"/>
                <w:szCs w:val="20"/>
                <w:color w:val="auto"/>
              </w:rPr>
            </w:pPr>
            <w:r>
              <w:rPr>
                <w:rFonts w:ascii="Arial" w:cs="Arial" w:eastAsia="Arial" w:hAnsi="Arial"/>
                <w:sz w:val="16"/>
                <w:szCs w:val="16"/>
                <w:color w:val="auto"/>
              </w:rPr>
              <w:t>136.7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23"/>
              <w:spacing w:after="0"/>
              <w:rPr>
                <w:sz w:val="20"/>
                <w:szCs w:val="20"/>
                <w:color w:val="auto"/>
              </w:rPr>
            </w:pPr>
            <w:r>
              <w:rPr>
                <w:rFonts w:ascii="Arial" w:cs="Arial" w:eastAsia="Arial" w:hAnsi="Arial"/>
                <w:sz w:val="16"/>
                <w:szCs w:val="16"/>
                <w:color w:val="auto"/>
              </w:rPr>
              <w:t>152.4</w:t>
            </w:r>
          </w:p>
        </w:tc>
        <w:tc>
          <w:tcPr>
            <w:tcW w:w="0" w:type="dxa"/>
            <w:vAlign w:val="bottom"/>
          </w:tcPr>
          <w:p>
            <w:pPr>
              <w:spacing w:after="0"/>
              <w:rPr>
                <w:sz w:val="1"/>
                <w:szCs w:val="1"/>
                <w:color w:val="auto"/>
              </w:rPr>
            </w:pPr>
          </w:p>
        </w:tc>
      </w:tr>
      <w:tr>
        <w:trPr>
          <w:trHeight w:val="24"/>
        </w:trPr>
        <w:tc>
          <w:tcPr>
            <w:tcW w:w="64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6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w:t>
            </w:r>
          </w:p>
        </w:tc>
        <w:tc>
          <w:tcPr>
            <w:tcW w:w="720" w:type="dxa"/>
            <w:vAlign w:val="bottom"/>
            <w:tcBorders>
              <w:bottom w:val="single" w:sz="8" w:color="CCEEFF"/>
            </w:tcBorders>
            <w:shd w:val="clear" w:color="auto" w:fill="CCEEFF"/>
          </w:tcPr>
          <w:p>
            <w:pPr>
              <w:jc w:val="right"/>
              <w:ind w:right="545"/>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w w:val="89"/>
              </w:rPr>
              <w:t>83.8</w:t>
            </w:r>
          </w:p>
        </w:tc>
        <w:tc>
          <w:tcPr>
            <w:tcW w:w="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544"/>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w w:val="89"/>
              </w:rPr>
              <w:t>87.0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139.0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154.3</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420" w:type="dxa"/>
            <w:vAlign w:val="bottom"/>
            <w:vMerge w:val="continue"/>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427" w:hanging="427"/>
        <w:spacing w:after="0" w:line="258" w:lineRule="auto"/>
        <w:tabs>
          <w:tab w:leader="none" w:pos="427" w:val="left"/>
        </w:tabs>
        <w:numPr>
          <w:ilvl w:val="0"/>
          <w:numId w:val="61"/>
        </w:numPr>
        <w:rPr>
          <w:rFonts w:ascii="Arial" w:cs="Arial" w:eastAsia="Arial" w:hAnsi="Arial"/>
          <w:sz w:val="16"/>
          <w:szCs w:val="16"/>
          <w:color w:val="auto"/>
        </w:rPr>
      </w:pPr>
      <w:r>
        <w:rPr>
          <w:rFonts w:ascii="Arial" w:cs="Arial" w:eastAsia="Arial" w:hAnsi="Arial"/>
          <w:sz w:val="16"/>
          <w:szCs w:val="16"/>
          <w:color w:val="auto"/>
        </w:rPr>
        <w:t>Includes share-based compensation expense related to (i) PSUs, (ii) the 2019 Challenge Performance Awards, which were granted in March 2019 and included PSARs and PSUs, and (iii) the performance-based portion of the 2019 CEO Performance Award, which was granted in May 2019.</w:t>
      </w:r>
    </w:p>
    <w:p>
      <w:pPr>
        <w:spacing w:after="0" w:line="162" w:lineRule="exact"/>
        <w:rPr>
          <w:rFonts w:ascii="Arial" w:cs="Arial" w:eastAsia="Arial" w:hAnsi="Arial"/>
          <w:sz w:val="16"/>
          <w:szCs w:val="16"/>
          <w:color w:val="auto"/>
        </w:rPr>
      </w:pPr>
    </w:p>
    <w:p>
      <w:pPr>
        <w:jc w:val="both"/>
        <w:ind w:left="427" w:hanging="427"/>
        <w:spacing w:after="0" w:line="294" w:lineRule="auto"/>
        <w:tabs>
          <w:tab w:leader="none" w:pos="427" w:val="left"/>
        </w:tabs>
        <w:numPr>
          <w:ilvl w:val="0"/>
          <w:numId w:val="61"/>
        </w:numPr>
        <w:rPr>
          <w:rFonts w:ascii="Arial" w:cs="Arial" w:eastAsia="Arial" w:hAnsi="Arial"/>
          <w:sz w:val="14"/>
          <w:szCs w:val="14"/>
          <w:color w:val="auto"/>
        </w:rPr>
      </w:pPr>
      <w:r>
        <w:rPr>
          <w:rFonts w:ascii="Arial" w:cs="Arial" w:eastAsia="Arial" w:hAnsi="Arial"/>
          <w:sz w:val="14"/>
          <w:szCs w:val="14"/>
          <w:color w:val="auto"/>
        </w:rPr>
        <w:t>In 2019, we changed our policy to provide that all new equity grants would have ten-year contractual terms in order to more closely align with common market practice. In April 2020, the compensation committee of our board of directors approved the extension of the expiration dates of outstanding SARs and director options granted in 2013 from a seven-year term to a ten-year term in order to align with this new policy. Accordingly, the Black-Scholes fair values of the outstanding awards increased, resulting in the recognition of an aggregate incremental share-based compensation expense of $18.9 million during the second quarter of 2020.</w:t>
      </w:r>
    </w:p>
    <w:p>
      <w:pPr>
        <w:spacing w:after="0" w:line="141" w:lineRule="exact"/>
        <w:rPr>
          <w:rFonts w:ascii="Arial" w:cs="Arial" w:eastAsia="Arial" w:hAnsi="Arial"/>
          <w:sz w:val="14"/>
          <w:szCs w:val="14"/>
          <w:color w:val="auto"/>
        </w:rPr>
      </w:pPr>
    </w:p>
    <w:p>
      <w:pPr>
        <w:jc w:val="both"/>
        <w:ind w:left="427" w:hanging="427"/>
        <w:spacing w:after="0" w:line="248" w:lineRule="auto"/>
        <w:tabs>
          <w:tab w:leader="none" w:pos="427" w:val="left"/>
        </w:tabs>
        <w:numPr>
          <w:ilvl w:val="0"/>
          <w:numId w:val="61"/>
        </w:numPr>
        <w:rPr>
          <w:rFonts w:ascii="Arial" w:cs="Arial" w:eastAsia="Arial" w:hAnsi="Arial"/>
          <w:sz w:val="16"/>
          <w:szCs w:val="16"/>
          <w:color w:val="auto"/>
        </w:rPr>
      </w:pPr>
      <w:r>
        <w:rPr>
          <w:rFonts w:ascii="Arial" w:cs="Arial" w:eastAsia="Arial" w:hAnsi="Arial"/>
          <w:sz w:val="16"/>
          <w:szCs w:val="16"/>
          <w:color w:val="auto"/>
        </w:rPr>
        <w:t>Represents annual incentive compensation and defined contribution plan liabilities that have been or are expected to be settled with Liberty Global ordinary shares. In the case of the annual incentive compensation, shares have been or will be issued to senior management and key employees pursuant to a shareholding incentive program. The shareholding incentive program allows these employees to elect to receive up to 100% of their annual incentive compensation in ordinary shares of Liberty Global in lieu of cash.</w:t>
      </w:r>
    </w:p>
    <w:p>
      <w:pPr>
        <w:spacing w:after="0" w:line="170" w:lineRule="exact"/>
        <w:rPr>
          <w:sz w:val="20"/>
          <w:szCs w:val="20"/>
          <w:color w:val="auto"/>
        </w:rPr>
      </w:pPr>
    </w:p>
    <w:p>
      <w:pPr>
        <w:ind w:left="287"/>
        <w:spacing w:after="0"/>
        <w:rPr>
          <w:sz w:val="20"/>
          <w:szCs w:val="20"/>
          <w:color w:val="auto"/>
        </w:rPr>
      </w:pPr>
      <w:r>
        <w:rPr>
          <w:rFonts w:ascii="Arial" w:cs="Arial" w:eastAsia="Arial" w:hAnsi="Arial"/>
          <w:sz w:val="16"/>
          <w:szCs w:val="16"/>
          <w:color w:val="auto"/>
        </w:rPr>
        <w:t>For additional information regarding our share-based compensation expense, see note 13 to our condensed consolidated financial statements.</w:t>
      </w:r>
    </w:p>
    <w:p>
      <w:pPr>
        <w:spacing w:after="0" w:line="188" w:lineRule="exact"/>
        <w:rPr>
          <w:sz w:val="20"/>
          <w:szCs w:val="20"/>
          <w:color w:val="auto"/>
        </w:rPr>
      </w:pPr>
    </w:p>
    <w:p>
      <w:pPr>
        <w:ind w:left="147"/>
        <w:spacing w:after="0"/>
        <w:rPr>
          <w:sz w:val="20"/>
          <w:szCs w:val="20"/>
          <w:color w:val="auto"/>
        </w:rPr>
      </w:pPr>
      <w:r>
        <w:rPr>
          <w:rFonts w:ascii="Arial" w:cs="Arial" w:eastAsia="Arial" w:hAnsi="Arial"/>
          <w:sz w:val="16"/>
          <w:szCs w:val="16"/>
          <w:i w:val="1"/>
          <w:iCs w:val="1"/>
          <w:color w:val="auto"/>
        </w:rPr>
        <w:t>Depreciation and amortization expense</w:t>
      </w:r>
    </w:p>
    <w:p>
      <w:pPr>
        <w:spacing w:after="0" w:line="188" w:lineRule="exact"/>
        <w:rPr>
          <w:sz w:val="20"/>
          <w:szCs w:val="20"/>
          <w:color w:val="auto"/>
        </w:rPr>
      </w:pPr>
    </w:p>
    <w:p>
      <w:pPr>
        <w:jc w:val="both"/>
        <w:ind w:left="7" w:firstLine="279"/>
        <w:spacing w:after="0" w:line="281" w:lineRule="auto"/>
        <w:rPr>
          <w:sz w:val="20"/>
          <w:szCs w:val="20"/>
          <w:color w:val="auto"/>
        </w:rPr>
      </w:pPr>
      <w:r>
        <w:rPr>
          <w:rFonts w:ascii="Arial" w:cs="Arial" w:eastAsia="Arial" w:hAnsi="Arial"/>
          <w:sz w:val="14"/>
          <w:szCs w:val="14"/>
          <w:color w:val="auto"/>
        </w:rPr>
        <w:t>Our depreciation and amortization expense was $545.7 million and $1,329.2 million for the three and six months ended June 30, 2020, respectively, and $921.8 million and $1,861.4 million for the three and six months ended June 30, 2019, respectively. Excluding the effects of FX, depreciation and amortization expense decreased $365.4 million or 39.6% and $508.5 million or 27.3% during the three and six months ended June 30, 2020, respectively, as compared to the corresponding periods in 2019. These decreases are primarily due to the net effect of (i) decreases associated with certain assets becoming fully depreciated, primarily in U.K./Ireland, Central and Corporate, Belgium and Switzerland,</w:t>
      </w:r>
    </w:p>
    <w:p>
      <w:pPr>
        <w:spacing w:after="0" w:line="1" w:lineRule="exact"/>
        <w:rPr>
          <w:sz w:val="20"/>
          <w:szCs w:val="20"/>
          <w:color w:val="auto"/>
        </w:rPr>
      </w:pPr>
    </w:p>
    <w:p>
      <w:pPr>
        <w:jc w:val="both"/>
        <w:ind w:left="7" w:hanging="7"/>
        <w:spacing w:after="0" w:line="243" w:lineRule="auto"/>
        <w:tabs>
          <w:tab w:leader="none" w:pos="249" w:val="left"/>
        </w:tabs>
        <w:numPr>
          <w:ilvl w:val="0"/>
          <w:numId w:val="62"/>
        </w:numPr>
        <w:rPr>
          <w:rFonts w:ascii="Arial" w:cs="Arial" w:eastAsia="Arial" w:hAnsi="Arial"/>
          <w:sz w:val="16"/>
          <w:szCs w:val="16"/>
          <w:color w:val="auto"/>
        </w:rPr>
      </w:pPr>
      <w:r>
        <w:rPr>
          <w:rFonts w:ascii="Arial" w:cs="Arial" w:eastAsia="Arial" w:hAnsi="Arial"/>
          <w:sz w:val="16"/>
          <w:szCs w:val="16"/>
          <w:color w:val="auto"/>
        </w:rPr>
        <w:t>increases associated with property and equipment additions related to the installation of customer premises equipment, the expansion and upgrade of our networks and other capital initiatives, (iii) decreases in U.K./Ireland of $254.1 million as a result of the held-for-sale presentation of the U.K. JV Entities effective May 7, 2020 and (iv) decreases due to assets becoming fully amortized, primarily in U.K./Ireland. For information regarding the held-for-sale presentation of the U.K. JV Entities, see note 4 to our condensed consolidated financial statements.</w:t>
      </w:r>
    </w:p>
    <w:p>
      <w:pPr>
        <w:spacing w:after="0" w:line="176"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267"/>
          </w:cols>
          <w:pgMar w:left="313" w:top="315" w:right="319" w:bottom="1440" w:gutter="0" w:footer="0" w:header="0"/>
        </w:sectPr>
      </w:pPr>
    </w:p>
    <w:bookmarkStart w:id="71" w:name="page72"/>
    <w:bookmarkEnd w:id="71"/>
    <w:p>
      <w:pPr>
        <w:ind w:left="140"/>
        <w:spacing w:after="0"/>
        <w:rPr>
          <w:sz w:val="20"/>
          <w:szCs w:val="20"/>
          <w:color w:val="auto"/>
        </w:rPr>
      </w:pPr>
      <w:r>
        <w:rPr>
          <w:rFonts w:ascii="Arial" w:cs="Arial" w:eastAsia="Arial" w:hAnsi="Arial"/>
          <w:sz w:val="16"/>
          <w:szCs w:val="16"/>
          <w:i w:val="1"/>
          <w:iCs w:val="1"/>
          <w:color w:val="auto"/>
        </w:rPr>
        <w:t>Impairment, restructuring and other operating items, net</w:t>
      </w:r>
    </w:p>
    <w:p>
      <w:pPr>
        <w:spacing w:after="0" w:line="188" w:lineRule="exact"/>
        <w:rPr>
          <w:sz w:val="20"/>
          <w:szCs w:val="20"/>
          <w:color w:val="auto"/>
        </w:rPr>
      </w:pPr>
    </w:p>
    <w:p>
      <w:pPr>
        <w:jc w:val="both"/>
        <w:ind w:firstLine="279"/>
        <w:spacing w:after="0" w:line="258" w:lineRule="auto"/>
        <w:rPr>
          <w:sz w:val="20"/>
          <w:szCs w:val="20"/>
          <w:color w:val="auto"/>
        </w:rPr>
      </w:pPr>
      <w:r>
        <w:rPr>
          <w:rFonts w:ascii="Arial" w:cs="Arial" w:eastAsia="Arial" w:hAnsi="Arial"/>
          <w:sz w:val="16"/>
          <w:szCs w:val="16"/>
          <w:color w:val="auto"/>
        </w:rPr>
        <w:t>We recognized impairment, restructuring and other operating items, net, of $32.2 million and $63.2 million during the three and six months ended June 30, 2020, respectively, and $33.2 million and $104.1 million during the three and six months ended June 30, 2019, respectively.</w:t>
      </w:r>
    </w:p>
    <w:p>
      <w:pPr>
        <w:spacing w:after="0" w:line="163" w:lineRule="exact"/>
        <w:rPr>
          <w:sz w:val="20"/>
          <w:szCs w:val="20"/>
          <w:color w:val="auto"/>
        </w:rPr>
      </w:pPr>
    </w:p>
    <w:p>
      <w:pPr>
        <w:jc w:val="both"/>
        <w:ind w:firstLine="279"/>
        <w:spacing w:after="0" w:line="248" w:lineRule="auto"/>
        <w:rPr>
          <w:sz w:val="20"/>
          <w:szCs w:val="20"/>
          <w:color w:val="auto"/>
        </w:rPr>
      </w:pPr>
      <w:r>
        <w:rPr>
          <w:rFonts w:ascii="Arial" w:cs="Arial" w:eastAsia="Arial" w:hAnsi="Arial"/>
          <w:sz w:val="16"/>
          <w:szCs w:val="16"/>
          <w:color w:val="auto"/>
        </w:rPr>
        <w:t>The amounts for the 2020 periods include (i) restructuring charges of $15.4 million and $36.6 million, respectively, including $8.5 million and $28.3 million, respectively, of employee severance and termination costs related to certain reorganization activities, primarily in Switzerland, U.K./Ireland and Central and Corporate, (ii) direct acquisition and disposition costs of $13.7 million and $20.0 million, respectively, primarily related to costs incurred in connection with the pending formation of the U.K. JV, and (iii) for the six-month period, impairment charges of $6.2 million, primarily in Belgium.</w:t>
      </w:r>
    </w:p>
    <w:p>
      <w:pPr>
        <w:spacing w:after="0" w:line="170" w:lineRule="exact"/>
        <w:rPr>
          <w:sz w:val="20"/>
          <w:szCs w:val="20"/>
          <w:color w:val="auto"/>
        </w:rPr>
      </w:pPr>
    </w:p>
    <w:p>
      <w:pPr>
        <w:jc w:val="both"/>
        <w:ind w:firstLine="279"/>
        <w:spacing w:after="0" w:line="290" w:lineRule="auto"/>
        <w:rPr>
          <w:sz w:val="20"/>
          <w:szCs w:val="20"/>
          <w:color w:val="auto"/>
        </w:rPr>
      </w:pPr>
      <w:r>
        <w:rPr>
          <w:rFonts w:ascii="Arial" w:cs="Arial" w:eastAsia="Arial" w:hAnsi="Arial"/>
          <w:sz w:val="14"/>
          <w:szCs w:val="14"/>
          <w:color w:val="auto"/>
        </w:rPr>
        <w:t>The amounts for the 2019 periods include (i) restructuring charges of $18.0 million and $55.5 million, respectively, including $17.2 million and $52.1 million, respectively, of employee severance and termination costs related to certain reorganization activities, primarily in U.K./Ireland and Central and Corporate and Switzerland, (ii) for the six-month period, impairment charges of $22.6 million related to the write-off of certain network assets in U.K./Ireland during the three months ended March 31, 2019, and (iii) aggregate direct acquisition and disposition costs of $7.7 million and $18.1 million, respectively, related to the sales of the Vodafone Disposal Group and UPC DTH and costs incurred related to an agreement to sell our operations in Switzerland, which was terminated in the fourth quarter of 2019.</w:t>
      </w:r>
    </w:p>
    <w:p>
      <w:pPr>
        <w:spacing w:after="0" w:line="144" w:lineRule="exact"/>
        <w:rPr>
          <w:sz w:val="20"/>
          <w:szCs w:val="20"/>
          <w:color w:val="auto"/>
        </w:rPr>
      </w:pPr>
    </w:p>
    <w:p>
      <w:pPr>
        <w:jc w:val="both"/>
        <w:ind w:firstLine="279"/>
        <w:spacing w:after="0" w:line="303" w:lineRule="auto"/>
        <w:rPr>
          <w:sz w:val="20"/>
          <w:szCs w:val="20"/>
          <w:color w:val="auto"/>
        </w:rPr>
      </w:pPr>
      <w:r>
        <w:rPr>
          <w:rFonts w:ascii="Arial" w:cs="Arial" w:eastAsia="Arial" w:hAnsi="Arial"/>
          <w:sz w:val="14"/>
          <w:szCs w:val="14"/>
          <w:color w:val="auto"/>
        </w:rPr>
        <w:t>If, among other factors, (i) our equity values were to decline or (ii) the adverse impacts of economic, competitive, regulatory or other factors (including with respect to COVID-19</w:t>
      </w:r>
      <w:r>
        <w:rPr>
          <w:rFonts w:ascii="Arial" w:cs="Arial" w:eastAsia="Arial" w:hAnsi="Arial"/>
          <w:sz w:val="14"/>
          <w:szCs w:val="14"/>
          <w:b w:val="1"/>
          <w:bCs w:val="1"/>
          <w:color w:val="auto"/>
        </w:rPr>
        <w:t>)</w:t>
      </w:r>
      <w:r>
        <w:rPr>
          <w:rFonts w:ascii="Arial" w:cs="Arial" w:eastAsia="Arial" w:hAnsi="Arial"/>
          <w:sz w:val="14"/>
          <w:szCs w:val="14"/>
          <w:color w:val="auto"/>
        </w:rPr>
        <w:t xml:space="preserve"> were to cause our results of operations or cash flows to be worse than anticipated, we could conclude in future periods that impairment charges are required in order to reduce the carrying values of our goodwill and, to a lesser extent, other long-lived assets. Any such impairment charges could be significant.</w:t>
      </w:r>
    </w:p>
    <w:p>
      <w:pPr>
        <w:spacing w:after="0" w:line="13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For additional information regarding our restructuring charges, see note 14 to our condensed consolidated financial statements.</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Interest expense</w:t>
      </w:r>
    </w:p>
    <w:p>
      <w:pPr>
        <w:spacing w:after="0" w:line="188" w:lineRule="exact"/>
        <w:rPr>
          <w:sz w:val="20"/>
          <w:szCs w:val="20"/>
          <w:color w:val="auto"/>
        </w:rPr>
      </w:pPr>
    </w:p>
    <w:p>
      <w:pPr>
        <w:jc w:val="both"/>
        <w:ind w:firstLine="279"/>
        <w:spacing w:after="0" w:line="294" w:lineRule="auto"/>
        <w:rPr>
          <w:sz w:val="20"/>
          <w:szCs w:val="20"/>
          <w:color w:val="auto"/>
        </w:rPr>
      </w:pPr>
      <w:r>
        <w:rPr>
          <w:rFonts w:ascii="Arial" w:cs="Arial" w:eastAsia="Arial" w:hAnsi="Arial"/>
          <w:sz w:val="14"/>
          <w:szCs w:val="14"/>
          <w:color w:val="auto"/>
        </w:rPr>
        <w:t>We recognized interest expense of $281.7 million and $595.0 million during the three and six months ended June 30, 2020, respectively, and $363.6 million and $730.9 million during the three and six months ended June 30, 2019, respectively. Excluding the effects of FX, interest expense decreased $75.6 million or 20.8% and $123.3 million or 16.9% during the three and six months ended June 30, 2020, respectively, as compared to the corresponding periods in 2019. These decreases are primarily attributable to lower weighted average interest rates. For additional information regarding our outstanding indebtedness, see note 9 to our condensed consolidated financial statements.</w:t>
      </w:r>
    </w:p>
    <w:p>
      <w:pPr>
        <w:spacing w:after="0" w:line="142" w:lineRule="exact"/>
        <w:rPr>
          <w:sz w:val="20"/>
          <w:szCs w:val="20"/>
          <w:color w:val="auto"/>
        </w:rPr>
      </w:pPr>
    </w:p>
    <w:p>
      <w:pPr>
        <w:jc w:val="both"/>
        <w:ind w:firstLine="279"/>
        <w:spacing w:after="0" w:line="250" w:lineRule="auto"/>
        <w:rPr>
          <w:sz w:val="20"/>
          <w:szCs w:val="20"/>
          <w:color w:val="auto"/>
        </w:rPr>
      </w:pPr>
      <w:r>
        <w:rPr>
          <w:rFonts w:ascii="Arial" w:cs="Arial" w:eastAsia="Arial" w:hAnsi="Arial"/>
          <w:sz w:val="16"/>
          <w:szCs w:val="16"/>
          <w:color w:val="auto"/>
        </w:rPr>
        <w:t xml:space="preserve">It is possible that the interest rates on (i) any new borrowings could be higher than the current interest rates on our existing indebtedness and (ii) our variable-rate indebtedness could increase in future periods. As further discussed in note 6 to our condensed consolidated financial statements and under </w:t>
      </w:r>
      <w:r>
        <w:rPr>
          <w:rFonts w:ascii="Arial" w:cs="Arial" w:eastAsia="Arial" w:hAnsi="Arial"/>
          <w:sz w:val="16"/>
          <w:szCs w:val="16"/>
          <w:i w:val="1"/>
          <w:iCs w:val="1"/>
          <w:color w:val="auto"/>
        </w:rPr>
        <w:t>Quantitative and Qualitative Disclosures about Market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Risk </w:t>
      </w:r>
      <w:r>
        <w:rPr>
          <w:rFonts w:ascii="Arial" w:cs="Arial" w:eastAsia="Arial" w:hAnsi="Arial"/>
          <w:sz w:val="16"/>
          <w:szCs w:val="16"/>
          <w:color w:val="auto"/>
        </w:rPr>
        <w:t>below, we use derivative instruments to manage our interest rate risks.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260"/>
          </w:cols>
          <w:pgMar w:left="320" w:top="315" w:right="319" w:bottom="1440" w:gutter="0" w:footer="0" w:header="0"/>
        </w:sectPr>
      </w:pPr>
    </w:p>
    <w:bookmarkStart w:id="72" w:name="page73"/>
    <w:bookmarkEnd w:id="72"/>
    <w:p>
      <w:pPr>
        <w:ind w:left="147"/>
        <w:spacing w:after="0"/>
        <w:rPr>
          <w:sz w:val="20"/>
          <w:szCs w:val="20"/>
          <w:color w:val="auto"/>
        </w:rPr>
      </w:pPr>
      <w:r>
        <w:rPr>
          <w:rFonts w:ascii="Arial" w:cs="Arial" w:eastAsia="Arial" w:hAnsi="Arial"/>
          <w:sz w:val="16"/>
          <w:szCs w:val="16"/>
          <w:i w:val="1"/>
          <w:iCs w:val="1"/>
          <w:color w:val="auto"/>
        </w:rPr>
        <w:t>Realized and unrealized gains (losses) on derivative instruments, net</w:t>
      </w:r>
    </w:p>
    <w:p>
      <w:pPr>
        <w:spacing w:after="0" w:line="188" w:lineRule="exact"/>
        <w:rPr>
          <w:sz w:val="20"/>
          <w:szCs w:val="20"/>
          <w:color w:val="auto"/>
        </w:rPr>
      </w:pPr>
    </w:p>
    <w:p>
      <w:pPr>
        <w:jc w:val="both"/>
        <w:ind w:left="7" w:firstLine="279"/>
        <w:spacing w:after="0" w:line="250" w:lineRule="auto"/>
        <w:rPr>
          <w:sz w:val="20"/>
          <w:szCs w:val="20"/>
          <w:color w:val="auto"/>
        </w:rPr>
      </w:pPr>
      <w:r>
        <w:rPr>
          <w:rFonts w:ascii="Arial" w:cs="Arial" w:eastAsia="Arial" w:hAnsi="Arial"/>
          <w:sz w:val="16"/>
          <w:szCs w:val="16"/>
          <w:color w:val="auto"/>
        </w:rPr>
        <w:t>Our realized and unrealized gains or losses on derivative instruments include (i) unrealized changes in the fair values of our derivative instruments that are non-cash in nature until such time as the derivative contracts are fully or partially settled and (ii) realized gains or losses upon the full or partial settlement of the derivative contracts. The details of our realized and unrealized gains (losses) on derivative instruments, net, are as follows:</w:t>
      </w:r>
    </w:p>
    <w:p>
      <w:pPr>
        <w:spacing w:after="0" w:line="121"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6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4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5"/>
                <w:szCs w:val="15"/>
                <w:color w:val="auto"/>
              </w:rPr>
            </w:pPr>
          </w:p>
        </w:tc>
        <w:tc>
          <w:tcPr>
            <w:tcW w:w="1800" w:type="dxa"/>
            <w:vAlign w:val="bottom"/>
            <w:gridSpan w:val="4"/>
          </w:tcPr>
          <w:p>
            <w:pPr>
              <w:jc w:val="right"/>
              <w:ind w:right="44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2"/>
        </w:trPr>
        <w:tc>
          <w:tcPr>
            <w:tcW w:w="6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gridSpan w:val="3"/>
          </w:tcPr>
          <w:p>
            <w:pPr>
              <w:jc w:val="right"/>
              <w:ind w:right="2"/>
              <w:spacing w:after="0"/>
              <w:rPr>
                <w:sz w:val="20"/>
                <w:szCs w:val="20"/>
                <w:color w:val="auto"/>
              </w:rPr>
            </w:pPr>
            <w:r>
              <w:rPr>
                <w:rFonts w:ascii="Arial" w:cs="Arial" w:eastAsia="Arial" w:hAnsi="Arial"/>
                <w:sz w:val="14"/>
                <w:szCs w:val="14"/>
                <w:b w:val="1"/>
                <w:bCs w:val="1"/>
                <w:color w:val="auto"/>
              </w:rPr>
              <w:t>June 30,</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gridSpan w:val="3"/>
          </w:tcPr>
          <w:p>
            <w:pPr>
              <w:jc w:val="right"/>
              <w:ind w:right="2"/>
              <w:spacing w:after="0"/>
              <w:rPr>
                <w:sz w:val="20"/>
                <w:szCs w:val="20"/>
                <w:color w:val="auto"/>
              </w:rPr>
            </w:pPr>
            <w:r>
              <w:rPr>
                <w:rFonts w:ascii="Arial" w:cs="Arial" w:eastAsia="Arial" w:hAnsi="Arial"/>
                <w:sz w:val="14"/>
                <w:szCs w:val="14"/>
                <w:b w:val="1"/>
                <w:bCs w:val="1"/>
                <w:color w:val="auto"/>
              </w:rPr>
              <w:t>June 30,</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6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6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30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ind w:right="30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jc w:val="right"/>
              <w:ind w:right="28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jc w:val="right"/>
              <w:ind w:right="28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8"/>
        </w:trPr>
        <w:tc>
          <w:tcPr>
            <w:tcW w:w="6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6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gridSpan w:val="3"/>
          </w:tcPr>
          <w:p>
            <w:pPr>
              <w:jc w:val="right"/>
              <w:ind w:right="2"/>
              <w:spacing w:after="0"/>
              <w:rPr>
                <w:sz w:val="20"/>
                <w:szCs w:val="20"/>
                <w:color w:val="auto"/>
              </w:rPr>
            </w:pPr>
            <w:r>
              <w:rPr>
                <w:rFonts w:ascii="Arial" w:cs="Arial" w:eastAsia="Arial" w:hAnsi="Arial"/>
                <w:sz w:val="14"/>
                <w:szCs w:val="14"/>
                <w:b w:val="1"/>
                <w:bCs w:val="1"/>
                <w:color w:val="auto"/>
              </w:rPr>
              <w:t>in millions</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6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3"/>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Cross-currency and interest rate derivative contracts (a)</w:t>
            </w:r>
          </w:p>
        </w:tc>
        <w:tc>
          <w:tcPr>
            <w:tcW w:w="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6"/>
                <w:szCs w:val="16"/>
                <w:color w:val="auto"/>
              </w:rPr>
              <w:t>(309.4)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69.1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532.9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r>
        <w:trPr>
          <w:trHeight w:val="189"/>
        </w:trPr>
        <w:tc>
          <w:tcPr>
            <w:tcW w:w="6860" w:type="dxa"/>
            <w:vAlign w:val="bottom"/>
          </w:tcPr>
          <w:p>
            <w:pPr>
              <w:ind w:left="20"/>
              <w:spacing w:after="0"/>
              <w:rPr>
                <w:sz w:val="20"/>
                <w:szCs w:val="20"/>
                <w:color w:val="auto"/>
              </w:rPr>
            </w:pPr>
            <w:r>
              <w:rPr>
                <w:rFonts w:ascii="Arial" w:cs="Arial" w:eastAsia="Arial" w:hAnsi="Arial"/>
                <w:sz w:val="16"/>
                <w:szCs w:val="16"/>
                <w:color w:val="auto"/>
              </w:rPr>
              <w:t>Equity-related derivative instruments:</w:t>
            </w:r>
          </w:p>
        </w:tc>
        <w:tc>
          <w:tcPr>
            <w:tcW w:w="2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6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6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ITV Collar</w:t>
            </w:r>
          </w:p>
        </w:tc>
        <w:tc>
          <w:tcPr>
            <w:tcW w:w="2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6"/>
                <w:szCs w:val="16"/>
                <w:color w:val="auto"/>
              </w:rPr>
              <w:t>(33.1)</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86.0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350.3</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99.8</w:t>
            </w:r>
          </w:p>
        </w:tc>
        <w:tc>
          <w:tcPr>
            <w:tcW w:w="0" w:type="dxa"/>
            <w:vAlign w:val="bottom"/>
          </w:tcPr>
          <w:p>
            <w:pPr>
              <w:spacing w:after="0"/>
              <w:rPr>
                <w:sz w:val="1"/>
                <w:szCs w:val="1"/>
                <w:color w:val="auto"/>
              </w:rPr>
            </w:pPr>
          </w:p>
        </w:tc>
      </w:tr>
      <w:tr>
        <w:trPr>
          <w:trHeight w:val="209"/>
        </w:trPr>
        <w:tc>
          <w:tcPr>
            <w:tcW w:w="6860" w:type="dxa"/>
            <w:vAlign w:val="bottom"/>
          </w:tcPr>
          <w:p>
            <w:pPr>
              <w:ind w:left="140"/>
              <w:spacing w:after="0"/>
              <w:rPr>
                <w:sz w:val="20"/>
                <w:szCs w:val="20"/>
                <w:color w:val="auto"/>
              </w:rPr>
            </w:pPr>
            <w:r>
              <w:rPr>
                <w:rFonts w:ascii="Arial" w:cs="Arial" w:eastAsia="Arial" w:hAnsi="Arial"/>
                <w:sz w:val="16"/>
                <w:szCs w:val="16"/>
                <w:color w:val="auto"/>
              </w:rPr>
              <w:t>Lionsgate Forward</w:t>
            </w:r>
          </w:p>
        </w:tc>
        <w:tc>
          <w:tcPr>
            <w:tcW w:w="240" w:type="dxa"/>
            <w:vAlign w:val="bottom"/>
          </w:tcPr>
          <w:p>
            <w:pPr>
              <w:spacing w:after="0"/>
              <w:rPr>
                <w:sz w:val="18"/>
                <w:szCs w:val="18"/>
                <w:color w:val="auto"/>
              </w:rPr>
            </w:pPr>
          </w:p>
        </w:tc>
        <w:tc>
          <w:tcPr>
            <w:tcW w:w="800" w:type="dxa"/>
            <w:vAlign w:val="bottom"/>
          </w:tcPr>
          <w:p>
            <w:pPr>
              <w:jc w:val="right"/>
              <w:ind w:right="5"/>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ind w:right="44"/>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ind w:right="25"/>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ind w:right="23"/>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4"/>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6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22.1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20.8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01"/>
        </w:trPr>
        <w:tc>
          <w:tcPr>
            <w:tcW w:w="6860" w:type="dxa"/>
            <w:vAlign w:val="bottom"/>
          </w:tcPr>
          <w:p>
            <w:pPr>
              <w:ind w:left="220"/>
              <w:spacing w:after="0"/>
              <w:rPr>
                <w:sz w:val="20"/>
                <w:szCs w:val="20"/>
                <w:color w:val="auto"/>
              </w:rPr>
            </w:pPr>
            <w:r>
              <w:rPr>
                <w:rFonts w:ascii="Arial" w:cs="Arial" w:eastAsia="Arial" w:hAnsi="Arial"/>
                <w:sz w:val="16"/>
                <w:szCs w:val="16"/>
                <w:color w:val="auto"/>
              </w:rPr>
              <w:t>Total equity-related derivative instruments (b)</w:t>
            </w: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5"/>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95.0</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25"/>
              <w:spacing w:after="0"/>
              <w:rPr>
                <w:sz w:val="20"/>
                <w:szCs w:val="20"/>
                <w:color w:val="auto"/>
              </w:rPr>
            </w:pPr>
            <w:r>
              <w:rPr>
                <w:rFonts w:ascii="Arial" w:cs="Arial" w:eastAsia="Arial" w:hAnsi="Arial"/>
                <w:sz w:val="16"/>
                <w:szCs w:val="16"/>
                <w:color w:val="auto"/>
              </w:rPr>
              <w:t>377.6</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109.8</w:t>
            </w:r>
          </w:p>
        </w:tc>
        <w:tc>
          <w:tcPr>
            <w:tcW w:w="0" w:type="dxa"/>
            <w:vAlign w:val="bottom"/>
          </w:tcPr>
          <w:p>
            <w:pPr>
              <w:spacing w:after="0"/>
              <w:rPr>
                <w:sz w:val="1"/>
                <w:szCs w:val="1"/>
                <w:color w:val="auto"/>
              </w:rPr>
            </w:pPr>
          </w:p>
        </w:tc>
      </w:tr>
      <w:tr>
        <w:trPr>
          <w:trHeight w:val="24"/>
        </w:trPr>
        <w:tc>
          <w:tcPr>
            <w:tcW w:w="6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Foreign currency forward and option contracts</w:t>
            </w: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(11.6)</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201"/>
        </w:trPr>
        <w:tc>
          <w:tcPr>
            <w:tcW w:w="6860" w:type="dxa"/>
            <w:vAlign w:val="bottom"/>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45"/>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4"/>
        </w:trPr>
        <w:tc>
          <w:tcPr>
            <w:tcW w:w="6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68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6"/>
                <w:szCs w:val="16"/>
                <w:color w:val="auto"/>
              </w:rPr>
              <w:t>(319.7)</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152.9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917.6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70.1</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8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jc w:val="both"/>
        <w:ind w:left="427" w:hanging="427"/>
        <w:spacing w:after="0" w:line="287" w:lineRule="auto"/>
        <w:tabs>
          <w:tab w:leader="none" w:pos="427"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results for the 2020 periods are primarily attributable to the net effect of (i) a net loss for the three-month period and a net gain for the six-month period associated with changes in the relative value of certain currencies and (ii) a net loss for the three-month period and a net gain for the six-month period associated with changes in certain market interest rates. In addition, the results for the 2020 periods include net gains of $5.4 million and $71.7 million, respectively, resulting from changes in our credit risk valuation adjustments. The results for the 2019 periods are primarily attributable to the net effect of (a) for the six-month period, a net loss associated with changes in certain market interest rates and (b) net gains associated with changes in the relative value of certain currencies. In addition, the results for the 2019 periods include net losses of $12.6 million and $70.7 million, respectively, resulting from changes in our credit risk valuation adjustments.</w:t>
      </w:r>
    </w:p>
    <w:p>
      <w:pPr>
        <w:spacing w:after="0" w:line="147" w:lineRule="exact"/>
        <w:rPr>
          <w:rFonts w:ascii="Arial" w:cs="Arial" w:eastAsia="Arial" w:hAnsi="Arial"/>
          <w:sz w:val="14"/>
          <w:szCs w:val="14"/>
          <w:color w:val="auto"/>
        </w:rPr>
      </w:pPr>
    </w:p>
    <w:p>
      <w:pPr>
        <w:ind w:left="427" w:hanging="427"/>
        <w:spacing w:after="0"/>
        <w:tabs>
          <w:tab w:leader="none" w:pos="427"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recurring fair value measurements of our equity-related derivative instruments are based on Black-Scholes pricing models.</w:t>
      </w:r>
    </w:p>
    <w:p>
      <w:pPr>
        <w:spacing w:after="0" w:line="188" w:lineRule="exact"/>
        <w:rPr>
          <w:sz w:val="20"/>
          <w:szCs w:val="20"/>
          <w:color w:val="auto"/>
        </w:rPr>
      </w:pPr>
    </w:p>
    <w:p>
      <w:pPr>
        <w:ind w:left="7" w:right="20" w:firstLine="279"/>
        <w:spacing w:after="0" w:line="258" w:lineRule="auto"/>
        <w:rPr>
          <w:sz w:val="20"/>
          <w:szCs w:val="20"/>
          <w:color w:val="auto"/>
        </w:rPr>
      </w:pPr>
      <w:r>
        <w:rPr>
          <w:rFonts w:ascii="Arial" w:cs="Arial" w:eastAsia="Arial" w:hAnsi="Arial"/>
          <w:sz w:val="16"/>
          <w:szCs w:val="16"/>
          <w:color w:val="auto"/>
        </w:rPr>
        <w:t xml:space="preserve">For additional information concerning our derivative instruments, see notes 6 and 7 to our condensed consolidated financial statements and Part I, Item 3. </w:t>
      </w:r>
      <w:r>
        <w:rPr>
          <w:rFonts w:ascii="Arial" w:cs="Arial" w:eastAsia="Arial" w:hAnsi="Arial"/>
          <w:sz w:val="16"/>
          <w:szCs w:val="16"/>
          <w:i w:val="1"/>
          <w:iCs w:val="1"/>
          <w:color w:val="auto"/>
        </w:rPr>
        <w:t>Quantitative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Qualitative Disclosures about Market Risk </w:t>
      </w:r>
      <w:r>
        <w:rPr>
          <w:rFonts w:ascii="Arial" w:cs="Arial" w:eastAsia="Arial" w:hAnsi="Arial"/>
          <w:sz w:val="16"/>
          <w:szCs w:val="16"/>
          <w:color w:val="auto"/>
        </w:rPr>
        <w:t>below.</w:t>
      </w:r>
    </w:p>
    <w:p>
      <w:pPr>
        <w:spacing w:after="0" w:line="349"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267"/>
          </w:cols>
          <w:pgMar w:left="313" w:top="315" w:right="319" w:bottom="1440" w:gutter="0" w:footer="0" w:header="0"/>
        </w:sectPr>
      </w:pPr>
    </w:p>
    <w:bookmarkStart w:id="73" w:name="page74"/>
    <w:bookmarkEnd w:id="73"/>
    <w:p>
      <w:pPr>
        <w:ind w:left="147"/>
        <w:spacing w:after="0"/>
        <w:rPr>
          <w:sz w:val="20"/>
          <w:szCs w:val="20"/>
          <w:color w:val="auto"/>
        </w:rPr>
      </w:pPr>
      <w:r>
        <w:rPr>
          <w:rFonts w:ascii="Arial" w:cs="Arial" w:eastAsia="Arial" w:hAnsi="Arial"/>
          <w:sz w:val="16"/>
          <w:szCs w:val="16"/>
          <w:i w:val="1"/>
          <w:iCs w:val="1"/>
          <w:color w:val="auto"/>
        </w:rPr>
        <w:t>Foreign currency transaction gains (losses), net</w:t>
      </w:r>
    </w:p>
    <w:p>
      <w:pPr>
        <w:spacing w:after="0" w:line="188" w:lineRule="exact"/>
        <w:rPr>
          <w:sz w:val="20"/>
          <w:szCs w:val="20"/>
          <w:color w:val="auto"/>
        </w:rPr>
      </w:pPr>
    </w:p>
    <w:p>
      <w:pPr>
        <w:jc w:val="both"/>
        <w:ind w:left="7" w:right="20" w:firstLine="279"/>
        <w:spacing w:after="0" w:line="303" w:lineRule="auto"/>
        <w:rPr>
          <w:sz w:val="20"/>
          <w:szCs w:val="20"/>
          <w:color w:val="auto"/>
        </w:rPr>
      </w:pPr>
      <w:r>
        <w:rPr>
          <w:rFonts w:ascii="Arial" w:cs="Arial" w:eastAsia="Arial" w:hAnsi="Arial"/>
          <w:sz w:val="14"/>
          <w:szCs w:val="14"/>
          <w:color w:val="auto"/>
        </w:rPr>
        <w:t>Our foreign currency transaction gains or losses primarily result from the remeasurement of monetary assets and liabilities that are denominated in currencies other than the underlying functional currency of the applicable entity. Unrealized foreign currency transaction gains or losses are computed based on period-end exchange rates and are non-cash in nature until such time as the amounts are settled. The details of our foreign currency transaction gains (losses), net, are as follows:</w:t>
      </w:r>
    </w:p>
    <w:p>
      <w:pPr>
        <w:spacing w:after="0" w:line="86"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6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4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5"/>
                <w:szCs w:val="15"/>
                <w:color w:val="auto"/>
              </w:rPr>
            </w:pPr>
          </w:p>
        </w:tc>
        <w:tc>
          <w:tcPr>
            <w:tcW w:w="2000" w:type="dxa"/>
            <w:vAlign w:val="bottom"/>
            <w:gridSpan w:val="4"/>
          </w:tcPr>
          <w:p>
            <w:pPr>
              <w:jc w:val="right"/>
              <w:ind w:right="54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2"/>
        </w:trPr>
        <w:tc>
          <w:tcPr>
            <w:tcW w:w="6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gridSpan w:val="3"/>
          </w:tcPr>
          <w:p>
            <w:pPr>
              <w:jc w:val="right"/>
              <w:ind w:right="22"/>
              <w:spacing w:after="0"/>
              <w:rPr>
                <w:sz w:val="20"/>
                <w:szCs w:val="20"/>
                <w:color w:val="auto"/>
              </w:rPr>
            </w:pPr>
            <w:r>
              <w:rPr>
                <w:rFonts w:ascii="Arial" w:cs="Arial" w:eastAsia="Arial" w:hAnsi="Arial"/>
                <w:sz w:val="14"/>
                <w:szCs w:val="14"/>
                <w:b w:val="1"/>
                <w:bCs w:val="1"/>
                <w:color w:val="auto"/>
              </w:rPr>
              <w:t>June 30,</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gridSpan w:val="3"/>
          </w:tcPr>
          <w:p>
            <w:pPr>
              <w:jc w:val="right"/>
              <w:ind w:right="22"/>
              <w:spacing w:after="0"/>
              <w:rPr>
                <w:sz w:val="20"/>
                <w:szCs w:val="20"/>
                <w:color w:val="auto"/>
              </w:rPr>
            </w:pPr>
            <w:r>
              <w:rPr>
                <w:rFonts w:ascii="Arial" w:cs="Arial" w:eastAsia="Arial" w:hAnsi="Arial"/>
                <w:sz w:val="14"/>
                <w:szCs w:val="14"/>
                <w:b w:val="1"/>
                <w:bCs w:val="1"/>
                <w:color w:val="auto"/>
              </w:rPr>
              <w:t>June 30,</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64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6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36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ind w:right="36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ind w:right="34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34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8"/>
        </w:trPr>
        <w:tc>
          <w:tcPr>
            <w:tcW w:w="64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6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3"/>
          </w:tcPr>
          <w:p>
            <w:pPr>
              <w:jc w:val="right"/>
              <w:ind w:right="22"/>
              <w:spacing w:after="0"/>
              <w:rPr>
                <w:sz w:val="20"/>
                <w:szCs w:val="20"/>
                <w:color w:val="auto"/>
              </w:rPr>
            </w:pPr>
            <w:r>
              <w:rPr>
                <w:rFonts w:ascii="Arial" w:cs="Arial" w:eastAsia="Arial" w:hAnsi="Arial"/>
                <w:sz w:val="14"/>
                <w:szCs w:val="14"/>
                <w:b w:val="1"/>
                <w:bCs w:val="1"/>
                <w:color w:val="auto"/>
              </w:rPr>
              <w:t>in millions</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6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U.S. dollar-denominated debt issued by British pound sterling functional currency entities</w:t>
            </w:r>
          </w:p>
        </w:tc>
        <w:tc>
          <w:tcPr>
            <w:tcW w:w="2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(53.7)</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(126.2)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(349.4)</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199"/>
        </w:trPr>
        <w:tc>
          <w:tcPr>
            <w:tcW w:w="6420" w:type="dxa"/>
            <w:vAlign w:val="bottom"/>
          </w:tcPr>
          <w:p>
            <w:pPr>
              <w:ind w:left="20"/>
              <w:spacing w:after="0"/>
              <w:rPr>
                <w:sz w:val="20"/>
                <w:szCs w:val="20"/>
                <w:color w:val="auto"/>
              </w:rPr>
            </w:pPr>
            <w:r>
              <w:rPr>
                <w:rFonts w:ascii="Arial" w:cs="Arial" w:eastAsia="Arial" w:hAnsi="Arial"/>
                <w:sz w:val="16"/>
                <w:szCs w:val="16"/>
                <w:color w:val="auto"/>
                <w:w w:val="90"/>
              </w:rPr>
              <w:t>Intercompany payables and receivables denominated in a currency other than the entity’s functional</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20" w:type="dxa"/>
            <w:vAlign w:val="bottom"/>
          </w:tcPr>
          <w:p>
            <w:pPr>
              <w:ind w:left="160"/>
              <w:spacing w:after="0"/>
              <w:rPr>
                <w:sz w:val="20"/>
                <w:szCs w:val="20"/>
                <w:color w:val="auto"/>
              </w:rPr>
            </w:pPr>
            <w:r>
              <w:rPr>
                <w:rFonts w:ascii="Arial" w:cs="Arial" w:eastAsia="Arial" w:hAnsi="Arial"/>
                <w:sz w:val="16"/>
                <w:szCs w:val="16"/>
                <w:color w:val="auto"/>
              </w:rPr>
              <w:t>currency (a)</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(498.1)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ind w:right="44"/>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ind w:right="25"/>
              <w:spacing w:after="0"/>
              <w:rPr>
                <w:sz w:val="20"/>
                <w:szCs w:val="20"/>
                <w:color w:val="auto"/>
              </w:rPr>
            </w:pPr>
            <w:r>
              <w:rPr>
                <w:rFonts w:ascii="Arial" w:cs="Arial" w:eastAsia="Arial" w:hAnsi="Arial"/>
                <w:sz w:val="16"/>
                <w:szCs w:val="16"/>
                <w:color w:val="auto"/>
              </w:rPr>
              <w:t>163.1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23"/>
              <w:spacing w:after="0"/>
              <w:rPr>
                <w:sz w:val="20"/>
                <w:szCs w:val="20"/>
                <w:color w:val="auto"/>
              </w:rPr>
            </w:pPr>
            <w:r>
              <w:rPr>
                <w:rFonts w:ascii="Arial" w:cs="Arial" w:eastAsia="Arial" w:hAnsi="Arial"/>
                <w:sz w:val="16"/>
                <w:szCs w:val="16"/>
                <w:color w:val="auto"/>
              </w:rPr>
              <w:t>173.8</w:t>
            </w:r>
          </w:p>
        </w:tc>
        <w:tc>
          <w:tcPr>
            <w:tcW w:w="0" w:type="dxa"/>
            <w:vAlign w:val="bottom"/>
          </w:tcPr>
          <w:p>
            <w:pPr>
              <w:spacing w:after="0"/>
              <w:rPr>
                <w:sz w:val="1"/>
                <w:szCs w:val="1"/>
                <w:color w:val="auto"/>
              </w:rPr>
            </w:pPr>
          </w:p>
        </w:tc>
      </w:tr>
      <w:tr>
        <w:trPr>
          <w:trHeight w:val="24"/>
        </w:trPr>
        <w:tc>
          <w:tcPr>
            <w:tcW w:w="6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British pound sterling-denominated debt issued by a U.S. dollar functional currency entity</w:t>
            </w: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32.1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88.9</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09"/>
        </w:trPr>
        <w:tc>
          <w:tcPr>
            <w:tcW w:w="6420" w:type="dxa"/>
            <w:vAlign w:val="bottom"/>
          </w:tcPr>
          <w:p>
            <w:pPr>
              <w:ind w:left="20"/>
              <w:spacing w:after="0"/>
              <w:rPr>
                <w:sz w:val="20"/>
                <w:szCs w:val="20"/>
                <w:color w:val="auto"/>
              </w:rPr>
            </w:pPr>
            <w:r>
              <w:rPr>
                <w:rFonts w:ascii="Arial" w:cs="Arial" w:eastAsia="Arial" w:hAnsi="Arial"/>
                <w:sz w:val="16"/>
                <w:szCs w:val="16"/>
                <w:color w:val="auto"/>
              </w:rPr>
              <w:t>Euro-denominated debt issued by British pound sterling functional currency entities</w:t>
            </w:r>
          </w:p>
        </w:tc>
        <w:tc>
          <w:tcPr>
            <w:tcW w:w="260" w:type="dxa"/>
            <w:vAlign w:val="bottom"/>
          </w:tcPr>
          <w:p>
            <w:pPr>
              <w:spacing w:after="0"/>
              <w:rPr>
                <w:sz w:val="18"/>
                <w:szCs w:val="18"/>
                <w:color w:val="auto"/>
              </w:rPr>
            </w:pPr>
          </w:p>
        </w:tc>
        <w:tc>
          <w:tcPr>
            <w:tcW w:w="880" w:type="dxa"/>
            <w:vAlign w:val="bottom"/>
          </w:tcPr>
          <w:p>
            <w:pPr>
              <w:jc w:val="right"/>
              <w:ind w:right="45"/>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ind w:right="44"/>
              <w:spacing w:after="0"/>
              <w:rPr>
                <w:sz w:val="20"/>
                <w:szCs w:val="20"/>
                <w:color w:val="auto"/>
              </w:rPr>
            </w:pPr>
            <w:r>
              <w:rPr>
                <w:rFonts w:ascii="Arial" w:cs="Arial" w:eastAsia="Arial" w:hAnsi="Arial"/>
                <w:sz w:val="16"/>
                <w:szCs w:val="16"/>
                <w:color w:val="auto"/>
              </w:rPr>
              <w:t>18.3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ind w:right="25"/>
              <w:spacing w:after="0"/>
              <w:rPr>
                <w:sz w:val="20"/>
                <w:szCs w:val="20"/>
                <w:color w:val="auto"/>
              </w:rPr>
            </w:pPr>
            <w:r>
              <w:rPr>
                <w:rFonts w:ascii="Arial" w:cs="Arial" w:eastAsia="Arial" w:hAnsi="Arial"/>
                <w:sz w:val="16"/>
                <w:szCs w:val="16"/>
                <w:color w:val="auto"/>
              </w:rPr>
              <w:t>30.5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4"/>
        </w:trPr>
        <w:tc>
          <w:tcPr>
            <w:tcW w:w="6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U.S. dollar-denominated debt issued by euro functional currency entities</w:t>
            </w: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98.1</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59.1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28.9</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0" w:type="dxa"/>
            <w:vAlign w:val="bottom"/>
          </w:tcPr>
          <w:p>
            <w:pPr>
              <w:spacing w:after="0"/>
              <w:rPr>
                <w:sz w:val="1"/>
                <w:szCs w:val="1"/>
                <w:color w:val="auto"/>
              </w:rPr>
            </w:pPr>
          </w:p>
        </w:tc>
      </w:tr>
      <w:tr>
        <w:trPr>
          <w:trHeight w:val="209"/>
        </w:trPr>
        <w:tc>
          <w:tcPr>
            <w:tcW w:w="6420" w:type="dxa"/>
            <w:vAlign w:val="bottom"/>
          </w:tcPr>
          <w:p>
            <w:pPr>
              <w:ind w:left="20"/>
              <w:spacing w:after="0"/>
              <w:rPr>
                <w:sz w:val="20"/>
                <w:szCs w:val="20"/>
                <w:color w:val="auto"/>
              </w:rPr>
            </w:pPr>
            <w:r>
              <w:rPr>
                <w:rFonts w:ascii="Arial" w:cs="Arial" w:eastAsia="Arial" w:hAnsi="Arial"/>
                <w:sz w:val="16"/>
                <w:szCs w:val="16"/>
                <w:color w:val="auto"/>
                <w:w w:val="95"/>
              </w:rPr>
              <w:t>Cash and restricted cash denominated in a currency other than the entity’s functional currency</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ind w:right="4"/>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4"/>
        </w:trPr>
        <w:tc>
          <w:tcPr>
            <w:tcW w:w="6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16"/>
        </w:trPr>
        <w:tc>
          <w:tcPr>
            <w:tcW w:w="6420" w:type="dxa"/>
            <w:vAlign w:val="bottom"/>
          </w:tcPr>
          <w:p>
            <w:pPr>
              <w:ind w:left="14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(478.0)</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22"/>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6"/>
                <w:szCs w:val="16"/>
                <w:color w:val="auto"/>
              </w:rPr>
              <w:t>(27.0)</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(86.3)</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22"/>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111.6</w:t>
            </w:r>
          </w:p>
        </w:tc>
        <w:tc>
          <w:tcPr>
            <w:tcW w:w="0" w:type="dxa"/>
            <w:vAlign w:val="bottom"/>
          </w:tcPr>
          <w:p>
            <w:pPr>
              <w:spacing w:after="0"/>
              <w:rPr>
                <w:sz w:val="1"/>
                <w:szCs w:val="1"/>
                <w:color w:val="auto"/>
              </w:rPr>
            </w:pPr>
          </w:p>
        </w:tc>
      </w:tr>
      <w:tr>
        <w:trPr>
          <w:trHeight w:val="20"/>
        </w:trPr>
        <w:tc>
          <w:tcPr>
            <w:tcW w:w="6420" w:type="dxa"/>
            <w:vAlign w:val="bottom"/>
            <w:vMerge w:val="restart"/>
          </w:tcPr>
          <w:p>
            <w:pPr>
              <w:spacing w:after="0"/>
              <w:rPr>
                <w:sz w:val="20"/>
                <w:szCs w:val="20"/>
                <w:color w:val="auto"/>
              </w:rPr>
            </w:pPr>
            <w:r>
              <w:rPr>
                <w:rFonts w:ascii="Arial" w:cs="Arial" w:eastAsia="Arial" w:hAnsi="Arial"/>
                <w:sz w:val="16"/>
                <w:szCs w:val="16"/>
                <w:color w:val="auto"/>
              </w:rPr>
              <w:t>_______________</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4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427" w:hanging="427"/>
        <w:spacing w:after="0" w:line="258" w:lineRule="auto"/>
        <w:tabs>
          <w:tab w:leader="none" w:pos="427" w:val="left"/>
        </w:tabs>
        <w:numPr>
          <w:ilvl w:val="0"/>
          <w:numId w:val="64"/>
        </w:numPr>
        <w:rPr>
          <w:rFonts w:ascii="Arial" w:cs="Arial" w:eastAsia="Arial" w:hAnsi="Arial"/>
          <w:sz w:val="16"/>
          <w:szCs w:val="16"/>
          <w:color w:val="auto"/>
        </w:rPr>
      </w:pPr>
      <w:r>
        <w:rPr>
          <w:rFonts w:ascii="Arial" w:cs="Arial" w:eastAsia="Arial" w:hAnsi="Arial"/>
          <w:sz w:val="16"/>
          <w:szCs w:val="16"/>
          <w:color w:val="auto"/>
        </w:rPr>
        <w:t>Amounts primarily relate to (i) loans between certain of our non-operating and operating subsidiaries in Europe, which generally are denominated in the currency of the applicable operating subsidiary and (ii) loans between certain of our non-operating subsidiaries in the U.S. and Europe.</w:t>
      </w:r>
    </w:p>
    <w:p>
      <w:pPr>
        <w:spacing w:after="0" w:line="163" w:lineRule="exact"/>
        <w:rPr>
          <w:sz w:val="20"/>
          <w:szCs w:val="20"/>
          <w:color w:val="auto"/>
        </w:rPr>
      </w:pPr>
    </w:p>
    <w:p>
      <w:pPr>
        <w:ind w:left="147"/>
        <w:spacing w:after="0"/>
        <w:rPr>
          <w:sz w:val="20"/>
          <w:szCs w:val="20"/>
          <w:color w:val="auto"/>
        </w:rPr>
      </w:pPr>
      <w:r>
        <w:rPr>
          <w:rFonts w:ascii="Arial" w:cs="Arial" w:eastAsia="Arial" w:hAnsi="Arial"/>
          <w:sz w:val="16"/>
          <w:szCs w:val="16"/>
          <w:i w:val="1"/>
          <w:iCs w:val="1"/>
          <w:color w:val="auto"/>
        </w:rPr>
        <w:t>Realized and unrealized gains (losses) due to changes in fair values of certain investments and debt, net</w:t>
      </w:r>
    </w:p>
    <w:p>
      <w:pPr>
        <w:spacing w:after="0" w:line="188" w:lineRule="exact"/>
        <w:rPr>
          <w:sz w:val="20"/>
          <w:szCs w:val="20"/>
          <w:color w:val="auto"/>
        </w:rPr>
      </w:pPr>
    </w:p>
    <w:p>
      <w:pPr>
        <w:jc w:val="both"/>
        <w:ind w:left="7" w:firstLine="279"/>
        <w:spacing w:after="0" w:line="248" w:lineRule="auto"/>
        <w:rPr>
          <w:sz w:val="20"/>
          <w:szCs w:val="20"/>
          <w:color w:val="auto"/>
        </w:rPr>
      </w:pPr>
      <w:r>
        <w:rPr>
          <w:rFonts w:ascii="Arial" w:cs="Arial" w:eastAsia="Arial" w:hAnsi="Arial"/>
          <w:sz w:val="16"/>
          <w:szCs w:val="16"/>
          <w:color w:val="auto"/>
        </w:rPr>
        <w:t>Our realized and unrealized gains or losses due to changes in fair values of certain investments and debt include unrealized gains or losses associated with changes in fair values that are non-cash in nature until such time as these gains or losses are realized through cash transactions. For additional information regarding our investments, fair value measurements and debt, see notes 5, 7 and 9, respectively, to our condensed consolidated financial statements. The details of our realized and unrealized gains (losses) due to changes in fair values of certain investments and debt, net, are as follows:</w:t>
      </w:r>
    </w:p>
    <w:p>
      <w:pPr>
        <w:spacing w:after="0" w:line="122"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344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4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5"/>
                <w:szCs w:val="15"/>
                <w:color w:val="auto"/>
              </w:rPr>
            </w:pPr>
          </w:p>
        </w:tc>
        <w:tc>
          <w:tcPr>
            <w:tcW w:w="1800" w:type="dxa"/>
            <w:vAlign w:val="bottom"/>
            <w:gridSpan w:val="4"/>
          </w:tcPr>
          <w:p>
            <w:pPr>
              <w:jc w:val="right"/>
              <w:ind w:right="44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2"/>
        </w:trPr>
        <w:tc>
          <w:tcPr>
            <w:tcW w:w="344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gridSpan w:val="3"/>
          </w:tcPr>
          <w:p>
            <w:pPr>
              <w:jc w:val="right"/>
              <w:ind w:right="2"/>
              <w:spacing w:after="0"/>
              <w:rPr>
                <w:sz w:val="20"/>
                <w:szCs w:val="20"/>
                <w:color w:val="auto"/>
              </w:rPr>
            </w:pPr>
            <w:r>
              <w:rPr>
                <w:rFonts w:ascii="Arial" w:cs="Arial" w:eastAsia="Arial" w:hAnsi="Arial"/>
                <w:sz w:val="14"/>
                <w:szCs w:val="14"/>
                <w:b w:val="1"/>
                <w:bCs w:val="1"/>
                <w:color w:val="auto"/>
              </w:rPr>
              <w:t>June 30,</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gridSpan w:val="3"/>
          </w:tcPr>
          <w:p>
            <w:pPr>
              <w:jc w:val="right"/>
              <w:ind w:right="2"/>
              <w:spacing w:after="0"/>
              <w:rPr>
                <w:sz w:val="20"/>
                <w:szCs w:val="20"/>
                <w:color w:val="auto"/>
              </w:rPr>
            </w:pPr>
            <w:r>
              <w:rPr>
                <w:rFonts w:ascii="Arial" w:cs="Arial" w:eastAsia="Arial" w:hAnsi="Arial"/>
                <w:sz w:val="14"/>
                <w:szCs w:val="14"/>
                <w:b w:val="1"/>
                <w:bCs w:val="1"/>
                <w:color w:val="auto"/>
              </w:rPr>
              <w:t>June 30,</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34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344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30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jc w:val="right"/>
              <w:ind w:right="30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jc w:val="right"/>
              <w:ind w:right="28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jc w:val="right"/>
              <w:ind w:right="28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8"/>
        </w:trPr>
        <w:tc>
          <w:tcPr>
            <w:tcW w:w="34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344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gridSpan w:val="3"/>
          </w:tcPr>
          <w:p>
            <w:pPr>
              <w:jc w:val="right"/>
              <w:ind w:right="2"/>
              <w:spacing w:after="0"/>
              <w:rPr>
                <w:sz w:val="20"/>
                <w:szCs w:val="20"/>
                <w:color w:val="auto"/>
              </w:rPr>
            </w:pPr>
            <w:r>
              <w:rPr>
                <w:rFonts w:ascii="Arial" w:cs="Arial" w:eastAsia="Arial" w:hAnsi="Arial"/>
                <w:sz w:val="14"/>
                <w:szCs w:val="14"/>
                <w:b w:val="1"/>
                <w:bCs w:val="1"/>
                <w:color w:val="auto"/>
              </w:rPr>
              <w:t>in millions</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44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Investments:</w:t>
            </w:r>
          </w:p>
        </w:tc>
        <w:tc>
          <w:tcPr>
            <w:tcW w:w="34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40" w:type="dxa"/>
            <w:vAlign w:val="bottom"/>
          </w:tcPr>
          <w:p>
            <w:pPr>
              <w:ind w:left="140"/>
              <w:spacing w:after="0"/>
              <w:rPr>
                <w:sz w:val="20"/>
                <w:szCs w:val="20"/>
                <w:color w:val="auto"/>
              </w:rPr>
            </w:pPr>
            <w:r>
              <w:rPr>
                <w:rFonts w:ascii="Arial" w:cs="Arial" w:eastAsia="Arial" w:hAnsi="Arial"/>
                <w:sz w:val="16"/>
                <w:szCs w:val="16"/>
                <w:color w:val="auto"/>
              </w:rPr>
              <w:t>ITV</w:t>
            </w:r>
          </w:p>
        </w:tc>
        <w:tc>
          <w:tcPr>
            <w:tcW w:w="36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5"/>
              <w:spacing w:after="0"/>
              <w:rPr>
                <w:sz w:val="20"/>
                <w:szCs w:val="20"/>
                <w:color w:val="auto"/>
              </w:rPr>
            </w:pPr>
            <w:r>
              <w:rPr>
                <w:rFonts w:ascii="Arial" w:cs="Arial" w:eastAsia="Arial" w:hAnsi="Arial"/>
                <w:sz w:val="16"/>
                <w:szCs w:val="16"/>
                <w:color w:val="auto"/>
              </w:rPr>
              <w:t>42.2</w:t>
            </w:r>
          </w:p>
        </w:tc>
        <w:tc>
          <w:tcPr>
            <w:tcW w:w="100" w:type="dxa"/>
            <w:vAlign w:val="bottom"/>
          </w:tcPr>
          <w:p>
            <w:pPr>
              <w:spacing w:after="0"/>
              <w:rPr>
                <w:sz w:val="18"/>
                <w:szCs w:val="18"/>
                <w:color w:val="auto"/>
              </w:rPr>
            </w:pPr>
          </w:p>
        </w:tc>
        <w:tc>
          <w:tcPr>
            <w:tcW w:w="300" w:type="dxa"/>
            <w:vAlign w:val="bottom"/>
          </w:tcPr>
          <w:p>
            <w:pPr>
              <w:jc w:val="right"/>
              <w:ind w:right="122"/>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4"/>
              <w:spacing w:after="0"/>
              <w:rPr>
                <w:sz w:val="20"/>
                <w:szCs w:val="20"/>
                <w:color w:val="auto"/>
              </w:rPr>
            </w:pPr>
            <w:r>
              <w:rPr>
                <w:rFonts w:ascii="Arial" w:cs="Arial" w:eastAsia="Arial" w:hAnsi="Arial"/>
                <w:sz w:val="16"/>
                <w:szCs w:val="16"/>
                <w:color w:val="auto"/>
              </w:rPr>
              <w:t>(111.8)</w:t>
            </w:r>
          </w:p>
        </w:tc>
        <w:tc>
          <w:tcPr>
            <w:tcW w:w="100" w:type="dxa"/>
            <w:vAlign w:val="bottom"/>
          </w:tcPr>
          <w:p>
            <w:pPr>
              <w:spacing w:after="0"/>
              <w:rPr>
                <w:sz w:val="18"/>
                <w:szCs w:val="18"/>
                <w:color w:val="auto"/>
              </w:rPr>
            </w:pPr>
          </w:p>
        </w:tc>
        <w:tc>
          <w:tcPr>
            <w:tcW w:w="32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(429.7)</w:t>
            </w:r>
          </w:p>
        </w:tc>
        <w:tc>
          <w:tcPr>
            <w:tcW w:w="100" w:type="dxa"/>
            <w:vAlign w:val="bottom"/>
          </w:tcPr>
          <w:p>
            <w:pPr>
              <w:spacing w:after="0"/>
              <w:rPr>
                <w:sz w:val="18"/>
                <w:szCs w:val="18"/>
                <w:color w:val="auto"/>
              </w:rPr>
            </w:pP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(87.8)</w:t>
            </w:r>
          </w:p>
        </w:tc>
        <w:tc>
          <w:tcPr>
            <w:tcW w:w="0" w:type="dxa"/>
            <w:vAlign w:val="bottom"/>
          </w:tcPr>
          <w:p>
            <w:pPr>
              <w:spacing w:after="0"/>
              <w:rPr>
                <w:sz w:val="1"/>
                <w:szCs w:val="1"/>
                <w:color w:val="auto"/>
              </w:rPr>
            </w:pPr>
          </w:p>
        </w:tc>
      </w:tr>
      <w:tr>
        <w:trPr>
          <w:trHeight w:val="24"/>
        </w:trPr>
        <w:tc>
          <w:tcPr>
            <w:tcW w:w="34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3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Lionsgate</w:t>
            </w:r>
          </w:p>
        </w:tc>
        <w:tc>
          <w:tcPr>
            <w:tcW w:w="34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8.5</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(17.2)</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209"/>
        </w:trPr>
        <w:tc>
          <w:tcPr>
            <w:tcW w:w="3440" w:type="dxa"/>
            <w:vAlign w:val="bottom"/>
          </w:tcPr>
          <w:p>
            <w:pPr>
              <w:ind w:left="140"/>
              <w:spacing w:after="0"/>
              <w:rPr>
                <w:sz w:val="20"/>
                <w:szCs w:val="20"/>
                <w:color w:val="auto"/>
              </w:rPr>
            </w:pPr>
            <w:r>
              <w:rPr>
                <w:rFonts w:ascii="Arial" w:cs="Arial" w:eastAsia="Arial" w:hAnsi="Arial"/>
                <w:sz w:val="16"/>
                <w:szCs w:val="16"/>
                <w:color w:val="auto"/>
              </w:rPr>
              <w:t>SMAs</w:t>
            </w:r>
          </w:p>
        </w:tc>
        <w:tc>
          <w:tcPr>
            <w:tcW w:w="3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45"/>
              <w:spacing w:after="0"/>
              <w:rPr>
                <w:sz w:val="20"/>
                <w:szCs w:val="20"/>
                <w:color w:val="auto"/>
              </w:rPr>
            </w:pPr>
            <w:r>
              <w:rPr>
                <w:rFonts w:ascii="Arial" w:cs="Arial" w:eastAsia="Arial" w:hAnsi="Arial"/>
                <w:sz w:val="16"/>
                <w:szCs w:val="16"/>
                <w:color w:val="auto"/>
              </w:rPr>
              <w:t>16.6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700" w:type="dxa"/>
            <w:vAlign w:val="bottom"/>
          </w:tcPr>
          <w:p>
            <w:pPr>
              <w:jc w:val="right"/>
              <w:ind w:right="25"/>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
        </w:trPr>
        <w:tc>
          <w:tcPr>
            <w:tcW w:w="34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3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ITI Neovision</w:t>
            </w:r>
          </w:p>
        </w:tc>
        <w:tc>
          <w:tcPr>
            <w:tcW w:w="34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09"/>
        </w:trPr>
        <w:tc>
          <w:tcPr>
            <w:tcW w:w="3440" w:type="dxa"/>
            <w:vAlign w:val="bottom"/>
          </w:tcPr>
          <w:p>
            <w:pPr>
              <w:ind w:left="140"/>
              <w:spacing w:after="0"/>
              <w:rPr>
                <w:sz w:val="20"/>
                <w:szCs w:val="20"/>
                <w:color w:val="auto"/>
              </w:rPr>
            </w:pPr>
            <w:r>
              <w:rPr>
                <w:rFonts w:ascii="Arial" w:cs="Arial" w:eastAsia="Arial" w:hAnsi="Arial"/>
                <w:sz w:val="16"/>
                <w:szCs w:val="16"/>
                <w:color w:val="auto"/>
              </w:rPr>
              <w:t>Other, net</w:t>
            </w:r>
          </w:p>
        </w:tc>
        <w:tc>
          <w:tcPr>
            <w:tcW w:w="3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45"/>
              <w:spacing w:after="0"/>
              <w:rPr>
                <w:sz w:val="20"/>
                <w:szCs w:val="20"/>
                <w:color w:val="auto"/>
              </w:rPr>
            </w:pPr>
            <w:r>
              <w:rPr>
                <w:rFonts w:ascii="Arial" w:cs="Arial" w:eastAsia="Arial" w:hAnsi="Arial"/>
                <w:sz w:val="16"/>
                <w:szCs w:val="16"/>
                <w:color w:val="auto"/>
              </w:rPr>
              <w:t>68.2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ind w:right="4"/>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ind w:right="25"/>
              <w:spacing w:after="0"/>
              <w:rPr>
                <w:sz w:val="20"/>
                <w:szCs w:val="20"/>
                <w:color w:val="auto"/>
              </w:rPr>
            </w:pPr>
            <w:r>
              <w:rPr>
                <w:rFonts w:ascii="Arial" w:cs="Arial" w:eastAsia="Arial" w:hAnsi="Arial"/>
                <w:sz w:val="16"/>
                <w:szCs w:val="16"/>
                <w:color w:val="auto"/>
              </w:rPr>
              <w:t>60.2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24"/>
        </w:trPr>
        <w:tc>
          <w:tcPr>
            <w:tcW w:w="344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3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investments</w:t>
            </w:r>
          </w:p>
        </w:tc>
        <w:tc>
          <w:tcPr>
            <w:tcW w:w="34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141.6</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(128.3)</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(386.4)</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(124.2)</w:t>
            </w:r>
          </w:p>
        </w:tc>
        <w:tc>
          <w:tcPr>
            <w:tcW w:w="0" w:type="dxa"/>
            <w:vAlign w:val="bottom"/>
          </w:tcPr>
          <w:p>
            <w:pPr>
              <w:spacing w:after="0"/>
              <w:rPr>
                <w:sz w:val="1"/>
                <w:szCs w:val="1"/>
                <w:color w:val="auto"/>
              </w:rPr>
            </w:pPr>
          </w:p>
        </w:tc>
      </w:tr>
      <w:tr>
        <w:trPr>
          <w:trHeight w:val="209"/>
        </w:trPr>
        <w:tc>
          <w:tcPr>
            <w:tcW w:w="3440" w:type="dxa"/>
            <w:vAlign w:val="bottom"/>
          </w:tcPr>
          <w:p>
            <w:pPr>
              <w:ind w:left="20"/>
              <w:spacing w:after="0"/>
              <w:rPr>
                <w:sz w:val="20"/>
                <w:szCs w:val="20"/>
                <w:color w:val="auto"/>
              </w:rPr>
            </w:pPr>
            <w:r>
              <w:rPr>
                <w:rFonts w:ascii="Arial" w:cs="Arial" w:eastAsia="Arial" w:hAnsi="Arial"/>
                <w:sz w:val="16"/>
                <w:szCs w:val="16"/>
                <w:color w:val="auto"/>
              </w:rPr>
              <w:t>Debt</w:t>
            </w:r>
          </w:p>
        </w:tc>
        <w:tc>
          <w:tcPr>
            <w:tcW w:w="3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45"/>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ind w:right="4"/>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ind w:right="25"/>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24"/>
        </w:trPr>
        <w:tc>
          <w:tcPr>
            <w:tcW w:w="344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3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3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152.3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(138.7)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(377.5)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(146.9)</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bottom w:val="single" w:sz="8" w:color="CCEEFF"/>
            </w:tcBorders>
            <w:vMerge w:val="restart"/>
          </w:tcPr>
          <w:p>
            <w:pPr>
              <w:jc w:val="right"/>
              <w:ind w:right="1082"/>
              <w:spacing w:after="0"/>
              <w:rPr>
                <w:sz w:val="20"/>
                <w:szCs w:val="20"/>
                <w:color w:val="auto"/>
              </w:rPr>
            </w:pPr>
            <w:r>
              <w:rPr>
                <w:rFonts w:ascii="Arial" w:cs="Arial" w:eastAsia="Arial" w:hAnsi="Arial"/>
                <w:sz w:val="16"/>
                <w:szCs w:val="16"/>
                <w:color w:val="auto"/>
              </w:rPr>
              <w:t>72</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3"/>
        </w:trPr>
        <w:tc>
          <w:tcPr>
            <w:tcW w:w="344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7"/>
          </w:cols>
          <w:pgMar w:left="313" w:top="315" w:right="319" w:bottom="1440" w:gutter="0" w:footer="0" w:header="0"/>
        </w:sectPr>
      </w:pPr>
    </w:p>
    <w:bookmarkStart w:id="74" w:name="page75"/>
    <w:bookmarkEnd w:id="74"/>
    <w:p>
      <w:pPr>
        <w:ind w:left="147"/>
        <w:spacing w:after="0"/>
        <w:rPr>
          <w:sz w:val="20"/>
          <w:szCs w:val="20"/>
          <w:color w:val="auto"/>
        </w:rPr>
      </w:pPr>
      <w:r>
        <w:rPr>
          <w:rFonts w:ascii="Arial" w:cs="Arial" w:eastAsia="Arial" w:hAnsi="Arial"/>
          <w:sz w:val="16"/>
          <w:szCs w:val="16"/>
          <w:i w:val="1"/>
          <w:iCs w:val="1"/>
          <w:color w:val="auto"/>
        </w:rPr>
        <w:t>Losses on debt extinguishment, net</w:t>
      </w:r>
    </w:p>
    <w:p>
      <w:pPr>
        <w:spacing w:after="0" w:line="188" w:lineRule="exact"/>
        <w:rPr>
          <w:sz w:val="20"/>
          <w:szCs w:val="20"/>
          <w:color w:val="auto"/>
        </w:rPr>
      </w:pPr>
    </w:p>
    <w:p>
      <w:pPr>
        <w:ind w:left="7" w:right="20" w:firstLine="279"/>
        <w:spacing w:after="0" w:line="258" w:lineRule="auto"/>
        <w:rPr>
          <w:sz w:val="20"/>
          <w:szCs w:val="20"/>
          <w:color w:val="auto"/>
        </w:rPr>
      </w:pPr>
      <w:r>
        <w:rPr>
          <w:rFonts w:ascii="Arial" w:cs="Arial" w:eastAsia="Arial" w:hAnsi="Arial"/>
          <w:sz w:val="16"/>
          <w:szCs w:val="16"/>
          <w:color w:val="auto"/>
        </w:rPr>
        <w:t>We recognized net losses on debt extinguishment of $165.6 million and $48.3 million during the three months ended June 30, 2020 and 2019, respectively, and $220.1 million and $48.8 million during the six months ended June 30, 2020 and 2019, respectively.</w:t>
      </w:r>
    </w:p>
    <w:p>
      <w:pPr>
        <w:spacing w:after="0" w:line="163" w:lineRule="exact"/>
        <w:rPr>
          <w:sz w:val="20"/>
          <w:szCs w:val="20"/>
          <w:color w:val="auto"/>
        </w:rPr>
      </w:pPr>
    </w:p>
    <w:p>
      <w:pPr>
        <w:ind w:left="7" w:right="20" w:firstLine="279"/>
        <w:spacing w:after="0" w:line="329" w:lineRule="auto"/>
        <w:rPr>
          <w:sz w:val="20"/>
          <w:szCs w:val="20"/>
          <w:color w:val="auto"/>
        </w:rPr>
      </w:pPr>
      <w:r>
        <w:rPr>
          <w:rFonts w:ascii="Arial" w:cs="Arial" w:eastAsia="Arial" w:hAnsi="Arial"/>
          <w:sz w:val="14"/>
          <w:szCs w:val="14"/>
          <w:color w:val="auto"/>
        </w:rPr>
        <w:t>The loss during the six months ended June 30, 2020 is primarily attributable to (i) the payment of $188.2 million of redemption premiums (including $157.5 million during the second quarter) and (ii) the write-off of $35.2 million of net unamortized deferred financing costs, discounts and premiums (including $11.4 million during the second quarter).</w:t>
      </w:r>
    </w:p>
    <w:p>
      <w:pPr>
        <w:spacing w:after="0" w:line="117" w:lineRule="exact"/>
        <w:rPr>
          <w:sz w:val="20"/>
          <w:szCs w:val="20"/>
          <w:color w:val="auto"/>
        </w:rPr>
      </w:pPr>
    </w:p>
    <w:p>
      <w:pPr>
        <w:ind w:left="7" w:firstLine="279"/>
        <w:spacing w:after="0" w:line="258" w:lineRule="auto"/>
        <w:rPr>
          <w:sz w:val="20"/>
          <w:szCs w:val="20"/>
          <w:color w:val="auto"/>
        </w:rPr>
      </w:pPr>
      <w:r>
        <w:rPr>
          <w:rFonts w:ascii="Arial" w:cs="Arial" w:eastAsia="Arial" w:hAnsi="Arial"/>
          <w:sz w:val="16"/>
          <w:szCs w:val="16"/>
          <w:color w:val="auto"/>
        </w:rPr>
        <w:t>The loss during the six months ended June 30, 2019 is primarily attributable to (i) the payment of $43.7 million of redemption premiums and (ii) the write-off of $4.3 million of unamortized deferred financing costs and discounts, all of which occurred during the second quarter.</w:t>
      </w:r>
    </w:p>
    <w:p>
      <w:pPr>
        <w:spacing w:after="0" w:line="163" w:lineRule="exact"/>
        <w:rPr>
          <w:sz w:val="20"/>
          <w:szCs w:val="20"/>
          <w:color w:val="auto"/>
        </w:rPr>
      </w:pPr>
    </w:p>
    <w:p>
      <w:pPr>
        <w:ind w:left="287"/>
        <w:spacing w:after="0"/>
        <w:rPr>
          <w:sz w:val="20"/>
          <w:szCs w:val="20"/>
          <w:color w:val="auto"/>
        </w:rPr>
      </w:pPr>
      <w:r>
        <w:rPr>
          <w:rFonts w:ascii="Arial" w:cs="Arial" w:eastAsia="Arial" w:hAnsi="Arial"/>
          <w:sz w:val="16"/>
          <w:szCs w:val="16"/>
          <w:color w:val="auto"/>
        </w:rPr>
        <w:t>For additional information concerning our losses on debt extinguishment, net, see note 9 to our condensed consolidated financial statements.</w:t>
      </w:r>
    </w:p>
    <w:p>
      <w:pPr>
        <w:spacing w:after="0" w:line="188" w:lineRule="exact"/>
        <w:rPr>
          <w:sz w:val="20"/>
          <w:szCs w:val="20"/>
          <w:color w:val="auto"/>
        </w:rPr>
      </w:pPr>
    </w:p>
    <w:p>
      <w:pPr>
        <w:ind w:left="147"/>
        <w:spacing w:after="0"/>
        <w:rPr>
          <w:sz w:val="20"/>
          <w:szCs w:val="20"/>
          <w:color w:val="auto"/>
        </w:rPr>
      </w:pPr>
      <w:r>
        <w:rPr>
          <w:rFonts w:ascii="Arial" w:cs="Arial" w:eastAsia="Arial" w:hAnsi="Arial"/>
          <w:sz w:val="16"/>
          <w:szCs w:val="16"/>
          <w:i w:val="1"/>
          <w:iCs w:val="1"/>
          <w:color w:val="auto"/>
        </w:rPr>
        <w:t>Share of results of affiliates, net</w:t>
      </w:r>
    </w:p>
    <w:p>
      <w:pPr>
        <w:spacing w:after="0" w:line="188" w:lineRule="exact"/>
        <w:rPr>
          <w:sz w:val="20"/>
          <w:szCs w:val="20"/>
          <w:color w:val="auto"/>
        </w:rPr>
      </w:pPr>
    </w:p>
    <w:p>
      <w:pPr>
        <w:ind w:left="287"/>
        <w:spacing w:after="0"/>
        <w:rPr>
          <w:sz w:val="20"/>
          <w:szCs w:val="20"/>
          <w:color w:val="auto"/>
        </w:rPr>
      </w:pPr>
      <w:r>
        <w:rPr>
          <w:rFonts w:ascii="Arial" w:cs="Arial" w:eastAsia="Arial" w:hAnsi="Arial"/>
          <w:sz w:val="16"/>
          <w:szCs w:val="16"/>
          <w:color w:val="auto"/>
        </w:rPr>
        <w:t>The following table sets forth the details of our share of results of affiliates, net:</w:t>
      </w:r>
    </w:p>
    <w:p>
      <w:pPr>
        <w:spacing w:after="0" w:line="140"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6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4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5"/>
                <w:szCs w:val="15"/>
                <w:color w:val="auto"/>
              </w:rPr>
            </w:pPr>
          </w:p>
        </w:tc>
        <w:tc>
          <w:tcPr>
            <w:tcW w:w="1800" w:type="dxa"/>
            <w:vAlign w:val="bottom"/>
            <w:gridSpan w:val="4"/>
          </w:tcPr>
          <w:p>
            <w:pPr>
              <w:jc w:val="right"/>
              <w:ind w:right="444"/>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2"/>
        </w:trPr>
        <w:tc>
          <w:tcPr>
            <w:tcW w:w="6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gridSpan w:val="3"/>
          </w:tcPr>
          <w:p>
            <w:pPr>
              <w:jc w:val="right"/>
              <w:ind w:right="2"/>
              <w:spacing w:after="0"/>
              <w:rPr>
                <w:sz w:val="20"/>
                <w:szCs w:val="20"/>
                <w:color w:val="auto"/>
              </w:rPr>
            </w:pPr>
            <w:r>
              <w:rPr>
                <w:rFonts w:ascii="Arial" w:cs="Arial" w:eastAsia="Arial" w:hAnsi="Arial"/>
                <w:sz w:val="14"/>
                <w:szCs w:val="14"/>
                <w:b w:val="1"/>
                <w:bCs w:val="1"/>
                <w:color w:val="auto"/>
              </w:rPr>
              <w:t>June 30,</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gridSpan w:val="3"/>
          </w:tcPr>
          <w:p>
            <w:pPr>
              <w:jc w:val="right"/>
              <w:ind w:right="2"/>
              <w:spacing w:after="0"/>
              <w:rPr>
                <w:sz w:val="20"/>
                <w:szCs w:val="20"/>
                <w:color w:val="auto"/>
              </w:rPr>
            </w:pPr>
            <w:r>
              <w:rPr>
                <w:rFonts w:ascii="Arial" w:cs="Arial" w:eastAsia="Arial" w:hAnsi="Arial"/>
                <w:sz w:val="14"/>
                <w:szCs w:val="14"/>
                <w:b w:val="1"/>
                <w:bCs w:val="1"/>
                <w:color w:val="auto"/>
              </w:rPr>
              <w:t>June 30,</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6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6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30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jc w:val="right"/>
              <w:ind w:right="30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jc w:val="right"/>
              <w:ind w:right="28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jc w:val="right"/>
              <w:ind w:right="28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8"/>
        </w:trPr>
        <w:tc>
          <w:tcPr>
            <w:tcW w:w="6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6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gridSpan w:val="3"/>
          </w:tcPr>
          <w:p>
            <w:pPr>
              <w:jc w:val="right"/>
              <w:ind w:right="2"/>
              <w:spacing w:after="0"/>
              <w:rPr>
                <w:sz w:val="20"/>
                <w:szCs w:val="20"/>
                <w:color w:val="auto"/>
              </w:rPr>
            </w:pPr>
            <w:r>
              <w:rPr>
                <w:rFonts w:ascii="Arial" w:cs="Arial" w:eastAsia="Arial" w:hAnsi="Arial"/>
                <w:sz w:val="14"/>
                <w:szCs w:val="14"/>
                <w:b w:val="1"/>
                <w:bCs w:val="1"/>
                <w:color w:val="auto"/>
              </w:rPr>
              <w:t>in millions</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6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All3Media</w:t>
            </w:r>
          </w:p>
        </w:tc>
        <w:tc>
          <w:tcPr>
            <w:tcW w:w="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6"/>
                <w:szCs w:val="16"/>
                <w:color w:val="auto"/>
              </w:rPr>
              <w:t>(14.9)</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6"/>
                <w:szCs w:val="16"/>
                <w:color w:val="auto"/>
              </w:rPr>
              <w:t>(19.0)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(39.8)</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209"/>
        </w:trPr>
        <w:tc>
          <w:tcPr>
            <w:tcW w:w="6860" w:type="dxa"/>
            <w:vAlign w:val="bottom"/>
          </w:tcPr>
          <w:p>
            <w:pPr>
              <w:ind w:left="20"/>
              <w:spacing w:after="0"/>
              <w:rPr>
                <w:sz w:val="20"/>
                <w:szCs w:val="20"/>
                <w:color w:val="auto"/>
              </w:rPr>
            </w:pPr>
            <w:r>
              <w:rPr>
                <w:rFonts w:ascii="Arial" w:cs="Arial" w:eastAsia="Arial" w:hAnsi="Arial"/>
                <w:sz w:val="16"/>
                <w:szCs w:val="16"/>
                <w:color w:val="auto"/>
              </w:rPr>
              <w:t>VodafoneZiggo JV (a)</w:t>
            </w:r>
          </w:p>
        </w:tc>
        <w:tc>
          <w:tcPr>
            <w:tcW w:w="240" w:type="dxa"/>
            <w:vAlign w:val="bottom"/>
          </w:tcPr>
          <w:p>
            <w:pPr>
              <w:spacing w:after="0"/>
              <w:rPr>
                <w:sz w:val="18"/>
                <w:szCs w:val="18"/>
                <w:color w:val="auto"/>
              </w:rPr>
            </w:pPr>
          </w:p>
        </w:tc>
        <w:tc>
          <w:tcPr>
            <w:tcW w:w="800" w:type="dxa"/>
            <w:vAlign w:val="bottom"/>
          </w:tcPr>
          <w:p>
            <w:pPr>
              <w:jc w:val="right"/>
              <w:ind w:right="5"/>
              <w:spacing w:after="0"/>
              <w:rPr>
                <w:sz w:val="20"/>
                <w:szCs w:val="20"/>
                <w:color w:val="auto"/>
              </w:rPr>
            </w:pPr>
            <w:r>
              <w:rPr>
                <w:rFonts w:ascii="Arial" w:cs="Arial" w:eastAsia="Arial" w:hAnsi="Arial"/>
                <w:sz w:val="16"/>
                <w:szCs w:val="16"/>
                <w:color w:val="auto"/>
              </w:rPr>
              <w:t>(89.2)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ind w:right="5"/>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(28.1)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(102.3)</w:t>
            </w:r>
          </w:p>
        </w:tc>
        <w:tc>
          <w:tcPr>
            <w:tcW w:w="0" w:type="dxa"/>
            <w:vAlign w:val="bottom"/>
          </w:tcPr>
          <w:p>
            <w:pPr>
              <w:spacing w:after="0"/>
              <w:rPr>
                <w:sz w:val="1"/>
                <w:szCs w:val="1"/>
                <w:color w:val="auto"/>
              </w:rPr>
            </w:pPr>
          </w:p>
        </w:tc>
      </w:tr>
      <w:tr>
        <w:trPr>
          <w:trHeight w:val="24"/>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Formula E</w:t>
            </w:r>
          </w:p>
        </w:tc>
        <w:tc>
          <w:tcPr>
            <w:tcW w:w="2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6"/>
                <w:szCs w:val="16"/>
                <w:color w:val="auto"/>
              </w:rPr>
              <w:t>(9.5)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09"/>
        </w:trPr>
        <w:tc>
          <w:tcPr>
            <w:tcW w:w="6860" w:type="dxa"/>
            <w:vAlign w:val="bottom"/>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Pr>
          <w:p>
            <w:pPr>
              <w:spacing w:after="0"/>
              <w:rPr>
                <w:sz w:val="18"/>
                <w:szCs w:val="18"/>
                <w:color w:val="auto"/>
              </w:rPr>
            </w:pPr>
          </w:p>
        </w:tc>
        <w:tc>
          <w:tcPr>
            <w:tcW w:w="800" w:type="dxa"/>
            <w:vAlign w:val="bottom"/>
          </w:tcPr>
          <w:p>
            <w:pPr>
              <w:jc w:val="right"/>
              <w:ind w:right="5"/>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ind w:right="5"/>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4"/>
        </w:trPr>
        <w:tc>
          <w:tcPr>
            <w:tcW w:w="6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6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6"/>
                <w:szCs w:val="16"/>
                <w:color w:val="auto"/>
              </w:rPr>
              <w:t>(105.4)</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6"/>
                <w:szCs w:val="16"/>
                <w:color w:val="auto"/>
              </w:rPr>
              <w:t>(69.3)</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(140.2)</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8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jc w:val="both"/>
        <w:ind w:left="427" w:right="20" w:hanging="427"/>
        <w:spacing w:after="0" w:line="250" w:lineRule="auto"/>
        <w:tabs>
          <w:tab w:leader="none" w:pos="427" w:val="left"/>
        </w:tabs>
        <w:numPr>
          <w:ilvl w:val="0"/>
          <w:numId w:val="65"/>
        </w:numPr>
        <w:rPr>
          <w:rFonts w:ascii="Arial" w:cs="Arial" w:eastAsia="Arial" w:hAnsi="Arial"/>
          <w:sz w:val="16"/>
          <w:szCs w:val="16"/>
          <w:color w:val="auto"/>
        </w:rPr>
      </w:pPr>
      <w:r>
        <w:rPr>
          <w:rFonts w:ascii="Arial" w:cs="Arial" w:eastAsia="Arial" w:hAnsi="Arial"/>
          <w:sz w:val="16"/>
          <w:szCs w:val="16"/>
          <w:color w:val="auto"/>
        </w:rPr>
        <w:t>Amounts include the net effect of (i) interest income of $10.8 million, $12.6 million, $21.6 million and $25.2 million, respectively, representing 100% of the interest earned on the VodafoneZiggo JV Receivable and (ii) our 50% share of the results of operations of the VodafoneZiggo JV. The summarized results of operations of the VodafoneZiggo JV are set forth below:</w:t>
      </w:r>
    </w:p>
    <w:p>
      <w:pPr>
        <w:spacing w:after="0" w:line="121" w:lineRule="exact"/>
        <w:rPr>
          <w:sz w:val="20"/>
          <w:szCs w:val="20"/>
          <w:color w:val="auto"/>
        </w:rPr>
      </w:pPr>
    </w:p>
    <w:tbl>
      <w:tblPr>
        <w:tblLayout w:type="fixed"/>
        <w:tblInd w:w="427" w:type="dxa"/>
        <w:tblCellMar>
          <w:top w:w="0" w:type="dxa"/>
          <w:left w:w="0" w:type="dxa"/>
          <w:bottom w:w="0" w:type="dxa"/>
          <w:right w:w="0" w:type="dxa"/>
        </w:tblCellMar>
      </w:tblPr>
      <w:tr>
        <w:trPr>
          <w:trHeight w:val="175"/>
        </w:trPr>
        <w:tc>
          <w:tcPr>
            <w:tcW w:w="6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6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5"/>
                <w:szCs w:val="15"/>
                <w:color w:val="auto"/>
              </w:rPr>
            </w:pPr>
          </w:p>
        </w:tc>
        <w:tc>
          <w:tcPr>
            <w:tcW w:w="1640" w:type="dxa"/>
            <w:vAlign w:val="bottom"/>
            <w:gridSpan w:val="4"/>
          </w:tcPr>
          <w:p>
            <w:pPr>
              <w:jc w:val="right"/>
              <w:ind w:right="344"/>
              <w:spacing w:after="0"/>
              <w:rPr>
                <w:sz w:val="20"/>
                <w:szCs w:val="20"/>
                <w:color w:val="auto"/>
              </w:rPr>
            </w:pPr>
            <w:r>
              <w:rPr>
                <w:rFonts w:ascii="Arial" w:cs="Arial" w:eastAsia="Arial" w:hAnsi="Arial"/>
                <w:sz w:val="14"/>
                <w:szCs w:val="14"/>
                <w:b w:val="1"/>
                <w:bCs w:val="1"/>
                <w:color w:val="auto"/>
                <w:w w:val="99"/>
              </w:rPr>
              <w:t>Six months ended</w:t>
            </w:r>
          </w:p>
        </w:tc>
        <w:tc>
          <w:tcPr>
            <w:tcW w:w="0" w:type="dxa"/>
            <w:vAlign w:val="bottom"/>
          </w:tcPr>
          <w:p>
            <w:pPr>
              <w:spacing w:after="0"/>
              <w:rPr>
                <w:sz w:val="1"/>
                <w:szCs w:val="1"/>
                <w:color w:val="auto"/>
              </w:rPr>
            </w:pPr>
          </w:p>
        </w:tc>
      </w:tr>
      <w:tr>
        <w:trPr>
          <w:trHeight w:val="182"/>
        </w:trPr>
        <w:tc>
          <w:tcPr>
            <w:tcW w:w="6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6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6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ind w:right="24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jc w:val="right"/>
              <w:ind w:right="265"/>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jc w:val="right"/>
              <w:ind w:right="245"/>
              <w:spacing w:after="0"/>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ind w:right="24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8"/>
        </w:trPr>
        <w:tc>
          <w:tcPr>
            <w:tcW w:w="6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6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6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8"/>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1,081.6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1,084.5</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w w:val="97"/>
              </w:rPr>
              <w:t>2,178.7</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2,178.4</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Adjusted EBITDA</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260" w:type="dxa"/>
            <w:vAlign w:val="bottom"/>
            <w:vMerge w:val="continue"/>
          </w:tcPr>
          <w:p>
            <w:pPr>
              <w:spacing w:after="0"/>
              <w:rPr>
                <w:sz w:val="15"/>
                <w:szCs w:val="15"/>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25"/>
              <w:spacing w:after="0"/>
              <w:rPr>
                <w:sz w:val="20"/>
                <w:szCs w:val="20"/>
                <w:color w:val="auto"/>
              </w:rPr>
            </w:pPr>
            <w:r>
              <w:rPr>
                <w:rFonts w:ascii="Arial" w:cs="Arial" w:eastAsia="Arial" w:hAnsi="Arial"/>
                <w:sz w:val="16"/>
                <w:szCs w:val="16"/>
                <w:color w:val="auto"/>
              </w:rPr>
              <w:t>531.5</w:t>
            </w:r>
          </w:p>
        </w:tc>
        <w:tc>
          <w:tcPr>
            <w:tcW w:w="100" w:type="dxa"/>
            <w:vAlign w:val="bottom"/>
          </w:tcPr>
          <w:p>
            <w:pPr>
              <w:spacing w:after="0"/>
              <w:rPr>
                <w:sz w:val="15"/>
                <w:szCs w:val="15"/>
                <w:color w:val="auto"/>
              </w:rPr>
            </w:pPr>
          </w:p>
        </w:tc>
        <w:tc>
          <w:tcPr>
            <w:tcW w:w="28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45"/>
              <w:spacing w:after="0"/>
              <w:rPr>
                <w:sz w:val="20"/>
                <w:szCs w:val="20"/>
                <w:color w:val="auto"/>
              </w:rPr>
            </w:pPr>
            <w:r>
              <w:rPr>
                <w:rFonts w:ascii="Arial" w:cs="Arial" w:eastAsia="Arial" w:hAnsi="Arial"/>
                <w:sz w:val="16"/>
                <w:szCs w:val="16"/>
                <w:color w:val="auto"/>
              </w:rPr>
              <w:t>487.6</w:t>
            </w:r>
          </w:p>
        </w:tc>
        <w:tc>
          <w:tcPr>
            <w:tcW w:w="80" w:type="dxa"/>
            <w:vAlign w:val="bottom"/>
          </w:tcPr>
          <w:p>
            <w:pPr>
              <w:spacing w:after="0"/>
              <w:rPr>
                <w:sz w:val="15"/>
                <w:szCs w:val="15"/>
                <w:color w:val="auto"/>
              </w:rPr>
            </w:pP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25"/>
              <w:spacing w:after="0"/>
              <w:rPr>
                <w:sz w:val="20"/>
                <w:szCs w:val="20"/>
                <w:color w:val="auto"/>
              </w:rPr>
            </w:pPr>
            <w:r>
              <w:rPr>
                <w:rFonts w:ascii="Arial" w:cs="Arial" w:eastAsia="Arial" w:hAnsi="Arial"/>
                <w:sz w:val="16"/>
                <w:szCs w:val="16"/>
                <w:color w:val="auto"/>
                <w:w w:val="97"/>
              </w:rPr>
              <w:t>1,034.3</w:t>
            </w:r>
          </w:p>
        </w:tc>
        <w:tc>
          <w:tcPr>
            <w:tcW w:w="80" w:type="dxa"/>
            <w:vAlign w:val="bottom"/>
          </w:tcPr>
          <w:p>
            <w:pPr>
              <w:spacing w:after="0"/>
              <w:rPr>
                <w:sz w:val="15"/>
                <w:szCs w:val="15"/>
                <w:color w:val="auto"/>
              </w:rPr>
            </w:pP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24"/>
              <w:spacing w:after="0"/>
              <w:rPr>
                <w:sz w:val="20"/>
                <w:szCs w:val="20"/>
                <w:color w:val="auto"/>
              </w:rPr>
            </w:pPr>
            <w:r>
              <w:rPr>
                <w:rFonts w:ascii="Arial" w:cs="Arial" w:eastAsia="Arial" w:hAnsi="Arial"/>
                <w:sz w:val="16"/>
                <w:szCs w:val="16"/>
                <w:color w:val="auto"/>
              </w:rPr>
              <w:t>981.4</w:t>
            </w:r>
          </w:p>
        </w:tc>
        <w:tc>
          <w:tcPr>
            <w:tcW w:w="0" w:type="dxa"/>
            <w:vAlign w:val="bottom"/>
          </w:tcPr>
          <w:p>
            <w:pPr>
              <w:spacing w:after="0"/>
              <w:rPr>
                <w:sz w:val="1"/>
                <w:szCs w:val="1"/>
                <w:color w:val="auto"/>
              </w:rPr>
            </w:pPr>
          </w:p>
        </w:tc>
      </w:tr>
      <w:tr>
        <w:trPr>
          <w:trHeight w:val="64"/>
        </w:trPr>
        <w:tc>
          <w:tcPr>
            <w:tcW w:w="62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6260" w:type="dxa"/>
            <w:vAlign w:val="bottom"/>
            <w:tcBorders>
              <w:bottom w:val="single" w:sz="8" w:color="CCEEFF"/>
            </w:tcBorders>
            <w:shd w:val="clear" w:color="auto" w:fill="CCEEFF"/>
          </w:tcPr>
          <w:p>
            <w:pPr>
              <w:ind w:left="20"/>
              <w:spacing w:after="0" w:line="161" w:lineRule="exact"/>
              <w:rPr>
                <w:sz w:val="20"/>
                <w:szCs w:val="20"/>
                <w:color w:val="auto"/>
              </w:rPr>
            </w:pPr>
            <w:r>
              <w:rPr>
                <w:rFonts w:ascii="Arial" w:cs="Arial" w:eastAsia="Arial" w:hAnsi="Arial"/>
                <w:sz w:val="16"/>
                <w:szCs w:val="16"/>
                <w:color w:val="auto"/>
              </w:rPr>
              <w:t>Operating income</w:t>
            </w:r>
          </w:p>
        </w:tc>
        <w:tc>
          <w:tcPr>
            <w:tcW w:w="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69.8</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36.8</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151.2</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88.6</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Non-operating expense (1)</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260" w:type="dxa"/>
            <w:vAlign w:val="bottom"/>
            <w:vMerge w:val="continue"/>
          </w:tcPr>
          <w:p>
            <w:pPr>
              <w:spacing w:after="0"/>
              <w:rPr>
                <w:sz w:val="15"/>
                <w:szCs w:val="15"/>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(221.6)</w:t>
            </w:r>
          </w:p>
        </w:tc>
        <w:tc>
          <w:tcPr>
            <w:tcW w:w="100" w:type="dxa"/>
            <w:vAlign w:val="bottom"/>
          </w:tcPr>
          <w:p>
            <w:pPr>
              <w:spacing w:after="0"/>
              <w:rPr>
                <w:sz w:val="15"/>
                <w:szCs w:val="15"/>
                <w:color w:val="auto"/>
              </w:rPr>
            </w:pPr>
          </w:p>
        </w:tc>
        <w:tc>
          <w:tcPr>
            <w:tcW w:w="28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(171.3)</w:t>
            </w:r>
          </w:p>
        </w:tc>
        <w:tc>
          <w:tcPr>
            <w:tcW w:w="80" w:type="dxa"/>
            <w:vAlign w:val="bottom"/>
          </w:tcPr>
          <w:p>
            <w:pPr>
              <w:spacing w:after="0"/>
              <w:rPr>
                <w:sz w:val="15"/>
                <w:szCs w:val="15"/>
                <w:color w:val="auto"/>
              </w:rPr>
            </w:pP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(178.1)</w:t>
            </w:r>
          </w:p>
        </w:tc>
        <w:tc>
          <w:tcPr>
            <w:tcW w:w="80" w:type="dxa"/>
            <w:vAlign w:val="bottom"/>
          </w:tcPr>
          <w:p>
            <w:pPr>
              <w:spacing w:after="0"/>
              <w:rPr>
                <w:sz w:val="15"/>
                <w:szCs w:val="15"/>
                <w:color w:val="auto"/>
              </w:rPr>
            </w:pP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(411.9)</w:t>
            </w:r>
          </w:p>
        </w:tc>
        <w:tc>
          <w:tcPr>
            <w:tcW w:w="0" w:type="dxa"/>
            <w:vAlign w:val="bottom"/>
          </w:tcPr>
          <w:p>
            <w:pPr>
              <w:spacing w:after="0"/>
              <w:rPr>
                <w:sz w:val="1"/>
                <w:szCs w:val="1"/>
                <w:color w:val="auto"/>
              </w:rPr>
            </w:pPr>
          </w:p>
        </w:tc>
      </w:tr>
      <w:tr>
        <w:trPr>
          <w:trHeight w:val="64"/>
        </w:trPr>
        <w:tc>
          <w:tcPr>
            <w:tcW w:w="62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6260" w:type="dxa"/>
            <w:vAlign w:val="bottom"/>
            <w:tcBorders>
              <w:bottom w:val="single" w:sz="8" w:color="CCEEFF"/>
            </w:tcBorders>
            <w:shd w:val="clear" w:color="auto" w:fill="CCEEFF"/>
          </w:tcPr>
          <w:p>
            <w:pPr>
              <w:ind w:left="20"/>
              <w:spacing w:after="0" w:line="161" w:lineRule="exact"/>
              <w:rPr>
                <w:sz w:val="20"/>
                <w:szCs w:val="20"/>
                <w:color w:val="auto"/>
              </w:rPr>
            </w:pPr>
            <w:r>
              <w:rPr>
                <w:rFonts w:ascii="Arial" w:cs="Arial" w:eastAsia="Arial" w:hAnsi="Arial"/>
                <w:sz w:val="16"/>
                <w:szCs w:val="16"/>
                <w:color w:val="auto"/>
              </w:rPr>
              <w:t>Net loss</w:t>
            </w:r>
          </w:p>
        </w:tc>
        <w:tc>
          <w:tcPr>
            <w:tcW w:w="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(185.4)</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(104.0)</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(85.7)</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(254.3)</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bottom w:val="single" w:sz="8" w:color="CCEEFF"/>
            </w:tcBorders>
            <w:vMerge w:val="restart"/>
          </w:tcPr>
          <w:p>
            <w:pPr>
              <w:ind w:left="560"/>
              <w:spacing w:after="0"/>
              <w:rPr>
                <w:sz w:val="20"/>
                <w:szCs w:val="20"/>
                <w:color w:val="auto"/>
              </w:rPr>
            </w:pPr>
            <w:r>
              <w:rPr>
                <w:rFonts w:ascii="Arial" w:cs="Arial" w:eastAsia="Arial" w:hAnsi="Arial"/>
                <w:sz w:val="16"/>
                <w:szCs w:val="16"/>
                <w:color w:val="auto"/>
              </w:rPr>
              <w:t>_______________</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2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707" w:hanging="288"/>
        <w:spacing w:after="0"/>
        <w:tabs>
          <w:tab w:leader="none" w:pos="707" w:val="left"/>
        </w:tabs>
        <w:numPr>
          <w:ilvl w:val="0"/>
          <w:numId w:val="66"/>
        </w:numPr>
        <w:rPr>
          <w:rFonts w:ascii="Arial" w:cs="Arial" w:eastAsia="Arial" w:hAnsi="Arial"/>
          <w:sz w:val="16"/>
          <w:szCs w:val="16"/>
          <w:color w:val="auto"/>
        </w:rPr>
      </w:pPr>
      <w:r>
        <w:rPr>
          <w:rFonts w:ascii="Arial" w:cs="Arial" w:eastAsia="Arial" w:hAnsi="Arial"/>
          <w:sz w:val="16"/>
          <w:szCs w:val="16"/>
          <w:color w:val="auto"/>
        </w:rPr>
        <w:t>Includes interest expense of $143.3 million, $164.4 million, $295.0 million and $328.9 million, respectively.</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46" w:lineRule="exact"/>
        <w:rPr>
          <w:rFonts w:ascii="Arial" w:cs="Arial" w:eastAsia="Arial" w:hAnsi="Arial"/>
          <w:sz w:val="16"/>
          <w:szCs w:val="16"/>
          <w:color w:val="auto"/>
        </w:rPr>
      </w:pPr>
    </w:p>
    <w:p>
      <w:pPr>
        <w:ind w:left="5547"/>
        <w:spacing w:after="0"/>
        <w:rPr>
          <w:rFonts w:ascii="Arial" w:cs="Arial" w:eastAsia="Arial" w:hAnsi="Arial"/>
          <w:sz w:val="16"/>
          <w:szCs w:val="16"/>
          <w:color w:val="auto"/>
        </w:rPr>
      </w:pPr>
      <w:r>
        <w:rPr>
          <w:rFonts w:ascii="Arial" w:cs="Arial" w:eastAsia="Arial" w:hAnsi="Arial"/>
          <w:sz w:val="16"/>
          <w:szCs w:val="16"/>
          <w:color w:val="auto"/>
        </w:rPr>
        <w:t>73</w:t>
      </w:r>
    </w:p>
    <w:p>
      <w:pPr>
        <w:sectPr>
          <w:pgSz w:w="11900" w:h="16838" w:orient="portrait"/>
          <w:cols w:equalWidth="0" w:num="1">
            <w:col w:w="11267"/>
          </w:cols>
          <w:pgMar w:left="313" w:top="315" w:right="319" w:bottom="1440" w:gutter="0" w:footer="0" w:header="0"/>
        </w:sectPr>
      </w:pPr>
    </w:p>
    <w:bookmarkStart w:id="75" w:name="page76"/>
    <w:bookmarkEnd w:id="75"/>
    <w:p>
      <w:pPr>
        <w:ind w:left="147"/>
        <w:spacing w:after="0"/>
        <w:rPr>
          <w:sz w:val="20"/>
          <w:szCs w:val="20"/>
          <w:color w:val="auto"/>
        </w:rPr>
      </w:pPr>
      <w:r>
        <w:rPr>
          <w:rFonts w:ascii="Arial" w:cs="Arial" w:eastAsia="Arial" w:hAnsi="Arial"/>
          <w:sz w:val="16"/>
          <w:szCs w:val="16"/>
          <w:i w:val="1"/>
          <w:iCs w:val="1"/>
          <w:color w:val="auto"/>
        </w:rPr>
        <w:t>Other income, net</w:t>
      </w:r>
    </w:p>
    <w:p>
      <w:pPr>
        <w:spacing w:after="0" w:line="188" w:lineRule="exact"/>
        <w:rPr>
          <w:sz w:val="20"/>
          <w:szCs w:val="20"/>
          <w:color w:val="auto"/>
        </w:rPr>
      </w:pPr>
    </w:p>
    <w:p>
      <w:pPr>
        <w:jc w:val="both"/>
        <w:ind w:left="7" w:firstLine="279"/>
        <w:spacing w:after="0" w:line="290" w:lineRule="auto"/>
        <w:rPr>
          <w:sz w:val="20"/>
          <w:szCs w:val="20"/>
          <w:color w:val="auto"/>
        </w:rPr>
      </w:pPr>
      <w:r>
        <w:rPr>
          <w:rFonts w:ascii="Arial" w:cs="Arial" w:eastAsia="Arial" w:hAnsi="Arial"/>
          <w:sz w:val="14"/>
          <w:szCs w:val="14"/>
          <w:color w:val="auto"/>
        </w:rPr>
        <w:t>We recognized other income, net, of $9.5 million and $32.5 million for the three months ended June 30, 2020 and 2019, respectively, and $61.9 million and $39.0 million for the six months ended June 30, 2020 and 2019, respectively. These amounts include (i) interest and dividend income of $10.8 million and $4.0 million during the three-month periods, respectively, and $42.4 million and $7.0 million during the six-month periods, respectively, and (ii) credits related to the non-service components of our net periodic pension costs of $4.3 million and $3.2 million during the three-month periods, respectively, and $8.8 million and $6.5 million during the six-month periods, respectively. In addition, other income, net, for the six months ended June 30, 2020 includes a $15.3 million gain related to certain assets that were contributed to a joint venture.</w:t>
      </w:r>
    </w:p>
    <w:p>
      <w:pPr>
        <w:spacing w:after="0" w:line="144" w:lineRule="exact"/>
        <w:rPr>
          <w:sz w:val="20"/>
          <w:szCs w:val="20"/>
          <w:color w:val="auto"/>
        </w:rPr>
      </w:pPr>
    </w:p>
    <w:p>
      <w:pPr>
        <w:ind w:left="147"/>
        <w:spacing w:after="0"/>
        <w:rPr>
          <w:sz w:val="20"/>
          <w:szCs w:val="20"/>
          <w:color w:val="auto"/>
        </w:rPr>
      </w:pPr>
      <w:r>
        <w:rPr>
          <w:rFonts w:ascii="Arial" w:cs="Arial" w:eastAsia="Arial" w:hAnsi="Arial"/>
          <w:sz w:val="16"/>
          <w:szCs w:val="16"/>
          <w:i w:val="1"/>
          <w:iCs w:val="1"/>
          <w:color w:val="auto"/>
        </w:rPr>
        <w:t>Income tax expense</w:t>
      </w:r>
    </w:p>
    <w:p>
      <w:pPr>
        <w:spacing w:after="0" w:line="188" w:lineRule="exact"/>
        <w:rPr>
          <w:sz w:val="20"/>
          <w:szCs w:val="20"/>
          <w:color w:val="auto"/>
        </w:rPr>
      </w:pPr>
    </w:p>
    <w:p>
      <w:pPr>
        <w:ind w:left="287"/>
        <w:spacing w:after="0"/>
        <w:rPr>
          <w:sz w:val="20"/>
          <w:szCs w:val="20"/>
          <w:color w:val="auto"/>
        </w:rPr>
      </w:pPr>
      <w:r>
        <w:rPr>
          <w:rFonts w:ascii="Arial" w:cs="Arial" w:eastAsia="Arial" w:hAnsi="Arial"/>
          <w:sz w:val="16"/>
          <w:szCs w:val="16"/>
          <w:color w:val="auto"/>
        </w:rPr>
        <w:t>We recognized income tax benefit (expense) of $158.0 million and ($26.8 million) during the three months ended June 30, 2020 and 2019, respectively.</w:t>
      </w:r>
    </w:p>
    <w:p>
      <w:pPr>
        <w:spacing w:after="0" w:line="188" w:lineRule="exact"/>
        <w:rPr>
          <w:sz w:val="20"/>
          <w:szCs w:val="20"/>
          <w:color w:val="auto"/>
        </w:rPr>
      </w:pPr>
    </w:p>
    <w:p>
      <w:pPr>
        <w:jc w:val="both"/>
        <w:ind w:left="7" w:firstLine="279"/>
        <w:spacing w:after="0" w:line="248" w:lineRule="auto"/>
        <w:rPr>
          <w:sz w:val="20"/>
          <w:szCs w:val="20"/>
          <w:color w:val="auto"/>
        </w:rPr>
      </w:pPr>
      <w:r>
        <w:rPr>
          <w:rFonts w:ascii="Arial" w:cs="Arial" w:eastAsia="Arial" w:hAnsi="Arial"/>
          <w:sz w:val="16"/>
          <w:szCs w:val="16"/>
          <w:color w:val="auto"/>
        </w:rPr>
        <w:t>The income tax benefit during the three months ended June 30, 2020 differs from the expected income tax benefit of $115.8 million (based on the U.K. blended income tax rate of 17.5%) primarily due to the net positive impact of the recognition of previously unrecognized tax benefits. The net positive impact of these items was partially offset by the negative impact of (i) non-deductible or non-taxable foreign currency exchange results and (ii) certain permanent differences between the financial and tax accounting treatment of interest and other items.</w:t>
      </w:r>
    </w:p>
    <w:p>
      <w:pPr>
        <w:spacing w:after="0" w:line="170" w:lineRule="exact"/>
        <w:rPr>
          <w:sz w:val="20"/>
          <w:szCs w:val="20"/>
          <w:color w:val="auto"/>
        </w:rPr>
      </w:pPr>
    </w:p>
    <w:p>
      <w:pPr>
        <w:jc w:val="both"/>
        <w:ind w:left="7" w:firstLine="279"/>
        <w:spacing w:after="0" w:line="303" w:lineRule="auto"/>
        <w:rPr>
          <w:sz w:val="20"/>
          <w:szCs w:val="20"/>
          <w:color w:val="auto"/>
        </w:rPr>
      </w:pPr>
      <w:r>
        <w:rPr>
          <w:rFonts w:ascii="Arial" w:cs="Arial" w:eastAsia="Arial" w:hAnsi="Arial"/>
          <w:sz w:val="14"/>
          <w:szCs w:val="14"/>
          <w:color w:val="auto"/>
        </w:rPr>
        <w:t>The income tax expense during the three months ended June 30, 2019 differs from the expected income tax benefit of $59.5 million (based on the U.K. statutory income tax rate of 19.0%) primarily due to the net negative impact of certain permanent differences between the financial and tax accounting treatment of (i) interest and other items and (ii) items associated with investments in subsidiaries. The net negative impact of these items was partially offset by the net positive impact of a decrease in valuation allowances.</w:t>
      </w:r>
    </w:p>
    <w:p>
      <w:pPr>
        <w:spacing w:after="0" w:line="135" w:lineRule="exact"/>
        <w:rPr>
          <w:sz w:val="20"/>
          <w:szCs w:val="20"/>
          <w:color w:val="auto"/>
        </w:rPr>
      </w:pPr>
    </w:p>
    <w:p>
      <w:pPr>
        <w:ind w:left="287"/>
        <w:spacing w:after="0"/>
        <w:rPr>
          <w:sz w:val="20"/>
          <w:szCs w:val="20"/>
          <w:color w:val="auto"/>
        </w:rPr>
      </w:pPr>
      <w:r>
        <w:rPr>
          <w:rFonts w:ascii="Arial" w:cs="Arial" w:eastAsia="Arial" w:hAnsi="Arial"/>
          <w:sz w:val="16"/>
          <w:szCs w:val="16"/>
          <w:color w:val="auto"/>
        </w:rPr>
        <w:t>We recognized income tax benefit (expense) of $77.9 million and ($54.6 million) during the six months ended June 30, 2020 and 2019, respectively.</w:t>
      </w:r>
    </w:p>
    <w:p>
      <w:pPr>
        <w:spacing w:after="0" w:line="188" w:lineRule="exact"/>
        <w:rPr>
          <w:sz w:val="20"/>
          <w:szCs w:val="20"/>
          <w:color w:val="auto"/>
        </w:rPr>
      </w:pPr>
    </w:p>
    <w:p>
      <w:pPr>
        <w:jc w:val="both"/>
        <w:ind w:left="7" w:firstLine="279"/>
        <w:spacing w:after="0" w:line="294" w:lineRule="auto"/>
        <w:rPr>
          <w:sz w:val="20"/>
          <w:szCs w:val="20"/>
          <w:color w:val="auto"/>
        </w:rPr>
      </w:pPr>
      <w:r>
        <w:rPr>
          <w:rFonts w:ascii="Arial" w:cs="Arial" w:eastAsia="Arial" w:hAnsi="Arial"/>
          <w:sz w:val="14"/>
          <w:szCs w:val="14"/>
          <w:color w:val="auto"/>
        </w:rPr>
        <w:t>The income tax benefit during the six months ended June 30, 2020 differs from the expected income tax expense of $76.3 million (based on the U.K. blended income tax rate of 17.5%) primarily due to the net positive impact of (i) the recognition of previously unrecognized tax benefits, (ii) non-deductible or non-taxable foreign currency exchange results, and (iii) tax benefits associated with technology innovation incentives. The net positive impact of these items was partially offset by the negative impact of (a) a net increase in valuation allowances and (b) certain permanent differences between the financial and tax accounting treatment of interest and other items.</w:t>
      </w:r>
    </w:p>
    <w:p>
      <w:pPr>
        <w:spacing w:after="0" w:line="142" w:lineRule="exact"/>
        <w:rPr>
          <w:sz w:val="20"/>
          <w:szCs w:val="20"/>
          <w:color w:val="auto"/>
        </w:rPr>
      </w:pPr>
    </w:p>
    <w:p>
      <w:pPr>
        <w:jc w:val="both"/>
        <w:ind w:left="7" w:firstLine="279"/>
        <w:spacing w:after="0" w:line="248" w:lineRule="auto"/>
        <w:rPr>
          <w:sz w:val="20"/>
          <w:szCs w:val="20"/>
          <w:color w:val="auto"/>
        </w:rPr>
      </w:pPr>
      <w:r>
        <w:rPr>
          <w:rFonts w:ascii="Arial" w:cs="Arial" w:eastAsia="Arial" w:hAnsi="Arial"/>
          <w:sz w:val="16"/>
          <w:szCs w:val="16"/>
          <w:color w:val="auto"/>
        </w:rPr>
        <w:t>The income tax expense during the six months ended June 30, 2019 differs from the expected income tax benefit of $112.5 million (based on the U.K. statutory income tax rate of 19.0%) primarily due to the net negative impact of certain permanent differences between the financial and tax accounting treatment of (i) items associated with investments in subsidiaries and (ii) interest and other items. The net negative impact of these items was partially offset by the net positive impact of (a) a decrease in valuation allowance and (b) non-deductible or non-taxable foreign currency exchange results.</w:t>
      </w:r>
    </w:p>
    <w:p>
      <w:pPr>
        <w:spacing w:after="0" w:line="170" w:lineRule="exact"/>
        <w:rPr>
          <w:sz w:val="20"/>
          <w:szCs w:val="20"/>
          <w:color w:val="auto"/>
        </w:rPr>
      </w:pPr>
    </w:p>
    <w:p>
      <w:pPr>
        <w:ind w:left="287"/>
        <w:spacing w:after="0"/>
        <w:rPr>
          <w:sz w:val="20"/>
          <w:szCs w:val="20"/>
          <w:color w:val="auto"/>
        </w:rPr>
      </w:pPr>
      <w:r>
        <w:rPr>
          <w:rFonts w:ascii="Arial" w:cs="Arial" w:eastAsia="Arial" w:hAnsi="Arial"/>
          <w:sz w:val="16"/>
          <w:szCs w:val="16"/>
          <w:color w:val="auto"/>
        </w:rPr>
        <w:t>For additional information concerning our income taxes, see note 11 to our condensed consolidated financial statements.</w:t>
      </w:r>
    </w:p>
    <w:p>
      <w:pPr>
        <w:spacing w:after="0" w:line="188" w:lineRule="exact"/>
        <w:rPr>
          <w:sz w:val="20"/>
          <w:szCs w:val="20"/>
          <w:color w:val="auto"/>
        </w:rPr>
      </w:pPr>
    </w:p>
    <w:p>
      <w:pPr>
        <w:ind w:left="147"/>
        <w:spacing w:after="0"/>
        <w:rPr>
          <w:sz w:val="20"/>
          <w:szCs w:val="20"/>
          <w:color w:val="auto"/>
        </w:rPr>
      </w:pPr>
      <w:r>
        <w:rPr>
          <w:rFonts w:ascii="Arial" w:cs="Arial" w:eastAsia="Arial" w:hAnsi="Arial"/>
          <w:sz w:val="16"/>
          <w:szCs w:val="16"/>
          <w:i w:val="1"/>
          <w:iCs w:val="1"/>
          <w:color w:val="auto"/>
        </w:rPr>
        <w:t>Earnings (loss) from continuing operations</w:t>
      </w:r>
    </w:p>
    <w:p>
      <w:pPr>
        <w:spacing w:after="0" w:line="188" w:lineRule="exact"/>
        <w:rPr>
          <w:sz w:val="20"/>
          <w:szCs w:val="20"/>
          <w:color w:val="auto"/>
        </w:rPr>
      </w:pPr>
    </w:p>
    <w:p>
      <w:pPr>
        <w:jc w:val="both"/>
        <w:ind w:left="7" w:firstLine="279"/>
        <w:spacing w:after="0" w:line="250" w:lineRule="auto"/>
        <w:rPr>
          <w:sz w:val="20"/>
          <w:szCs w:val="20"/>
          <w:color w:val="auto"/>
        </w:rPr>
      </w:pPr>
      <w:r>
        <w:rPr>
          <w:rFonts w:ascii="Arial" w:cs="Arial" w:eastAsia="Arial" w:hAnsi="Arial"/>
          <w:sz w:val="16"/>
          <w:szCs w:val="16"/>
          <w:color w:val="auto"/>
        </w:rPr>
        <w:t>During the three months ended June 30, 2020 and 2019, we reported losses from continuing operations of $503.8 million and $339.6 million, respectively, consisting of (i) operating income of $526.8 million and $148.7 million, respectively, (ii) net non-operating expense of $1,188.6 million and $461.5 million, respectively, and (iii) income tax benefit (expense) of $158.0 million and ($26.8 million), respectively.</w:t>
      </w:r>
    </w:p>
    <w:p>
      <w:pPr>
        <w:spacing w:after="0" w:line="170" w:lineRule="exact"/>
        <w:rPr>
          <w:sz w:val="20"/>
          <w:szCs w:val="20"/>
          <w:color w:val="auto"/>
        </w:rPr>
      </w:pPr>
    </w:p>
    <w:p>
      <w:pPr>
        <w:ind w:left="287"/>
        <w:spacing w:after="0"/>
        <w:rPr>
          <w:sz w:val="20"/>
          <w:szCs w:val="20"/>
          <w:color w:val="auto"/>
        </w:rPr>
      </w:pPr>
      <w:r>
        <w:rPr>
          <w:rFonts w:ascii="Arial" w:cs="Arial" w:eastAsia="Arial" w:hAnsi="Arial"/>
          <w:sz w:val="14"/>
          <w:szCs w:val="14"/>
          <w:color w:val="auto"/>
        </w:rPr>
        <w:t>During the six months ended June 30, 2020 and 2019, we reported earnings (loss) from continuing operations of $513.9 million and ($646.5 million), respectively, consisting of</w:t>
      </w:r>
    </w:p>
    <w:p>
      <w:pPr>
        <w:spacing w:after="0" w:line="35" w:lineRule="exact"/>
        <w:rPr>
          <w:sz w:val="20"/>
          <w:szCs w:val="20"/>
          <w:color w:val="auto"/>
        </w:rPr>
      </w:pPr>
    </w:p>
    <w:p>
      <w:pPr>
        <w:ind w:left="7" w:hanging="7"/>
        <w:spacing w:after="0" w:line="245" w:lineRule="auto"/>
        <w:tabs>
          <w:tab w:leader="none" w:pos="210" w:val="left"/>
        </w:tabs>
        <w:numPr>
          <w:ilvl w:val="0"/>
          <w:numId w:val="67"/>
        </w:numPr>
        <w:rPr>
          <w:rFonts w:ascii="Arial" w:cs="Arial" w:eastAsia="Arial" w:hAnsi="Arial"/>
          <w:sz w:val="16"/>
          <w:szCs w:val="16"/>
          <w:color w:val="auto"/>
        </w:rPr>
      </w:pPr>
      <w:r>
        <w:rPr>
          <w:rFonts w:ascii="Arial" w:cs="Arial" w:eastAsia="Arial" w:hAnsi="Arial"/>
          <w:sz w:val="16"/>
          <w:szCs w:val="16"/>
          <w:color w:val="auto"/>
        </w:rPr>
        <w:t>operating income of $807.4 million and $254.2 million, respectively, (ii) net non-operating expense of $371.4 million and $846.1 million, respectively, and (iii) income tax benefit (expense) of $77.9 million and ($54.6 million), respectively.</w:t>
      </w:r>
    </w:p>
    <w:p>
      <w:pPr>
        <w:spacing w:after="0" w:line="359"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267"/>
          </w:cols>
          <w:pgMar w:left="313" w:top="315" w:right="319" w:bottom="1440" w:gutter="0" w:footer="0" w:header="0"/>
        </w:sectPr>
      </w:pPr>
    </w:p>
    <w:bookmarkStart w:id="76" w:name="page77"/>
    <w:bookmarkEnd w:id="76"/>
    <w:p>
      <w:pPr>
        <w:jc w:val="both"/>
        <w:ind w:firstLine="279"/>
        <w:spacing w:after="0" w:line="294" w:lineRule="auto"/>
        <w:rPr>
          <w:sz w:val="20"/>
          <w:szCs w:val="20"/>
          <w:color w:val="auto"/>
        </w:rPr>
      </w:pPr>
      <w:r>
        <w:rPr>
          <w:rFonts w:ascii="Arial" w:cs="Arial" w:eastAsia="Arial" w:hAnsi="Arial"/>
          <w:sz w:val="14"/>
          <w:szCs w:val="14"/>
          <w:color w:val="auto"/>
        </w:rPr>
        <w:t>Gains or losses associated with (i) changes in the fair values of derivative instruments, (ii) movements in foreign currency exchange rates and (iii) the disposition of assets and changes in ownership are subject to a high degree of volatility and, as such, any gains from these sources do not represent a reliable source of income. In the absence of significant gains in the future from these sources or from other non-operating items, our ability to achieve earnings is largely dependent on our ability to increase our aggregate operating income to a level that more than offsets the aggregate amount of our (a) interest expense, (b) other non-operating expenses and (c) income tax expense.</w:t>
      </w:r>
    </w:p>
    <w:p>
      <w:pPr>
        <w:spacing w:after="0" w:line="142" w:lineRule="exact"/>
        <w:rPr>
          <w:sz w:val="20"/>
          <w:szCs w:val="20"/>
          <w:color w:val="auto"/>
        </w:rPr>
      </w:pPr>
    </w:p>
    <w:p>
      <w:pPr>
        <w:ind w:left="280"/>
        <w:spacing w:after="0"/>
        <w:rPr>
          <w:sz w:val="20"/>
          <w:szCs w:val="20"/>
          <w:color w:val="auto"/>
        </w:rPr>
      </w:pPr>
      <w:r>
        <w:rPr>
          <w:rFonts w:ascii="Arial" w:cs="Arial" w:eastAsia="Arial" w:hAnsi="Arial"/>
          <w:sz w:val="14"/>
          <w:szCs w:val="14"/>
          <w:color w:val="auto"/>
        </w:rPr>
        <w:t xml:space="preserve">Due largely to the fact that we seek to maintain our debt at levels that provide for attractive equity returns, as discussed below under </w:t>
      </w:r>
      <w:r>
        <w:rPr>
          <w:rFonts w:ascii="Arial" w:cs="Arial" w:eastAsia="Arial" w:hAnsi="Arial"/>
          <w:sz w:val="14"/>
          <w:szCs w:val="14"/>
          <w:i w:val="1"/>
          <w:iCs w:val="1"/>
          <w:color w:val="auto"/>
        </w:rPr>
        <w:t>Material Changes in Financial Condition</w:t>
      </w:r>
    </w:p>
    <w:p>
      <w:pPr>
        <w:spacing w:after="0" w:line="35" w:lineRule="exact"/>
        <w:rPr>
          <w:sz w:val="20"/>
          <w:szCs w:val="20"/>
          <w:color w:val="auto"/>
        </w:rPr>
      </w:pPr>
    </w:p>
    <w:p>
      <w:pPr>
        <w:jc w:val="both"/>
        <w:spacing w:after="0" w:line="243" w:lineRule="auto"/>
        <w:rPr>
          <w:sz w:val="20"/>
          <w:szCs w:val="20"/>
          <w:color w:val="auto"/>
        </w:rPr>
      </w:pP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Capitalization</w:t>
      </w:r>
      <w:r>
        <w:rPr>
          <w:rFonts w:ascii="Arial" w:cs="Arial" w:eastAsia="Arial" w:hAnsi="Arial"/>
          <w:sz w:val="16"/>
          <w:szCs w:val="16"/>
          <w:color w:val="auto"/>
        </w:rPr>
        <w:t>, we expect we will continue to report significant levels of interest expense for the foreseeable future. For information concerning our expectations with respect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trends that may affect certain aspects of our operating results in future periods, see the discussion under </w:t>
      </w:r>
      <w:r>
        <w:rPr>
          <w:rFonts w:ascii="Arial" w:cs="Arial" w:eastAsia="Arial" w:hAnsi="Arial"/>
          <w:sz w:val="16"/>
          <w:szCs w:val="16"/>
          <w:i w:val="1"/>
          <w:iCs w:val="1"/>
          <w:color w:val="auto"/>
        </w:rPr>
        <w:t>Overview</w:t>
      </w:r>
      <w:r>
        <w:rPr>
          <w:rFonts w:ascii="Arial" w:cs="Arial" w:eastAsia="Arial" w:hAnsi="Arial"/>
          <w:sz w:val="16"/>
          <w:szCs w:val="16"/>
          <w:color w:val="auto"/>
        </w:rPr>
        <w:t xml:space="preserve"> above. For information concerning the reasons for changes in specific line items in our condensed consolidated statements of operations, see </w:t>
      </w:r>
      <w:r>
        <w:rPr>
          <w:rFonts w:ascii="Arial" w:cs="Arial" w:eastAsia="Arial" w:hAnsi="Arial"/>
          <w:sz w:val="16"/>
          <w:szCs w:val="16"/>
          <w:i w:val="1"/>
          <w:iCs w:val="1"/>
          <w:color w:val="auto"/>
        </w:rPr>
        <w:t>Discussion and Analysis of our Reportable Segments</w:t>
      </w:r>
      <w:r>
        <w:rPr>
          <w:rFonts w:ascii="Arial" w:cs="Arial" w:eastAsia="Arial" w:hAnsi="Arial"/>
          <w:sz w:val="16"/>
          <w:szCs w:val="16"/>
          <w:color w:val="auto"/>
        </w:rPr>
        <w:t xml:space="preserve"> and </w:t>
      </w:r>
      <w:r>
        <w:rPr>
          <w:rFonts w:ascii="Arial" w:cs="Arial" w:eastAsia="Arial" w:hAnsi="Arial"/>
          <w:sz w:val="16"/>
          <w:szCs w:val="16"/>
          <w:i w:val="1"/>
          <w:iCs w:val="1"/>
          <w:color w:val="auto"/>
        </w:rPr>
        <w:t>Discussion and Analysis of our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Consolidated Operating Results </w:t>
      </w:r>
      <w:r>
        <w:rPr>
          <w:rFonts w:ascii="Arial" w:cs="Arial" w:eastAsia="Arial" w:hAnsi="Arial"/>
          <w:sz w:val="16"/>
          <w:szCs w:val="16"/>
          <w:color w:val="auto"/>
        </w:rPr>
        <w:t>above.</w:t>
      </w:r>
    </w:p>
    <w:p>
      <w:pPr>
        <w:spacing w:after="0" w:line="176"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Earnings from discontinued operations, net of taxes</w:t>
      </w:r>
    </w:p>
    <w:p>
      <w:pPr>
        <w:spacing w:after="0" w:line="188" w:lineRule="exact"/>
        <w:rPr>
          <w:sz w:val="20"/>
          <w:szCs w:val="20"/>
          <w:color w:val="auto"/>
        </w:rPr>
      </w:pPr>
    </w:p>
    <w:p>
      <w:pPr>
        <w:jc w:val="both"/>
        <w:ind w:firstLine="279"/>
        <w:spacing w:after="0" w:line="250" w:lineRule="auto"/>
        <w:rPr>
          <w:sz w:val="20"/>
          <w:szCs w:val="20"/>
          <w:color w:val="auto"/>
        </w:rPr>
      </w:pPr>
      <w:r>
        <w:rPr>
          <w:rFonts w:ascii="Arial" w:cs="Arial" w:eastAsia="Arial" w:hAnsi="Arial"/>
          <w:sz w:val="16"/>
          <w:szCs w:val="16"/>
          <w:color w:val="auto"/>
        </w:rPr>
        <w:t>We reported earnings from discontinued operations, net of taxes, of $315.5 million and $638.1 million during the three and six months ended June 30, 2019, respectively, related to the operations of the Vodafone Disposal Group and UPC DTH. In addition, we recognized a gain of $106.6 million related to the second quarter 2019 sale of UPC DTH. For additional information, see note 4 to our condensed consolidated financial statements.</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Net earnings attributable to noncontrolling interests</w:t>
      </w:r>
    </w:p>
    <w:p>
      <w:pPr>
        <w:spacing w:after="0" w:line="188" w:lineRule="exact"/>
        <w:rPr>
          <w:sz w:val="20"/>
          <w:szCs w:val="20"/>
          <w:color w:val="auto"/>
        </w:rPr>
      </w:pPr>
    </w:p>
    <w:p>
      <w:pPr>
        <w:jc w:val="both"/>
        <w:ind w:right="20" w:firstLine="279"/>
        <w:spacing w:after="0" w:line="258" w:lineRule="auto"/>
        <w:rPr>
          <w:sz w:val="20"/>
          <w:szCs w:val="20"/>
          <w:color w:val="auto"/>
        </w:rPr>
      </w:pPr>
      <w:r>
        <w:rPr>
          <w:rFonts w:ascii="Arial" w:cs="Arial" w:eastAsia="Arial" w:hAnsi="Arial"/>
          <w:sz w:val="16"/>
          <w:szCs w:val="16"/>
          <w:color w:val="auto"/>
        </w:rPr>
        <w:t>Net earnings attributable to noncontrolling interests increased (decreased) ($9.1 million) and $50.1 million during the three and six months ended June 30, 2020, respectively, as compared to the corresponding periods in 2019, primarily attributable to the results of operations of Telenet.</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Material Changes in Financial Condition</w:t>
      </w:r>
    </w:p>
    <w:p>
      <w:pPr>
        <w:spacing w:after="0" w:line="194"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Sources and Uses of Cash</w:t>
      </w:r>
    </w:p>
    <w:p>
      <w:pPr>
        <w:spacing w:after="0" w:line="188" w:lineRule="exact"/>
        <w:rPr>
          <w:sz w:val="20"/>
          <w:szCs w:val="20"/>
          <w:color w:val="auto"/>
        </w:rPr>
      </w:pPr>
    </w:p>
    <w:p>
      <w:pPr>
        <w:jc w:val="both"/>
        <w:ind w:firstLine="279"/>
        <w:spacing w:after="0" w:line="290" w:lineRule="auto"/>
        <w:rPr>
          <w:sz w:val="20"/>
          <w:szCs w:val="20"/>
          <w:color w:val="auto"/>
        </w:rPr>
      </w:pPr>
      <w:r>
        <w:rPr>
          <w:rFonts w:ascii="Arial" w:cs="Arial" w:eastAsia="Arial" w:hAnsi="Arial"/>
          <w:sz w:val="14"/>
          <w:szCs w:val="14"/>
          <w:color w:val="auto"/>
        </w:rPr>
        <w:t>We are a holding company that is dependent on the capital resources of our subsidiaries to satisfy our liquidity requirements at the corporate level. Each of our significant operating subsidiaries is separately financed within one of our three subsidiary “borrowing groups.” These borrowing groups include the respective restricted parent and subsidiary entities within Telenet, Virgin Media and UPC Holding. Although our borrowing groups typically generate cash from operating activities, the terms of the instruments governing the indebtedness of these borrowing groups may restrict our ability to access the liquidity of these subsidiaries. In addition, our ability to access the liquidity of these and other subsidiaries may be limited by tax and legal considerations, the presence of noncontrolling interests and other factors.</w:t>
      </w:r>
    </w:p>
    <w:p>
      <w:pPr>
        <w:spacing w:after="0" w:line="144"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Cash and cash equivalents</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The details of the U.S. dollar equivalent balances of our consolidated cash and cash equivalents at June 30, 2020 are set forth in the following table (in millions):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held by:</w:t>
            </w:r>
          </w:p>
        </w:tc>
        <w:tc>
          <w:tcPr>
            <w:tcW w:w="55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480" w:type="dxa"/>
            <w:vAlign w:val="bottom"/>
          </w:tcPr>
          <w:p>
            <w:pPr>
              <w:ind w:left="140"/>
              <w:spacing w:after="0"/>
              <w:rPr>
                <w:sz w:val="20"/>
                <w:szCs w:val="20"/>
                <w:color w:val="auto"/>
              </w:rPr>
            </w:pPr>
            <w:r>
              <w:rPr>
                <w:rFonts w:ascii="Arial" w:cs="Arial" w:eastAsia="Arial" w:hAnsi="Arial"/>
                <w:sz w:val="16"/>
                <w:szCs w:val="16"/>
                <w:color w:val="auto"/>
              </w:rPr>
              <w:t>Liberty Global and unrestricted subsidiaries:</w:t>
            </w:r>
          </w:p>
        </w:tc>
        <w:tc>
          <w:tcPr>
            <w:tcW w:w="5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4480" w:type="dxa"/>
            <w:vAlign w:val="bottom"/>
          </w:tcPr>
          <w:p>
            <w:pPr>
              <w:spacing w:after="0"/>
              <w:rPr>
                <w:sz w:val="2"/>
                <w:szCs w:val="2"/>
                <w:color w:val="auto"/>
              </w:rPr>
            </w:pPr>
          </w:p>
        </w:tc>
        <w:tc>
          <w:tcPr>
            <w:tcW w:w="5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4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Liberty Global (a)</w:t>
            </w:r>
          </w:p>
        </w:tc>
        <w:tc>
          <w:tcPr>
            <w:tcW w:w="59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31.9</w:t>
            </w:r>
          </w:p>
        </w:tc>
        <w:tc>
          <w:tcPr>
            <w:tcW w:w="0" w:type="dxa"/>
            <w:vAlign w:val="bottom"/>
          </w:tcPr>
          <w:p>
            <w:pPr>
              <w:spacing w:after="0"/>
              <w:rPr>
                <w:sz w:val="1"/>
                <w:szCs w:val="1"/>
                <w:color w:val="auto"/>
              </w:rPr>
            </w:pPr>
          </w:p>
        </w:tc>
      </w:tr>
      <w:tr>
        <w:trPr>
          <w:trHeight w:val="209"/>
        </w:trPr>
        <w:tc>
          <w:tcPr>
            <w:tcW w:w="4480" w:type="dxa"/>
            <w:vAlign w:val="bottom"/>
          </w:tcPr>
          <w:p>
            <w:pPr>
              <w:ind w:left="220"/>
              <w:spacing w:after="0"/>
              <w:rPr>
                <w:sz w:val="20"/>
                <w:szCs w:val="20"/>
                <w:color w:val="auto"/>
              </w:rPr>
            </w:pPr>
            <w:r>
              <w:rPr>
                <w:rFonts w:ascii="Arial" w:cs="Arial" w:eastAsia="Arial" w:hAnsi="Arial"/>
                <w:sz w:val="16"/>
                <w:szCs w:val="16"/>
                <w:color w:val="auto"/>
              </w:rPr>
              <w:t>Unrestricted subsidiaries (b)</w:t>
            </w:r>
          </w:p>
        </w:tc>
        <w:tc>
          <w:tcPr>
            <w:tcW w:w="5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4,189.7</w:t>
            </w:r>
          </w:p>
        </w:tc>
        <w:tc>
          <w:tcPr>
            <w:tcW w:w="0" w:type="dxa"/>
            <w:vAlign w:val="bottom"/>
          </w:tcPr>
          <w:p>
            <w:pPr>
              <w:spacing w:after="0"/>
              <w:rPr>
                <w:sz w:val="1"/>
                <w:szCs w:val="1"/>
                <w:color w:val="auto"/>
              </w:rPr>
            </w:pPr>
          </w:p>
        </w:tc>
      </w:tr>
      <w:tr>
        <w:trPr>
          <w:trHeight w:val="24"/>
        </w:trPr>
        <w:tc>
          <w:tcPr>
            <w:tcW w:w="4480" w:type="dxa"/>
            <w:vAlign w:val="bottom"/>
            <w:tcBorders>
              <w:bottom w:val="single" w:sz="8" w:color="CCEEFF"/>
            </w:tcBorders>
          </w:tcPr>
          <w:p>
            <w:pPr>
              <w:spacing w:after="0"/>
              <w:rPr>
                <w:sz w:val="2"/>
                <w:szCs w:val="2"/>
                <w:color w:val="auto"/>
              </w:rPr>
            </w:pPr>
          </w:p>
        </w:tc>
        <w:tc>
          <w:tcPr>
            <w:tcW w:w="55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4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Total Liberty Global and unrestricted subsidiaries</w:t>
            </w:r>
          </w:p>
        </w:tc>
        <w:tc>
          <w:tcPr>
            <w:tcW w:w="55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4,221.6</w:t>
            </w:r>
          </w:p>
        </w:tc>
        <w:tc>
          <w:tcPr>
            <w:tcW w:w="0" w:type="dxa"/>
            <w:vAlign w:val="bottom"/>
          </w:tcPr>
          <w:p>
            <w:pPr>
              <w:spacing w:after="0"/>
              <w:rPr>
                <w:sz w:val="1"/>
                <w:szCs w:val="1"/>
                <w:color w:val="auto"/>
              </w:rPr>
            </w:pPr>
          </w:p>
        </w:tc>
      </w:tr>
      <w:tr>
        <w:trPr>
          <w:trHeight w:val="189"/>
        </w:trPr>
        <w:tc>
          <w:tcPr>
            <w:tcW w:w="4480" w:type="dxa"/>
            <w:vAlign w:val="bottom"/>
          </w:tcPr>
          <w:p>
            <w:pPr>
              <w:ind w:left="140"/>
              <w:spacing w:after="0"/>
              <w:rPr>
                <w:sz w:val="20"/>
                <w:szCs w:val="20"/>
                <w:color w:val="auto"/>
              </w:rPr>
            </w:pPr>
            <w:r>
              <w:rPr>
                <w:rFonts w:ascii="Arial" w:cs="Arial" w:eastAsia="Arial" w:hAnsi="Arial"/>
                <w:sz w:val="16"/>
                <w:szCs w:val="16"/>
                <w:color w:val="auto"/>
              </w:rPr>
              <w:t>Borrowing groups (c):</w:t>
            </w:r>
          </w:p>
        </w:tc>
        <w:tc>
          <w:tcPr>
            <w:tcW w:w="554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4480" w:type="dxa"/>
            <w:vAlign w:val="bottom"/>
          </w:tcPr>
          <w:p>
            <w:pPr>
              <w:spacing w:after="0"/>
              <w:rPr>
                <w:sz w:val="3"/>
                <w:szCs w:val="3"/>
                <w:color w:val="auto"/>
              </w:rPr>
            </w:pPr>
          </w:p>
        </w:tc>
        <w:tc>
          <w:tcPr>
            <w:tcW w:w="5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4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Telenet</w:t>
            </w:r>
          </w:p>
        </w:tc>
        <w:tc>
          <w:tcPr>
            <w:tcW w:w="55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80.4</w:t>
            </w:r>
          </w:p>
        </w:tc>
        <w:tc>
          <w:tcPr>
            <w:tcW w:w="0" w:type="dxa"/>
            <w:vAlign w:val="bottom"/>
          </w:tcPr>
          <w:p>
            <w:pPr>
              <w:spacing w:after="0"/>
              <w:rPr>
                <w:sz w:val="1"/>
                <w:szCs w:val="1"/>
                <w:color w:val="auto"/>
              </w:rPr>
            </w:pPr>
          </w:p>
        </w:tc>
      </w:tr>
      <w:tr>
        <w:trPr>
          <w:trHeight w:val="209"/>
        </w:trPr>
        <w:tc>
          <w:tcPr>
            <w:tcW w:w="4480" w:type="dxa"/>
            <w:vAlign w:val="bottom"/>
          </w:tcPr>
          <w:p>
            <w:pPr>
              <w:ind w:left="220"/>
              <w:spacing w:after="0"/>
              <w:rPr>
                <w:sz w:val="20"/>
                <w:szCs w:val="20"/>
                <w:color w:val="auto"/>
              </w:rPr>
            </w:pPr>
            <w:r>
              <w:rPr>
                <w:rFonts w:ascii="Arial" w:cs="Arial" w:eastAsia="Arial" w:hAnsi="Arial"/>
                <w:sz w:val="16"/>
                <w:szCs w:val="16"/>
                <w:color w:val="auto"/>
              </w:rPr>
              <w:t>Virgin Media (d)</w:t>
            </w:r>
          </w:p>
        </w:tc>
        <w:tc>
          <w:tcPr>
            <w:tcW w:w="5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31.8</w:t>
            </w:r>
          </w:p>
        </w:tc>
        <w:tc>
          <w:tcPr>
            <w:tcW w:w="0" w:type="dxa"/>
            <w:vAlign w:val="bottom"/>
          </w:tcPr>
          <w:p>
            <w:pPr>
              <w:spacing w:after="0"/>
              <w:rPr>
                <w:sz w:val="1"/>
                <w:szCs w:val="1"/>
                <w:color w:val="auto"/>
              </w:rPr>
            </w:pPr>
          </w:p>
        </w:tc>
      </w:tr>
      <w:tr>
        <w:trPr>
          <w:trHeight w:val="24"/>
        </w:trPr>
        <w:tc>
          <w:tcPr>
            <w:tcW w:w="4480" w:type="dxa"/>
            <w:vAlign w:val="bottom"/>
          </w:tcPr>
          <w:p>
            <w:pPr>
              <w:spacing w:after="0"/>
              <w:rPr>
                <w:sz w:val="2"/>
                <w:szCs w:val="2"/>
                <w:color w:val="auto"/>
              </w:rPr>
            </w:pPr>
          </w:p>
        </w:tc>
        <w:tc>
          <w:tcPr>
            <w:tcW w:w="5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4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UPC Holding</w:t>
            </w:r>
          </w:p>
        </w:tc>
        <w:tc>
          <w:tcPr>
            <w:tcW w:w="55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26.8</w:t>
            </w:r>
          </w:p>
        </w:tc>
        <w:tc>
          <w:tcPr>
            <w:tcW w:w="0" w:type="dxa"/>
            <w:vAlign w:val="bottom"/>
          </w:tcPr>
          <w:p>
            <w:pPr>
              <w:spacing w:after="0"/>
              <w:rPr>
                <w:sz w:val="1"/>
                <w:szCs w:val="1"/>
                <w:color w:val="auto"/>
              </w:rPr>
            </w:pPr>
          </w:p>
        </w:tc>
      </w:tr>
      <w:tr>
        <w:trPr>
          <w:trHeight w:val="201"/>
        </w:trPr>
        <w:tc>
          <w:tcPr>
            <w:tcW w:w="4480" w:type="dxa"/>
            <w:vAlign w:val="bottom"/>
          </w:tcPr>
          <w:p>
            <w:pPr>
              <w:ind w:left="360"/>
              <w:spacing w:after="0"/>
              <w:rPr>
                <w:sz w:val="20"/>
                <w:szCs w:val="20"/>
                <w:color w:val="auto"/>
              </w:rPr>
            </w:pPr>
            <w:r>
              <w:rPr>
                <w:rFonts w:ascii="Arial" w:cs="Arial" w:eastAsia="Arial" w:hAnsi="Arial"/>
                <w:sz w:val="16"/>
                <w:szCs w:val="16"/>
                <w:color w:val="auto"/>
              </w:rPr>
              <w:t>Total borrowing groups</w:t>
            </w:r>
          </w:p>
        </w:tc>
        <w:tc>
          <w:tcPr>
            <w:tcW w:w="554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139.0</w:t>
            </w:r>
          </w:p>
        </w:tc>
        <w:tc>
          <w:tcPr>
            <w:tcW w:w="0" w:type="dxa"/>
            <w:vAlign w:val="bottom"/>
          </w:tcPr>
          <w:p>
            <w:pPr>
              <w:spacing w:after="0"/>
              <w:rPr>
                <w:sz w:val="1"/>
                <w:szCs w:val="1"/>
                <w:color w:val="auto"/>
              </w:rPr>
            </w:pPr>
          </w:p>
        </w:tc>
      </w:tr>
      <w:tr>
        <w:trPr>
          <w:trHeight w:val="24"/>
        </w:trPr>
        <w:tc>
          <w:tcPr>
            <w:tcW w:w="4480" w:type="dxa"/>
            <w:vAlign w:val="bottom"/>
            <w:tcBorders>
              <w:bottom w:val="single" w:sz="8" w:color="CCEEFF"/>
            </w:tcBorders>
          </w:tcPr>
          <w:p>
            <w:pPr>
              <w:spacing w:after="0"/>
              <w:rPr>
                <w:sz w:val="2"/>
                <w:szCs w:val="2"/>
                <w:color w:val="auto"/>
              </w:rPr>
            </w:pPr>
          </w:p>
        </w:tc>
        <w:tc>
          <w:tcPr>
            <w:tcW w:w="55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44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cash and cash equivalents</w:t>
            </w:r>
          </w:p>
        </w:tc>
        <w:tc>
          <w:tcPr>
            <w:tcW w:w="59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4,360.6</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5540" w:type="dxa"/>
            <w:vAlign w:val="bottom"/>
            <w:tcBorders>
              <w:top w:val="single" w:sz="8" w:color="CCEEFF"/>
              <w:bottom w:val="single" w:sz="8" w:color="CCEEFF"/>
            </w:tcBorders>
            <w:vMerge w:val="restart"/>
          </w:tcPr>
          <w:p>
            <w:pPr>
              <w:jc w:val="right"/>
              <w:ind w:right="4242"/>
              <w:spacing w:after="0"/>
              <w:rPr>
                <w:sz w:val="20"/>
                <w:szCs w:val="20"/>
                <w:color w:val="auto"/>
              </w:rPr>
            </w:pPr>
            <w:r>
              <w:rPr>
                <w:rFonts w:ascii="Arial" w:cs="Arial" w:eastAsia="Arial" w:hAnsi="Arial"/>
                <w:sz w:val="16"/>
                <w:szCs w:val="16"/>
                <w:color w:val="auto"/>
              </w:rPr>
              <w:t>75</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4480" w:type="dxa"/>
            <w:vAlign w:val="bottom"/>
          </w:tcPr>
          <w:p>
            <w:pPr>
              <w:spacing w:after="0"/>
              <w:rPr>
                <w:sz w:val="24"/>
                <w:szCs w:val="24"/>
                <w:color w:val="auto"/>
              </w:rPr>
            </w:pPr>
          </w:p>
        </w:tc>
        <w:tc>
          <w:tcPr>
            <w:tcW w:w="55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315" w:right="319" w:bottom="1440" w:gutter="0" w:footer="0" w:header="0"/>
        </w:sectPr>
      </w:pPr>
    </w:p>
    <w:bookmarkStart w:id="77" w:name="page78"/>
    <w:bookmarkEnd w:id="77"/>
    <w:p>
      <w:pPr>
        <w:ind w:left="7"/>
        <w:spacing w:after="0"/>
        <w:rPr>
          <w:sz w:val="20"/>
          <w:szCs w:val="20"/>
          <w:color w:val="auto"/>
        </w:rPr>
      </w:pPr>
      <w:r>
        <w:rPr>
          <w:rFonts w:ascii="Arial" w:cs="Arial" w:eastAsia="Arial" w:hAnsi="Arial"/>
          <w:sz w:val="16"/>
          <w:szCs w:val="16"/>
          <w:i w:val="1"/>
          <w:iCs w:val="1"/>
          <w:color w:val="auto"/>
        </w:rPr>
        <w:t>_______________</w:t>
      </w:r>
    </w:p>
    <w:p>
      <w:pPr>
        <w:spacing w:after="0" w:line="188" w:lineRule="exact"/>
        <w:rPr>
          <w:sz w:val="20"/>
          <w:szCs w:val="20"/>
          <w:color w:val="auto"/>
        </w:rPr>
      </w:pPr>
    </w:p>
    <w:p>
      <w:pPr>
        <w:ind w:left="427" w:hanging="427"/>
        <w:spacing w:after="0"/>
        <w:tabs>
          <w:tab w:leader="none" w:pos="427" w:val="left"/>
        </w:tabs>
        <w:numPr>
          <w:ilvl w:val="0"/>
          <w:numId w:val="69"/>
        </w:numPr>
        <w:rPr>
          <w:rFonts w:ascii="Arial" w:cs="Arial" w:eastAsia="Arial" w:hAnsi="Arial"/>
          <w:sz w:val="16"/>
          <w:szCs w:val="16"/>
          <w:color w:val="auto"/>
        </w:rPr>
      </w:pPr>
      <w:r>
        <w:rPr>
          <w:rFonts w:ascii="Arial" w:cs="Arial" w:eastAsia="Arial" w:hAnsi="Arial"/>
          <w:sz w:val="16"/>
          <w:szCs w:val="16"/>
          <w:color w:val="auto"/>
        </w:rPr>
        <w:t>Represents the amount held by Liberty Global on a standalone basis.</w:t>
      </w:r>
    </w:p>
    <w:p>
      <w:pPr>
        <w:spacing w:after="0" w:line="188" w:lineRule="exact"/>
        <w:rPr>
          <w:rFonts w:ascii="Arial" w:cs="Arial" w:eastAsia="Arial" w:hAnsi="Arial"/>
          <w:sz w:val="16"/>
          <w:szCs w:val="16"/>
          <w:color w:val="auto"/>
        </w:rPr>
      </w:pPr>
    </w:p>
    <w:p>
      <w:pPr>
        <w:ind w:left="427" w:hanging="427"/>
        <w:spacing w:after="0"/>
        <w:tabs>
          <w:tab w:leader="none" w:pos="427" w:val="left"/>
        </w:tabs>
        <w:numPr>
          <w:ilvl w:val="0"/>
          <w:numId w:val="69"/>
        </w:numPr>
        <w:rPr>
          <w:rFonts w:ascii="Arial" w:cs="Arial" w:eastAsia="Arial" w:hAnsi="Arial"/>
          <w:sz w:val="16"/>
          <w:szCs w:val="16"/>
          <w:color w:val="auto"/>
        </w:rPr>
      </w:pPr>
      <w:r>
        <w:rPr>
          <w:rFonts w:ascii="Arial" w:cs="Arial" w:eastAsia="Arial" w:hAnsi="Arial"/>
          <w:sz w:val="16"/>
          <w:szCs w:val="16"/>
          <w:color w:val="auto"/>
        </w:rPr>
        <w:t>Represents the aggregate amount held by subsidiaries that are outside of our borrowing groups.</w:t>
      </w:r>
    </w:p>
    <w:p>
      <w:pPr>
        <w:spacing w:after="0" w:line="188" w:lineRule="exact"/>
        <w:rPr>
          <w:rFonts w:ascii="Arial" w:cs="Arial" w:eastAsia="Arial" w:hAnsi="Arial"/>
          <w:sz w:val="16"/>
          <w:szCs w:val="16"/>
          <w:color w:val="auto"/>
        </w:rPr>
      </w:pPr>
    </w:p>
    <w:p>
      <w:pPr>
        <w:ind w:left="427" w:hanging="427"/>
        <w:spacing w:after="0"/>
        <w:tabs>
          <w:tab w:leader="none" w:pos="427" w:val="left"/>
        </w:tabs>
        <w:numPr>
          <w:ilvl w:val="0"/>
          <w:numId w:val="69"/>
        </w:numPr>
        <w:rPr>
          <w:rFonts w:ascii="Arial" w:cs="Arial" w:eastAsia="Arial" w:hAnsi="Arial"/>
          <w:sz w:val="16"/>
          <w:szCs w:val="16"/>
          <w:color w:val="auto"/>
        </w:rPr>
      </w:pPr>
      <w:r>
        <w:rPr>
          <w:rFonts w:ascii="Arial" w:cs="Arial" w:eastAsia="Arial" w:hAnsi="Arial"/>
          <w:sz w:val="16"/>
          <w:szCs w:val="16"/>
          <w:color w:val="auto"/>
        </w:rPr>
        <w:t>Except as otherwise noted, represents the aggregate amounts held by the parent entity and restricted subsidiaries of our borrowing groups.</w:t>
      </w:r>
    </w:p>
    <w:p>
      <w:pPr>
        <w:spacing w:after="0" w:line="188" w:lineRule="exact"/>
        <w:rPr>
          <w:rFonts w:ascii="Arial" w:cs="Arial" w:eastAsia="Arial" w:hAnsi="Arial"/>
          <w:sz w:val="16"/>
          <w:szCs w:val="16"/>
          <w:color w:val="auto"/>
        </w:rPr>
      </w:pPr>
    </w:p>
    <w:p>
      <w:pPr>
        <w:jc w:val="both"/>
        <w:ind w:left="427" w:hanging="427"/>
        <w:spacing w:after="0" w:line="303" w:lineRule="auto"/>
        <w:tabs>
          <w:tab w:leader="none" w:pos="427" w:val="left"/>
        </w:tabs>
        <w:numPr>
          <w:ilvl w:val="0"/>
          <w:numId w:val="69"/>
        </w:numPr>
        <w:rPr>
          <w:rFonts w:ascii="Arial" w:cs="Arial" w:eastAsia="Arial" w:hAnsi="Arial"/>
          <w:sz w:val="14"/>
          <w:szCs w:val="14"/>
          <w:color w:val="auto"/>
        </w:rPr>
      </w:pPr>
      <w:r>
        <w:rPr>
          <w:rFonts w:ascii="Arial" w:cs="Arial" w:eastAsia="Arial" w:hAnsi="Arial"/>
          <w:sz w:val="14"/>
          <w:szCs w:val="14"/>
          <w:color w:val="auto"/>
        </w:rPr>
        <w:t>Represents the cash and cash equivalents of the Virgin Media borrowing group, which includes (i) certain subsidiaries of Virgin Media, but excludes the parent entity, Virgin Media Inc., and (ii) the cash and cash equivalents of the U.K. JV Entities, as such cash and cash equivalents will be retained by Liberty Global upon the formation of the U.K. JV and are therefore not classified as held for sale. For information regarding the held-for-sale presentation of the U.K. JV Entities, see note 4.</w:t>
      </w:r>
    </w:p>
    <w:p>
      <w:pPr>
        <w:spacing w:after="0" w:line="135" w:lineRule="exact"/>
        <w:rPr>
          <w:sz w:val="20"/>
          <w:szCs w:val="20"/>
          <w:color w:val="auto"/>
        </w:rPr>
      </w:pPr>
    </w:p>
    <w:p>
      <w:pPr>
        <w:ind w:left="147"/>
        <w:spacing w:after="0"/>
        <w:rPr>
          <w:sz w:val="20"/>
          <w:szCs w:val="20"/>
          <w:color w:val="auto"/>
        </w:rPr>
      </w:pPr>
      <w:r>
        <w:rPr>
          <w:rFonts w:ascii="Arial" w:cs="Arial" w:eastAsia="Arial" w:hAnsi="Arial"/>
          <w:sz w:val="16"/>
          <w:szCs w:val="16"/>
          <w:i w:val="1"/>
          <w:iCs w:val="1"/>
          <w:color w:val="auto"/>
        </w:rPr>
        <w:t>Liquidity of Liberty Global and its unrestricted subsidiaries</w:t>
      </w:r>
    </w:p>
    <w:p>
      <w:pPr>
        <w:spacing w:after="0" w:line="188" w:lineRule="exact"/>
        <w:rPr>
          <w:sz w:val="20"/>
          <w:szCs w:val="20"/>
          <w:color w:val="auto"/>
        </w:rPr>
      </w:pPr>
    </w:p>
    <w:p>
      <w:pPr>
        <w:jc w:val="both"/>
        <w:ind w:left="7" w:firstLine="279"/>
        <w:spacing w:after="0" w:line="246" w:lineRule="auto"/>
        <w:rPr>
          <w:sz w:val="20"/>
          <w:szCs w:val="20"/>
          <w:color w:val="auto"/>
        </w:rPr>
      </w:pPr>
      <w:r>
        <w:rPr>
          <w:rFonts w:ascii="Arial" w:cs="Arial" w:eastAsia="Arial" w:hAnsi="Arial"/>
          <w:sz w:val="16"/>
          <w:szCs w:val="16"/>
          <w:color w:val="auto"/>
        </w:rPr>
        <w:t>The $31.9 million of cash and cash equivalents held by Liberty Global and, subject to certain tax and legal considerations, the $4,189.7 million of aggregate cash and cash equivalents held by unrestricted subsidiaries, together with the $2,986.5 million of investments held under SMAs, represented available liquidity at the corporate level at June 30, 2020. Our remaining cash and cash equivalents of $139.0 million at June 30, 2020 were held by our borrowing groups, as set forth in the table above. As noted above, various factors may limit our ability to access the cash of our borrowing groups. For information regarding certain limitations imposed by our subsidiaries’ debt instruments at June 30, 2020, see note 9 to our condensed consolidated financial statements.</w:t>
      </w:r>
    </w:p>
    <w:p>
      <w:pPr>
        <w:spacing w:after="0" w:line="174" w:lineRule="exact"/>
        <w:rPr>
          <w:sz w:val="20"/>
          <w:szCs w:val="20"/>
          <w:color w:val="auto"/>
        </w:rPr>
      </w:pPr>
    </w:p>
    <w:p>
      <w:pPr>
        <w:jc w:val="both"/>
        <w:ind w:left="7" w:firstLine="279"/>
        <w:spacing w:after="0" w:line="294" w:lineRule="auto"/>
        <w:rPr>
          <w:sz w:val="20"/>
          <w:szCs w:val="20"/>
          <w:color w:val="auto"/>
        </w:rPr>
      </w:pPr>
      <w:r>
        <w:rPr>
          <w:rFonts w:ascii="Arial" w:cs="Arial" w:eastAsia="Arial" w:hAnsi="Arial"/>
          <w:sz w:val="14"/>
          <w:szCs w:val="14"/>
          <w:color w:val="auto"/>
        </w:rPr>
        <w:t>Our current sources of corporate liquidity include (i) cash and cash equivalents held by Liberty Global and, subject to certain tax and legal considerations, Liberty Global’s unrestricted subsidiaries, (ii) investments held under SMAs, (iii) interest and dividend income received on our and, subject to certain tax and legal considerations, our unrestricted subsidiaries’ cash and cash equivalents and investments, including dividends received from the VodafoneZiggo JV, (iv) principal and interest payments received with respect to the VodafoneZiggo JV Receivable and (v) cash received with respect to transitional and other services provided to various third parties.</w:t>
      </w:r>
    </w:p>
    <w:p>
      <w:pPr>
        <w:spacing w:after="0" w:line="142" w:lineRule="exact"/>
        <w:rPr>
          <w:sz w:val="20"/>
          <w:szCs w:val="20"/>
          <w:color w:val="auto"/>
        </w:rPr>
      </w:pPr>
    </w:p>
    <w:p>
      <w:pPr>
        <w:jc w:val="both"/>
        <w:ind w:left="7" w:firstLine="279"/>
        <w:spacing w:after="0" w:line="245" w:lineRule="auto"/>
        <w:rPr>
          <w:sz w:val="20"/>
          <w:szCs w:val="20"/>
          <w:color w:val="auto"/>
        </w:rPr>
      </w:pPr>
      <w:r>
        <w:rPr>
          <w:rFonts w:ascii="Arial" w:cs="Arial" w:eastAsia="Arial" w:hAnsi="Arial"/>
          <w:sz w:val="16"/>
          <w:szCs w:val="16"/>
          <w:color w:val="auto"/>
        </w:rPr>
        <w:t>From time to time, Liberty Global and its unrestricted subsidiaries may also receive (i) proceeds in the form of distributions or loan repayments from Liberty Global’s borrowing groups or affiliates (including amounts from the VodafoneZiggo JV) upon (a) the completion of recapitalizations, refinancings, asset sales or similar transactions by these entities or (b) the accumulation of excess cash from operations or other means, (ii) proceeds upon the disposition of investments and other assets of Liberty Global and its unrestricted subsidiaries and (iii) proceeds in connection with the incurrence of debt by Liberty Global or its unrestricted subsidiaries or the issuance of equity securities by Liberty Global, including equity securities issued to satisfy subsidiary obligations. No assurance can be given that any external funding would be available to Liberty Global or its unrestricted subsidiaries on favorable terms, or at all.</w:t>
      </w:r>
    </w:p>
    <w:p>
      <w:pPr>
        <w:spacing w:after="0" w:line="176" w:lineRule="exact"/>
        <w:rPr>
          <w:sz w:val="20"/>
          <w:szCs w:val="20"/>
          <w:color w:val="auto"/>
        </w:rPr>
      </w:pPr>
    </w:p>
    <w:p>
      <w:pPr>
        <w:jc w:val="both"/>
        <w:ind w:left="7" w:firstLine="279"/>
        <w:spacing w:after="0" w:line="248" w:lineRule="auto"/>
        <w:rPr>
          <w:sz w:val="20"/>
          <w:szCs w:val="20"/>
          <w:color w:val="auto"/>
        </w:rPr>
      </w:pPr>
      <w:r>
        <w:rPr>
          <w:rFonts w:ascii="Arial" w:cs="Arial" w:eastAsia="Arial" w:hAnsi="Arial"/>
          <w:sz w:val="16"/>
          <w:szCs w:val="16"/>
          <w:color w:val="auto"/>
        </w:rPr>
        <w:t>At June 30, 2020, our consolidated cash and cash equivalents balance included $4,305.7 million held by entities that are domiciled outside of the U.K. Based on our assessment of our ability to access the liquidity of our subsidiaries on a tax efficient basis and our expectations with respect to our corporate liquidity requirements, we do not anticipate that tax considerations will adversely impact our corporate liquidity over the next 12 months. Our ability to access the liquidity of our subsidiaries on a tax efficient basis is a consideration in assessing the extent of our share repurchase program.</w:t>
      </w:r>
    </w:p>
    <w:p>
      <w:pPr>
        <w:spacing w:after="0" w:line="170" w:lineRule="exact"/>
        <w:rPr>
          <w:sz w:val="20"/>
          <w:szCs w:val="20"/>
          <w:color w:val="auto"/>
        </w:rPr>
      </w:pPr>
    </w:p>
    <w:p>
      <w:pPr>
        <w:jc w:val="both"/>
        <w:ind w:left="7" w:right="20" w:firstLine="279"/>
        <w:spacing w:after="0" w:line="248" w:lineRule="auto"/>
        <w:rPr>
          <w:sz w:val="20"/>
          <w:szCs w:val="20"/>
          <w:color w:val="auto"/>
        </w:rPr>
      </w:pPr>
      <w:r>
        <w:rPr>
          <w:rFonts w:ascii="Arial" w:cs="Arial" w:eastAsia="Arial" w:hAnsi="Arial"/>
          <w:sz w:val="16"/>
          <w:szCs w:val="16"/>
          <w:color w:val="auto"/>
        </w:rPr>
        <w:t>In addition, the amount of cash we receive from our subsidiaries to satisfy U.S. dollar-denominated liquidity requirements is impacted by fluctuations in exchange rates, particularly with regard to the translation of British pounds sterling and euros into U.S. dollars. In this regard, the strengthening (weakening) of the U.S. dollar against these currencies will result in decreases (increases) in the U.S. dollars received from the applicable subsidiaries to fund the repurchase of our equity securities and other U.S. dollar-denominated liquidity requirements.</w:t>
      </w:r>
    </w:p>
    <w:p>
      <w:pPr>
        <w:spacing w:after="0" w:line="170" w:lineRule="exact"/>
        <w:rPr>
          <w:sz w:val="20"/>
          <w:szCs w:val="20"/>
          <w:color w:val="auto"/>
        </w:rPr>
      </w:pPr>
    </w:p>
    <w:p>
      <w:pPr>
        <w:jc w:val="both"/>
        <w:ind w:left="7" w:firstLine="279"/>
        <w:spacing w:after="0" w:line="246" w:lineRule="auto"/>
        <w:rPr>
          <w:sz w:val="20"/>
          <w:szCs w:val="20"/>
          <w:color w:val="auto"/>
        </w:rPr>
      </w:pPr>
      <w:r>
        <w:rPr>
          <w:rFonts w:ascii="Arial" w:cs="Arial" w:eastAsia="Arial" w:hAnsi="Arial"/>
          <w:sz w:val="16"/>
          <w:szCs w:val="16"/>
          <w:color w:val="auto"/>
        </w:rPr>
        <w:t>Our corporate liquidity requirements include (i) corporate general and administrative expenses, (ii) interest payments on the ITV Collar Loan and (iii) principal payments on the ITV Collar Loan and the Lionsgate Loan to the extent not settled through the delivery of the underlying shares. In addition, Liberty Global and its unrestricted subsidiaries may require cash in connection with (a) the repayment of third-party and intercompany debt, (b) the satisfaction of contingent liabilities, (c) acquisitions, (d) the repurchase of equity and debt securities, (e) other investment opportunities, (f) any funding requirements of our subsidiaries and affiliates or (g) income tax payments. In addition, our parent entity uses available liquidity to make interest and principal payments</w:t>
      </w:r>
    </w:p>
    <w:p>
      <w:pPr>
        <w:spacing w:after="0" w:line="174"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267"/>
          </w:cols>
          <w:pgMar w:left="313" w:top="315" w:right="319" w:bottom="1440" w:gutter="0" w:footer="0" w:header="0"/>
        </w:sectPr>
      </w:pPr>
    </w:p>
    <w:bookmarkStart w:id="78" w:name="page79"/>
    <w:bookmarkEnd w:id="78"/>
    <w:p>
      <w:pPr>
        <w:spacing w:after="0"/>
        <w:rPr>
          <w:sz w:val="20"/>
          <w:szCs w:val="20"/>
          <w:color w:val="auto"/>
        </w:rPr>
      </w:pPr>
      <w:r>
        <w:rPr>
          <w:rFonts w:ascii="Arial" w:cs="Arial" w:eastAsia="Arial" w:hAnsi="Arial"/>
          <w:sz w:val="16"/>
          <w:szCs w:val="16"/>
          <w:color w:val="auto"/>
        </w:rPr>
        <w:t>on notes payable to certain of our unrestricted subsidiaries (aggregate outstanding principal of $8.3 million at June 30, 2020 with varying maturity dates).</w:t>
      </w:r>
    </w:p>
    <w:p>
      <w:pPr>
        <w:spacing w:after="0" w:line="188" w:lineRule="exact"/>
        <w:rPr>
          <w:sz w:val="20"/>
          <w:szCs w:val="20"/>
          <w:color w:val="auto"/>
        </w:rPr>
      </w:pPr>
    </w:p>
    <w:p>
      <w:pPr>
        <w:jc w:val="both"/>
        <w:ind w:right="20" w:firstLine="279"/>
        <w:spacing w:after="0" w:line="329" w:lineRule="auto"/>
        <w:rPr>
          <w:sz w:val="20"/>
          <w:szCs w:val="20"/>
          <w:color w:val="auto"/>
        </w:rPr>
      </w:pPr>
      <w:r>
        <w:rPr>
          <w:rFonts w:ascii="Arial" w:cs="Arial" w:eastAsia="Arial" w:hAnsi="Arial"/>
          <w:sz w:val="14"/>
          <w:szCs w:val="14"/>
          <w:color w:val="auto"/>
        </w:rPr>
        <w:t>During the six months ended June 30, 2020, the aggregate amount of our share repurchases was $700.2 million, including direct acquisition costs. At June 30, 2020, the remaining amount authorized for share repurchases was $370.0 million. For additional information, see note 12 to our condensed consolidated financial statements.</w:t>
      </w:r>
    </w:p>
    <w:p>
      <w:pPr>
        <w:spacing w:after="0" w:line="117"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Liquidity of borrowing groups</w:t>
      </w:r>
    </w:p>
    <w:p>
      <w:pPr>
        <w:spacing w:after="0" w:line="188" w:lineRule="exact"/>
        <w:rPr>
          <w:sz w:val="20"/>
          <w:szCs w:val="20"/>
          <w:color w:val="auto"/>
        </w:rPr>
      </w:pPr>
    </w:p>
    <w:p>
      <w:pPr>
        <w:jc w:val="both"/>
        <w:ind w:firstLine="279"/>
        <w:spacing w:after="0" w:line="286" w:lineRule="auto"/>
        <w:rPr>
          <w:sz w:val="20"/>
          <w:szCs w:val="20"/>
          <w:color w:val="auto"/>
        </w:rPr>
      </w:pPr>
      <w:r>
        <w:rPr>
          <w:rFonts w:ascii="Arial" w:cs="Arial" w:eastAsia="Arial" w:hAnsi="Arial"/>
          <w:sz w:val="14"/>
          <w:szCs w:val="14"/>
          <w:color w:val="auto"/>
        </w:rPr>
        <w:t>The cash and cash equivalents of our borrowing groups are detailed in the table above. In addition to cash and cash equivalents, the primary sources of liquidity of our borrowing groups are cash provided by operations and borrowing availability under their respective debt instruments. For the details of the borrowing availability of our borrowing groups at June 30, 2020, see note 9 to our condensed consolidated financial statements. The aforementioned sources of liquidity may be supplemented in certain cases by contributions and/or loans from Liberty Global and its unrestricted subsidiaries. The liquidity of our borrowing groups generally is used to fund property and equipment additions, debt service requirements and income tax payments. From time to time, our borrowing groups may also require liquidity in connection with (i) acquisitions and other investment opportunities, (ii) loans to Liberty Global, (iii) capital distributions to Liberty Global and other equity owners or (iv) the satisfaction of contingent liabilities. No assurance can be given that any external funding would be available to our borrowing groups on favorable terms, or at all.</w:t>
      </w:r>
    </w:p>
    <w:p>
      <w:pPr>
        <w:spacing w:after="0" w:line="14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xml:space="preserve">For additional information regarding our consolidated cash flows, see the discussion under </w:t>
      </w:r>
      <w:r>
        <w:rPr>
          <w:rFonts w:ascii="Arial" w:cs="Arial" w:eastAsia="Arial" w:hAnsi="Arial"/>
          <w:sz w:val="16"/>
          <w:szCs w:val="16"/>
          <w:i w:val="1"/>
          <w:iCs w:val="1"/>
          <w:color w:val="auto"/>
        </w:rPr>
        <w:t>Condensed Consolidated Statements of Cash Flows</w:t>
      </w:r>
      <w:r>
        <w:rPr>
          <w:rFonts w:ascii="Arial" w:cs="Arial" w:eastAsia="Arial" w:hAnsi="Arial"/>
          <w:sz w:val="16"/>
          <w:szCs w:val="16"/>
          <w:color w:val="auto"/>
        </w:rPr>
        <w:t xml:space="preserve"> below.</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Capitalization</w:t>
      </w:r>
    </w:p>
    <w:p>
      <w:pPr>
        <w:spacing w:after="0" w:line="188" w:lineRule="exact"/>
        <w:rPr>
          <w:sz w:val="20"/>
          <w:szCs w:val="20"/>
          <w:color w:val="auto"/>
        </w:rPr>
      </w:pPr>
    </w:p>
    <w:p>
      <w:pPr>
        <w:jc w:val="both"/>
        <w:ind w:firstLine="279"/>
        <w:spacing w:after="0" w:line="245" w:lineRule="auto"/>
        <w:rPr>
          <w:sz w:val="20"/>
          <w:szCs w:val="20"/>
          <w:color w:val="auto"/>
        </w:rPr>
      </w:pPr>
      <w:r>
        <w:rPr>
          <w:rFonts w:ascii="Arial" w:cs="Arial" w:eastAsia="Arial" w:hAnsi="Arial"/>
          <w:sz w:val="16"/>
          <w:szCs w:val="16"/>
          <w:color w:val="auto"/>
        </w:rPr>
        <w:t>We seek to maintain our debt at levels that provide for attractive equity returns without assuming undue risk. In this regard, we generally seek to cause our operating subsidiaries to maintain their debt at levels that result in a consolidated debt balance (excluding the ITV Collar Loan and Lionsgate Loan and measured using subsidiary debt figures at swapped foreign currency exchange rates, consistent with the covenant calculation requirements of our subsidiary debt agreements) that is between four and five times our consolidated Adjusted EBITDA, although the timing of our acquisitions and financing transactions and the interplay of average and spot foreign currency rates may impact this ratio. Consolidated Adjusted EBITDA is a non-GAAP measure, which investors should view as a supplement to, and not a substitute for, GAAP measures of performance included in our condensed consolidated statements of operations.</w:t>
      </w:r>
    </w:p>
    <w:p>
      <w:pPr>
        <w:spacing w:after="0" w:line="176" w:lineRule="exact"/>
        <w:rPr>
          <w:sz w:val="20"/>
          <w:szCs w:val="20"/>
          <w:color w:val="auto"/>
        </w:rPr>
      </w:pPr>
    </w:p>
    <w:p>
      <w:pPr>
        <w:jc w:val="both"/>
        <w:ind w:firstLine="279"/>
        <w:spacing w:after="0" w:line="282" w:lineRule="auto"/>
        <w:rPr>
          <w:sz w:val="20"/>
          <w:szCs w:val="20"/>
          <w:color w:val="auto"/>
        </w:rPr>
      </w:pPr>
      <w:r>
        <w:rPr>
          <w:rFonts w:ascii="Arial" w:cs="Arial" w:eastAsia="Arial" w:hAnsi="Arial"/>
          <w:sz w:val="14"/>
          <w:szCs w:val="14"/>
          <w:color w:val="auto"/>
        </w:rPr>
        <w:t>Our ability to service or refinance our debt and to maintain compliance with the leverage covenants in the credit agreements and indentures of our borrowing groups is dependent primarily on our ability to maintain or increase the Adjusted EBITDA of our operating subsidiaries and to achieve adequate returns on our property and equipment additions and acquisitions. In addition, our ability to obtain additional debt financing is limited by the incurrence-based leverage covenants contained in the various debt instruments of our borrowing groups. For example, if the Adjusted EBITDA of one of our borrowing groups were to decline, our ability to obtain additional debt could be limited. Under our credit facilities and senior and senior secured notes there is no cross-default risk between subsidiary borrowing groups in the event that one or more of our borrowing groups were to experience significant declines in their Adjusted EBITDA to the extent they were no longer able to service their debt obligations. Any mandatory prepayment events or events of default that may occur would only impact the relevant borrowing group in which these events occur and do not allow for any recourse to other borrowing groups or Liberty Global plc. Our credit facilities and senior and senior secured notes require that certain members of the relevant borrowing group guarantee the payment of all sums payable thereunder and such group members are required to grant first-ranking security over their shares or, in certain borrowing groups, over substantially all of their assets to secure the payment of all sums payable thereunder. At June 30, 2020, each of our borrowing groups was in compliance with its debt covenants. In addition, we do not anticipate any instances of non-compliance with respect to the debt covenants of our borrowing groups that would have a material adverse impact on our liquidity during the next 12 months.</w:t>
      </w:r>
    </w:p>
    <w:p>
      <w:pPr>
        <w:spacing w:after="0" w:line="153" w:lineRule="exact"/>
        <w:rPr>
          <w:sz w:val="20"/>
          <w:szCs w:val="20"/>
          <w:color w:val="auto"/>
        </w:rPr>
      </w:pPr>
    </w:p>
    <w:p>
      <w:pPr>
        <w:jc w:val="both"/>
        <w:ind w:right="20" w:firstLine="279"/>
        <w:spacing w:after="0" w:line="250" w:lineRule="auto"/>
        <w:rPr>
          <w:sz w:val="20"/>
          <w:szCs w:val="20"/>
          <w:color w:val="auto"/>
        </w:rPr>
      </w:pPr>
      <w:r>
        <w:rPr>
          <w:rFonts w:ascii="Arial" w:cs="Arial" w:eastAsia="Arial" w:hAnsi="Arial"/>
          <w:sz w:val="16"/>
          <w:szCs w:val="16"/>
          <w:color w:val="auto"/>
        </w:rPr>
        <w:t>At June 30, 2020, the outstanding principal amount of our consolidated debt, together with our finance lease obligations, aggregated $12.3 billion, including $1.9 billion that is classified as current on our condensed consolidated balance sheet and $9.1 billion that is not due until 2026 or thereafter. All of our consolidated debt and finance lease obligations have been borrowed or incurred by our subsidiaries at June 30, 2020.</w:t>
      </w:r>
    </w:p>
    <w:p>
      <w:pPr>
        <w:spacing w:after="0" w:line="170" w:lineRule="exact"/>
        <w:rPr>
          <w:sz w:val="20"/>
          <w:szCs w:val="20"/>
          <w:color w:val="auto"/>
        </w:rPr>
      </w:pPr>
    </w:p>
    <w:p>
      <w:pPr>
        <w:jc w:val="both"/>
        <w:ind w:firstLine="279"/>
        <w:spacing w:after="0" w:line="250" w:lineRule="auto"/>
        <w:rPr>
          <w:sz w:val="20"/>
          <w:szCs w:val="20"/>
          <w:color w:val="auto"/>
        </w:rPr>
      </w:pPr>
      <w:r>
        <w:rPr>
          <w:rFonts w:ascii="Arial" w:cs="Arial" w:eastAsia="Arial" w:hAnsi="Arial"/>
          <w:sz w:val="16"/>
          <w:szCs w:val="16"/>
          <w:color w:val="auto"/>
        </w:rPr>
        <w:t>We believe we have sufficient resources to repay or refinance the current portion of our debt and finance lease obligations and to fund our foreseeable liquidity requirements during the next 12 months. However, as our maturing debt grows in later years, we anticipate we will seek to refinance or otherwise extend our debt maturities. No assurance can be given that we will be able 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260"/>
          </w:cols>
          <w:pgMar w:left="320" w:top="315" w:right="319" w:bottom="1440" w:gutter="0" w:footer="0" w:header="0"/>
        </w:sectPr>
      </w:pPr>
    </w:p>
    <w:bookmarkStart w:id="79" w:name="page80"/>
    <w:bookmarkEnd w:id="79"/>
    <w:p>
      <w:pPr>
        <w:jc w:val="both"/>
        <w:spacing w:after="0" w:line="245" w:lineRule="auto"/>
        <w:rPr>
          <w:sz w:val="20"/>
          <w:szCs w:val="20"/>
          <w:color w:val="auto"/>
        </w:rPr>
      </w:pPr>
      <w:r>
        <w:rPr>
          <w:rFonts w:ascii="Arial" w:cs="Arial" w:eastAsia="Arial" w:hAnsi="Arial"/>
          <w:sz w:val="16"/>
          <w:szCs w:val="16"/>
          <w:color w:val="auto"/>
        </w:rPr>
        <w:t>complete these refinancing transactions or otherwise extend our debt maturities. In this regard, it is not possible to predict how political and economic conditions (including with respect to the COVID-19 pandemic), sovereign debt concerns or any adverse regulatory developments could impact the credit and equity markets we access and, accordingly, our future liquidity and financial position. Our ability to access debt financing on favorable terms, or at all, could be adversely impacted by (i) the financial failure of any of our counterparties, which could (a) reduce amounts available under committed credit facilities and (b) adversely impact our ability to access cash deposited with any failed financial institution and (ii) tightening of the credit markets. In addition, any weakness in the equity markets could make it less attractive to use our shares to satisfy contingent or other obligations, and sustained or increased competition, particularly in combination with adverse economic or regulatory developments, could have an unfavorable impact on our cash flows and liquidity.</w:t>
      </w:r>
    </w:p>
    <w:p>
      <w:pPr>
        <w:spacing w:after="0" w:line="174" w:lineRule="exact"/>
        <w:rPr>
          <w:sz w:val="20"/>
          <w:szCs w:val="20"/>
          <w:color w:val="auto"/>
        </w:rPr>
      </w:pPr>
    </w:p>
    <w:p>
      <w:pPr>
        <w:jc w:val="both"/>
        <w:ind w:firstLine="279"/>
        <w:spacing w:after="0" w:line="258" w:lineRule="auto"/>
        <w:rPr>
          <w:sz w:val="20"/>
          <w:szCs w:val="20"/>
          <w:color w:val="auto"/>
        </w:rPr>
      </w:pPr>
      <w:r>
        <w:rPr>
          <w:rFonts w:ascii="Arial" w:cs="Arial" w:eastAsia="Arial" w:hAnsi="Arial"/>
          <w:sz w:val="16"/>
          <w:szCs w:val="16"/>
          <w:color w:val="auto"/>
        </w:rPr>
        <w:t xml:space="preserve">For information regarding the potential impact of the COVID-19 pandemic on our company’s liquidity, see the discussion included above in </w:t>
      </w:r>
      <w:r>
        <w:rPr>
          <w:rFonts w:ascii="Arial" w:cs="Arial" w:eastAsia="Arial" w:hAnsi="Arial"/>
          <w:sz w:val="16"/>
          <w:szCs w:val="16"/>
          <w:i w:val="1"/>
          <w:iCs w:val="1"/>
          <w:color w:val="auto"/>
        </w:rPr>
        <w:t>Overview.</w:t>
      </w:r>
      <w:r>
        <w:rPr>
          <w:rFonts w:ascii="Arial" w:cs="Arial" w:eastAsia="Arial" w:hAnsi="Arial"/>
          <w:sz w:val="16"/>
          <w:szCs w:val="16"/>
          <w:color w:val="auto"/>
        </w:rPr>
        <w:t xml:space="preserve"> For additional information concerning our debt and finance lease obligations, see notes 9 and 10, respectively, to our condensed consolidated financial statements.</w:t>
      </w:r>
    </w:p>
    <w:p>
      <w:pPr>
        <w:spacing w:after="0" w:line="163"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Condensed Consolidated Statements of Cash Flows</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Our cash flows are subject to significant variations due to FX.</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 xml:space="preserve">Summary. </w:t>
      </w:r>
      <w:r>
        <w:rPr>
          <w:rFonts w:ascii="Arial" w:cs="Arial" w:eastAsia="Arial" w:hAnsi="Arial"/>
          <w:sz w:val="14"/>
          <w:szCs w:val="14"/>
          <w:color w:val="auto"/>
        </w:rPr>
        <w:t>The condensed consolidated statements of cash flows of our continuing operations for the three months ended June 30, 2020 and 2019 are summarized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20" w:type="dxa"/>
            <w:vAlign w:val="bottom"/>
            <w:gridSpan w:val="5"/>
          </w:tcPr>
          <w:p>
            <w:pPr>
              <w:ind w:left="480"/>
              <w:spacing w:after="0"/>
              <w:rPr>
                <w:sz w:val="20"/>
                <w:szCs w:val="20"/>
                <w:color w:val="auto"/>
              </w:rPr>
            </w:pPr>
            <w:r>
              <w:rPr>
                <w:rFonts w:ascii="Arial" w:cs="Arial" w:eastAsia="Arial" w:hAnsi="Arial"/>
                <w:sz w:val="14"/>
                <w:szCs w:val="14"/>
                <w:b w:val="1"/>
                <w:bCs w:val="1"/>
                <w:color w:val="auto"/>
              </w:rPr>
              <w:t>Six months ended</w:t>
            </w: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33"/>
        </w:trPr>
        <w:tc>
          <w:tcPr>
            <w:tcW w:w="7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8"/>
        </w:trPr>
        <w:tc>
          <w:tcPr>
            <w:tcW w:w="7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97"/>
        </w:trPr>
        <w:tc>
          <w:tcPr>
            <w:tcW w:w="7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40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385"/>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304"/>
              <w:spacing w:after="0"/>
              <w:rPr>
                <w:sz w:val="20"/>
                <w:szCs w:val="20"/>
                <w:color w:val="auto"/>
              </w:rPr>
            </w:pPr>
            <w:r>
              <w:rPr>
                <w:rFonts w:ascii="Arial" w:cs="Arial" w:eastAsia="Arial" w:hAnsi="Arial"/>
                <w:sz w:val="14"/>
                <w:szCs w:val="14"/>
                <w:b w:val="1"/>
                <w:bCs w:val="1"/>
                <w:color w:val="auto"/>
              </w:rPr>
              <w:t>Change</w:t>
            </w:r>
          </w:p>
        </w:tc>
      </w:tr>
      <w:tr>
        <w:trPr>
          <w:trHeight w:val="28"/>
        </w:trPr>
        <w:tc>
          <w:tcPr>
            <w:tcW w:w="7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5"/>
        </w:trPr>
        <w:tc>
          <w:tcPr>
            <w:tcW w:w="7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33"/>
        </w:trPr>
        <w:tc>
          <w:tcPr>
            <w:tcW w:w="7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213"/>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1,591.9</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1,628.5</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(36.6)</w:t>
            </w:r>
          </w:p>
        </w:tc>
      </w:tr>
      <w:tr>
        <w:trPr>
          <w:trHeight w:val="209"/>
        </w:trPr>
        <w:tc>
          <w:tcPr>
            <w:tcW w:w="7320" w:type="dxa"/>
            <w:vAlign w:val="bottom"/>
          </w:tcPr>
          <w:p>
            <w:pPr>
              <w:ind w:left="20"/>
              <w:spacing w:after="0"/>
              <w:rPr>
                <w:sz w:val="20"/>
                <w:szCs w:val="20"/>
                <w:color w:val="auto"/>
              </w:rPr>
            </w:pPr>
            <w:r>
              <w:rPr>
                <w:rFonts w:ascii="Arial" w:cs="Arial" w:eastAsia="Arial" w:hAnsi="Arial"/>
                <w:sz w:val="16"/>
                <w:szCs w:val="16"/>
                <w:color w:val="auto"/>
              </w:rPr>
              <w:t>Net cash used by investing activities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(3,634.4)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(682.7)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(2,951.7)</w:t>
            </w:r>
          </w:p>
        </w:tc>
      </w:tr>
      <w:tr>
        <w:trPr>
          <w:trHeight w:val="24"/>
        </w:trPr>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13"/>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used by financing activities</w:t>
            </w:r>
          </w:p>
        </w:tc>
        <w:tc>
          <w:tcPr>
            <w:tcW w:w="3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(1,721.3)</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(1,595.4)</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(125.9)</w:t>
            </w:r>
          </w:p>
        </w:tc>
      </w:tr>
      <w:tr>
        <w:trPr>
          <w:trHeight w:val="209"/>
        </w:trPr>
        <w:tc>
          <w:tcPr>
            <w:tcW w:w="7320" w:type="dxa"/>
            <w:vAlign w:val="bottom"/>
          </w:tcPr>
          <w:p>
            <w:pPr>
              <w:ind w:left="20"/>
              <w:spacing w:after="0"/>
              <w:rPr>
                <w:sz w:val="20"/>
                <w:szCs w:val="20"/>
                <w:color w:val="auto"/>
              </w:rPr>
            </w:pPr>
            <w:r>
              <w:rPr>
                <w:rFonts w:ascii="Arial" w:cs="Arial" w:eastAsia="Arial" w:hAnsi="Arial"/>
                <w:sz w:val="16"/>
                <w:szCs w:val="16"/>
                <w:color w:val="auto"/>
              </w:rPr>
              <w:t>Effect of exchange rate changes on cash and cash equivalents and restricted cash</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4"/>
        </w:trPr>
        <w:tc>
          <w:tcPr>
            <w:tcW w:w="7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8"/>
        </w:trPr>
        <w:tc>
          <w:tcPr>
            <w:tcW w:w="7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decrease in cash and cash equivalents and restricted cash</w:t>
            </w:r>
          </w:p>
        </w:tc>
        <w:tc>
          <w:tcPr>
            <w:tcW w:w="30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(3,774.2)</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(654.6)</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(3,119.6)</w:t>
            </w:r>
          </w:p>
        </w:tc>
      </w:tr>
      <w:tr>
        <w:trPr>
          <w:trHeight w:val="20"/>
        </w:trPr>
        <w:tc>
          <w:tcPr>
            <w:tcW w:w="7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jc w:val="both"/>
        <w:ind w:firstLine="279"/>
        <w:spacing w:after="0" w:line="294" w:lineRule="auto"/>
        <w:rPr>
          <w:sz w:val="20"/>
          <w:szCs w:val="20"/>
          <w:color w:val="auto"/>
        </w:rPr>
      </w:pPr>
      <w:r>
        <w:rPr>
          <w:rFonts w:ascii="Arial" w:cs="Arial" w:eastAsia="Arial" w:hAnsi="Arial"/>
          <w:sz w:val="14"/>
          <w:szCs w:val="14"/>
          <w:i w:val="1"/>
          <w:iCs w:val="1"/>
          <w:color w:val="auto"/>
        </w:rPr>
        <w:t xml:space="preserve">Operating Activities. </w:t>
      </w:r>
      <w:r>
        <w:rPr>
          <w:rFonts w:ascii="Arial" w:cs="Arial" w:eastAsia="Arial" w:hAnsi="Arial"/>
          <w:sz w:val="14"/>
          <w:szCs w:val="14"/>
          <w:color w:val="auto"/>
        </w:rPr>
        <w:t>The decrease in net cash provided by our operating activities is primarily attributable to the net effect of (i) an increase in cash provided due to lower</w:t>
      </w:r>
      <w:r>
        <w:rPr>
          <w:rFonts w:ascii="Arial" w:cs="Arial" w:eastAsia="Arial" w:hAnsi="Arial"/>
          <w:sz w:val="14"/>
          <w:szCs w:val="14"/>
          <w:i w:val="1"/>
          <w:iCs w:val="1"/>
          <w:color w:val="auto"/>
        </w:rPr>
        <w:t xml:space="preserve"> </w:t>
      </w:r>
      <w:r>
        <w:rPr>
          <w:rFonts w:ascii="Arial" w:cs="Arial" w:eastAsia="Arial" w:hAnsi="Arial"/>
          <w:sz w:val="14"/>
          <w:szCs w:val="14"/>
          <w:color w:val="auto"/>
        </w:rPr>
        <w:t>payments for taxes, (ii) a decrease in the cash provided by our Adjusted EBITDA and related working capital items, (iii) a decrease in cash provided due to lower cash receipts related to derivative instruments, (iv) an increase in cash provided due to lower payments of interest and (v) a decrease due to FX. Consolidated Adjusted EBITDA is a non-GAAP measure, which investors should view as a supplement to, and not a substitute for, GAAP measures of performance included in our condensed consolidated statements of operations.</w:t>
      </w:r>
    </w:p>
    <w:p>
      <w:pPr>
        <w:spacing w:after="0" w:line="142" w:lineRule="exact"/>
        <w:rPr>
          <w:sz w:val="20"/>
          <w:szCs w:val="20"/>
          <w:color w:val="auto"/>
        </w:rPr>
      </w:pPr>
    </w:p>
    <w:p>
      <w:pPr>
        <w:jc w:val="both"/>
        <w:ind w:firstLine="279"/>
        <w:spacing w:after="0" w:line="290" w:lineRule="auto"/>
        <w:rPr>
          <w:sz w:val="20"/>
          <w:szCs w:val="20"/>
          <w:color w:val="auto"/>
        </w:rPr>
      </w:pPr>
      <w:r>
        <w:rPr>
          <w:rFonts w:ascii="Arial" w:cs="Arial" w:eastAsia="Arial" w:hAnsi="Arial"/>
          <w:sz w:val="14"/>
          <w:szCs w:val="14"/>
          <w:i w:val="1"/>
          <w:iCs w:val="1"/>
          <w:color w:val="auto"/>
        </w:rPr>
        <w:t xml:space="preserve">Investing Activities. </w:t>
      </w:r>
      <w:r>
        <w:rPr>
          <w:rFonts w:ascii="Arial" w:cs="Arial" w:eastAsia="Arial" w:hAnsi="Arial"/>
          <w:sz w:val="14"/>
          <w:szCs w:val="14"/>
          <w:color w:val="auto"/>
        </w:rPr>
        <w:t>The increase in net cash used by our investing activities is primarily attributable an increase in cash used of (i) $2,795.0 million associated with higher net</w:t>
      </w:r>
      <w:r>
        <w:rPr>
          <w:rFonts w:ascii="Arial" w:cs="Arial" w:eastAsia="Arial" w:hAnsi="Arial"/>
          <w:sz w:val="14"/>
          <w:szCs w:val="14"/>
          <w:i w:val="1"/>
          <w:iCs w:val="1"/>
          <w:color w:val="auto"/>
        </w:rPr>
        <w:t xml:space="preserve"> </w:t>
      </w:r>
      <w:r>
        <w:rPr>
          <w:rFonts w:ascii="Arial" w:cs="Arial" w:eastAsia="Arial" w:hAnsi="Arial"/>
          <w:sz w:val="14"/>
          <w:szCs w:val="14"/>
          <w:color w:val="auto"/>
        </w:rPr>
        <w:t>cash paid for investments, primarily related to our investments held under SMAs, (ii) $145.8 million as a result of the net cash proceeds received from the sale of UPC DTH in the second quarter of 2019 and (iii) $16.7 million due to higher capital expenditures. Capital expenditures increased from $632.9 million during the first six months of 2019 to $649.6 million during the first six months of 2020 due to the net effect of (a) an increase due to lower proceeds received for transfers to related parties, (b) a decrease in our net local currency capital expenditures and related working capital movements, including the impact of lower capital-related vendor financing, and (c) a decrease due to FX.</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260"/>
          </w:cols>
          <w:pgMar w:left="320" w:top="315" w:right="319" w:bottom="1440" w:gutter="0" w:footer="0" w:header="0"/>
        </w:sectPr>
      </w:pPr>
    </w:p>
    <w:bookmarkStart w:id="80" w:name="page81"/>
    <w:bookmarkEnd w:id="80"/>
    <w:p>
      <w:pPr>
        <w:jc w:val="both"/>
        <w:ind w:left="7" w:firstLine="279"/>
        <w:spacing w:after="0" w:line="286" w:lineRule="auto"/>
        <w:rPr>
          <w:sz w:val="20"/>
          <w:szCs w:val="20"/>
          <w:color w:val="auto"/>
        </w:rPr>
      </w:pPr>
      <w:r>
        <w:rPr>
          <w:rFonts w:ascii="Arial" w:cs="Arial" w:eastAsia="Arial" w:hAnsi="Arial"/>
          <w:sz w:val="14"/>
          <w:szCs w:val="14"/>
          <w:color w:val="auto"/>
        </w:rPr>
        <w:t>The capital expenditures we report in our condensed consolidated statements of cash flows do not include amounts that are financed under capital-related vendor financing or finance lease arrangements. Instead, these amounts are reflected as non-cash additions to our property and equipment when the underlying assets are delivered and as repayments of debt when the principal is repaid. In this discussion, we refer to (i) our capital expenditures as reported in our condensed consolidated statements of cash flows, which exclude amounts financed under capital-related vendor financing or finance lease arrangements, and (ii) our total property and equipment additions, which include our capital expenditures on an accrual basis and amounts financed under capital-related vendor financing or finance lease arrangements. For further details regarding our property and equipment additions, see note 17 to our condensed consolidated financial statements. A reconciliation of our consolidated property and equipment additions to our consolidated capital expenditures, as reported in our condensed consolidated statements of cash flows, is set forth below:</w:t>
      </w:r>
    </w:p>
    <w:p>
      <w:pPr>
        <w:spacing w:after="0" w:line="98"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Six months ended</w:t>
      </w:r>
    </w:p>
    <w:p>
      <w:pPr>
        <w:spacing w:after="0" w:line="21"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5511165</wp:posOffset>
            </wp:positionH>
            <wp:positionV relativeFrom="paragraph">
              <wp:posOffset>26035</wp:posOffset>
            </wp:positionV>
            <wp:extent cx="164020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40205" cy="7620"/>
                    </a:xfrm>
                    <a:prstGeom prst="rect">
                      <a:avLst/>
                    </a:prstGeom>
                    <a:noFill/>
                  </pic:spPr>
                </pic:pic>
              </a:graphicData>
            </a:graphic>
          </wp:anchor>
        </w:drawing>
      </w:r>
    </w:p>
    <w:p>
      <w:pPr>
        <w:spacing w:after="0" w:line="55" w:lineRule="exact"/>
        <w:rPr>
          <w:sz w:val="20"/>
          <w:szCs w:val="20"/>
          <w:color w:val="auto"/>
        </w:rPr>
      </w:pPr>
    </w:p>
    <w:tbl>
      <w:tblPr>
        <w:tblLayout w:type="fixed"/>
        <w:tblInd w:w="7" w:type="dxa"/>
        <w:tblCellMar>
          <w:top w:w="0" w:type="dxa"/>
          <w:left w:w="0" w:type="dxa"/>
          <w:bottom w:w="0" w:type="dxa"/>
          <w:right w:w="0" w:type="dxa"/>
        </w:tblCellMar>
      </w:tblPr>
      <w:tr>
        <w:trPr>
          <w:trHeight w:val="182"/>
        </w:trPr>
        <w:tc>
          <w:tcPr>
            <w:tcW w:w="8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40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jc w:val="right"/>
              <w:ind w:right="40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8"/>
        </w:trPr>
        <w:tc>
          <w:tcPr>
            <w:tcW w:w="86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8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3"/>
          </w:tcPr>
          <w:p>
            <w:pPr>
              <w:jc w:val="right"/>
              <w:ind w:right="42"/>
              <w:spacing w:after="0"/>
              <w:rPr>
                <w:sz w:val="20"/>
                <w:szCs w:val="20"/>
                <w:color w:val="auto"/>
              </w:rPr>
            </w:pPr>
            <w:r>
              <w:rPr>
                <w:rFonts w:ascii="Arial" w:cs="Arial" w:eastAsia="Arial" w:hAnsi="Arial"/>
                <w:sz w:val="14"/>
                <w:szCs w:val="14"/>
                <w:b w:val="1"/>
                <w:bCs w:val="1"/>
                <w:color w:val="auto"/>
              </w:rPr>
              <w:t>in millions</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8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8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equipment additions</w:t>
            </w:r>
          </w:p>
        </w:tc>
        <w:tc>
          <w:tcPr>
            <w:tcW w:w="28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1,242.4</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1,381.3</w:t>
            </w:r>
          </w:p>
        </w:tc>
        <w:tc>
          <w:tcPr>
            <w:tcW w:w="0" w:type="dxa"/>
            <w:vAlign w:val="bottom"/>
          </w:tcPr>
          <w:p>
            <w:pPr>
              <w:spacing w:after="0"/>
              <w:rPr>
                <w:sz w:val="1"/>
                <w:szCs w:val="1"/>
                <w:color w:val="auto"/>
              </w:rPr>
            </w:pPr>
          </w:p>
        </w:tc>
      </w:tr>
      <w:tr>
        <w:trPr>
          <w:trHeight w:val="209"/>
        </w:trPr>
        <w:tc>
          <w:tcPr>
            <w:tcW w:w="8680" w:type="dxa"/>
            <w:vAlign w:val="bottom"/>
          </w:tcPr>
          <w:p>
            <w:pPr>
              <w:ind w:left="20"/>
              <w:spacing w:after="0"/>
              <w:rPr>
                <w:sz w:val="20"/>
                <w:szCs w:val="20"/>
                <w:color w:val="auto"/>
              </w:rPr>
            </w:pPr>
            <w:r>
              <w:rPr>
                <w:rFonts w:ascii="Arial" w:cs="Arial" w:eastAsia="Arial" w:hAnsi="Arial"/>
                <w:sz w:val="16"/>
                <w:szCs w:val="16"/>
                <w:color w:val="auto"/>
              </w:rPr>
              <w:t>Assets acquired under capital-related vendor financing arrangements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(702.9)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(926.3)</w:t>
            </w:r>
          </w:p>
        </w:tc>
        <w:tc>
          <w:tcPr>
            <w:tcW w:w="0" w:type="dxa"/>
            <w:vAlign w:val="bottom"/>
          </w:tcPr>
          <w:p>
            <w:pPr>
              <w:spacing w:after="0"/>
              <w:rPr>
                <w:sz w:val="1"/>
                <w:szCs w:val="1"/>
                <w:color w:val="auto"/>
              </w:rPr>
            </w:pPr>
          </w:p>
        </w:tc>
      </w:tr>
      <w:tr>
        <w:trPr>
          <w:trHeight w:val="24"/>
        </w:trPr>
        <w:tc>
          <w:tcPr>
            <w:tcW w:w="8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8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 acquired under finance leases</w:t>
            </w: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r>
        <w:trPr>
          <w:trHeight w:val="209"/>
        </w:trPr>
        <w:tc>
          <w:tcPr>
            <w:tcW w:w="8680" w:type="dxa"/>
            <w:vAlign w:val="bottom"/>
          </w:tcPr>
          <w:p>
            <w:pPr>
              <w:ind w:left="20"/>
              <w:spacing w:after="0"/>
              <w:rPr>
                <w:sz w:val="20"/>
                <w:szCs w:val="20"/>
                <w:color w:val="auto"/>
              </w:rPr>
            </w:pPr>
            <w:r>
              <w:rPr>
                <w:rFonts w:ascii="Arial" w:cs="Arial" w:eastAsia="Arial" w:hAnsi="Arial"/>
                <w:sz w:val="16"/>
                <w:szCs w:val="16"/>
                <w:color w:val="auto"/>
              </w:rPr>
              <w:t>Changes in current liabilities related to capital expenditures</w:t>
            </w:r>
          </w:p>
        </w:tc>
        <w:tc>
          <w:tcPr>
            <w:tcW w:w="280" w:type="dxa"/>
            <w:vAlign w:val="bottom"/>
          </w:tcPr>
          <w:p>
            <w:pPr>
              <w:spacing w:after="0"/>
              <w:rPr>
                <w:sz w:val="18"/>
                <w:szCs w:val="18"/>
                <w:color w:val="auto"/>
              </w:rPr>
            </w:pPr>
          </w:p>
        </w:tc>
        <w:tc>
          <w:tcPr>
            <w:tcW w:w="960" w:type="dxa"/>
            <w:vAlign w:val="bottom"/>
          </w:tcPr>
          <w:p>
            <w:pPr>
              <w:jc w:val="right"/>
              <w:ind w:right="24"/>
              <w:spacing w:after="0"/>
              <w:rPr>
                <w:sz w:val="20"/>
                <w:szCs w:val="20"/>
                <w:color w:val="auto"/>
              </w:rPr>
            </w:pPr>
            <w:r>
              <w:rPr>
                <w:rFonts w:ascii="Arial" w:cs="Arial" w:eastAsia="Arial" w:hAnsi="Arial"/>
                <w:sz w:val="16"/>
                <w:szCs w:val="16"/>
                <w:color w:val="auto"/>
              </w:rPr>
              <w:t>127.3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210.5</w:t>
            </w:r>
          </w:p>
        </w:tc>
        <w:tc>
          <w:tcPr>
            <w:tcW w:w="0" w:type="dxa"/>
            <w:vAlign w:val="bottom"/>
          </w:tcPr>
          <w:p>
            <w:pPr>
              <w:spacing w:after="0"/>
              <w:rPr>
                <w:sz w:val="1"/>
                <w:szCs w:val="1"/>
                <w:color w:val="auto"/>
              </w:rPr>
            </w:pPr>
          </w:p>
        </w:tc>
      </w:tr>
      <w:tr>
        <w:trPr>
          <w:trHeight w:val="24"/>
        </w:trPr>
        <w:tc>
          <w:tcPr>
            <w:tcW w:w="8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8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Capital expenditures, net</w:t>
            </w:r>
          </w:p>
        </w:tc>
        <w:tc>
          <w:tcPr>
            <w:tcW w:w="28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649.6</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632.9</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8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8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Capital expenditures, net:</w:t>
            </w: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tcPr>
          <w:p>
            <w:pPr>
              <w:ind w:left="140"/>
              <w:spacing w:after="0"/>
              <w:rPr>
                <w:sz w:val="20"/>
                <w:szCs w:val="20"/>
                <w:color w:val="auto"/>
              </w:rPr>
            </w:pPr>
            <w:r>
              <w:rPr>
                <w:rFonts w:ascii="Arial" w:cs="Arial" w:eastAsia="Arial" w:hAnsi="Arial"/>
                <w:sz w:val="16"/>
                <w:szCs w:val="16"/>
                <w:color w:val="auto"/>
              </w:rPr>
              <w:t>Third-party payments</w:t>
            </w: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4"/>
              <w:spacing w:after="0"/>
              <w:rPr>
                <w:sz w:val="20"/>
                <w:szCs w:val="20"/>
                <w:color w:val="auto"/>
              </w:rPr>
            </w:pPr>
            <w:r>
              <w:rPr>
                <w:rFonts w:ascii="Arial" w:cs="Arial" w:eastAsia="Arial" w:hAnsi="Arial"/>
                <w:sz w:val="16"/>
                <w:szCs w:val="16"/>
                <w:color w:val="auto"/>
              </w:rPr>
              <w:t>650.9</w:t>
            </w:r>
          </w:p>
        </w:tc>
        <w:tc>
          <w:tcPr>
            <w:tcW w:w="120" w:type="dxa"/>
            <w:vAlign w:val="bottom"/>
          </w:tcPr>
          <w:p>
            <w:pPr>
              <w:spacing w:after="0"/>
              <w:rPr>
                <w:sz w:val="18"/>
                <w:szCs w:val="18"/>
                <w:color w:val="auto"/>
              </w:rPr>
            </w:pPr>
          </w:p>
        </w:tc>
        <w:tc>
          <w:tcPr>
            <w:tcW w:w="360" w:type="dxa"/>
            <w:vAlign w:val="bottom"/>
          </w:tcPr>
          <w:p>
            <w:pPr>
              <w:jc w:val="right"/>
              <w:ind w:right="182"/>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691.2</w:t>
            </w:r>
          </w:p>
        </w:tc>
        <w:tc>
          <w:tcPr>
            <w:tcW w:w="0" w:type="dxa"/>
            <w:vAlign w:val="bottom"/>
          </w:tcPr>
          <w:p>
            <w:pPr>
              <w:spacing w:after="0"/>
              <w:rPr>
                <w:sz w:val="1"/>
                <w:szCs w:val="1"/>
                <w:color w:val="auto"/>
              </w:rPr>
            </w:pPr>
          </w:p>
        </w:tc>
      </w:tr>
      <w:tr>
        <w:trPr>
          <w:trHeight w:val="24"/>
        </w:trPr>
        <w:tc>
          <w:tcPr>
            <w:tcW w:w="8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8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Proceeds received for transfers to related parties (a)</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(58.3)</w:t>
            </w:r>
          </w:p>
        </w:tc>
        <w:tc>
          <w:tcPr>
            <w:tcW w:w="0" w:type="dxa"/>
            <w:vAlign w:val="bottom"/>
          </w:tcPr>
          <w:p>
            <w:pPr>
              <w:spacing w:after="0"/>
              <w:rPr>
                <w:sz w:val="1"/>
                <w:szCs w:val="1"/>
                <w:color w:val="auto"/>
              </w:rPr>
            </w:pPr>
          </w:p>
        </w:tc>
      </w:tr>
      <w:tr>
        <w:trPr>
          <w:trHeight w:val="201"/>
        </w:trPr>
        <w:tc>
          <w:tcPr>
            <w:tcW w:w="8680" w:type="dxa"/>
            <w:vAlign w:val="bottom"/>
          </w:tcPr>
          <w:p>
            <w:pPr>
              <w:ind w:left="220"/>
              <w:spacing w:after="0"/>
              <w:rPr>
                <w:sz w:val="20"/>
                <w:szCs w:val="20"/>
                <w:color w:val="auto"/>
              </w:rPr>
            </w:pPr>
            <w:r>
              <w:rPr>
                <w:rFonts w:ascii="Arial" w:cs="Arial" w:eastAsia="Arial" w:hAnsi="Arial"/>
                <w:sz w:val="16"/>
                <w:szCs w:val="16"/>
                <w:color w:val="auto"/>
              </w:rPr>
              <w:t>Total capital expenditures, net</w:t>
            </w:r>
          </w:p>
        </w:tc>
        <w:tc>
          <w:tcPr>
            <w:tcW w:w="280" w:type="dxa"/>
            <w:vAlign w:val="bottom"/>
            <w:tcBorders>
              <w:top w:val="single" w:sz="8" w:color="auto"/>
            </w:tcBorders>
          </w:tcPr>
          <w:p>
            <w:pPr>
              <w:jc w:val="right"/>
              <w:ind w:right="102"/>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24"/>
              <w:spacing w:after="0"/>
              <w:rPr>
                <w:sz w:val="20"/>
                <w:szCs w:val="20"/>
                <w:color w:val="auto"/>
              </w:rPr>
            </w:pPr>
            <w:r>
              <w:rPr>
                <w:rFonts w:ascii="Arial" w:cs="Arial" w:eastAsia="Arial" w:hAnsi="Arial"/>
                <w:sz w:val="16"/>
                <w:szCs w:val="16"/>
                <w:color w:val="auto"/>
              </w:rPr>
              <w:t>649.6</w:t>
            </w:r>
          </w:p>
        </w:tc>
        <w:tc>
          <w:tcPr>
            <w:tcW w:w="120" w:type="dxa"/>
            <w:vAlign w:val="bottom"/>
          </w:tcPr>
          <w:p>
            <w:pPr>
              <w:spacing w:after="0"/>
              <w:rPr>
                <w:sz w:val="17"/>
                <w:szCs w:val="17"/>
                <w:color w:val="auto"/>
              </w:rPr>
            </w:pPr>
          </w:p>
        </w:tc>
        <w:tc>
          <w:tcPr>
            <w:tcW w:w="360" w:type="dxa"/>
            <w:vAlign w:val="bottom"/>
            <w:tcBorders>
              <w:top w:val="single" w:sz="8" w:color="auto"/>
            </w:tcBorders>
          </w:tcPr>
          <w:p>
            <w:pPr>
              <w:jc w:val="right"/>
              <w:ind w:right="182"/>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632.9</w:t>
            </w:r>
          </w:p>
        </w:tc>
        <w:tc>
          <w:tcPr>
            <w:tcW w:w="0" w:type="dxa"/>
            <w:vAlign w:val="bottom"/>
          </w:tcPr>
          <w:p>
            <w:pPr>
              <w:spacing w:after="0"/>
              <w:rPr>
                <w:sz w:val="1"/>
                <w:szCs w:val="1"/>
                <w:color w:val="auto"/>
              </w:rPr>
            </w:pPr>
          </w:p>
        </w:tc>
      </w:tr>
      <w:tr>
        <w:trPr>
          <w:trHeight w:val="24"/>
        </w:trPr>
        <w:tc>
          <w:tcPr>
            <w:tcW w:w="8680" w:type="dxa"/>
            <w:vAlign w:val="bottom"/>
            <w:vMerge w:val="restart"/>
          </w:tcPr>
          <w:p>
            <w:pPr>
              <w:spacing w:after="0"/>
              <w:rPr>
                <w:sz w:val="20"/>
                <w:szCs w:val="20"/>
                <w:color w:val="auto"/>
              </w:rPr>
            </w:pPr>
            <w:r>
              <w:rPr>
                <w:rFonts w:ascii="Arial" w:cs="Arial" w:eastAsia="Arial" w:hAnsi="Arial"/>
                <w:sz w:val="16"/>
                <w:szCs w:val="16"/>
                <w:color w:val="auto"/>
              </w:rPr>
              <w:t>_______________</w:t>
            </w: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68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868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427" w:hanging="427"/>
        <w:spacing w:after="0"/>
        <w:tabs>
          <w:tab w:leader="none" w:pos="427" w:val="left"/>
        </w:tabs>
        <w:numPr>
          <w:ilvl w:val="0"/>
          <w:numId w:val="70"/>
        </w:numPr>
        <w:rPr>
          <w:rFonts w:ascii="Arial" w:cs="Arial" w:eastAsia="Arial" w:hAnsi="Arial"/>
          <w:sz w:val="16"/>
          <w:szCs w:val="16"/>
          <w:color w:val="auto"/>
        </w:rPr>
      </w:pPr>
      <w:r>
        <w:rPr>
          <w:rFonts w:ascii="Arial" w:cs="Arial" w:eastAsia="Arial" w:hAnsi="Arial"/>
          <w:sz w:val="16"/>
          <w:szCs w:val="16"/>
          <w:color w:val="auto"/>
        </w:rPr>
        <w:t>Primarily relates to transfers of centrally-procured property and equipment to the VodafoneZiggo JV and our discontinued operations, as applicable.</w:t>
      </w:r>
    </w:p>
    <w:p>
      <w:pPr>
        <w:spacing w:after="0" w:line="188" w:lineRule="exact"/>
        <w:rPr>
          <w:sz w:val="20"/>
          <w:szCs w:val="20"/>
          <w:color w:val="auto"/>
        </w:rPr>
      </w:pPr>
    </w:p>
    <w:p>
      <w:pPr>
        <w:jc w:val="both"/>
        <w:ind w:left="7" w:right="20" w:firstLine="279"/>
        <w:spacing w:after="0" w:line="294" w:lineRule="auto"/>
        <w:rPr>
          <w:sz w:val="20"/>
          <w:szCs w:val="20"/>
          <w:color w:val="auto"/>
        </w:rPr>
      </w:pPr>
      <w:r>
        <w:rPr>
          <w:rFonts w:ascii="Arial" w:cs="Arial" w:eastAsia="Arial" w:hAnsi="Arial"/>
          <w:sz w:val="14"/>
          <w:szCs w:val="14"/>
          <w:color w:val="auto"/>
        </w:rPr>
        <w:t>The decrease in our property and equipment additions during the six months ended June 30, 2020, as compared to the corresponding period in 2019, is due to (i) a decrease in local currency expenditures of our subsidiaries due to the net effect of (a) a decrease in expenditures for the purchase and installation of customer premises equipment, (b) an increase in expenditures to support new customer products and operational efficiency initiatives, (c) a decrease in expenditures for new build and upgrade projects and (d) a decrease in baseline expenditures, including network improvements and expenditures for property and facilities and information technology systems and (ii) a decrease due to FX.</w:t>
      </w:r>
    </w:p>
    <w:p>
      <w:pPr>
        <w:spacing w:after="0" w:line="142" w:lineRule="exact"/>
        <w:rPr>
          <w:sz w:val="20"/>
          <w:szCs w:val="20"/>
          <w:color w:val="auto"/>
        </w:rPr>
      </w:pPr>
    </w:p>
    <w:p>
      <w:pPr>
        <w:jc w:val="both"/>
        <w:ind w:left="7" w:right="20" w:firstLine="279"/>
        <w:spacing w:after="0" w:line="250" w:lineRule="auto"/>
        <w:rPr>
          <w:sz w:val="20"/>
          <w:szCs w:val="20"/>
          <w:color w:val="auto"/>
        </w:rPr>
      </w:pPr>
      <w:r>
        <w:rPr>
          <w:rFonts w:ascii="Arial" w:cs="Arial" w:eastAsia="Arial" w:hAnsi="Arial"/>
          <w:sz w:val="16"/>
          <w:szCs w:val="16"/>
          <w:i w:val="1"/>
          <w:iCs w:val="1"/>
          <w:color w:val="auto"/>
        </w:rPr>
        <w:t xml:space="preserve">Financing Activities. </w:t>
      </w:r>
      <w:r>
        <w:rPr>
          <w:rFonts w:ascii="Arial" w:cs="Arial" w:eastAsia="Arial" w:hAnsi="Arial"/>
          <w:sz w:val="16"/>
          <w:szCs w:val="16"/>
          <w:color w:val="auto"/>
        </w:rPr>
        <w:t>The increase in net cash used by our financing activities is primarily attributable to the net effect of (i) a decrease in cash used of $283.3 million due to</w:t>
      </w:r>
      <w:r>
        <w:rPr>
          <w:rFonts w:ascii="Arial" w:cs="Arial" w:eastAsia="Arial" w:hAnsi="Arial"/>
          <w:sz w:val="16"/>
          <w:szCs w:val="16"/>
          <w:i w:val="1"/>
          <w:iCs w:val="1"/>
          <w:color w:val="auto"/>
        </w:rPr>
        <w:t xml:space="preserve"> </w:t>
      </w:r>
      <w:r>
        <w:rPr>
          <w:rFonts w:ascii="Arial" w:cs="Arial" w:eastAsia="Arial" w:hAnsi="Arial"/>
          <w:sz w:val="16"/>
          <w:szCs w:val="16"/>
          <w:color w:val="auto"/>
        </w:rPr>
        <w:t>lower net repayments of debt and finance lease obligations, (ii) an increase in cash used of $189.5 million due to higher repurchases of Liberty Global ordinary shares and (iii) an increase in cash used of $175.4 million due to higher payments for financing costs and debt premiums.</w:t>
      </w:r>
    </w:p>
    <w:p>
      <w:pPr>
        <w:spacing w:after="0" w:line="170" w:lineRule="exact"/>
        <w:rPr>
          <w:sz w:val="20"/>
          <w:szCs w:val="20"/>
          <w:color w:val="auto"/>
        </w:rPr>
      </w:pPr>
    </w:p>
    <w:p>
      <w:pPr>
        <w:ind w:left="147"/>
        <w:spacing w:after="0"/>
        <w:rPr>
          <w:sz w:val="20"/>
          <w:szCs w:val="20"/>
          <w:color w:val="auto"/>
        </w:rPr>
      </w:pPr>
      <w:r>
        <w:rPr>
          <w:rFonts w:ascii="Arial" w:cs="Arial" w:eastAsia="Arial" w:hAnsi="Arial"/>
          <w:sz w:val="16"/>
          <w:szCs w:val="16"/>
          <w:b w:val="1"/>
          <w:bCs w:val="1"/>
          <w:i w:val="1"/>
          <w:iCs w:val="1"/>
          <w:color w:val="auto"/>
        </w:rPr>
        <w:t>Adjusted Free Cash Flow</w:t>
      </w:r>
    </w:p>
    <w:p>
      <w:pPr>
        <w:spacing w:after="0" w:line="188" w:lineRule="exact"/>
        <w:rPr>
          <w:sz w:val="20"/>
          <w:szCs w:val="20"/>
          <w:color w:val="auto"/>
        </w:rPr>
      </w:pPr>
    </w:p>
    <w:p>
      <w:pPr>
        <w:jc w:val="both"/>
        <w:ind w:left="7" w:right="20" w:firstLine="279"/>
        <w:spacing w:after="0" w:line="284" w:lineRule="auto"/>
        <w:rPr>
          <w:sz w:val="20"/>
          <w:szCs w:val="20"/>
          <w:color w:val="auto"/>
        </w:rPr>
      </w:pPr>
      <w:r>
        <w:rPr>
          <w:rFonts w:ascii="Arial" w:cs="Arial" w:eastAsia="Arial" w:hAnsi="Arial"/>
          <w:sz w:val="14"/>
          <w:szCs w:val="14"/>
          <w:color w:val="auto"/>
        </w:rPr>
        <w:t>We define adjusted free cash flow as net cash provided by the operating activities of our continuing operations, plus (i) cash payments for third-party costs directly associated with successful and unsuccessful acquisitions and dispositions and (ii) expenses financed by an intermediary, less (a) capital expenditures, as reported in our condensed consolidated statements of cash flows, (b) principal payments on amounts financed by vendors and intermediaries and (c) principal payments on finance leases (exclusive of the portions of the network lease in Belgium that we assumed in connection with an acquisition), with each item excluding any cash provided or used by our discontinued operations. We believe our presentation of adjusted free cash flow provides useful information to our investors because this measure can be used to gauge our ability to service debt and fund new investment opportunities. Adjusted free cash flow, which is a non-GAAP measure, should not be understood to represent our ability to fund discretionary amounts, as we have various mandatory and contractual obligations, including debt repayments, that are not deducted to arrive at this amount. Investors should view adjusted free cash flow as a supplement to, and not a substitute for, GAAP measures of liquidity included in our condensed consolidated statements of cash flows.</w:t>
      </w:r>
    </w:p>
    <w:p>
      <w:pPr>
        <w:spacing w:after="0" w:line="337"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267"/>
          </w:cols>
          <w:pgMar w:left="313" w:top="315" w:right="319" w:bottom="1440" w:gutter="0" w:footer="0" w:header="0"/>
        </w:sectPr>
      </w:pPr>
    </w:p>
    <w:bookmarkStart w:id="81" w:name="page82"/>
    <w:bookmarkEnd w:id="81"/>
    <w:p>
      <w:pPr>
        <w:ind w:left="287"/>
        <w:spacing w:after="0"/>
        <w:rPr>
          <w:sz w:val="20"/>
          <w:szCs w:val="20"/>
          <w:color w:val="auto"/>
        </w:rPr>
      </w:pPr>
      <w:r>
        <w:rPr>
          <w:rFonts w:ascii="Arial" w:cs="Arial" w:eastAsia="Arial" w:hAnsi="Arial"/>
          <w:sz w:val="16"/>
          <w:szCs w:val="16"/>
          <w:color w:val="auto"/>
        </w:rPr>
        <w:t>The following table provides the details of our adjusted free cash flow:</w:t>
      </w:r>
    </w:p>
    <w:p>
      <w:pPr>
        <w:spacing w:after="0" w:line="140"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Six months ended</w:t>
      </w:r>
    </w:p>
    <w:p>
      <w:pPr>
        <w:spacing w:after="0" w:line="21"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5511165</wp:posOffset>
            </wp:positionH>
            <wp:positionV relativeFrom="paragraph">
              <wp:posOffset>26035</wp:posOffset>
            </wp:positionV>
            <wp:extent cx="164020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40205" cy="7620"/>
                    </a:xfrm>
                    <a:prstGeom prst="rect">
                      <a:avLst/>
                    </a:prstGeom>
                    <a:noFill/>
                  </pic:spPr>
                </pic:pic>
              </a:graphicData>
            </a:graphic>
          </wp:anchor>
        </w:drawing>
      </w:r>
    </w:p>
    <w:p>
      <w:pPr>
        <w:spacing w:after="0" w:line="55" w:lineRule="exact"/>
        <w:rPr>
          <w:sz w:val="20"/>
          <w:szCs w:val="20"/>
          <w:color w:val="auto"/>
        </w:rPr>
      </w:pPr>
    </w:p>
    <w:tbl>
      <w:tblPr>
        <w:tblLayout w:type="fixed"/>
        <w:tblInd w:w="7" w:type="dxa"/>
        <w:tblCellMar>
          <w:top w:w="0" w:type="dxa"/>
          <w:left w:w="0" w:type="dxa"/>
          <w:bottom w:w="0" w:type="dxa"/>
          <w:right w:w="0" w:type="dxa"/>
        </w:tblCellMar>
      </w:tblPr>
      <w:tr>
        <w:trPr>
          <w:trHeight w:val="182"/>
        </w:trPr>
        <w:tc>
          <w:tcPr>
            <w:tcW w:w="8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40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jc w:val="right"/>
              <w:ind w:right="403"/>
              <w:spacing w:after="0"/>
              <w:rPr>
                <w:sz w:val="20"/>
                <w:szCs w:val="20"/>
                <w:color w:val="auto"/>
              </w:rPr>
            </w:pPr>
            <w:r>
              <w:rPr>
                <w:rFonts w:ascii="Arial" w:cs="Arial" w:eastAsia="Arial" w:hAnsi="Arial"/>
                <w:sz w:val="14"/>
                <w:szCs w:val="14"/>
                <w:b w:val="1"/>
                <w:bCs w:val="1"/>
                <w:color w:val="auto"/>
              </w:rPr>
              <w:t>2019</w:t>
            </w:r>
          </w:p>
        </w:tc>
      </w:tr>
      <w:tr>
        <w:trPr>
          <w:trHeight w:val="28"/>
        </w:trPr>
        <w:tc>
          <w:tcPr>
            <w:tcW w:w="86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5"/>
        </w:trPr>
        <w:tc>
          <w:tcPr>
            <w:tcW w:w="8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3"/>
          </w:tcPr>
          <w:p>
            <w:pPr>
              <w:jc w:val="right"/>
              <w:ind w:right="42"/>
              <w:spacing w:after="0"/>
              <w:rPr>
                <w:sz w:val="20"/>
                <w:szCs w:val="20"/>
                <w:color w:val="auto"/>
              </w:rPr>
            </w:pPr>
            <w:r>
              <w:rPr>
                <w:rFonts w:ascii="Arial" w:cs="Arial" w:eastAsia="Arial" w:hAnsi="Arial"/>
                <w:sz w:val="14"/>
                <w:szCs w:val="14"/>
                <w:b w:val="1"/>
                <w:bCs w:val="1"/>
                <w:color w:val="auto"/>
              </w:rPr>
              <w:t>in millions</w:t>
            </w:r>
          </w:p>
        </w:tc>
        <w:tc>
          <w:tcPr>
            <w:tcW w:w="860" w:type="dxa"/>
            <w:vAlign w:val="bottom"/>
          </w:tcPr>
          <w:p>
            <w:pPr>
              <w:spacing w:after="0"/>
              <w:rPr>
                <w:sz w:val="16"/>
                <w:szCs w:val="16"/>
                <w:color w:val="auto"/>
              </w:rPr>
            </w:pPr>
          </w:p>
        </w:tc>
      </w:tr>
      <w:tr>
        <w:trPr>
          <w:trHeight w:val="133"/>
        </w:trPr>
        <w:tc>
          <w:tcPr>
            <w:tcW w:w="8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213"/>
        </w:trPr>
        <w:tc>
          <w:tcPr>
            <w:tcW w:w="8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 of our continuing operations (a)</w:t>
            </w:r>
          </w:p>
        </w:tc>
        <w:tc>
          <w:tcPr>
            <w:tcW w:w="28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1,591.9</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1,628.5</w:t>
            </w:r>
          </w:p>
        </w:tc>
      </w:tr>
      <w:tr>
        <w:trPr>
          <w:trHeight w:val="209"/>
        </w:trPr>
        <w:tc>
          <w:tcPr>
            <w:tcW w:w="8680" w:type="dxa"/>
            <w:vAlign w:val="bottom"/>
          </w:tcPr>
          <w:p>
            <w:pPr>
              <w:ind w:left="20"/>
              <w:spacing w:after="0"/>
              <w:rPr>
                <w:sz w:val="20"/>
                <w:szCs w:val="20"/>
                <w:color w:val="auto"/>
              </w:rPr>
            </w:pPr>
            <w:r>
              <w:rPr>
                <w:rFonts w:ascii="Arial" w:cs="Arial" w:eastAsia="Arial" w:hAnsi="Arial"/>
                <w:sz w:val="16"/>
                <w:szCs w:val="16"/>
                <w:color w:val="auto"/>
              </w:rPr>
              <w:t>Cash payments for direct acquisition and disposition costs</w:t>
            </w:r>
          </w:p>
        </w:tc>
        <w:tc>
          <w:tcPr>
            <w:tcW w:w="280" w:type="dxa"/>
            <w:vAlign w:val="bottom"/>
          </w:tcPr>
          <w:p>
            <w:pPr>
              <w:spacing w:after="0"/>
              <w:rPr>
                <w:sz w:val="18"/>
                <w:szCs w:val="18"/>
                <w:color w:val="auto"/>
              </w:rPr>
            </w:pPr>
          </w:p>
        </w:tc>
        <w:tc>
          <w:tcPr>
            <w:tcW w:w="960" w:type="dxa"/>
            <w:vAlign w:val="bottom"/>
          </w:tcPr>
          <w:p>
            <w:pPr>
              <w:jc w:val="right"/>
              <w:ind w:right="24"/>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18.0</w:t>
            </w:r>
          </w:p>
        </w:tc>
      </w:tr>
      <w:tr>
        <w:trPr>
          <w:trHeight w:val="24"/>
        </w:trPr>
        <w:tc>
          <w:tcPr>
            <w:tcW w:w="8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13"/>
        </w:trPr>
        <w:tc>
          <w:tcPr>
            <w:tcW w:w="8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Expenses financed by an intermediary (b)</w:t>
            </w: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1,274.5</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1,086.1</w:t>
            </w:r>
          </w:p>
        </w:tc>
      </w:tr>
      <w:tr>
        <w:trPr>
          <w:trHeight w:val="209"/>
        </w:trPr>
        <w:tc>
          <w:tcPr>
            <w:tcW w:w="8680" w:type="dxa"/>
            <w:vAlign w:val="bottom"/>
          </w:tcPr>
          <w:p>
            <w:pPr>
              <w:ind w:left="20"/>
              <w:spacing w:after="0"/>
              <w:rPr>
                <w:sz w:val="20"/>
                <w:szCs w:val="20"/>
                <w:color w:val="auto"/>
              </w:rPr>
            </w:pPr>
            <w:r>
              <w:rPr>
                <w:rFonts w:ascii="Arial" w:cs="Arial" w:eastAsia="Arial" w:hAnsi="Arial"/>
                <w:sz w:val="16"/>
                <w:szCs w:val="16"/>
                <w:color w:val="auto"/>
              </w:rPr>
              <w:t>Capital expenditures, net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(649.6)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(632.9)</w:t>
            </w:r>
          </w:p>
        </w:tc>
      </w:tr>
      <w:tr>
        <w:trPr>
          <w:trHeight w:val="24"/>
        </w:trPr>
        <w:tc>
          <w:tcPr>
            <w:tcW w:w="8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13"/>
        </w:trPr>
        <w:tc>
          <w:tcPr>
            <w:tcW w:w="8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Principal payments on amounts financed by vendors and intermediaries</w:t>
            </w: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(2,054.0)</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(2,140.4)</w:t>
            </w:r>
          </w:p>
        </w:tc>
      </w:tr>
      <w:tr>
        <w:trPr>
          <w:trHeight w:val="209"/>
        </w:trPr>
        <w:tc>
          <w:tcPr>
            <w:tcW w:w="8680" w:type="dxa"/>
            <w:vAlign w:val="bottom"/>
          </w:tcPr>
          <w:p>
            <w:pPr>
              <w:ind w:left="20"/>
              <w:spacing w:after="0"/>
              <w:rPr>
                <w:sz w:val="20"/>
                <w:szCs w:val="20"/>
                <w:color w:val="auto"/>
              </w:rPr>
            </w:pPr>
            <w:r>
              <w:rPr>
                <w:rFonts w:ascii="Arial" w:cs="Arial" w:eastAsia="Arial" w:hAnsi="Arial"/>
                <w:sz w:val="16"/>
                <w:szCs w:val="16"/>
                <w:color w:val="auto"/>
              </w:rPr>
              <w:t>Principal payments on certain finance leases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(31.8)</w:t>
            </w:r>
          </w:p>
        </w:tc>
      </w:tr>
      <w:tr>
        <w:trPr>
          <w:trHeight w:val="24"/>
        </w:trPr>
        <w:tc>
          <w:tcPr>
            <w:tcW w:w="8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29"/>
        </w:trPr>
        <w:tc>
          <w:tcPr>
            <w:tcW w:w="8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Adjusted free cash flow</w:t>
            </w:r>
          </w:p>
        </w:tc>
        <w:tc>
          <w:tcPr>
            <w:tcW w:w="28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138.7</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(72.5)</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ind w:left="7"/>
        <w:spacing w:after="0"/>
        <w:rPr>
          <w:sz w:val="20"/>
          <w:szCs w:val="20"/>
          <w:color w:val="auto"/>
        </w:rPr>
      </w:pPr>
      <w:r>
        <w:rPr>
          <w:rFonts w:ascii="Arial" w:cs="Arial" w:eastAsia="Arial" w:hAnsi="Arial"/>
          <w:sz w:val="16"/>
          <w:szCs w:val="16"/>
          <w:i w:val="1"/>
          <w:iCs w:val="1"/>
          <w:color w:val="auto"/>
        </w:rPr>
        <w:t>_______________</w:t>
      </w:r>
    </w:p>
    <w:p>
      <w:pPr>
        <w:spacing w:after="0" w:line="178" w:lineRule="exact"/>
        <w:rPr>
          <w:sz w:val="20"/>
          <w:szCs w:val="20"/>
          <w:color w:val="auto"/>
        </w:rPr>
      </w:pPr>
    </w:p>
    <w:p>
      <w:pPr>
        <w:ind w:left="427" w:hanging="427"/>
        <w:spacing w:after="0" w:line="258" w:lineRule="auto"/>
        <w:tabs>
          <w:tab w:leader="none" w:pos="427"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2019 amount includes interest payments related to debt that was repaid in connection with the completion of the disposition of the Vodafone Disposal Group. These interest payments were not allocated to discontinued operations.</w:t>
      </w:r>
    </w:p>
    <w:p>
      <w:pPr>
        <w:spacing w:after="0" w:line="162" w:lineRule="exact"/>
        <w:rPr>
          <w:rFonts w:ascii="Arial" w:cs="Arial" w:eastAsia="Arial" w:hAnsi="Arial"/>
          <w:sz w:val="16"/>
          <w:szCs w:val="16"/>
          <w:color w:val="auto"/>
        </w:rPr>
      </w:pPr>
    </w:p>
    <w:p>
      <w:pPr>
        <w:jc w:val="both"/>
        <w:ind w:left="427" w:hanging="427"/>
        <w:spacing w:after="0" w:line="248" w:lineRule="auto"/>
        <w:tabs>
          <w:tab w:leader="none" w:pos="427" w:val="left"/>
        </w:tabs>
        <w:numPr>
          <w:ilvl w:val="0"/>
          <w:numId w:val="71"/>
        </w:numPr>
        <w:rPr>
          <w:rFonts w:ascii="Arial" w:cs="Arial" w:eastAsia="Arial" w:hAnsi="Arial"/>
          <w:sz w:val="16"/>
          <w:szCs w:val="16"/>
          <w:color w:val="auto"/>
        </w:rPr>
      </w:pPr>
      <w:r>
        <w:rPr>
          <w:rFonts w:ascii="Arial" w:cs="Arial" w:eastAsia="Arial" w:hAnsi="Arial"/>
          <w:sz w:val="16"/>
          <w:szCs w:val="16"/>
          <w:color w:val="auto"/>
        </w:rPr>
        <w:t>For purposes of our condensed consolidated statements of cash flows, expenses financed by an intermediary are treated as hypothetical operating cash outflows and hypothetical financing cash inflows when the expenses are incurred. When we pay the financing intermediary, we record financing cash outflows in our condensed consolidated statements of cash flows. For purposes of our adjusted free cash flow definition, we add back the hypothetical operating cash outflow when these financed expenses are incurred and deduct the financing cash outflows when we pay the financing intermediary.</w:t>
      </w:r>
    </w:p>
    <w:p>
      <w:pPr>
        <w:spacing w:after="0" w:line="170" w:lineRule="exact"/>
        <w:rPr>
          <w:sz w:val="20"/>
          <w:szCs w:val="20"/>
          <w:color w:val="auto"/>
        </w:rPr>
      </w:pPr>
    </w:p>
    <w:p>
      <w:pPr>
        <w:ind w:left="147"/>
        <w:spacing w:after="0"/>
        <w:rPr>
          <w:sz w:val="20"/>
          <w:szCs w:val="20"/>
          <w:color w:val="auto"/>
        </w:rPr>
      </w:pPr>
      <w:r>
        <w:rPr>
          <w:rFonts w:ascii="Arial" w:cs="Arial" w:eastAsia="Arial" w:hAnsi="Arial"/>
          <w:sz w:val="16"/>
          <w:szCs w:val="16"/>
          <w:b w:val="1"/>
          <w:bCs w:val="1"/>
          <w:i w:val="1"/>
          <w:iCs w:val="1"/>
          <w:color w:val="auto"/>
        </w:rPr>
        <w:t>Contractual Commitments</w:t>
      </w:r>
    </w:p>
    <w:p>
      <w:pPr>
        <w:spacing w:after="0" w:line="188" w:lineRule="exact"/>
        <w:rPr>
          <w:sz w:val="20"/>
          <w:szCs w:val="20"/>
          <w:color w:val="auto"/>
        </w:rPr>
      </w:pPr>
    </w:p>
    <w:p>
      <w:pPr>
        <w:jc w:val="both"/>
        <w:ind w:left="7" w:firstLine="279"/>
        <w:spacing w:after="0" w:line="250" w:lineRule="auto"/>
        <w:rPr>
          <w:sz w:val="20"/>
          <w:szCs w:val="20"/>
          <w:color w:val="auto"/>
        </w:rPr>
      </w:pPr>
      <w:r>
        <w:rPr>
          <w:rFonts w:ascii="Arial" w:cs="Arial" w:eastAsia="Arial" w:hAnsi="Arial"/>
          <w:sz w:val="16"/>
          <w:szCs w:val="16"/>
          <w:color w:val="auto"/>
        </w:rPr>
        <w:t>The following table sets forth the U.S. dollar equivalents of our commitments as of June 30, 2020. Due to the held-for-sale presentation of the U.K. JV Entities at June 30, 2020, the amounts presented below do not include the maturities of the debt and finance lease obligations, contractual commitments or the related cash interest payments of these entities. For information regarding the held-for-sale presentation of the U.K. JV Entities, see note 4.</w:t>
      </w:r>
    </w:p>
    <w:p>
      <w:pPr>
        <w:spacing w:after="0" w:line="133" w:lineRule="exact"/>
        <w:rPr>
          <w:sz w:val="20"/>
          <w:szCs w:val="20"/>
          <w:color w:val="auto"/>
        </w:rPr>
      </w:pPr>
    </w:p>
    <w:tbl>
      <w:tblPr>
        <w:tblLayout w:type="fixed"/>
        <w:tblInd w:w="7" w:type="dxa"/>
        <w:tblCellMar>
          <w:top w:w="0" w:type="dxa"/>
          <w:left w:w="0" w:type="dxa"/>
          <w:bottom w:w="0" w:type="dxa"/>
          <w:right w:w="0" w:type="dxa"/>
        </w:tblCellMar>
      </w:tblPr>
      <w:tr>
        <w:trPr>
          <w:trHeight w:val="182"/>
        </w:trPr>
        <w:tc>
          <w:tcPr>
            <w:tcW w:w="2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60" w:type="dxa"/>
            <w:vAlign w:val="bottom"/>
            <w:gridSpan w:val="5"/>
          </w:tcPr>
          <w:p>
            <w:pPr>
              <w:ind w:left="520"/>
              <w:spacing w:after="0"/>
              <w:rPr>
                <w:sz w:val="20"/>
                <w:szCs w:val="20"/>
                <w:color w:val="auto"/>
              </w:rPr>
            </w:pPr>
            <w:r>
              <w:rPr>
                <w:rFonts w:ascii="Arial" w:cs="Arial" w:eastAsia="Arial" w:hAnsi="Arial"/>
                <w:sz w:val="14"/>
                <w:szCs w:val="14"/>
                <w:b w:val="1"/>
                <w:bCs w:val="1"/>
                <w:color w:val="auto"/>
                <w:w w:val="89"/>
              </w:rPr>
              <w:t>Payments due during:</w:t>
            </w: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28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2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Remainder</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2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of 2020</w:t>
            </w:r>
          </w:p>
        </w:tc>
        <w:tc>
          <w:tcPr>
            <w:tcW w:w="200" w:type="dxa"/>
            <w:vAlign w:val="bottom"/>
          </w:tcPr>
          <w:p>
            <w:pPr>
              <w:spacing w:after="0"/>
              <w:rPr>
                <w:sz w:val="15"/>
                <w:szCs w:val="15"/>
                <w:color w:val="auto"/>
              </w:rPr>
            </w:pPr>
          </w:p>
        </w:tc>
        <w:tc>
          <w:tcPr>
            <w:tcW w:w="720" w:type="dxa"/>
            <w:vAlign w:val="bottom"/>
          </w:tcPr>
          <w:p>
            <w:pPr>
              <w:jc w:val="right"/>
              <w:ind w:right="24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4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244"/>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ind w:right="223"/>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223"/>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Thereafter</w:t>
            </w:r>
          </w:p>
        </w:tc>
        <w:tc>
          <w:tcPr>
            <w:tcW w:w="220" w:type="dxa"/>
            <w:vAlign w:val="bottom"/>
          </w:tcPr>
          <w:p>
            <w:pPr>
              <w:spacing w:after="0"/>
              <w:rPr>
                <w:sz w:val="15"/>
                <w:szCs w:val="15"/>
                <w:color w:val="auto"/>
              </w:rPr>
            </w:pPr>
          </w:p>
        </w:tc>
        <w:tc>
          <w:tcPr>
            <w:tcW w:w="780" w:type="dxa"/>
            <w:vAlign w:val="bottom"/>
          </w:tcPr>
          <w:p>
            <w:pPr>
              <w:jc w:val="right"/>
              <w:ind w:right="26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8"/>
        </w:trPr>
        <w:tc>
          <w:tcPr>
            <w:tcW w:w="28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2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Debt (excluding interest)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902.1</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1,412.1</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392.9</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164.5</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26.8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12.9</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8,866.2</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11,777.5</w:t>
            </w:r>
          </w:p>
        </w:tc>
        <w:tc>
          <w:tcPr>
            <w:tcW w:w="0" w:type="dxa"/>
            <w:vAlign w:val="bottom"/>
          </w:tcPr>
          <w:p>
            <w:pPr>
              <w:spacing w:after="0"/>
              <w:rPr>
                <w:sz w:val="1"/>
                <w:szCs w:val="1"/>
                <w:color w:val="auto"/>
              </w:rPr>
            </w:pPr>
          </w:p>
        </w:tc>
      </w:tr>
      <w:tr>
        <w:trPr>
          <w:trHeight w:val="209"/>
        </w:trPr>
        <w:tc>
          <w:tcPr>
            <w:tcW w:w="2820" w:type="dxa"/>
            <w:vAlign w:val="bottom"/>
          </w:tcPr>
          <w:p>
            <w:pPr>
              <w:ind w:left="20"/>
              <w:spacing w:after="0"/>
              <w:rPr>
                <w:sz w:val="20"/>
                <w:szCs w:val="20"/>
                <w:color w:val="auto"/>
              </w:rPr>
            </w:pPr>
            <w:r>
              <w:rPr>
                <w:rFonts w:ascii="Arial" w:cs="Arial" w:eastAsia="Arial" w:hAnsi="Arial"/>
                <w:sz w:val="16"/>
                <w:szCs w:val="16"/>
                <w:color w:val="auto"/>
              </w:rPr>
              <w:t>Finance leases (excluding interest)</w:t>
            </w:r>
          </w:p>
        </w:tc>
        <w:tc>
          <w:tcPr>
            <w:tcW w:w="160" w:type="dxa"/>
            <w:vAlign w:val="bottom"/>
          </w:tcPr>
          <w:p>
            <w:pPr>
              <w:spacing w:after="0"/>
              <w:rPr>
                <w:sz w:val="18"/>
                <w:szCs w:val="18"/>
                <w:color w:val="auto"/>
              </w:rPr>
            </w:pPr>
          </w:p>
        </w:tc>
        <w:tc>
          <w:tcPr>
            <w:tcW w:w="980" w:type="dxa"/>
            <w:vAlign w:val="bottom"/>
          </w:tcPr>
          <w:p>
            <w:pPr>
              <w:jc w:val="right"/>
              <w:ind w:right="44"/>
              <w:spacing w:after="0"/>
              <w:rPr>
                <w:sz w:val="20"/>
                <w:szCs w:val="20"/>
                <w:color w:val="auto"/>
              </w:rPr>
            </w:pPr>
            <w:r>
              <w:rPr>
                <w:rFonts w:ascii="Arial" w:cs="Arial" w:eastAsia="Arial" w:hAnsi="Arial"/>
                <w:sz w:val="16"/>
                <w:szCs w:val="16"/>
                <w:color w:val="auto"/>
              </w:rPr>
              <w:t>33.8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43"/>
              <w:spacing w:after="0"/>
              <w:rPr>
                <w:sz w:val="20"/>
                <w:szCs w:val="20"/>
                <w:color w:val="auto"/>
              </w:rPr>
            </w:pPr>
            <w:r>
              <w:rPr>
                <w:rFonts w:ascii="Arial" w:cs="Arial" w:eastAsia="Arial" w:hAnsi="Arial"/>
                <w:sz w:val="16"/>
                <w:szCs w:val="16"/>
                <w:color w:val="auto"/>
              </w:rPr>
              <w:t>65.2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44"/>
              <w:spacing w:after="0"/>
              <w:rPr>
                <w:sz w:val="20"/>
                <w:szCs w:val="20"/>
                <w:color w:val="auto"/>
              </w:rPr>
            </w:pPr>
            <w:r>
              <w:rPr>
                <w:rFonts w:ascii="Arial" w:cs="Arial" w:eastAsia="Arial" w:hAnsi="Arial"/>
                <w:sz w:val="16"/>
                <w:szCs w:val="16"/>
                <w:color w:val="auto"/>
              </w:rPr>
              <w:t>66.5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ind w:right="24"/>
              <w:spacing w:after="0"/>
              <w:rPr>
                <w:sz w:val="20"/>
                <w:szCs w:val="20"/>
                <w:color w:val="auto"/>
              </w:rPr>
            </w:pPr>
            <w:r>
              <w:rPr>
                <w:rFonts w:ascii="Arial" w:cs="Arial" w:eastAsia="Arial" w:hAnsi="Arial"/>
                <w:sz w:val="16"/>
                <w:szCs w:val="16"/>
                <w:color w:val="auto"/>
              </w:rPr>
              <w:t>72.7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ind w:right="23"/>
              <w:spacing w:after="0"/>
              <w:rPr>
                <w:sz w:val="20"/>
                <w:szCs w:val="20"/>
                <w:color w:val="auto"/>
              </w:rPr>
            </w:pPr>
            <w:r>
              <w:rPr>
                <w:rFonts w:ascii="Arial" w:cs="Arial" w:eastAsia="Arial" w:hAnsi="Arial"/>
                <w:sz w:val="16"/>
                <w:szCs w:val="16"/>
                <w:color w:val="auto"/>
              </w:rPr>
              <w:t>38.7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23"/>
              <w:spacing w:after="0"/>
              <w:rPr>
                <w:sz w:val="20"/>
                <w:szCs w:val="20"/>
                <w:color w:val="auto"/>
              </w:rPr>
            </w:pPr>
            <w:r>
              <w:rPr>
                <w:rFonts w:ascii="Arial" w:cs="Arial" w:eastAsia="Arial" w:hAnsi="Arial"/>
                <w:sz w:val="16"/>
                <w:szCs w:val="16"/>
                <w:color w:val="auto"/>
              </w:rPr>
              <w:t>36.5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201.0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3"/>
              <w:spacing w:after="0"/>
              <w:rPr>
                <w:sz w:val="20"/>
                <w:szCs w:val="20"/>
                <w:color w:val="auto"/>
              </w:rPr>
            </w:pPr>
            <w:r>
              <w:rPr>
                <w:rFonts w:ascii="Arial" w:cs="Arial" w:eastAsia="Arial" w:hAnsi="Arial"/>
                <w:sz w:val="16"/>
                <w:szCs w:val="16"/>
                <w:color w:val="auto"/>
              </w:rPr>
              <w:t>514.4</w:t>
            </w:r>
          </w:p>
        </w:tc>
        <w:tc>
          <w:tcPr>
            <w:tcW w:w="0" w:type="dxa"/>
            <w:vAlign w:val="bottom"/>
          </w:tcPr>
          <w:p>
            <w:pPr>
              <w:spacing w:after="0"/>
              <w:rPr>
                <w:sz w:val="1"/>
                <w:szCs w:val="1"/>
                <w:color w:val="auto"/>
              </w:rPr>
            </w:pPr>
          </w:p>
        </w:tc>
      </w:tr>
      <w:tr>
        <w:trPr>
          <w:trHeight w:val="24"/>
        </w:trPr>
        <w:tc>
          <w:tcPr>
            <w:tcW w:w="2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leases</w:t>
            </w: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41.6</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67.6</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55.9</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47.9</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40.3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34.0</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117.4</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404.7</w:t>
            </w:r>
          </w:p>
        </w:tc>
        <w:tc>
          <w:tcPr>
            <w:tcW w:w="0" w:type="dxa"/>
            <w:vAlign w:val="bottom"/>
          </w:tcPr>
          <w:p>
            <w:pPr>
              <w:spacing w:after="0"/>
              <w:rPr>
                <w:sz w:val="1"/>
                <w:szCs w:val="1"/>
                <w:color w:val="auto"/>
              </w:rPr>
            </w:pPr>
          </w:p>
        </w:tc>
      </w:tr>
      <w:tr>
        <w:trPr>
          <w:trHeight w:val="209"/>
        </w:trPr>
        <w:tc>
          <w:tcPr>
            <w:tcW w:w="2820" w:type="dxa"/>
            <w:vAlign w:val="bottom"/>
          </w:tcPr>
          <w:p>
            <w:pPr>
              <w:ind w:left="20"/>
              <w:spacing w:after="0"/>
              <w:rPr>
                <w:sz w:val="20"/>
                <w:szCs w:val="20"/>
                <w:color w:val="auto"/>
              </w:rPr>
            </w:pPr>
            <w:r>
              <w:rPr>
                <w:rFonts w:ascii="Arial" w:cs="Arial" w:eastAsia="Arial" w:hAnsi="Arial"/>
                <w:sz w:val="16"/>
                <w:szCs w:val="16"/>
                <w:color w:val="auto"/>
              </w:rPr>
              <w:t>Network and connectivity commitments</w:t>
            </w:r>
          </w:p>
        </w:tc>
        <w:tc>
          <w:tcPr>
            <w:tcW w:w="160" w:type="dxa"/>
            <w:vAlign w:val="bottom"/>
          </w:tcPr>
          <w:p>
            <w:pPr>
              <w:spacing w:after="0"/>
              <w:rPr>
                <w:sz w:val="18"/>
                <w:szCs w:val="18"/>
                <w:color w:val="auto"/>
              </w:rPr>
            </w:pPr>
          </w:p>
        </w:tc>
        <w:tc>
          <w:tcPr>
            <w:tcW w:w="980" w:type="dxa"/>
            <w:vAlign w:val="bottom"/>
          </w:tcPr>
          <w:p>
            <w:pPr>
              <w:jc w:val="right"/>
              <w:ind w:right="44"/>
              <w:spacing w:after="0"/>
              <w:rPr>
                <w:sz w:val="20"/>
                <w:szCs w:val="20"/>
                <w:color w:val="auto"/>
              </w:rPr>
            </w:pPr>
            <w:r>
              <w:rPr>
                <w:rFonts w:ascii="Arial" w:cs="Arial" w:eastAsia="Arial" w:hAnsi="Arial"/>
                <w:sz w:val="16"/>
                <w:szCs w:val="16"/>
                <w:color w:val="auto"/>
              </w:rPr>
              <w:t>78.9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43"/>
              <w:spacing w:after="0"/>
              <w:rPr>
                <w:sz w:val="20"/>
                <w:szCs w:val="20"/>
                <w:color w:val="auto"/>
              </w:rPr>
            </w:pPr>
            <w:r>
              <w:rPr>
                <w:rFonts w:ascii="Arial" w:cs="Arial" w:eastAsia="Arial" w:hAnsi="Arial"/>
                <w:sz w:val="16"/>
                <w:szCs w:val="16"/>
                <w:color w:val="auto"/>
              </w:rPr>
              <w:t>86.2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44"/>
              <w:spacing w:after="0"/>
              <w:rPr>
                <w:sz w:val="20"/>
                <w:szCs w:val="20"/>
                <w:color w:val="auto"/>
              </w:rPr>
            </w:pPr>
            <w:r>
              <w:rPr>
                <w:rFonts w:ascii="Arial" w:cs="Arial" w:eastAsia="Arial" w:hAnsi="Arial"/>
                <w:sz w:val="16"/>
                <w:szCs w:val="16"/>
                <w:color w:val="auto"/>
              </w:rPr>
              <w:t>64.9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ind w:right="24"/>
              <w:spacing w:after="0"/>
              <w:rPr>
                <w:sz w:val="20"/>
                <w:szCs w:val="20"/>
                <w:color w:val="auto"/>
              </w:rPr>
            </w:pPr>
            <w:r>
              <w:rPr>
                <w:rFonts w:ascii="Arial" w:cs="Arial" w:eastAsia="Arial" w:hAnsi="Arial"/>
                <w:sz w:val="16"/>
                <w:szCs w:val="16"/>
                <w:color w:val="auto"/>
              </w:rPr>
              <w:t>41.5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ind w:right="23"/>
              <w:spacing w:after="0"/>
              <w:rPr>
                <w:sz w:val="20"/>
                <w:szCs w:val="20"/>
                <w:color w:val="auto"/>
              </w:rPr>
            </w:pPr>
            <w:r>
              <w:rPr>
                <w:rFonts w:ascii="Arial" w:cs="Arial" w:eastAsia="Arial" w:hAnsi="Arial"/>
                <w:sz w:val="16"/>
                <w:szCs w:val="16"/>
                <w:color w:val="auto"/>
              </w:rPr>
              <w:t>35.8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23"/>
              <w:spacing w:after="0"/>
              <w:rPr>
                <w:sz w:val="20"/>
                <w:szCs w:val="20"/>
                <w:color w:val="auto"/>
              </w:rPr>
            </w:pPr>
            <w:r>
              <w:rPr>
                <w:rFonts w:ascii="Arial" w:cs="Arial" w:eastAsia="Arial" w:hAnsi="Arial"/>
                <w:sz w:val="16"/>
                <w:szCs w:val="16"/>
                <w:color w:val="auto"/>
              </w:rPr>
              <w:t>34.4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681.2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3"/>
              <w:spacing w:after="0"/>
              <w:rPr>
                <w:sz w:val="20"/>
                <w:szCs w:val="20"/>
                <w:color w:val="auto"/>
              </w:rPr>
            </w:pPr>
            <w:r>
              <w:rPr>
                <w:rFonts w:ascii="Arial" w:cs="Arial" w:eastAsia="Arial" w:hAnsi="Arial"/>
                <w:sz w:val="16"/>
                <w:szCs w:val="16"/>
                <w:color w:val="auto"/>
              </w:rPr>
              <w:t>1,022.9</w:t>
            </w:r>
          </w:p>
        </w:tc>
        <w:tc>
          <w:tcPr>
            <w:tcW w:w="0" w:type="dxa"/>
            <w:vAlign w:val="bottom"/>
          </w:tcPr>
          <w:p>
            <w:pPr>
              <w:spacing w:after="0"/>
              <w:rPr>
                <w:sz w:val="1"/>
                <w:szCs w:val="1"/>
                <w:color w:val="auto"/>
              </w:rPr>
            </w:pPr>
          </w:p>
        </w:tc>
      </w:tr>
      <w:tr>
        <w:trPr>
          <w:trHeight w:val="24"/>
        </w:trPr>
        <w:tc>
          <w:tcPr>
            <w:tcW w:w="2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Programming commitments</w:t>
            </w: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152.1</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171.2</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84.1</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22.0</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14.2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13.9</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16.1</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473.6</w:t>
            </w:r>
          </w:p>
        </w:tc>
        <w:tc>
          <w:tcPr>
            <w:tcW w:w="0" w:type="dxa"/>
            <w:vAlign w:val="bottom"/>
          </w:tcPr>
          <w:p>
            <w:pPr>
              <w:spacing w:after="0"/>
              <w:rPr>
                <w:sz w:val="1"/>
                <w:szCs w:val="1"/>
                <w:color w:val="auto"/>
              </w:rPr>
            </w:pPr>
          </w:p>
        </w:tc>
      </w:tr>
      <w:tr>
        <w:trPr>
          <w:trHeight w:val="209"/>
        </w:trPr>
        <w:tc>
          <w:tcPr>
            <w:tcW w:w="2820" w:type="dxa"/>
            <w:vAlign w:val="bottom"/>
          </w:tcPr>
          <w:p>
            <w:pPr>
              <w:ind w:left="20"/>
              <w:spacing w:after="0"/>
              <w:rPr>
                <w:sz w:val="20"/>
                <w:szCs w:val="20"/>
                <w:color w:val="auto"/>
              </w:rPr>
            </w:pPr>
            <w:r>
              <w:rPr>
                <w:rFonts w:ascii="Arial" w:cs="Arial" w:eastAsia="Arial" w:hAnsi="Arial"/>
                <w:sz w:val="16"/>
                <w:szCs w:val="16"/>
                <w:color w:val="auto"/>
              </w:rPr>
              <w:t>Purchase commitments</w:t>
            </w:r>
          </w:p>
        </w:tc>
        <w:tc>
          <w:tcPr>
            <w:tcW w:w="160" w:type="dxa"/>
            <w:vAlign w:val="bottom"/>
          </w:tcPr>
          <w:p>
            <w:pPr>
              <w:spacing w:after="0"/>
              <w:rPr>
                <w:sz w:val="18"/>
                <w:szCs w:val="18"/>
                <w:color w:val="auto"/>
              </w:rPr>
            </w:pPr>
          </w:p>
        </w:tc>
        <w:tc>
          <w:tcPr>
            <w:tcW w:w="980" w:type="dxa"/>
            <w:vAlign w:val="bottom"/>
          </w:tcPr>
          <w:p>
            <w:pPr>
              <w:jc w:val="right"/>
              <w:ind w:right="44"/>
              <w:spacing w:after="0"/>
              <w:rPr>
                <w:sz w:val="20"/>
                <w:szCs w:val="20"/>
                <w:color w:val="auto"/>
              </w:rPr>
            </w:pPr>
            <w:r>
              <w:rPr>
                <w:rFonts w:ascii="Arial" w:cs="Arial" w:eastAsia="Arial" w:hAnsi="Arial"/>
                <w:sz w:val="16"/>
                <w:szCs w:val="16"/>
                <w:color w:val="auto"/>
              </w:rPr>
              <w:t>250.6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43"/>
              <w:spacing w:after="0"/>
              <w:rPr>
                <w:sz w:val="20"/>
                <w:szCs w:val="20"/>
                <w:color w:val="auto"/>
              </w:rPr>
            </w:pPr>
            <w:r>
              <w:rPr>
                <w:rFonts w:ascii="Arial" w:cs="Arial" w:eastAsia="Arial" w:hAnsi="Arial"/>
                <w:sz w:val="16"/>
                <w:szCs w:val="16"/>
                <w:color w:val="auto"/>
              </w:rPr>
              <w:t>170.1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44"/>
              <w:spacing w:after="0"/>
              <w:rPr>
                <w:sz w:val="20"/>
                <w:szCs w:val="20"/>
                <w:color w:val="auto"/>
              </w:rPr>
            </w:pPr>
            <w:r>
              <w:rPr>
                <w:rFonts w:ascii="Arial" w:cs="Arial" w:eastAsia="Arial" w:hAnsi="Arial"/>
                <w:sz w:val="16"/>
                <w:szCs w:val="16"/>
                <w:color w:val="auto"/>
              </w:rPr>
              <w:t>43.5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ind w:right="24"/>
              <w:spacing w:after="0"/>
              <w:rPr>
                <w:sz w:val="20"/>
                <w:szCs w:val="20"/>
                <w:color w:val="auto"/>
              </w:rPr>
            </w:pPr>
            <w:r>
              <w:rPr>
                <w:rFonts w:ascii="Arial" w:cs="Arial" w:eastAsia="Arial" w:hAnsi="Arial"/>
                <w:sz w:val="16"/>
                <w:szCs w:val="16"/>
                <w:color w:val="auto"/>
              </w:rPr>
              <w:t>30.7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ind w:right="23"/>
              <w:spacing w:after="0"/>
              <w:rPr>
                <w:sz w:val="20"/>
                <w:szCs w:val="20"/>
                <w:color w:val="auto"/>
              </w:rPr>
            </w:pPr>
            <w:r>
              <w:rPr>
                <w:rFonts w:ascii="Arial" w:cs="Arial" w:eastAsia="Arial" w:hAnsi="Arial"/>
                <w:sz w:val="16"/>
                <w:szCs w:val="16"/>
                <w:color w:val="auto"/>
              </w:rPr>
              <w:t>17.3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23"/>
              <w:spacing w:after="0"/>
              <w:rPr>
                <w:sz w:val="20"/>
                <w:szCs w:val="20"/>
                <w:color w:val="auto"/>
              </w:rPr>
            </w:pPr>
            <w:r>
              <w:rPr>
                <w:rFonts w:ascii="Arial" w:cs="Arial" w:eastAsia="Arial" w:hAnsi="Arial"/>
                <w:sz w:val="16"/>
                <w:szCs w:val="16"/>
                <w:color w:val="auto"/>
              </w:rPr>
              <w:t>14.5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3"/>
              <w:spacing w:after="0"/>
              <w:rPr>
                <w:sz w:val="20"/>
                <w:szCs w:val="20"/>
                <w:color w:val="auto"/>
              </w:rPr>
            </w:pPr>
            <w:r>
              <w:rPr>
                <w:rFonts w:ascii="Arial" w:cs="Arial" w:eastAsia="Arial" w:hAnsi="Arial"/>
                <w:sz w:val="16"/>
                <w:szCs w:val="16"/>
                <w:color w:val="auto"/>
              </w:rPr>
              <w:t>537.4</w:t>
            </w:r>
          </w:p>
        </w:tc>
        <w:tc>
          <w:tcPr>
            <w:tcW w:w="0" w:type="dxa"/>
            <w:vAlign w:val="bottom"/>
          </w:tcPr>
          <w:p>
            <w:pPr>
              <w:spacing w:after="0"/>
              <w:rPr>
                <w:sz w:val="1"/>
                <w:szCs w:val="1"/>
                <w:color w:val="auto"/>
              </w:rPr>
            </w:pPr>
          </w:p>
        </w:tc>
      </w:tr>
      <w:tr>
        <w:trPr>
          <w:trHeight w:val="24"/>
        </w:trPr>
        <w:tc>
          <w:tcPr>
            <w:tcW w:w="2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commitments</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201"/>
        </w:trPr>
        <w:tc>
          <w:tcPr>
            <w:tcW w:w="2820" w:type="dxa"/>
            <w:vAlign w:val="bottom"/>
          </w:tcPr>
          <w:p>
            <w:pPr>
              <w:ind w:left="140"/>
              <w:spacing w:after="0"/>
              <w:rPr>
                <w:sz w:val="20"/>
                <w:szCs w:val="20"/>
                <w:color w:val="auto"/>
              </w:rPr>
            </w:pPr>
            <w:r>
              <w:rPr>
                <w:rFonts w:ascii="Arial" w:cs="Arial" w:eastAsia="Arial" w:hAnsi="Arial"/>
                <w:sz w:val="16"/>
                <w:szCs w:val="16"/>
                <w:color w:val="auto"/>
              </w:rPr>
              <w:t>Total (a)</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1,463.2</w:t>
            </w:r>
          </w:p>
        </w:tc>
        <w:tc>
          <w:tcPr>
            <w:tcW w:w="120" w:type="dxa"/>
            <w:vAlign w:val="bottom"/>
          </w:tcPr>
          <w:p>
            <w:pPr>
              <w:spacing w:after="0"/>
              <w:rPr>
                <w:sz w:val="17"/>
                <w:szCs w:val="17"/>
                <w:color w:val="auto"/>
              </w:rPr>
            </w:pPr>
          </w:p>
        </w:tc>
        <w:tc>
          <w:tcPr>
            <w:tcW w:w="20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1,975.5</w:t>
            </w:r>
          </w:p>
        </w:tc>
        <w:tc>
          <w:tcPr>
            <w:tcW w:w="120" w:type="dxa"/>
            <w:vAlign w:val="bottom"/>
          </w:tcPr>
          <w:p>
            <w:pPr>
              <w:spacing w:after="0"/>
              <w:rPr>
                <w:sz w:val="17"/>
                <w:szCs w:val="17"/>
                <w:color w:val="auto"/>
              </w:rPr>
            </w:pPr>
          </w:p>
        </w:tc>
        <w:tc>
          <w:tcPr>
            <w:tcW w:w="20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710.8</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tcPr>
          <w:p>
            <w:pPr>
              <w:jc w:val="right"/>
              <w:ind w:right="24"/>
              <w:spacing w:after="0"/>
              <w:rPr>
                <w:sz w:val="20"/>
                <w:szCs w:val="20"/>
                <w:color w:val="auto"/>
              </w:rPr>
            </w:pPr>
            <w:r>
              <w:rPr>
                <w:rFonts w:ascii="Arial" w:cs="Arial" w:eastAsia="Arial" w:hAnsi="Arial"/>
                <w:sz w:val="16"/>
                <w:szCs w:val="16"/>
                <w:color w:val="auto"/>
              </w:rPr>
              <w:t>381.2</w:t>
            </w:r>
          </w:p>
        </w:tc>
        <w:tc>
          <w:tcPr>
            <w:tcW w:w="120" w:type="dxa"/>
            <w:vAlign w:val="bottom"/>
          </w:tcPr>
          <w:p>
            <w:pPr>
              <w:spacing w:after="0"/>
              <w:rPr>
                <w:sz w:val="17"/>
                <w:szCs w:val="17"/>
                <w:color w:val="auto"/>
              </w:rPr>
            </w:pPr>
          </w:p>
        </w:tc>
        <w:tc>
          <w:tcPr>
            <w:tcW w:w="240" w:type="dxa"/>
            <w:vAlign w:val="bottom"/>
            <w:tcBorders>
              <w:top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174.6</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146.6</w:t>
            </w:r>
          </w:p>
        </w:tc>
        <w:tc>
          <w:tcPr>
            <w:tcW w:w="1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9,893.8</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14,745.7</w:t>
            </w:r>
          </w:p>
        </w:tc>
        <w:tc>
          <w:tcPr>
            <w:tcW w:w="0" w:type="dxa"/>
            <w:vAlign w:val="bottom"/>
          </w:tcPr>
          <w:p>
            <w:pPr>
              <w:spacing w:after="0"/>
              <w:rPr>
                <w:sz w:val="1"/>
                <w:szCs w:val="1"/>
                <w:color w:val="auto"/>
              </w:rPr>
            </w:pPr>
          </w:p>
        </w:tc>
      </w:tr>
      <w:tr>
        <w:trPr>
          <w:trHeight w:val="64"/>
        </w:trPr>
        <w:tc>
          <w:tcPr>
            <w:tcW w:w="28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820" w:type="dxa"/>
            <w:vAlign w:val="bottom"/>
            <w:shd w:val="clear" w:color="auto" w:fill="CCEEFF"/>
          </w:tcPr>
          <w:p>
            <w:pPr>
              <w:ind w:left="20"/>
              <w:spacing w:after="0" w:line="151" w:lineRule="exact"/>
              <w:rPr>
                <w:sz w:val="20"/>
                <w:szCs w:val="20"/>
                <w:color w:val="auto"/>
              </w:rPr>
            </w:pPr>
            <w:r>
              <w:rPr>
                <w:rFonts w:ascii="Arial" w:cs="Arial" w:eastAsia="Arial" w:hAnsi="Arial"/>
                <w:sz w:val="16"/>
                <w:szCs w:val="16"/>
                <w:color w:val="auto"/>
                <w:w w:val="94"/>
              </w:rPr>
              <w:t>Projected cash interest payments on debt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CCEEFF"/>
          </w:tcPr>
          <w:p>
            <w:pPr>
              <w:jc w:val="right"/>
              <w:ind w:right="44"/>
              <w:spacing w:after="0"/>
              <w:rPr>
                <w:sz w:val="20"/>
                <w:szCs w:val="20"/>
                <w:color w:val="auto"/>
              </w:rPr>
            </w:pPr>
            <w:r>
              <w:rPr>
                <w:rFonts w:ascii="Arial" w:cs="Arial" w:eastAsia="Arial" w:hAnsi="Arial"/>
                <w:sz w:val="16"/>
                <w:szCs w:val="16"/>
                <w:color w:val="auto"/>
              </w:rPr>
              <w:t>192.4</w:t>
            </w:r>
          </w:p>
        </w:tc>
        <w:tc>
          <w:tcPr>
            <w:tcW w:w="12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720" w:type="dxa"/>
            <w:vAlign w:val="bottom"/>
            <w:vMerge w:val="restart"/>
            <w:shd w:val="clear" w:color="auto" w:fill="CCEEFF"/>
          </w:tcPr>
          <w:p>
            <w:pPr>
              <w:jc w:val="right"/>
              <w:ind w:right="43"/>
              <w:spacing w:after="0"/>
              <w:rPr>
                <w:sz w:val="20"/>
                <w:szCs w:val="20"/>
                <w:color w:val="auto"/>
              </w:rPr>
            </w:pPr>
            <w:r>
              <w:rPr>
                <w:rFonts w:ascii="Arial" w:cs="Arial" w:eastAsia="Arial" w:hAnsi="Arial"/>
                <w:sz w:val="16"/>
                <w:szCs w:val="16"/>
                <w:color w:val="auto"/>
              </w:rPr>
              <w:t>348.1</w:t>
            </w:r>
          </w:p>
        </w:tc>
        <w:tc>
          <w:tcPr>
            <w:tcW w:w="12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720" w:type="dxa"/>
            <w:vAlign w:val="bottom"/>
            <w:vMerge w:val="restart"/>
            <w:shd w:val="clear" w:color="auto" w:fill="CCEEFF"/>
          </w:tcPr>
          <w:p>
            <w:pPr>
              <w:jc w:val="right"/>
              <w:ind w:right="44"/>
              <w:spacing w:after="0"/>
              <w:rPr>
                <w:sz w:val="20"/>
                <w:szCs w:val="20"/>
                <w:color w:val="auto"/>
              </w:rPr>
            </w:pPr>
            <w:r>
              <w:rPr>
                <w:rFonts w:ascii="Arial" w:cs="Arial" w:eastAsia="Arial" w:hAnsi="Arial"/>
                <w:sz w:val="16"/>
                <w:szCs w:val="16"/>
                <w:color w:val="auto"/>
              </w:rPr>
              <w:t>368.7</w:t>
            </w:r>
          </w:p>
        </w:tc>
        <w:tc>
          <w:tcPr>
            <w:tcW w:w="10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700" w:type="dxa"/>
            <w:vAlign w:val="bottom"/>
            <w:vMerge w:val="restart"/>
            <w:shd w:val="clear" w:color="auto" w:fill="CCEEFF"/>
          </w:tcPr>
          <w:p>
            <w:pPr>
              <w:jc w:val="right"/>
              <w:ind w:right="24"/>
              <w:spacing w:after="0"/>
              <w:rPr>
                <w:sz w:val="20"/>
                <w:szCs w:val="20"/>
                <w:color w:val="auto"/>
              </w:rPr>
            </w:pPr>
            <w:r>
              <w:rPr>
                <w:rFonts w:ascii="Arial" w:cs="Arial" w:eastAsia="Arial" w:hAnsi="Arial"/>
                <w:sz w:val="16"/>
                <w:szCs w:val="16"/>
                <w:color w:val="auto"/>
              </w:rPr>
              <w:t>363.3</w:t>
            </w:r>
          </w:p>
        </w:tc>
        <w:tc>
          <w:tcPr>
            <w:tcW w:w="12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660" w:type="dxa"/>
            <w:vAlign w:val="bottom"/>
            <w:vMerge w:val="restart"/>
            <w:shd w:val="clear" w:color="auto" w:fill="CCEEFF"/>
          </w:tcPr>
          <w:p>
            <w:pPr>
              <w:jc w:val="right"/>
              <w:ind w:right="23"/>
              <w:spacing w:after="0"/>
              <w:rPr>
                <w:sz w:val="20"/>
                <w:szCs w:val="20"/>
                <w:color w:val="auto"/>
              </w:rPr>
            </w:pPr>
            <w:r>
              <w:rPr>
                <w:rFonts w:ascii="Arial" w:cs="Arial" w:eastAsia="Arial" w:hAnsi="Arial"/>
                <w:sz w:val="16"/>
                <w:szCs w:val="16"/>
                <w:color w:val="auto"/>
              </w:rPr>
              <w:t>354.1</w:t>
            </w: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680" w:type="dxa"/>
            <w:vAlign w:val="bottom"/>
            <w:vMerge w:val="restart"/>
            <w:shd w:val="clear" w:color="auto" w:fill="CCEEFF"/>
          </w:tcPr>
          <w:p>
            <w:pPr>
              <w:jc w:val="right"/>
              <w:ind w:right="23"/>
              <w:spacing w:after="0"/>
              <w:rPr>
                <w:sz w:val="20"/>
                <w:szCs w:val="20"/>
                <w:color w:val="auto"/>
              </w:rPr>
            </w:pPr>
            <w:r>
              <w:rPr>
                <w:rFonts w:ascii="Arial" w:cs="Arial" w:eastAsia="Arial" w:hAnsi="Arial"/>
                <w:sz w:val="16"/>
                <w:szCs w:val="16"/>
                <w:color w:val="auto"/>
              </w:rPr>
              <w:t>351.6</w:t>
            </w:r>
          </w:p>
        </w:tc>
        <w:tc>
          <w:tcPr>
            <w:tcW w:w="12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vMerge w:val="restart"/>
            <w:shd w:val="clear" w:color="auto" w:fill="CCEEFF"/>
          </w:tcPr>
          <w:p>
            <w:pPr>
              <w:jc w:val="right"/>
              <w:ind w:right="23"/>
              <w:spacing w:after="0"/>
              <w:rPr>
                <w:sz w:val="20"/>
                <w:szCs w:val="20"/>
                <w:color w:val="auto"/>
              </w:rPr>
            </w:pPr>
            <w:r>
              <w:rPr>
                <w:rFonts w:ascii="Arial" w:cs="Arial" w:eastAsia="Arial" w:hAnsi="Arial"/>
                <w:sz w:val="16"/>
                <w:szCs w:val="16"/>
                <w:color w:val="auto"/>
              </w:rPr>
              <w:t>998.4</w:t>
            </w:r>
          </w:p>
        </w:tc>
        <w:tc>
          <w:tcPr>
            <w:tcW w:w="10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780" w:type="dxa"/>
            <w:vAlign w:val="bottom"/>
            <w:vMerge w:val="restart"/>
            <w:shd w:val="clear" w:color="auto" w:fill="CCEEFF"/>
          </w:tcPr>
          <w:p>
            <w:pPr>
              <w:jc w:val="right"/>
              <w:ind w:right="23"/>
              <w:spacing w:after="0"/>
              <w:rPr>
                <w:sz w:val="20"/>
                <w:szCs w:val="20"/>
                <w:color w:val="auto"/>
              </w:rPr>
            </w:pPr>
            <w:r>
              <w:rPr>
                <w:rFonts w:ascii="Arial" w:cs="Arial" w:eastAsia="Arial" w:hAnsi="Arial"/>
                <w:sz w:val="16"/>
                <w:szCs w:val="16"/>
                <w:color w:val="auto"/>
              </w:rPr>
              <w:t>2,976.6</w:t>
            </w:r>
          </w:p>
        </w:tc>
        <w:tc>
          <w:tcPr>
            <w:tcW w:w="0" w:type="dxa"/>
            <w:vAlign w:val="bottom"/>
          </w:tcPr>
          <w:p>
            <w:pPr>
              <w:spacing w:after="0"/>
              <w:rPr>
                <w:sz w:val="1"/>
                <w:szCs w:val="1"/>
                <w:color w:val="auto"/>
              </w:rPr>
            </w:pPr>
          </w:p>
        </w:tc>
      </w:tr>
      <w:tr>
        <w:trPr>
          <w:trHeight w:val="202"/>
        </w:trPr>
        <w:tc>
          <w:tcPr>
            <w:tcW w:w="2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and finance lease obligations (b)</w:t>
            </w:r>
          </w:p>
        </w:tc>
        <w:tc>
          <w:tcPr>
            <w:tcW w:w="160" w:type="dxa"/>
            <w:vAlign w:val="bottom"/>
            <w:tcBorders>
              <w:bottom w:val="single" w:sz="8" w:color="auto"/>
            </w:tcBorders>
            <w:vMerge w:val="continue"/>
            <w:shd w:val="clear" w:color="auto" w:fill="CCEEFF"/>
          </w:tcPr>
          <w:p>
            <w:pPr>
              <w:spacing w:after="0"/>
              <w:rPr>
                <w:sz w:val="17"/>
                <w:szCs w:val="17"/>
                <w:color w:val="auto"/>
              </w:rPr>
            </w:pPr>
          </w:p>
        </w:tc>
        <w:tc>
          <w:tcPr>
            <w:tcW w:w="9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vMerge w:val="continue"/>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vMerge w:val="continue"/>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vMerge w:val="continue"/>
            <w:shd w:val="clear" w:color="auto" w:fill="CCEEFF"/>
          </w:tcPr>
          <w:p>
            <w:pPr>
              <w:spacing w:after="0"/>
              <w:rPr>
                <w:sz w:val="17"/>
                <w:szCs w:val="17"/>
                <w:color w:val="auto"/>
              </w:rPr>
            </w:pPr>
          </w:p>
        </w:tc>
        <w:tc>
          <w:tcPr>
            <w:tcW w:w="70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vMerge w:val="continue"/>
            <w:shd w:val="clear" w:color="auto" w:fill="CCEEFF"/>
          </w:tcPr>
          <w:p>
            <w:pPr>
              <w:spacing w:after="0"/>
              <w:rPr>
                <w:sz w:val="17"/>
                <w:szCs w:val="17"/>
                <w:color w:val="auto"/>
              </w:rPr>
            </w:pP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vMerge w:val="continue"/>
            <w:shd w:val="clear" w:color="auto" w:fill="CCEEFF"/>
          </w:tcPr>
          <w:p>
            <w:pPr>
              <w:spacing w:after="0"/>
              <w:rPr>
                <w:sz w:val="17"/>
                <w:szCs w:val="17"/>
                <w:color w:val="auto"/>
              </w:rPr>
            </w:pP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vMerge w:val="continue"/>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7"/>
        <w:spacing w:after="0"/>
        <w:rPr>
          <w:sz w:val="20"/>
          <w:szCs w:val="20"/>
          <w:color w:val="auto"/>
        </w:rPr>
      </w:pPr>
      <w:r>
        <w:rPr>
          <w:rFonts w:ascii="Arial" w:cs="Arial" w:eastAsia="Arial" w:hAnsi="Arial"/>
          <w:sz w:val="16"/>
          <w:szCs w:val="16"/>
          <w:color w:val="auto"/>
        </w:rPr>
        <w:t>_______________</w:t>
      </w:r>
    </w:p>
    <w:p>
      <w:pPr>
        <w:spacing w:after="0" w:line="178" w:lineRule="exact"/>
        <w:rPr>
          <w:sz w:val="20"/>
          <w:szCs w:val="20"/>
          <w:color w:val="auto"/>
        </w:rPr>
      </w:pPr>
    </w:p>
    <w:p>
      <w:pPr>
        <w:jc w:val="both"/>
        <w:ind w:left="427" w:right="20" w:hanging="427"/>
        <w:spacing w:after="0" w:line="250" w:lineRule="auto"/>
        <w:tabs>
          <w:tab w:leader="none" w:pos="427"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commitments included in this table do not reflect any liabilities that are included in our June 30, 2020 condensed consolidated balance sheet other than debt and finance and operating lease obligations. Our liability for uncertain tax positions in the various jurisdictions in which we operate ($356.9 million at June 30, 2020) has been excluded from the table as the amount and timing of any related payments are not subject to reasonable estimation.</w:t>
      </w:r>
    </w:p>
    <w:p>
      <w:pPr>
        <w:spacing w:after="0" w:line="170"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267"/>
          </w:cols>
          <w:pgMar w:left="313" w:top="315" w:right="319" w:bottom="1440" w:gutter="0" w:footer="0" w:header="0"/>
        </w:sectPr>
      </w:pPr>
    </w:p>
    <w:bookmarkStart w:id="82" w:name="page83"/>
    <w:bookmarkEnd w:id="82"/>
    <w:p>
      <w:pPr>
        <w:jc w:val="both"/>
        <w:ind w:left="427" w:hanging="427"/>
        <w:spacing w:after="0" w:line="250" w:lineRule="auto"/>
        <w:tabs>
          <w:tab w:leader="none" w:pos="427" w:val="left"/>
        </w:tabs>
        <w:numPr>
          <w:ilvl w:val="0"/>
          <w:numId w:val="73"/>
        </w:numPr>
        <w:rPr>
          <w:rFonts w:ascii="Arial" w:cs="Arial" w:eastAsia="Arial" w:hAnsi="Arial"/>
          <w:sz w:val="16"/>
          <w:szCs w:val="16"/>
          <w:color w:val="auto"/>
        </w:rPr>
      </w:pPr>
      <w:r>
        <w:rPr>
          <w:rFonts w:ascii="Arial" w:cs="Arial" w:eastAsia="Arial" w:hAnsi="Arial"/>
          <w:sz w:val="16"/>
          <w:szCs w:val="16"/>
          <w:color w:val="auto"/>
        </w:rPr>
        <w:t>Amounts are based on interest rates, interest payment dates, commitment fees and contractual maturities in effect as of June 30, 2020. These amounts are presented for illustrative purposes only and will likely differ from the actual cash payments required in future periods. In addition, the amounts presented do not include the impact of our interest rate derivative contracts, deferred financing costs, original issue premiums or discounts.</w:t>
      </w:r>
    </w:p>
    <w:p>
      <w:pPr>
        <w:spacing w:after="0" w:line="170" w:lineRule="exact"/>
        <w:rPr>
          <w:sz w:val="20"/>
          <w:szCs w:val="20"/>
          <w:color w:val="auto"/>
        </w:rPr>
      </w:pPr>
    </w:p>
    <w:p>
      <w:pPr>
        <w:jc w:val="both"/>
        <w:ind w:left="7" w:firstLine="279"/>
        <w:spacing w:after="0" w:line="258" w:lineRule="auto"/>
        <w:rPr>
          <w:sz w:val="20"/>
          <w:szCs w:val="20"/>
          <w:color w:val="auto"/>
        </w:rPr>
      </w:pPr>
      <w:r>
        <w:rPr>
          <w:rFonts w:ascii="Arial" w:cs="Arial" w:eastAsia="Arial" w:hAnsi="Arial"/>
          <w:sz w:val="16"/>
          <w:szCs w:val="16"/>
          <w:color w:val="auto"/>
        </w:rPr>
        <w:t>For information concerning our debt obligations, finance and operating lease liabilities and commitments, see notes 9, 10 and 16, respectively, to our condensed consolidated financial statements.</w:t>
      </w:r>
    </w:p>
    <w:p>
      <w:pPr>
        <w:spacing w:after="0" w:line="163" w:lineRule="exact"/>
        <w:rPr>
          <w:sz w:val="20"/>
          <w:szCs w:val="20"/>
          <w:color w:val="auto"/>
        </w:rPr>
      </w:pPr>
    </w:p>
    <w:p>
      <w:pPr>
        <w:jc w:val="both"/>
        <w:ind w:left="7" w:firstLine="279"/>
        <w:spacing w:after="0" w:line="246" w:lineRule="auto"/>
        <w:rPr>
          <w:sz w:val="20"/>
          <w:szCs w:val="20"/>
          <w:color w:val="auto"/>
        </w:rPr>
      </w:pPr>
      <w:r>
        <w:rPr>
          <w:rFonts w:ascii="Arial" w:cs="Arial" w:eastAsia="Arial" w:hAnsi="Arial"/>
          <w:sz w:val="16"/>
          <w:szCs w:val="16"/>
          <w:color w:val="auto"/>
        </w:rPr>
        <w:t xml:space="preserve">In addition to the commitments set forth in the table above, we have significant commitments under (i) derivative instruments and (ii) defined benefit plans and similar agreements, pursuant to which we expect to make payments in future periods. For information regarding our derivative instruments, including the net cash paid or received in connection with these instruments during the six months ended June 30, 2020 and 2019, see note 6 to our condensed consolidated financial statements. For information regarding projected cash flows associated with these derivative instruments, see Part I, Item 3. </w:t>
      </w:r>
      <w:r>
        <w:rPr>
          <w:rFonts w:ascii="Arial" w:cs="Arial" w:eastAsia="Arial" w:hAnsi="Arial"/>
          <w:sz w:val="16"/>
          <w:szCs w:val="16"/>
          <w:i w:val="1"/>
          <w:iCs w:val="1"/>
          <w:color w:val="auto"/>
        </w:rPr>
        <w:t>Quantitative and Qualitative Disclosures about Market Risk — Projected Cash Flows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Associated with Derivative Instruments </w:t>
      </w:r>
      <w:r>
        <w:rPr>
          <w:rFonts w:ascii="Arial" w:cs="Arial" w:eastAsia="Arial" w:hAnsi="Arial"/>
          <w:sz w:val="16"/>
          <w:szCs w:val="16"/>
          <w:color w:val="auto"/>
        </w:rPr>
        <w:t>below</w:t>
      </w:r>
      <w:r>
        <w:rPr>
          <w:rFonts w:ascii="Arial" w:cs="Arial" w:eastAsia="Arial" w:hAnsi="Arial"/>
          <w:sz w:val="16"/>
          <w:szCs w:val="16"/>
          <w:i w:val="1"/>
          <w:iCs w:val="1"/>
          <w:color w:val="auto"/>
        </w:rPr>
        <w:t>.</w:t>
      </w:r>
    </w:p>
    <w:p>
      <w:pPr>
        <w:spacing w:after="0" w:line="360"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267"/>
          </w:cols>
          <w:pgMar w:left="313" w:top="501" w:right="319" w:bottom="1440" w:gutter="0" w:footer="0" w:header="0"/>
        </w:sectPr>
      </w:pPr>
    </w:p>
    <w:bookmarkStart w:id="83" w:name="page84"/>
    <w:bookmarkEnd w:id="83"/>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194"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General</w:t>
      </w:r>
    </w:p>
    <w:p>
      <w:pPr>
        <w:spacing w:after="0" w:line="188" w:lineRule="exact"/>
        <w:rPr>
          <w:sz w:val="20"/>
          <w:szCs w:val="20"/>
          <w:color w:val="auto"/>
        </w:rPr>
      </w:pPr>
    </w:p>
    <w:p>
      <w:pPr>
        <w:jc w:val="both"/>
        <w:ind w:firstLine="279"/>
        <w:spacing w:after="0" w:line="294" w:lineRule="auto"/>
        <w:rPr>
          <w:sz w:val="20"/>
          <w:szCs w:val="20"/>
          <w:color w:val="auto"/>
        </w:rPr>
      </w:pPr>
      <w:r>
        <w:rPr>
          <w:rFonts w:ascii="Arial" w:cs="Arial" w:eastAsia="Arial" w:hAnsi="Arial"/>
          <w:sz w:val="14"/>
          <w:szCs w:val="14"/>
          <w:color w:val="auto"/>
        </w:rPr>
        <w:t>We are exposed to market risk in the normal course of our business operations due to our investments in various foreign countries and ongoing investing and financing activities. Market risk refers to the risk of loss arising from adverse changes in foreign currency exchange rates, interest rates and stock prices. The risk of loss can be assessed from the perspective of adverse changes in fair values, cash flows and future earnings. As further described below, we have established policies, procedures and processes governing our management of market risks and the use of derivative instruments to manage our exposure to such risks.</w:t>
      </w:r>
    </w:p>
    <w:p>
      <w:pPr>
        <w:spacing w:after="0" w:line="142" w:lineRule="exact"/>
        <w:rPr>
          <w:sz w:val="20"/>
          <w:szCs w:val="20"/>
          <w:color w:val="auto"/>
        </w:rPr>
      </w:pPr>
    </w:p>
    <w:p>
      <w:pPr>
        <w:jc w:val="both"/>
        <w:ind w:right="20" w:firstLine="279"/>
        <w:spacing w:after="0" w:line="258" w:lineRule="auto"/>
        <w:rPr>
          <w:sz w:val="20"/>
          <w:szCs w:val="20"/>
          <w:color w:val="auto"/>
        </w:rPr>
      </w:pPr>
      <w:r>
        <w:rPr>
          <w:rFonts w:ascii="Arial" w:cs="Arial" w:eastAsia="Arial" w:hAnsi="Arial"/>
          <w:sz w:val="16"/>
          <w:szCs w:val="16"/>
          <w:color w:val="auto"/>
        </w:rPr>
        <w:t xml:space="preserve">The information in this section should be read in conjunction with the more complete discussion that appears under Part II, Item 7A. </w:t>
      </w:r>
      <w:r>
        <w:rPr>
          <w:rFonts w:ascii="Arial" w:cs="Arial" w:eastAsia="Arial" w:hAnsi="Arial"/>
          <w:sz w:val="16"/>
          <w:szCs w:val="16"/>
          <w:i w:val="1"/>
          <w:iCs w:val="1"/>
          <w:color w:val="auto"/>
        </w:rPr>
        <w:t>Quantitative and Qualitative Disclosures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About Market Risk </w:t>
      </w:r>
      <w:r>
        <w:rPr>
          <w:rFonts w:ascii="Arial" w:cs="Arial" w:eastAsia="Arial" w:hAnsi="Arial"/>
          <w:sz w:val="16"/>
          <w:szCs w:val="16"/>
          <w:color w:val="auto"/>
        </w:rPr>
        <w:t>in our 10-K. The following discussion updates selected numerical information to June 30, 2020.</w:t>
      </w:r>
    </w:p>
    <w:p>
      <w:pPr>
        <w:spacing w:after="0" w:line="163" w:lineRule="exact"/>
        <w:rPr>
          <w:sz w:val="20"/>
          <w:szCs w:val="20"/>
          <w:color w:val="auto"/>
        </w:rPr>
      </w:pPr>
    </w:p>
    <w:p>
      <w:pPr>
        <w:jc w:val="both"/>
        <w:ind w:firstLine="279"/>
        <w:spacing w:after="0" w:line="258" w:lineRule="auto"/>
        <w:rPr>
          <w:sz w:val="20"/>
          <w:szCs w:val="20"/>
          <w:color w:val="auto"/>
        </w:rPr>
      </w:pPr>
      <w:r>
        <w:rPr>
          <w:rFonts w:ascii="Arial" w:cs="Arial" w:eastAsia="Arial" w:hAnsi="Arial"/>
          <w:sz w:val="16"/>
          <w:szCs w:val="16"/>
          <w:color w:val="auto"/>
        </w:rPr>
        <w:t>The capitalized terms used below have been defined in the notes to our condensed consolidated financial statements. In the following text, the terms “we,” “our,” “our company” and “us” may refer, as the context requires, to Liberty Global or collectively to Liberty Global and its subsidiaries.</w:t>
      </w:r>
    </w:p>
    <w:p>
      <w:pPr>
        <w:spacing w:after="0" w:line="16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Unless otherwise indicated, convenience translations into U.S. dollars are calculated as of June 30, 2020.</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Cash</w:t>
      </w:r>
    </w:p>
    <w:p>
      <w:pPr>
        <w:spacing w:after="0" w:line="188" w:lineRule="exact"/>
        <w:rPr>
          <w:sz w:val="20"/>
          <w:szCs w:val="20"/>
          <w:color w:val="auto"/>
        </w:rPr>
      </w:pPr>
    </w:p>
    <w:p>
      <w:pPr>
        <w:jc w:val="both"/>
        <w:ind w:firstLine="279"/>
        <w:spacing w:after="0" w:line="246" w:lineRule="auto"/>
        <w:rPr>
          <w:sz w:val="20"/>
          <w:szCs w:val="20"/>
          <w:color w:val="auto"/>
        </w:rPr>
      </w:pPr>
      <w:r>
        <w:rPr>
          <w:rFonts w:ascii="Arial" w:cs="Arial" w:eastAsia="Arial" w:hAnsi="Arial"/>
          <w:sz w:val="16"/>
          <w:szCs w:val="16"/>
          <w:color w:val="auto"/>
        </w:rPr>
        <w:t>We invest our cash in highly liquid instruments that meet high credit quality standards. We are exposed to exchange rate risk to the extent that the denominations of our cash and cash equivalent balances, revolving lines of credit and other short-term sources of liquidity do not correspond to the denominations of our and our subsidiaries’ short-term liquidity requirements. In order to mitigate this risk, we actively manage the denominations of our cash balances in light of our and our subsidiaries’ forecasted liquidity requirements. At June 30, 2020, $3,685.7 million or 84.5%, $396.9 million or 9.1% and $247.0 million or 5.7% of our consolidated cash balances were denominated in U.S. dollars, British pound sterling and euros, respectively.</w:t>
      </w:r>
    </w:p>
    <w:p>
      <w:pPr>
        <w:spacing w:after="0" w:line="174"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Foreign Currency Risk</w:t>
      </w:r>
    </w:p>
    <w:p>
      <w:pPr>
        <w:spacing w:after="0" w:line="188" w:lineRule="exact"/>
        <w:rPr>
          <w:sz w:val="20"/>
          <w:szCs w:val="20"/>
          <w:color w:val="auto"/>
        </w:rPr>
      </w:pPr>
    </w:p>
    <w:p>
      <w:pPr>
        <w:jc w:val="both"/>
        <w:ind w:firstLine="279"/>
        <w:spacing w:after="0" w:line="250" w:lineRule="auto"/>
        <w:rPr>
          <w:sz w:val="20"/>
          <w:szCs w:val="20"/>
          <w:color w:val="auto"/>
        </w:rPr>
      </w:pPr>
      <w:r>
        <w:rPr>
          <w:rFonts w:ascii="Arial" w:cs="Arial" w:eastAsia="Arial" w:hAnsi="Arial"/>
          <w:sz w:val="16"/>
          <w:szCs w:val="16"/>
          <w:color w:val="auto"/>
        </w:rPr>
        <w:t>We are exposed to foreign currency exchange rate risk with respect to our consolidated debt in situations where our debt is denominated in a currency other than the functional currency of the operations whose cash flows support our ability to repay or refinance such debt. For information regarding our use of derivative instruments to manage our foreign currency exchange rate risk, see note 6 to our condensed consolidated financial statements.</w:t>
      </w:r>
    </w:p>
    <w:p>
      <w:pPr>
        <w:spacing w:after="0" w:line="170"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The relationships between the primary currencies of the countries in which we operate and the U.S. dollar, which is our reporting currency, are shown below, per one U.S.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dollar:</w:t>
      </w: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8440" w:type="dxa"/>
            <w:vAlign w:val="bottom"/>
          </w:tcPr>
          <w:p>
            <w:pPr>
              <w:spacing w:after="0"/>
              <w:rPr>
                <w:sz w:val="15"/>
                <w:szCs w:val="15"/>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June 30,</w:t>
            </w: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800" w:type="dxa"/>
            <w:vAlign w:val="bottom"/>
            <w:gridSpan w:val="2"/>
          </w:tcPr>
          <w:p>
            <w:pPr>
              <w:jc w:val="right"/>
              <w:ind w:right="47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340" w:type="dxa"/>
            <w:vAlign w:val="bottom"/>
          </w:tcPr>
          <w:p>
            <w:pPr>
              <w:ind w:left="100"/>
              <w:spacing w:after="0"/>
              <w:rPr>
                <w:sz w:val="20"/>
                <w:szCs w:val="20"/>
                <w:color w:val="auto"/>
              </w:rPr>
            </w:pPr>
            <w:r>
              <w:rPr>
                <w:rFonts w:ascii="Arial" w:cs="Arial" w:eastAsia="Arial" w:hAnsi="Arial"/>
                <w:sz w:val="14"/>
                <w:szCs w:val="14"/>
                <w:b w:val="1"/>
                <w:bCs w:val="1"/>
                <w:color w:val="auto"/>
                <w:w w:val="96"/>
              </w:rPr>
              <w:t>December 31, 2019</w:t>
            </w:r>
          </w:p>
        </w:tc>
        <w:tc>
          <w:tcPr>
            <w:tcW w:w="0" w:type="dxa"/>
            <w:vAlign w:val="bottom"/>
          </w:tcPr>
          <w:p>
            <w:pPr>
              <w:spacing w:after="0"/>
              <w:rPr>
                <w:sz w:val="1"/>
                <w:szCs w:val="1"/>
                <w:color w:val="auto"/>
              </w:rPr>
            </w:pPr>
          </w:p>
        </w:tc>
      </w:tr>
      <w:tr>
        <w:trPr>
          <w:trHeight w:val="28"/>
        </w:trPr>
        <w:tc>
          <w:tcPr>
            <w:tcW w:w="8440" w:type="dxa"/>
            <w:vAlign w:val="bottom"/>
            <w:vMerge w:val="restart"/>
          </w:tcPr>
          <w:p>
            <w:pPr>
              <w:spacing w:after="0"/>
              <w:rPr>
                <w:sz w:val="20"/>
                <w:szCs w:val="20"/>
                <w:color w:val="auto"/>
              </w:rPr>
            </w:pPr>
            <w:r>
              <w:rPr>
                <w:rFonts w:ascii="Arial" w:cs="Arial" w:eastAsia="Arial" w:hAnsi="Arial"/>
                <w:sz w:val="14"/>
                <w:szCs w:val="14"/>
                <w:b w:val="1"/>
                <w:bCs w:val="1"/>
                <w:color w:val="auto"/>
              </w:rPr>
              <w:t>Spot rates:</w:t>
            </w: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8440" w:type="dxa"/>
            <w:vAlign w:val="bottom"/>
            <w:vMerge w:val="continue"/>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3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Euro</w:t>
            </w: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0.8894</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0.8906</w:t>
            </w:r>
          </w:p>
        </w:tc>
        <w:tc>
          <w:tcPr>
            <w:tcW w:w="0" w:type="dxa"/>
            <w:vAlign w:val="bottom"/>
          </w:tcPr>
          <w:p>
            <w:pPr>
              <w:spacing w:after="0"/>
              <w:rPr>
                <w:sz w:val="1"/>
                <w:szCs w:val="1"/>
                <w:color w:val="auto"/>
              </w:rPr>
            </w:pPr>
          </w:p>
        </w:tc>
      </w:tr>
      <w:tr>
        <w:trPr>
          <w:trHeight w:val="209"/>
        </w:trPr>
        <w:tc>
          <w:tcPr>
            <w:tcW w:w="6340" w:type="dxa"/>
            <w:vAlign w:val="bottom"/>
            <w:gridSpan w:val="2"/>
          </w:tcPr>
          <w:p>
            <w:pPr>
              <w:ind w:left="140"/>
              <w:spacing w:after="0"/>
              <w:rPr>
                <w:sz w:val="20"/>
                <w:szCs w:val="20"/>
                <w:color w:val="auto"/>
              </w:rPr>
            </w:pPr>
            <w:r>
              <w:rPr>
                <w:rFonts w:ascii="Arial" w:cs="Arial" w:eastAsia="Arial" w:hAnsi="Arial"/>
                <w:sz w:val="16"/>
                <w:szCs w:val="16"/>
                <w:color w:val="auto"/>
              </w:rPr>
              <w:t>British pound sterling</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45"/>
              <w:spacing w:after="0"/>
              <w:rPr>
                <w:sz w:val="20"/>
                <w:szCs w:val="20"/>
                <w:color w:val="auto"/>
              </w:rPr>
            </w:pPr>
            <w:r>
              <w:rPr>
                <w:rFonts w:ascii="Arial" w:cs="Arial" w:eastAsia="Arial" w:hAnsi="Arial"/>
                <w:sz w:val="16"/>
                <w:szCs w:val="16"/>
                <w:color w:val="auto"/>
              </w:rPr>
              <w:t>0.8078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jc w:val="right"/>
              <w:ind w:right="23"/>
              <w:spacing w:after="0"/>
              <w:rPr>
                <w:sz w:val="20"/>
                <w:szCs w:val="20"/>
                <w:color w:val="auto"/>
              </w:rPr>
            </w:pPr>
            <w:r>
              <w:rPr>
                <w:rFonts w:ascii="Arial" w:cs="Arial" w:eastAsia="Arial" w:hAnsi="Arial"/>
                <w:sz w:val="16"/>
                <w:szCs w:val="16"/>
                <w:color w:val="auto"/>
              </w:rPr>
              <w:t>0.7540</w:t>
            </w:r>
          </w:p>
        </w:tc>
        <w:tc>
          <w:tcPr>
            <w:tcW w:w="0" w:type="dxa"/>
            <w:vAlign w:val="bottom"/>
          </w:tcPr>
          <w:p>
            <w:pPr>
              <w:spacing w:after="0"/>
              <w:rPr>
                <w:sz w:val="1"/>
                <w:szCs w:val="1"/>
                <w:color w:val="auto"/>
              </w:rPr>
            </w:pPr>
          </w:p>
        </w:tc>
      </w:tr>
      <w:tr>
        <w:trPr>
          <w:trHeight w:val="24"/>
        </w:trPr>
        <w:tc>
          <w:tcPr>
            <w:tcW w:w="5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6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Swiss franc</w:t>
            </w:r>
          </w:p>
        </w:tc>
        <w:tc>
          <w:tcPr>
            <w:tcW w:w="5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0.9471</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0.9664</w:t>
            </w:r>
          </w:p>
        </w:tc>
        <w:tc>
          <w:tcPr>
            <w:tcW w:w="0" w:type="dxa"/>
            <w:vAlign w:val="bottom"/>
          </w:tcPr>
          <w:p>
            <w:pPr>
              <w:spacing w:after="0"/>
              <w:rPr>
                <w:sz w:val="1"/>
                <w:szCs w:val="1"/>
                <w:color w:val="auto"/>
              </w:rPr>
            </w:pPr>
          </w:p>
        </w:tc>
      </w:tr>
      <w:tr>
        <w:trPr>
          <w:trHeight w:val="209"/>
        </w:trPr>
        <w:tc>
          <w:tcPr>
            <w:tcW w:w="6340" w:type="dxa"/>
            <w:vAlign w:val="bottom"/>
            <w:gridSpan w:val="2"/>
          </w:tcPr>
          <w:p>
            <w:pPr>
              <w:ind w:left="140"/>
              <w:spacing w:after="0"/>
              <w:rPr>
                <w:sz w:val="20"/>
                <w:szCs w:val="20"/>
                <w:color w:val="auto"/>
              </w:rPr>
            </w:pPr>
            <w:r>
              <w:rPr>
                <w:rFonts w:ascii="Arial" w:cs="Arial" w:eastAsia="Arial" w:hAnsi="Arial"/>
                <w:sz w:val="16"/>
                <w:szCs w:val="16"/>
                <w:color w:val="auto"/>
              </w:rPr>
              <w:t>Polish zloty</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45"/>
              <w:spacing w:after="0"/>
              <w:rPr>
                <w:sz w:val="20"/>
                <w:szCs w:val="20"/>
                <w:color w:val="auto"/>
              </w:rPr>
            </w:pPr>
            <w:r>
              <w:rPr>
                <w:rFonts w:ascii="Arial" w:cs="Arial" w:eastAsia="Arial" w:hAnsi="Arial"/>
                <w:sz w:val="16"/>
                <w:szCs w:val="16"/>
                <w:color w:val="auto"/>
              </w:rPr>
              <w:t>3.9544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jc w:val="right"/>
              <w:ind w:right="23"/>
              <w:spacing w:after="0"/>
              <w:rPr>
                <w:sz w:val="20"/>
                <w:szCs w:val="20"/>
                <w:color w:val="auto"/>
              </w:rPr>
            </w:pPr>
            <w:r>
              <w:rPr>
                <w:rFonts w:ascii="Arial" w:cs="Arial" w:eastAsia="Arial" w:hAnsi="Arial"/>
                <w:sz w:val="16"/>
                <w:szCs w:val="16"/>
                <w:color w:val="auto"/>
              </w:rPr>
              <w:t>3.7906</w:t>
            </w:r>
          </w:p>
        </w:tc>
        <w:tc>
          <w:tcPr>
            <w:tcW w:w="0" w:type="dxa"/>
            <w:vAlign w:val="bottom"/>
          </w:tcPr>
          <w:p>
            <w:pPr>
              <w:spacing w:after="0"/>
              <w:rPr>
                <w:sz w:val="1"/>
                <w:szCs w:val="1"/>
                <w:color w:val="auto"/>
              </w:rPr>
            </w:pPr>
          </w:p>
        </w:tc>
      </w:tr>
      <w:tr>
        <w:trPr>
          <w:trHeight w:val="508"/>
        </w:trPr>
        <w:tc>
          <w:tcPr>
            <w:tcW w:w="5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gridSpan w:val="3"/>
          </w:tcPr>
          <w:p>
            <w:pPr>
              <w:jc w:val="center"/>
              <w:ind w:left="765"/>
              <w:spacing w:after="0"/>
              <w:rPr>
                <w:sz w:val="20"/>
                <w:szCs w:val="20"/>
                <w:color w:val="auto"/>
              </w:rPr>
            </w:pPr>
            <w:r>
              <w:rPr>
                <w:rFonts w:ascii="Arial" w:cs="Arial" w:eastAsia="Arial" w:hAnsi="Arial"/>
                <w:sz w:val="14"/>
                <w:szCs w:val="14"/>
                <w:b w:val="1"/>
                <w:bCs w:val="1"/>
                <w:color w:val="auto"/>
                <w:w w:val="87"/>
              </w:rPr>
              <w:t>Six months ended</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5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80" w:type="dxa"/>
            <w:vAlign w:val="bottom"/>
            <w:gridSpan w:val="3"/>
          </w:tcPr>
          <w:p>
            <w:pPr>
              <w:ind w:left="360"/>
              <w:spacing w:after="0"/>
              <w:rPr>
                <w:sz w:val="20"/>
                <w:szCs w:val="20"/>
                <w:color w:val="auto"/>
              </w:rPr>
            </w:pPr>
            <w:r>
              <w:rPr>
                <w:rFonts w:ascii="Arial" w:cs="Arial" w:eastAsia="Arial" w:hAnsi="Arial"/>
                <w:sz w:val="14"/>
                <w:szCs w:val="14"/>
                <w:b w:val="1"/>
                <w:bCs w:val="1"/>
                <w:color w:val="auto"/>
              </w:rPr>
              <w:t>June 30,</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gridSpan w:val="3"/>
          </w:tcPr>
          <w:p>
            <w:pPr>
              <w:jc w:val="center"/>
              <w:ind w:left="765"/>
              <w:spacing w:after="0"/>
              <w:rPr>
                <w:sz w:val="20"/>
                <w:szCs w:val="20"/>
                <w:color w:val="auto"/>
              </w:rPr>
            </w:pPr>
            <w:r>
              <w:rPr>
                <w:rFonts w:ascii="Arial" w:cs="Arial" w:eastAsia="Arial" w:hAnsi="Arial"/>
                <w:sz w:val="14"/>
                <w:szCs w:val="14"/>
                <w:b w:val="1"/>
                <w:bCs w:val="1"/>
                <w:color w:val="auto"/>
                <w:w w:val="89"/>
              </w:rPr>
              <w:t>June 30,</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55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6340" w:type="dxa"/>
            <w:vAlign w:val="bottom"/>
            <w:gridSpan w:val="2"/>
          </w:tcPr>
          <w:p>
            <w:pPr>
              <w:ind w:left="6060"/>
              <w:spacing w:after="0"/>
              <w:rPr>
                <w:sz w:val="20"/>
                <w:szCs w:val="20"/>
                <w:color w:val="auto"/>
              </w:rPr>
            </w:pPr>
            <w:r>
              <w:rPr>
                <w:rFonts w:ascii="Arial" w:cs="Arial" w:eastAsia="Arial" w:hAnsi="Arial"/>
                <w:sz w:val="14"/>
                <w:szCs w:val="14"/>
                <w:b w:val="1"/>
                <w:bCs w:val="1"/>
                <w:color w:val="auto"/>
                <w:w w:val="83"/>
              </w:rPr>
              <w:t>2020</w:t>
            </w:r>
          </w:p>
        </w:tc>
        <w:tc>
          <w:tcPr>
            <w:tcW w:w="1480" w:type="dxa"/>
            <w:vAlign w:val="bottom"/>
            <w:gridSpan w:val="3"/>
          </w:tcPr>
          <w:p>
            <w:pPr>
              <w:ind w:left="1200"/>
              <w:spacing w:after="0"/>
              <w:rPr>
                <w:sz w:val="20"/>
                <w:szCs w:val="20"/>
                <w:color w:val="auto"/>
              </w:rPr>
            </w:pPr>
            <w:r>
              <w:rPr>
                <w:rFonts w:ascii="Arial" w:cs="Arial" w:eastAsia="Arial" w:hAnsi="Arial"/>
                <w:sz w:val="14"/>
                <w:szCs w:val="14"/>
                <w:b w:val="1"/>
                <w:bCs w:val="1"/>
                <w:color w:val="auto"/>
                <w:w w:val="83"/>
              </w:rPr>
              <w:t>2019</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ind w:right="46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jc w:val="right"/>
              <w:ind w:right="463"/>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8"/>
        </w:trPr>
        <w:tc>
          <w:tcPr>
            <w:tcW w:w="5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Average rates:</w:t>
            </w: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552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1"/>
        </w:trPr>
        <w:tc>
          <w:tcPr>
            <w:tcW w:w="5520" w:type="dxa"/>
            <w:vAlign w:val="bottom"/>
          </w:tcPr>
          <w:p>
            <w:pPr>
              <w:spacing w:after="0"/>
              <w:rPr>
                <w:sz w:val="4"/>
                <w:szCs w:val="4"/>
                <w:color w:val="auto"/>
              </w:rPr>
            </w:pPr>
          </w:p>
        </w:tc>
        <w:tc>
          <w:tcPr>
            <w:tcW w:w="8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6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Euro</w:t>
            </w:r>
          </w:p>
        </w:tc>
        <w:tc>
          <w:tcPr>
            <w:tcW w:w="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0.9086</w:t>
            </w: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81"/>
              </w:rPr>
              <w:t>0.8898</w:t>
            </w:r>
          </w:p>
        </w:tc>
        <w:tc>
          <w:tcPr>
            <w:tcW w:w="1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0.9080</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0.8853</w:t>
            </w:r>
          </w:p>
        </w:tc>
        <w:tc>
          <w:tcPr>
            <w:tcW w:w="0" w:type="dxa"/>
            <w:vAlign w:val="bottom"/>
          </w:tcPr>
          <w:p>
            <w:pPr>
              <w:spacing w:after="0"/>
              <w:rPr>
                <w:sz w:val="1"/>
                <w:szCs w:val="1"/>
                <w:color w:val="auto"/>
              </w:rPr>
            </w:pPr>
          </w:p>
        </w:tc>
      </w:tr>
      <w:tr>
        <w:trPr>
          <w:trHeight w:val="209"/>
        </w:trPr>
        <w:tc>
          <w:tcPr>
            <w:tcW w:w="6340" w:type="dxa"/>
            <w:vAlign w:val="bottom"/>
            <w:gridSpan w:val="2"/>
          </w:tcPr>
          <w:p>
            <w:pPr>
              <w:ind w:left="140"/>
              <w:spacing w:after="0"/>
              <w:rPr>
                <w:sz w:val="20"/>
                <w:szCs w:val="20"/>
                <w:color w:val="auto"/>
              </w:rPr>
            </w:pPr>
            <w:r>
              <w:rPr>
                <w:rFonts w:ascii="Arial" w:cs="Arial" w:eastAsia="Arial" w:hAnsi="Arial"/>
                <w:sz w:val="16"/>
                <w:szCs w:val="16"/>
                <w:color w:val="auto"/>
              </w:rPr>
              <w:t>British pound sterling</w:t>
            </w:r>
          </w:p>
        </w:tc>
        <w:tc>
          <w:tcPr>
            <w:tcW w:w="540" w:type="dxa"/>
            <w:vAlign w:val="bottom"/>
          </w:tcPr>
          <w:p>
            <w:pPr>
              <w:spacing w:after="0"/>
              <w:rPr>
                <w:sz w:val="20"/>
                <w:szCs w:val="20"/>
                <w:color w:val="auto"/>
              </w:rPr>
            </w:pPr>
            <w:r>
              <w:rPr>
                <w:rFonts w:ascii="Arial" w:cs="Arial" w:eastAsia="Arial" w:hAnsi="Arial"/>
                <w:sz w:val="16"/>
                <w:szCs w:val="16"/>
                <w:color w:val="auto"/>
              </w:rPr>
              <w:t>0.8057</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jc w:val="right"/>
              <w:ind w:right="42"/>
              <w:spacing w:after="0"/>
              <w:rPr>
                <w:sz w:val="20"/>
                <w:szCs w:val="20"/>
                <w:color w:val="auto"/>
              </w:rPr>
            </w:pPr>
            <w:r>
              <w:rPr>
                <w:rFonts w:ascii="Arial" w:cs="Arial" w:eastAsia="Arial" w:hAnsi="Arial"/>
                <w:sz w:val="16"/>
                <w:szCs w:val="16"/>
                <w:color w:val="auto"/>
                <w:w w:val="81"/>
              </w:rPr>
              <w:t>0.7783</w:t>
            </w:r>
          </w:p>
        </w:tc>
        <w:tc>
          <w:tcPr>
            <w:tcW w:w="120" w:type="dxa"/>
            <w:vAlign w:val="bottom"/>
          </w:tcPr>
          <w:p>
            <w:pPr>
              <w:spacing w:after="0"/>
              <w:rPr>
                <w:sz w:val="18"/>
                <w:szCs w:val="18"/>
                <w:color w:val="auto"/>
              </w:rPr>
            </w:pPr>
          </w:p>
        </w:tc>
        <w:tc>
          <w:tcPr>
            <w:tcW w:w="1340" w:type="dxa"/>
            <w:vAlign w:val="bottom"/>
          </w:tcPr>
          <w:p>
            <w:pPr>
              <w:jc w:val="right"/>
              <w:ind w:right="45"/>
              <w:spacing w:after="0"/>
              <w:rPr>
                <w:sz w:val="20"/>
                <w:szCs w:val="20"/>
                <w:color w:val="auto"/>
              </w:rPr>
            </w:pPr>
            <w:r>
              <w:rPr>
                <w:rFonts w:ascii="Arial" w:cs="Arial" w:eastAsia="Arial" w:hAnsi="Arial"/>
                <w:sz w:val="16"/>
                <w:szCs w:val="16"/>
                <w:color w:val="auto"/>
              </w:rPr>
              <w:t>0.7938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jc w:val="right"/>
              <w:ind w:right="23"/>
              <w:spacing w:after="0"/>
              <w:rPr>
                <w:sz w:val="20"/>
                <w:szCs w:val="20"/>
                <w:color w:val="auto"/>
              </w:rPr>
            </w:pPr>
            <w:r>
              <w:rPr>
                <w:rFonts w:ascii="Arial" w:cs="Arial" w:eastAsia="Arial" w:hAnsi="Arial"/>
                <w:sz w:val="16"/>
                <w:szCs w:val="16"/>
                <w:color w:val="auto"/>
              </w:rPr>
              <w:t>0.7731</w:t>
            </w:r>
          </w:p>
        </w:tc>
        <w:tc>
          <w:tcPr>
            <w:tcW w:w="0" w:type="dxa"/>
            <w:vAlign w:val="bottom"/>
          </w:tcPr>
          <w:p>
            <w:pPr>
              <w:spacing w:after="0"/>
              <w:rPr>
                <w:sz w:val="1"/>
                <w:szCs w:val="1"/>
                <w:color w:val="auto"/>
              </w:rPr>
            </w:pPr>
          </w:p>
        </w:tc>
      </w:tr>
      <w:tr>
        <w:trPr>
          <w:trHeight w:val="24"/>
        </w:trPr>
        <w:tc>
          <w:tcPr>
            <w:tcW w:w="5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6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Swiss franc</w:t>
            </w:r>
          </w:p>
        </w:tc>
        <w:tc>
          <w:tcPr>
            <w:tcW w:w="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0.9639</w:t>
            </w: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81"/>
              </w:rPr>
              <w:t>1.0023</w:t>
            </w:r>
          </w:p>
        </w:tc>
        <w:tc>
          <w:tcPr>
            <w:tcW w:w="1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0.9661</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0.9998</w:t>
            </w:r>
          </w:p>
        </w:tc>
        <w:tc>
          <w:tcPr>
            <w:tcW w:w="0" w:type="dxa"/>
            <w:vAlign w:val="bottom"/>
          </w:tcPr>
          <w:p>
            <w:pPr>
              <w:spacing w:after="0"/>
              <w:rPr>
                <w:sz w:val="1"/>
                <w:szCs w:val="1"/>
                <w:color w:val="auto"/>
              </w:rPr>
            </w:pPr>
          </w:p>
        </w:tc>
      </w:tr>
      <w:tr>
        <w:trPr>
          <w:trHeight w:val="209"/>
        </w:trPr>
        <w:tc>
          <w:tcPr>
            <w:tcW w:w="6340" w:type="dxa"/>
            <w:vAlign w:val="bottom"/>
            <w:gridSpan w:val="2"/>
          </w:tcPr>
          <w:p>
            <w:pPr>
              <w:ind w:left="140"/>
              <w:spacing w:after="0"/>
              <w:rPr>
                <w:sz w:val="20"/>
                <w:szCs w:val="20"/>
                <w:color w:val="auto"/>
              </w:rPr>
            </w:pPr>
            <w:r>
              <w:rPr>
                <w:rFonts w:ascii="Arial" w:cs="Arial" w:eastAsia="Arial" w:hAnsi="Arial"/>
                <w:sz w:val="16"/>
                <w:szCs w:val="16"/>
                <w:color w:val="auto"/>
              </w:rPr>
              <w:t>Polish zloty</w:t>
            </w:r>
          </w:p>
        </w:tc>
        <w:tc>
          <w:tcPr>
            <w:tcW w:w="540" w:type="dxa"/>
            <w:vAlign w:val="bottom"/>
          </w:tcPr>
          <w:p>
            <w:pPr>
              <w:spacing w:after="0"/>
              <w:rPr>
                <w:sz w:val="20"/>
                <w:szCs w:val="20"/>
                <w:color w:val="auto"/>
              </w:rPr>
            </w:pPr>
            <w:r>
              <w:rPr>
                <w:rFonts w:ascii="Arial" w:cs="Arial" w:eastAsia="Arial" w:hAnsi="Arial"/>
                <w:sz w:val="16"/>
                <w:szCs w:val="16"/>
                <w:color w:val="auto"/>
              </w:rPr>
              <w:t>4.0944</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jc w:val="right"/>
              <w:ind w:right="42"/>
              <w:spacing w:after="0"/>
              <w:rPr>
                <w:sz w:val="20"/>
                <w:szCs w:val="20"/>
                <w:color w:val="auto"/>
              </w:rPr>
            </w:pPr>
            <w:r>
              <w:rPr>
                <w:rFonts w:ascii="Arial" w:cs="Arial" w:eastAsia="Arial" w:hAnsi="Arial"/>
                <w:sz w:val="16"/>
                <w:szCs w:val="16"/>
                <w:color w:val="auto"/>
                <w:w w:val="81"/>
              </w:rPr>
              <w:t>3.8092</w:t>
            </w:r>
          </w:p>
        </w:tc>
        <w:tc>
          <w:tcPr>
            <w:tcW w:w="120" w:type="dxa"/>
            <w:vAlign w:val="bottom"/>
          </w:tcPr>
          <w:p>
            <w:pPr>
              <w:spacing w:after="0"/>
              <w:rPr>
                <w:sz w:val="18"/>
                <w:szCs w:val="18"/>
                <w:color w:val="auto"/>
              </w:rPr>
            </w:pPr>
          </w:p>
        </w:tc>
        <w:tc>
          <w:tcPr>
            <w:tcW w:w="1340" w:type="dxa"/>
            <w:vAlign w:val="bottom"/>
          </w:tcPr>
          <w:p>
            <w:pPr>
              <w:jc w:val="right"/>
              <w:ind w:right="45"/>
              <w:spacing w:after="0"/>
              <w:rPr>
                <w:sz w:val="20"/>
                <w:szCs w:val="20"/>
                <w:color w:val="auto"/>
              </w:rPr>
            </w:pPr>
            <w:r>
              <w:rPr>
                <w:rFonts w:ascii="Arial" w:cs="Arial" w:eastAsia="Arial" w:hAnsi="Arial"/>
                <w:sz w:val="16"/>
                <w:szCs w:val="16"/>
                <w:color w:val="auto"/>
              </w:rPr>
              <w:t>4.0082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jc w:val="right"/>
              <w:ind w:right="23"/>
              <w:spacing w:after="0"/>
              <w:rPr>
                <w:sz w:val="20"/>
                <w:szCs w:val="20"/>
                <w:color w:val="auto"/>
              </w:rPr>
            </w:pPr>
            <w:r>
              <w:rPr>
                <w:rFonts w:ascii="Arial" w:cs="Arial" w:eastAsia="Arial" w:hAnsi="Arial"/>
                <w:sz w:val="16"/>
                <w:szCs w:val="16"/>
                <w:color w:val="auto"/>
              </w:rPr>
              <w:t>3.7992</w:t>
            </w:r>
          </w:p>
        </w:tc>
        <w:tc>
          <w:tcPr>
            <w:tcW w:w="0" w:type="dxa"/>
            <w:vAlign w:val="bottom"/>
          </w:tcPr>
          <w:p>
            <w:pPr>
              <w:spacing w:after="0"/>
              <w:rPr>
                <w:sz w:val="1"/>
                <w:szCs w:val="1"/>
                <w:color w:val="auto"/>
              </w:rPr>
            </w:pPr>
          </w:p>
        </w:tc>
      </w:tr>
      <w:tr>
        <w:trPr>
          <w:trHeight w:val="396"/>
        </w:trPr>
        <w:tc>
          <w:tcPr>
            <w:tcW w:w="6340" w:type="dxa"/>
            <w:vAlign w:val="bottom"/>
            <w:gridSpan w:val="2"/>
          </w:tcPr>
          <w:p>
            <w:pPr>
              <w:ind w:left="5540"/>
              <w:spacing w:after="0"/>
              <w:rPr>
                <w:sz w:val="20"/>
                <w:szCs w:val="20"/>
                <w:color w:val="auto"/>
              </w:rPr>
            </w:pPr>
            <w:r>
              <w:rPr>
                <w:rFonts w:ascii="Arial" w:cs="Arial" w:eastAsia="Arial" w:hAnsi="Arial"/>
                <w:sz w:val="16"/>
                <w:szCs w:val="16"/>
                <w:color w:val="auto"/>
              </w:rPr>
              <w:t>82</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309" w:right="319" w:bottom="1440" w:gutter="0" w:footer="0" w:header="0"/>
        </w:sectPr>
      </w:pPr>
    </w:p>
    <w:bookmarkStart w:id="84" w:name="page85"/>
    <w:bookmarkEnd w:id="84"/>
    <w:p>
      <w:pPr>
        <w:ind w:left="140"/>
        <w:spacing w:after="0"/>
        <w:rPr>
          <w:sz w:val="20"/>
          <w:szCs w:val="20"/>
          <w:color w:val="auto"/>
        </w:rPr>
      </w:pPr>
      <w:r>
        <w:rPr>
          <w:rFonts w:ascii="Arial" w:cs="Arial" w:eastAsia="Arial" w:hAnsi="Arial"/>
          <w:sz w:val="16"/>
          <w:szCs w:val="16"/>
          <w:b w:val="1"/>
          <w:bCs w:val="1"/>
          <w:i w:val="1"/>
          <w:iCs w:val="1"/>
          <w:color w:val="auto"/>
        </w:rPr>
        <w:t>Interest Rate Risks</w:t>
      </w:r>
    </w:p>
    <w:p>
      <w:pPr>
        <w:spacing w:after="0" w:line="188" w:lineRule="exact"/>
        <w:rPr>
          <w:sz w:val="20"/>
          <w:szCs w:val="20"/>
          <w:color w:val="auto"/>
        </w:rPr>
      </w:pPr>
    </w:p>
    <w:p>
      <w:pPr>
        <w:jc w:val="both"/>
        <w:ind w:firstLine="279"/>
        <w:spacing w:after="0" w:line="250" w:lineRule="auto"/>
        <w:rPr>
          <w:sz w:val="20"/>
          <w:szCs w:val="20"/>
          <w:color w:val="auto"/>
        </w:rPr>
      </w:pPr>
      <w:r>
        <w:rPr>
          <w:rFonts w:ascii="Arial" w:cs="Arial" w:eastAsia="Arial" w:hAnsi="Arial"/>
          <w:sz w:val="16"/>
          <w:szCs w:val="16"/>
          <w:color w:val="auto"/>
        </w:rPr>
        <w:t>We are exposed to changes in interest rates primarily as a result of our borrowing activities, which include fixed-rate and variable-rate borrowings by our borrowing groups. Our primary exposure to variable-rate debt is through the EURIBOR-indexed and LIBOR-indexed debt of our borrowing groups and the variable-rate debt of certain of our other subsidiaries.</w:t>
      </w:r>
    </w:p>
    <w:p>
      <w:pPr>
        <w:spacing w:after="0" w:line="170" w:lineRule="exact"/>
        <w:rPr>
          <w:sz w:val="20"/>
          <w:szCs w:val="20"/>
          <w:color w:val="auto"/>
        </w:rPr>
      </w:pPr>
    </w:p>
    <w:p>
      <w:pPr>
        <w:jc w:val="both"/>
        <w:ind w:firstLine="279"/>
        <w:spacing w:after="0" w:line="284" w:lineRule="auto"/>
        <w:rPr>
          <w:sz w:val="20"/>
          <w:szCs w:val="20"/>
          <w:color w:val="auto"/>
        </w:rPr>
      </w:pPr>
      <w:r>
        <w:rPr>
          <w:rFonts w:ascii="Arial" w:cs="Arial" w:eastAsia="Arial" w:hAnsi="Arial"/>
          <w:sz w:val="14"/>
          <w:szCs w:val="14"/>
          <w:color w:val="auto"/>
        </w:rPr>
        <w:t>In general, we enter into derivative instruments to protect against increases in the interest rates on our variable-rate debt. Accordingly, we have entered into various derivative transactions to manage exposure to increases in interest rates. We use interest rate derivative contracts to exchange, at specified intervals, the difference between fixed and variable interest rates calculated by reference to an agreed-upon notional principal amount. We also use interest rate cap and collar agreements and swaptions that lock in a maximum interest rate if variable rates rise, but also allow our company to benefit, to a limited extent in the case of collars, from declines in market rates. Under our current guidelines, we use various interest rate derivative instruments to mitigate interest rate risk, generally for five years, with the later years covered primarily by swaptions. As such, the final maturity dates of our various portfolios of interest rate derivative instruments generally fall short of the respective maturities of the underlying variable-rate debt. In this regard, we use judgment to determine the appropriate composition and maturity dates of our portfolios of interest rate derivative instruments, taking into account the relative costs and benefits of different maturity profiles in light of current and expected future market conditions, liquidity issues and other factors. For additional information concerning the impacts of these interest rate derivative instruments, see note 6 to our condensed consolidated financial statements.</w:t>
      </w:r>
    </w:p>
    <w:p>
      <w:pPr>
        <w:spacing w:after="0" w:line="147" w:lineRule="exact"/>
        <w:rPr>
          <w:sz w:val="20"/>
          <w:szCs w:val="20"/>
          <w:color w:val="auto"/>
        </w:rPr>
      </w:pPr>
    </w:p>
    <w:p>
      <w:pPr>
        <w:jc w:val="both"/>
        <w:ind w:firstLine="279"/>
        <w:spacing w:after="0" w:line="282" w:lineRule="auto"/>
        <w:rPr>
          <w:sz w:val="20"/>
          <w:szCs w:val="20"/>
          <w:color w:val="auto"/>
        </w:rPr>
      </w:pPr>
      <w:r>
        <w:rPr>
          <w:rFonts w:ascii="Arial" w:cs="Arial" w:eastAsia="Arial" w:hAnsi="Arial"/>
          <w:sz w:val="14"/>
          <w:szCs w:val="14"/>
          <w:color w:val="auto"/>
        </w:rPr>
        <w:t>In July 2017, the U.K. Financial Conduct Authority (the authority that regulates LIBOR) announced that it intends to stop compelling banks to submit rates for the calculation of LIBOR after 2021. Additionally, the European Money Markets Institute (the authority that administers EURIBOR) has announced that measures will need to be undertaken by the end of 2021 to reform EURIBOR to ensure compliance with E.U. Benchmarks Regulation. Currently, it is not possible to predict the exact transitional arrangements for calculating applicable reference rates that may be made in the U.K., the U.S., the Eurozone or elsewhere given that a number of outcomes are possible, including the cessation of the publication of one or more reference rates. Our loan documents contain provisions that contemplate alternative calculations of the base rate applicable to our LIBOR-indexed and EURIBOR-indexed debt to the extent LIBOR or EURIBOR (as applicable) are not available, which alternative calculations we do not anticipate will be materially different from what would have been calculated under LIBOR or EURIBOR (as applicable). Additionally, no mandatory prepayment or redemption provisions would be triggered under our loan documents in the event that either the LIBOR rate or the EURIBOR rate is not available. It is possible, however, that any new reference rate that applies to our LIBOR-indexed or EURIBOR-indexed debt could be different than any new reference rate that applies to our LIBOR-indexed or EURIBOR-indexed derivative instruments. We anticipate managing this difference and any resulting increased variable-rate exposure through modifications to our debt and/or derivative instruments, however future market conditions may not allow immediate implementation of desired modifications and the company may incur significant associated costs.</w:t>
      </w:r>
    </w:p>
    <w:p>
      <w:pPr>
        <w:spacing w:after="0" w:line="153" w:lineRule="exact"/>
        <w:rPr>
          <w:sz w:val="20"/>
          <w:szCs w:val="20"/>
          <w:color w:val="auto"/>
        </w:rPr>
      </w:pPr>
    </w:p>
    <w:p>
      <w:pPr>
        <w:jc w:val="both"/>
        <w:ind w:firstLine="279"/>
        <w:spacing w:after="0" w:line="284" w:lineRule="auto"/>
        <w:rPr>
          <w:sz w:val="20"/>
          <w:szCs w:val="20"/>
          <w:color w:val="auto"/>
        </w:rPr>
      </w:pPr>
      <w:r>
        <w:rPr>
          <w:rFonts w:ascii="Arial" w:cs="Arial" w:eastAsia="Arial" w:hAnsi="Arial"/>
          <w:sz w:val="14"/>
          <w:szCs w:val="14"/>
          <w:i w:val="1"/>
          <w:iCs w:val="1"/>
          <w:color w:val="auto"/>
        </w:rPr>
        <w:t xml:space="preserve">Weighted Average Variable Interest Rate. </w:t>
      </w:r>
      <w:r>
        <w:rPr>
          <w:rFonts w:ascii="Arial" w:cs="Arial" w:eastAsia="Arial" w:hAnsi="Arial"/>
          <w:sz w:val="14"/>
          <w:szCs w:val="14"/>
          <w:color w:val="auto"/>
        </w:rPr>
        <w:t>At June 30, 2020, the outstanding principal amount of our variable-rate indebtedness aggregated $6.3 billion, and the weighted average</w:t>
      </w:r>
      <w:r>
        <w:rPr>
          <w:rFonts w:ascii="Arial" w:cs="Arial" w:eastAsia="Arial" w:hAnsi="Arial"/>
          <w:sz w:val="14"/>
          <w:szCs w:val="14"/>
          <w:i w:val="1"/>
          <w:iCs w:val="1"/>
          <w:color w:val="auto"/>
        </w:rPr>
        <w:t xml:space="preserve"> </w:t>
      </w:r>
      <w:r>
        <w:rPr>
          <w:rFonts w:ascii="Arial" w:cs="Arial" w:eastAsia="Arial" w:hAnsi="Arial"/>
          <w:sz w:val="14"/>
          <w:szCs w:val="14"/>
          <w:color w:val="auto"/>
        </w:rPr>
        <w:t>interest rate (including margin) on such variable-rate indebtedness was approximately 2.5%, excluding the effects of interest rate derivative contracts, deferred financing costs, original issue premiums or discounts and commitment fees, all of which affect our overall cost of borrowing. Assuming no change in the amount outstanding, and without giving effect to any interest rate derivative contracts, deferred financing costs, original issue premiums or discounts and commitment fees, a hypothetical 50 basis point (0.50%) increase (decrease) in our weighted average variable interest rate would increase (decrease) our annual consolidated interest expense and cash outflows by $31.5 million. As discussed above and in note 6 to our condensed consolidated financial statements, we use interest rate derivative contracts to manage our exposure to increases in variable interest rates. In this regard, increases in the fair value of these contracts generally would be expected to offset most of the economic impact of increases in the variable interest rates applicable to our indebtedness to the extent and during the period that principal amounts are matched with interest rate derivative contracts.</w:t>
      </w:r>
    </w:p>
    <w:p>
      <w:pPr>
        <w:spacing w:after="0" w:line="151"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Sensitivity Information</w:t>
      </w:r>
    </w:p>
    <w:p>
      <w:pPr>
        <w:spacing w:after="0" w:line="188" w:lineRule="exact"/>
        <w:rPr>
          <w:sz w:val="20"/>
          <w:szCs w:val="20"/>
          <w:color w:val="auto"/>
        </w:rPr>
      </w:pPr>
    </w:p>
    <w:p>
      <w:pPr>
        <w:jc w:val="both"/>
        <w:ind w:firstLine="279"/>
        <w:spacing w:after="0" w:line="250" w:lineRule="auto"/>
        <w:rPr>
          <w:sz w:val="20"/>
          <w:szCs w:val="20"/>
          <w:color w:val="auto"/>
        </w:rPr>
      </w:pPr>
      <w:r>
        <w:rPr>
          <w:rFonts w:ascii="Arial" w:cs="Arial" w:eastAsia="Arial" w:hAnsi="Arial"/>
          <w:sz w:val="16"/>
          <w:szCs w:val="16"/>
          <w:color w:val="auto"/>
        </w:rPr>
        <w:t>Information concerning the sensitivity of the fair value of certain of our more significant derivative instruments to changes in market conditions is set forth below. The potential changes in fair value set forth below do not include any amounts associated with the remeasurement of the derivative asset or liability into the applicable functional currency. For additional information, see notes 6 and 7 to our condensed consolidated financial statements.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260"/>
          </w:cols>
          <w:pgMar w:left="320" w:top="315" w:right="319" w:bottom="1440" w:gutter="0" w:footer="0" w:header="0"/>
        </w:sectPr>
      </w:pPr>
    </w:p>
    <w:bookmarkStart w:id="85" w:name="page86"/>
    <w:bookmarkEnd w:id="85"/>
    <w:p>
      <w:pPr>
        <w:ind w:left="287"/>
        <w:spacing w:after="0"/>
        <w:rPr>
          <w:sz w:val="20"/>
          <w:szCs w:val="20"/>
          <w:color w:val="auto"/>
        </w:rPr>
      </w:pPr>
      <w:r>
        <w:rPr>
          <w:rFonts w:ascii="Arial" w:cs="Arial" w:eastAsia="Arial" w:hAnsi="Arial"/>
          <w:sz w:val="16"/>
          <w:szCs w:val="16"/>
          <w:i w:val="1"/>
          <w:iCs w:val="1"/>
          <w:color w:val="auto"/>
        </w:rPr>
        <w:t>UPC Holding Cross-currency and Interest Rate Derivative Contracts</w:t>
      </w:r>
    </w:p>
    <w:p>
      <w:pPr>
        <w:spacing w:after="0" w:line="188" w:lineRule="exact"/>
        <w:rPr>
          <w:sz w:val="20"/>
          <w:szCs w:val="20"/>
          <w:color w:val="auto"/>
        </w:rPr>
      </w:pPr>
    </w:p>
    <w:p>
      <w:pPr>
        <w:ind w:left="287"/>
        <w:spacing w:after="0"/>
        <w:rPr>
          <w:sz w:val="20"/>
          <w:szCs w:val="20"/>
          <w:color w:val="auto"/>
        </w:rPr>
      </w:pPr>
      <w:r>
        <w:rPr>
          <w:rFonts w:ascii="Arial" w:cs="Arial" w:eastAsia="Arial" w:hAnsi="Arial"/>
          <w:sz w:val="16"/>
          <w:szCs w:val="16"/>
          <w:color w:val="auto"/>
        </w:rPr>
        <w:t>Holding all other factors constant, at June 30, 2020:</w:t>
      </w:r>
    </w:p>
    <w:p>
      <w:pPr>
        <w:spacing w:after="0" w:line="188" w:lineRule="exact"/>
        <w:rPr>
          <w:sz w:val="20"/>
          <w:szCs w:val="20"/>
          <w:color w:val="auto"/>
        </w:rPr>
      </w:pPr>
    </w:p>
    <w:p>
      <w:pPr>
        <w:ind w:left="707" w:hanging="428"/>
        <w:spacing w:after="0" w:line="258" w:lineRule="auto"/>
        <w:tabs>
          <w:tab w:leader="none" w:pos="707" w:val="left"/>
        </w:tabs>
        <w:numPr>
          <w:ilvl w:val="0"/>
          <w:numId w:val="74"/>
        </w:numPr>
        <w:rPr>
          <w:rFonts w:ascii="Arial" w:cs="Arial" w:eastAsia="Arial" w:hAnsi="Arial"/>
          <w:sz w:val="16"/>
          <w:szCs w:val="16"/>
          <w:color w:val="auto"/>
        </w:rPr>
      </w:pPr>
      <w:r>
        <w:rPr>
          <w:rFonts w:ascii="Arial" w:cs="Arial" w:eastAsia="Arial" w:hAnsi="Arial"/>
          <w:sz w:val="16"/>
          <w:szCs w:val="16"/>
          <w:color w:val="auto"/>
        </w:rPr>
        <w:t>an instantaneous increase (decrease) of 10% in the value of the Swiss franc and Polish zloty relative to the euro would have decreased (increased) the aggregate fair value of the UPC Holding cross-currency and interest rate derivative contracts by approximately €300 million ($337 million); and</w:t>
      </w:r>
    </w:p>
    <w:p>
      <w:pPr>
        <w:spacing w:after="0" w:line="162" w:lineRule="exact"/>
        <w:rPr>
          <w:rFonts w:ascii="Arial" w:cs="Arial" w:eastAsia="Arial" w:hAnsi="Arial"/>
          <w:sz w:val="16"/>
          <w:szCs w:val="16"/>
          <w:color w:val="auto"/>
        </w:rPr>
      </w:pPr>
    </w:p>
    <w:p>
      <w:pPr>
        <w:ind w:left="707" w:hanging="428"/>
        <w:spacing w:after="0" w:line="258" w:lineRule="auto"/>
        <w:tabs>
          <w:tab w:leader="none" w:pos="707" w:val="left"/>
        </w:tabs>
        <w:numPr>
          <w:ilvl w:val="0"/>
          <w:numId w:val="74"/>
        </w:numPr>
        <w:rPr>
          <w:rFonts w:ascii="Arial" w:cs="Arial" w:eastAsia="Arial" w:hAnsi="Arial"/>
          <w:sz w:val="16"/>
          <w:szCs w:val="16"/>
          <w:color w:val="auto"/>
        </w:rPr>
      </w:pPr>
      <w:r>
        <w:rPr>
          <w:rFonts w:ascii="Arial" w:cs="Arial" w:eastAsia="Arial" w:hAnsi="Arial"/>
          <w:sz w:val="16"/>
          <w:szCs w:val="16"/>
          <w:color w:val="auto"/>
        </w:rPr>
        <w:t>an instantaneous increase (decrease) of 10% in the value of the Swiss franc relative to the U.S. dollar would have decreased (increased) the aggregate fair value of the UPC Holding cross-currency and interest rate derivative contracts by approximately €97 million ($109 million).</w:t>
      </w:r>
    </w:p>
    <w:p>
      <w:pPr>
        <w:spacing w:after="0" w:line="163" w:lineRule="exact"/>
        <w:rPr>
          <w:sz w:val="20"/>
          <w:szCs w:val="20"/>
          <w:color w:val="auto"/>
        </w:rPr>
      </w:pPr>
    </w:p>
    <w:p>
      <w:pPr>
        <w:ind w:left="287"/>
        <w:spacing w:after="0"/>
        <w:rPr>
          <w:sz w:val="20"/>
          <w:szCs w:val="20"/>
          <w:color w:val="auto"/>
        </w:rPr>
      </w:pPr>
      <w:r>
        <w:rPr>
          <w:rFonts w:ascii="Arial" w:cs="Arial" w:eastAsia="Arial" w:hAnsi="Arial"/>
          <w:sz w:val="16"/>
          <w:szCs w:val="16"/>
          <w:i w:val="1"/>
          <w:iCs w:val="1"/>
          <w:color w:val="auto"/>
        </w:rPr>
        <w:t>Telenet Cross-currency and Interest Rate Derivative Contracts</w:t>
      </w:r>
    </w:p>
    <w:p>
      <w:pPr>
        <w:spacing w:after="0" w:line="188" w:lineRule="exact"/>
        <w:rPr>
          <w:sz w:val="20"/>
          <w:szCs w:val="20"/>
          <w:color w:val="auto"/>
        </w:rPr>
      </w:pPr>
    </w:p>
    <w:p>
      <w:pPr>
        <w:ind w:left="287"/>
        <w:spacing w:after="0"/>
        <w:rPr>
          <w:sz w:val="20"/>
          <w:szCs w:val="20"/>
          <w:color w:val="auto"/>
        </w:rPr>
      </w:pPr>
      <w:r>
        <w:rPr>
          <w:rFonts w:ascii="Arial" w:cs="Arial" w:eastAsia="Arial" w:hAnsi="Arial"/>
          <w:sz w:val="16"/>
          <w:szCs w:val="16"/>
          <w:color w:val="auto"/>
        </w:rPr>
        <w:t>Holding all other factors constant, at June 30, 2020:</w:t>
      </w:r>
    </w:p>
    <w:p>
      <w:pPr>
        <w:spacing w:after="0" w:line="188" w:lineRule="exact"/>
        <w:rPr>
          <w:sz w:val="20"/>
          <w:szCs w:val="20"/>
          <w:color w:val="auto"/>
        </w:rPr>
      </w:pPr>
    </w:p>
    <w:p>
      <w:pPr>
        <w:ind w:left="707" w:right="20" w:hanging="428"/>
        <w:spacing w:after="0" w:line="258" w:lineRule="auto"/>
        <w:tabs>
          <w:tab w:leader="none" w:pos="707" w:val="left"/>
        </w:tabs>
        <w:numPr>
          <w:ilvl w:val="0"/>
          <w:numId w:val="75"/>
        </w:numPr>
        <w:rPr>
          <w:rFonts w:ascii="Arial" w:cs="Arial" w:eastAsia="Arial" w:hAnsi="Arial"/>
          <w:sz w:val="16"/>
          <w:szCs w:val="16"/>
          <w:color w:val="auto"/>
        </w:rPr>
      </w:pPr>
      <w:r>
        <w:rPr>
          <w:rFonts w:ascii="Arial" w:cs="Arial" w:eastAsia="Arial" w:hAnsi="Arial"/>
          <w:sz w:val="16"/>
          <w:szCs w:val="16"/>
          <w:color w:val="auto"/>
        </w:rPr>
        <w:t>an instantaneous increase (decrease) of 10% in the value of the euro relative to the U.S. dollar would have decreased (increased) the aggregate fair value of the Telenet cross-currency and interest rate derivative contracts by approximately €367 million ($412 million); and</w:t>
      </w:r>
    </w:p>
    <w:p>
      <w:pPr>
        <w:spacing w:after="0" w:line="162" w:lineRule="exact"/>
        <w:rPr>
          <w:rFonts w:ascii="Arial" w:cs="Arial" w:eastAsia="Arial" w:hAnsi="Arial"/>
          <w:sz w:val="16"/>
          <w:szCs w:val="16"/>
          <w:color w:val="auto"/>
        </w:rPr>
      </w:pPr>
    </w:p>
    <w:p>
      <w:pPr>
        <w:ind w:left="707" w:hanging="428"/>
        <w:spacing w:after="0" w:line="258" w:lineRule="auto"/>
        <w:tabs>
          <w:tab w:leader="none" w:pos="707" w:val="left"/>
        </w:tabs>
        <w:numPr>
          <w:ilvl w:val="0"/>
          <w:numId w:val="75"/>
        </w:numPr>
        <w:rPr>
          <w:rFonts w:ascii="Arial" w:cs="Arial" w:eastAsia="Arial" w:hAnsi="Arial"/>
          <w:sz w:val="16"/>
          <w:szCs w:val="16"/>
          <w:color w:val="auto"/>
        </w:rPr>
      </w:pPr>
      <w:r>
        <w:rPr>
          <w:rFonts w:ascii="Arial" w:cs="Arial" w:eastAsia="Arial" w:hAnsi="Arial"/>
          <w:sz w:val="16"/>
          <w:szCs w:val="16"/>
          <w:color w:val="auto"/>
        </w:rPr>
        <w:t>an instantaneous increase (decrease) in the relevant base rate of 50 basis points (0.50%) would have increased (decreased) the aggregate fair value of the Telenet cross-currency and interest rate derivative contracts by approximately €104 million ($117 million).</w:t>
      </w:r>
    </w:p>
    <w:p>
      <w:pPr>
        <w:spacing w:after="0" w:line="163" w:lineRule="exact"/>
        <w:rPr>
          <w:sz w:val="20"/>
          <w:szCs w:val="20"/>
          <w:color w:val="auto"/>
        </w:rPr>
      </w:pPr>
    </w:p>
    <w:p>
      <w:pPr>
        <w:ind w:left="147"/>
        <w:spacing w:after="0"/>
        <w:rPr>
          <w:sz w:val="20"/>
          <w:szCs w:val="20"/>
          <w:color w:val="auto"/>
        </w:rPr>
      </w:pPr>
      <w:r>
        <w:rPr>
          <w:rFonts w:ascii="Arial" w:cs="Arial" w:eastAsia="Arial" w:hAnsi="Arial"/>
          <w:sz w:val="16"/>
          <w:szCs w:val="16"/>
          <w:b w:val="1"/>
          <w:bCs w:val="1"/>
          <w:i w:val="1"/>
          <w:iCs w:val="1"/>
          <w:color w:val="auto"/>
        </w:rPr>
        <w:t>Projected Cash Flows Associated with Derivative Instruments</w:t>
      </w:r>
    </w:p>
    <w:p>
      <w:pPr>
        <w:spacing w:after="0" w:line="188" w:lineRule="exact"/>
        <w:rPr>
          <w:sz w:val="20"/>
          <w:szCs w:val="20"/>
          <w:color w:val="auto"/>
        </w:rPr>
      </w:pPr>
    </w:p>
    <w:p>
      <w:pPr>
        <w:jc w:val="both"/>
        <w:ind w:left="7" w:firstLine="279"/>
        <w:spacing w:after="0" w:line="287" w:lineRule="auto"/>
        <w:rPr>
          <w:sz w:val="20"/>
          <w:szCs w:val="20"/>
          <w:color w:val="auto"/>
        </w:rPr>
      </w:pPr>
      <w:r>
        <w:rPr>
          <w:rFonts w:ascii="Arial" w:cs="Arial" w:eastAsia="Arial" w:hAnsi="Arial"/>
          <w:sz w:val="14"/>
          <w:szCs w:val="14"/>
          <w:color w:val="auto"/>
        </w:rPr>
        <w:t>The following table provides information regarding the projected cash flows associated with our derivative instruments. The U.S. dollar equivalents presented below are based on interest rate projections and exchange rates as of June 30, 2020. These amounts are presented for illustrative purposes only and will likely differ from the actual cash payments or receipts required in future periods. As a result of the held-for-sale presentation of the debt and finance lease obligations of the U.K. JV Entities on our June 30, 2020 condensed consolidated balance sheet, the amounts presented below do not include projected derivative cash flows related to the U.K. JV Entities. For information regarding the held-for-sale presentation of the U.K. JV Entities, see note 4 to our condensed consolidated financial statements. For additional information regarding our derivative instruments, see note 6 to our condensed consolidated financial statements.</w:t>
      </w:r>
    </w:p>
    <w:p>
      <w:pPr>
        <w:spacing w:after="0" w:line="111" w:lineRule="exact"/>
        <w:rPr>
          <w:sz w:val="20"/>
          <w:szCs w:val="20"/>
          <w:color w:val="auto"/>
        </w:rPr>
      </w:pPr>
    </w:p>
    <w:tbl>
      <w:tblPr>
        <w:tblLayout w:type="fixed"/>
        <w:tblInd w:w="7" w:type="dxa"/>
        <w:tblCellMar>
          <w:top w:w="0" w:type="dxa"/>
          <w:left w:w="0" w:type="dxa"/>
          <w:bottom w:w="0" w:type="dxa"/>
          <w:right w:w="0" w:type="dxa"/>
        </w:tblCellMar>
      </w:tblPr>
      <w:tr>
        <w:trPr>
          <w:trHeight w:val="182"/>
        </w:trPr>
        <w:tc>
          <w:tcPr>
            <w:tcW w:w="2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60" w:type="dxa"/>
            <w:vAlign w:val="bottom"/>
            <w:gridSpan w:val="6"/>
          </w:tcPr>
          <w:p>
            <w:pPr>
              <w:jc w:val="right"/>
              <w:spacing w:after="0"/>
              <w:rPr>
                <w:sz w:val="20"/>
                <w:szCs w:val="20"/>
                <w:color w:val="auto"/>
              </w:rPr>
            </w:pPr>
            <w:r>
              <w:rPr>
                <w:rFonts w:ascii="Arial" w:cs="Arial" w:eastAsia="Arial" w:hAnsi="Arial"/>
                <w:sz w:val="14"/>
                <w:szCs w:val="14"/>
                <w:b w:val="1"/>
                <w:bCs w:val="1"/>
                <w:color w:val="auto"/>
                <w:w w:val="99"/>
              </w:rPr>
              <w:t>Payments (receipts) due during:</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27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2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Remainder</w:t>
            </w: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2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of 2020</w:t>
            </w:r>
          </w:p>
        </w:tc>
        <w:tc>
          <w:tcPr>
            <w:tcW w:w="220" w:type="dxa"/>
            <w:vAlign w:val="bottom"/>
          </w:tcPr>
          <w:p>
            <w:pPr>
              <w:spacing w:after="0"/>
              <w:rPr>
                <w:sz w:val="15"/>
                <w:szCs w:val="15"/>
                <w:color w:val="auto"/>
              </w:rPr>
            </w:pPr>
          </w:p>
        </w:tc>
        <w:tc>
          <w:tcPr>
            <w:tcW w:w="700" w:type="dxa"/>
            <w:vAlign w:val="bottom"/>
          </w:tcPr>
          <w:p>
            <w:pPr>
              <w:jc w:val="right"/>
              <w:ind w:right="24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4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4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jc w:val="right"/>
              <w:ind w:right="224"/>
              <w:spacing w:after="0"/>
              <w:rPr>
                <w:sz w:val="20"/>
                <w:szCs w:val="20"/>
                <w:color w:val="auto"/>
              </w:rPr>
            </w:pPr>
            <w:r>
              <w:rPr>
                <w:rFonts w:ascii="Arial" w:cs="Arial" w:eastAsia="Arial" w:hAnsi="Arial"/>
                <w:sz w:val="14"/>
                <w:szCs w:val="14"/>
                <w:b w:val="1"/>
                <w:bCs w:val="1"/>
                <w:color w:val="auto"/>
                <w:w w:val="89"/>
              </w:rPr>
              <w:t>2024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44"/>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Thereafter</w:t>
            </w:r>
          </w:p>
        </w:tc>
        <w:tc>
          <w:tcPr>
            <w:tcW w:w="260" w:type="dxa"/>
            <w:vAlign w:val="bottom"/>
          </w:tcPr>
          <w:p>
            <w:pPr>
              <w:spacing w:after="0"/>
              <w:rPr>
                <w:sz w:val="15"/>
                <w:szCs w:val="15"/>
                <w:color w:val="auto"/>
              </w:rPr>
            </w:pPr>
          </w:p>
        </w:tc>
        <w:tc>
          <w:tcPr>
            <w:tcW w:w="860" w:type="dxa"/>
            <w:vAlign w:val="bottom"/>
          </w:tcPr>
          <w:p>
            <w:pPr>
              <w:jc w:val="right"/>
              <w:ind w:right="32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8"/>
        </w:trPr>
        <w:tc>
          <w:tcPr>
            <w:tcW w:w="27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2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700" w:type="dxa"/>
            <w:vAlign w:val="bottom"/>
          </w:tcPr>
          <w:p>
            <w:pPr>
              <w:ind w:left="20"/>
              <w:spacing w:after="0"/>
              <w:rPr>
                <w:sz w:val="20"/>
                <w:szCs w:val="20"/>
                <w:color w:val="auto"/>
              </w:rPr>
            </w:pPr>
            <w:r>
              <w:rPr>
                <w:rFonts w:ascii="Arial" w:cs="Arial" w:eastAsia="Arial" w:hAnsi="Arial"/>
                <w:sz w:val="16"/>
                <w:szCs w:val="16"/>
                <w:color w:val="auto"/>
              </w:rPr>
              <w:t>Projected derivative cash payments</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700" w:type="dxa"/>
            <w:vAlign w:val="bottom"/>
          </w:tcPr>
          <w:p>
            <w:pPr>
              <w:jc w:val="center"/>
              <w:ind w:right="1402"/>
              <w:spacing w:after="0"/>
              <w:rPr>
                <w:sz w:val="20"/>
                <w:szCs w:val="20"/>
                <w:color w:val="auto"/>
              </w:rPr>
            </w:pPr>
            <w:r>
              <w:rPr>
                <w:rFonts w:ascii="Arial" w:cs="Arial" w:eastAsia="Arial" w:hAnsi="Arial"/>
                <w:sz w:val="16"/>
                <w:szCs w:val="16"/>
                <w:color w:val="auto"/>
                <w:w w:val="87"/>
              </w:rPr>
              <w:t>(receipts), net:</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Interest-related (a)</w:t>
            </w:r>
          </w:p>
        </w:tc>
        <w:tc>
          <w:tcPr>
            <w:tcW w:w="1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49.3</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23.9</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12.3</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(33.1)</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209"/>
        </w:trPr>
        <w:tc>
          <w:tcPr>
            <w:tcW w:w="2700" w:type="dxa"/>
            <w:vAlign w:val="bottom"/>
          </w:tcPr>
          <w:p>
            <w:pPr>
              <w:ind w:left="220"/>
              <w:spacing w:after="0"/>
              <w:rPr>
                <w:sz w:val="20"/>
                <w:szCs w:val="20"/>
                <w:color w:val="auto"/>
              </w:rPr>
            </w:pPr>
            <w:r>
              <w:rPr>
                <w:rFonts w:ascii="Arial" w:cs="Arial" w:eastAsia="Arial" w:hAnsi="Arial"/>
                <w:sz w:val="16"/>
                <w:szCs w:val="16"/>
                <w:color w:val="auto"/>
              </w:rPr>
              <w:t>Principal-related (b)</w:t>
            </w:r>
          </w:p>
        </w:tc>
        <w:tc>
          <w:tcPr>
            <w:tcW w:w="1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45"/>
              <w:spacing w:after="0"/>
              <w:rPr>
                <w:sz w:val="20"/>
                <w:szCs w:val="20"/>
                <w:color w:val="auto"/>
              </w:rPr>
            </w:pPr>
            <w:r>
              <w:rPr>
                <w:rFonts w:ascii="Arial" w:cs="Arial" w:eastAsia="Arial" w:hAnsi="Arial"/>
                <w:sz w:val="16"/>
                <w:szCs w:val="16"/>
                <w:color w:val="auto"/>
              </w:rPr>
              <w:t>66.2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(24.1)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24"/>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24"/>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24"/>
        </w:trPr>
        <w:tc>
          <w:tcPr>
            <w:tcW w:w="2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2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Other (c)</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(637.9)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(241.3)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(1,015.0)</w:t>
            </w:r>
          </w:p>
        </w:tc>
        <w:tc>
          <w:tcPr>
            <w:tcW w:w="0" w:type="dxa"/>
            <w:vAlign w:val="bottom"/>
          </w:tcPr>
          <w:p>
            <w:pPr>
              <w:spacing w:after="0"/>
              <w:rPr>
                <w:sz w:val="1"/>
                <w:szCs w:val="1"/>
                <w:color w:val="auto"/>
              </w:rPr>
            </w:pPr>
          </w:p>
        </w:tc>
      </w:tr>
      <w:tr>
        <w:trPr>
          <w:trHeight w:val="201"/>
        </w:trPr>
        <w:tc>
          <w:tcPr>
            <w:tcW w:w="2700" w:type="dxa"/>
            <w:vAlign w:val="bottom"/>
          </w:tcPr>
          <w:p>
            <w:pPr>
              <w:ind w:left="32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(134.6)</w:t>
            </w:r>
          </w:p>
        </w:tc>
        <w:tc>
          <w:tcPr>
            <w:tcW w:w="120" w:type="dxa"/>
            <w:vAlign w:val="bottom"/>
          </w:tcPr>
          <w:p>
            <w:pPr>
              <w:spacing w:after="0"/>
              <w:rPr>
                <w:sz w:val="17"/>
                <w:szCs w:val="17"/>
                <w:color w:val="auto"/>
              </w:rPr>
            </w:pPr>
          </w:p>
        </w:tc>
        <w:tc>
          <w:tcPr>
            <w:tcW w:w="22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(600.0)</w:t>
            </w:r>
          </w:p>
        </w:tc>
        <w:tc>
          <w:tcPr>
            <w:tcW w:w="120" w:type="dxa"/>
            <w:vAlign w:val="bottom"/>
          </w:tcPr>
          <w:p>
            <w:pPr>
              <w:spacing w:after="0"/>
              <w:rPr>
                <w:sz w:val="17"/>
                <w:szCs w:val="17"/>
                <w:color w:val="auto"/>
              </w:rPr>
            </w:pPr>
          </w:p>
        </w:tc>
        <w:tc>
          <w:tcPr>
            <w:tcW w:w="20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(151.2)</w:t>
            </w:r>
          </w:p>
        </w:tc>
        <w:tc>
          <w:tcPr>
            <w:tcW w:w="120" w:type="dxa"/>
            <w:vAlign w:val="bottom"/>
          </w:tcPr>
          <w:p>
            <w:pPr>
              <w:spacing w:after="0"/>
              <w:rPr>
                <w:sz w:val="17"/>
                <w:szCs w:val="17"/>
                <w:color w:val="auto"/>
              </w:rPr>
            </w:pPr>
          </w:p>
        </w:tc>
        <w:tc>
          <w:tcPr>
            <w:tcW w:w="20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tcPr>
          <w:p>
            <w:pPr>
              <w:jc w:val="right"/>
              <w:ind w:right="45"/>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17"/>
                <w:szCs w:val="17"/>
                <w:color w:val="auto"/>
              </w:rPr>
            </w:pPr>
          </w:p>
        </w:tc>
        <w:tc>
          <w:tcPr>
            <w:tcW w:w="300" w:type="dxa"/>
            <w:vAlign w:val="bottom"/>
            <w:tcBorders>
              <w:top w:val="single" w:sz="8" w:color="auto"/>
            </w:tcBorders>
          </w:tcPr>
          <w:p>
            <w:pPr>
              <w:jc w:val="right"/>
              <w:ind w:right="122"/>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(37.0)</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(31.4)</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(32.2)</w:t>
            </w:r>
          </w:p>
        </w:tc>
        <w:tc>
          <w:tcPr>
            <w:tcW w:w="100" w:type="dxa"/>
            <w:vAlign w:val="bottom"/>
          </w:tcPr>
          <w:p>
            <w:pPr>
              <w:spacing w:after="0"/>
              <w:rPr>
                <w:sz w:val="17"/>
                <w:szCs w:val="17"/>
                <w:color w:val="auto"/>
              </w:rPr>
            </w:pPr>
          </w:p>
        </w:tc>
        <w:tc>
          <w:tcPr>
            <w:tcW w:w="260" w:type="dxa"/>
            <w:vAlign w:val="bottom"/>
            <w:tcBorders>
              <w:top w:val="single" w:sz="8" w:color="auto"/>
            </w:tcBorders>
          </w:tcPr>
          <w:p>
            <w:pPr>
              <w:jc w:val="right"/>
              <w:ind w:right="62"/>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(974.3)</w:t>
            </w:r>
          </w:p>
        </w:tc>
        <w:tc>
          <w:tcPr>
            <w:tcW w:w="0" w:type="dxa"/>
            <w:vAlign w:val="bottom"/>
          </w:tcPr>
          <w:p>
            <w:pPr>
              <w:spacing w:after="0"/>
              <w:rPr>
                <w:sz w:val="1"/>
                <w:szCs w:val="1"/>
                <w:color w:val="auto"/>
              </w:rPr>
            </w:pPr>
          </w:p>
        </w:tc>
      </w:tr>
      <w:tr>
        <w:trPr>
          <w:trHeight w:val="24"/>
        </w:trPr>
        <w:tc>
          <w:tcPr>
            <w:tcW w:w="2700" w:type="dxa"/>
            <w:vAlign w:val="bottom"/>
            <w:vMerge w:val="restart"/>
          </w:tcPr>
          <w:p>
            <w:pPr>
              <w:jc w:val="right"/>
              <w:ind w:right="1422"/>
              <w:spacing w:after="0"/>
              <w:rPr>
                <w:sz w:val="20"/>
                <w:szCs w:val="20"/>
                <w:color w:val="auto"/>
              </w:rPr>
            </w:pPr>
            <w:r>
              <w:rPr>
                <w:rFonts w:ascii="Arial" w:cs="Arial" w:eastAsia="Arial" w:hAnsi="Arial"/>
                <w:sz w:val="16"/>
                <w:szCs w:val="16"/>
                <w:color w:val="auto"/>
                <w:w w:val="88"/>
              </w:rPr>
              <w:t>_______________</w:t>
            </w: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700" w:type="dxa"/>
            <w:vAlign w:val="bottom"/>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7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427" w:hanging="427"/>
        <w:spacing w:after="0" w:line="258" w:lineRule="auto"/>
        <w:tabs>
          <w:tab w:leader="none" w:pos="427" w:val="left"/>
        </w:tabs>
        <w:numPr>
          <w:ilvl w:val="0"/>
          <w:numId w:val="76"/>
        </w:numPr>
        <w:rPr>
          <w:rFonts w:ascii="Arial" w:cs="Arial" w:eastAsia="Arial" w:hAnsi="Arial"/>
          <w:sz w:val="16"/>
          <w:szCs w:val="16"/>
          <w:color w:val="auto"/>
        </w:rPr>
      </w:pPr>
      <w:r>
        <w:rPr>
          <w:rFonts w:ascii="Arial" w:cs="Arial" w:eastAsia="Arial" w:hAnsi="Arial"/>
          <w:sz w:val="16"/>
          <w:szCs w:val="16"/>
          <w:color w:val="auto"/>
        </w:rPr>
        <w:t>Includes (i) the cash flows of our interest rate cap, floor, swaption and swap contracts and (ii) the interest-related cash flows of our cross-currency and interest rate swap contracts.</w:t>
      </w:r>
    </w:p>
    <w:p>
      <w:pPr>
        <w:spacing w:after="0" w:line="162" w:lineRule="exact"/>
        <w:rPr>
          <w:rFonts w:ascii="Arial" w:cs="Arial" w:eastAsia="Arial" w:hAnsi="Arial"/>
          <w:sz w:val="16"/>
          <w:szCs w:val="16"/>
          <w:color w:val="auto"/>
        </w:rPr>
      </w:pPr>
    </w:p>
    <w:p>
      <w:pPr>
        <w:ind w:left="427" w:hanging="427"/>
        <w:spacing w:after="0"/>
        <w:tabs>
          <w:tab w:leader="none" w:pos="427" w:val="left"/>
        </w:tabs>
        <w:numPr>
          <w:ilvl w:val="0"/>
          <w:numId w:val="76"/>
        </w:numPr>
        <w:rPr>
          <w:rFonts w:ascii="Arial" w:cs="Arial" w:eastAsia="Arial" w:hAnsi="Arial"/>
          <w:sz w:val="16"/>
          <w:szCs w:val="16"/>
          <w:color w:val="auto"/>
        </w:rPr>
      </w:pPr>
      <w:r>
        <w:rPr>
          <w:rFonts w:ascii="Arial" w:cs="Arial" w:eastAsia="Arial" w:hAnsi="Arial"/>
          <w:sz w:val="16"/>
          <w:szCs w:val="16"/>
          <w:color w:val="auto"/>
        </w:rPr>
        <w:t>Includes the principal-related cash flows of our cross-currency swap contracts.</w:t>
      </w:r>
    </w:p>
    <w:p>
      <w:pPr>
        <w:spacing w:after="0" w:line="188" w:lineRule="exact"/>
        <w:rPr>
          <w:rFonts w:ascii="Arial" w:cs="Arial" w:eastAsia="Arial" w:hAnsi="Arial"/>
          <w:sz w:val="16"/>
          <w:szCs w:val="16"/>
          <w:color w:val="auto"/>
        </w:rPr>
      </w:pPr>
    </w:p>
    <w:p>
      <w:pPr>
        <w:ind w:left="427" w:right="20" w:hanging="427"/>
        <w:spacing w:after="0" w:line="258" w:lineRule="auto"/>
        <w:tabs>
          <w:tab w:leader="none" w:pos="427" w:val="left"/>
        </w:tabs>
        <w:numPr>
          <w:ilvl w:val="0"/>
          <w:numId w:val="76"/>
        </w:numPr>
        <w:rPr>
          <w:rFonts w:ascii="Arial" w:cs="Arial" w:eastAsia="Arial" w:hAnsi="Arial"/>
          <w:sz w:val="16"/>
          <w:szCs w:val="16"/>
          <w:color w:val="auto"/>
        </w:rPr>
      </w:pPr>
      <w:r>
        <w:rPr>
          <w:rFonts w:ascii="Arial" w:cs="Arial" w:eastAsia="Arial" w:hAnsi="Arial"/>
          <w:sz w:val="16"/>
          <w:szCs w:val="16"/>
          <w:color w:val="auto"/>
        </w:rPr>
        <w:t>Includes amounts related to our equity-related derivative instruments and foreign currency forward contracts. We may elect to use cash or the collective value of the related shares and equity-related derivative instrument to settle the ITV Collar Loan and the Lionsgate Loan.</w:t>
      </w:r>
    </w:p>
    <w:p>
      <w:pPr>
        <w:spacing w:after="0" w:line="349"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267"/>
          </w:cols>
          <w:pgMar w:left="313" w:top="315" w:right="319" w:bottom="1440" w:gutter="0" w:footer="0" w:header="0"/>
        </w:sectPr>
      </w:pPr>
    </w:p>
    <w:bookmarkStart w:id="86" w:name="page87"/>
    <w:bookmarkEnd w:id="86"/>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194"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Evaluation of Disclosure Controls and Procedures</w:t>
      </w:r>
    </w:p>
    <w:p>
      <w:pPr>
        <w:spacing w:after="0" w:line="188" w:lineRule="exact"/>
        <w:rPr>
          <w:sz w:val="20"/>
          <w:szCs w:val="20"/>
          <w:color w:val="auto"/>
        </w:rPr>
      </w:pPr>
    </w:p>
    <w:p>
      <w:pPr>
        <w:jc w:val="both"/>
        <w:ind w:firstLine="279"/>
        <w:spacing w:after="0" w:line="286" w:lineRule="auto"/>
        <w:rPr>
          <w:sz w:val="20"/>
          <w:szCs w:val="20"/>
          <w:color w:val="auto"/>
        </w:rPr>
      </w:pPr>
      <w:r>
        <w:rPr>
          <w:rFonts w:ascii="Arial" w:cs="Arial" w:eastAsia="Arial" w:hAnsi="Arial"/>
          <w:sz w:val="14"/>
          <w:szCs w:val="14"/>
          <w:color w:val="auto"/>
        </w:rPr>
        <w:t xml:space="preserve">In accordance with Exchange Act Rule 13a-15, we carried out an evaluation, under the supervision and with the participation of management, including our chief executive officer and chief financial officer (the </w:t>
      </w:r>
      <w:r>
        <w:rPr>
          <w:rFonts w:ascii="Arial" w:cs="Arial" w:eastAsia="Arial" w:hAnsi="Arial"/>
          <w:sz w:val="14"/>
          <w:szCs w:val="14"/>
          <w:b w:val="1"/>
          <w:bCs w:val="1"/>
          <w:color w:val="auto"/>
        </w:rPr>
        <w:t>Executives</w:t>
      </w:r>
      <w:r>
        <w:rPr>
          <w:rFonts w:ascii="Arial" w:cs="Arial" w:eastAsia="Arial" w:hAnsi="Arial"/>
          <w:sz w:val="14"/>
          <w:szCs w:val="14"/>
          <w:color w:val="auto"/>
        </w:rPr>
        <w:t>), of the effectiveness of our disclosure controls and procedures as of June 30, 2020. In designing and evaluating the disclosure controls and procedures, the Executives recognize that any controls and procedures, no matter how well designed and operated, can provide only reasonable assurance of achieving the desired control objectives, and management is necessarily required to apply judgment in evaluating the cost-benefit relationship of possible controls and objectives. Based on that evaluation, the Executives concluded that our disclosure controls and procedures as of June 30, 2020 effectively provide reasonable assurance that information required to be disclosed in our reports filed or submitted under the Securities Exchange Act of 1934 is recorded, processed, summarized and reported within the time periods specified in the Securities and Exchange Commission’s rules and forms.</w:t>
      </w:r>
    </w:p>
    <w:p>
      <w:pPr>
        <w:spacing w:after="0" w:line="146"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Changes in Internal Controls over Financial Reporting</w:t>
      </w:r>
    </w:p>
    <w:p>
      <w:pPr>
        <w:spacing w:after="0" w:line="188" w:lineRule="exact"/>
        <w:rPr>
          <w:sz w:val="20"/>
          <w:szCs w:val="20"/>
          <w:color w:val="auto"/>
        </w:rPr>
      </w:pPr>
    </w:p>
    <w:p>
      <w:pPr>
        <w:jc w:val="both"/>
        <w:ind w:right="20" w:firstLine="279"/>
        <w:spacing w:after="0" w:line="329" w:lineRule="auto"/>
        <w:rPr>
          <w:sz w:val="20"/>
          <w:szCs w:val="20"/>
          <w:color w:val="auto"/>
        </w:rPr>
      </w:pPr>
      <w:r>
        <w:rPr>
          <w:rFonts w:ascii="Arial" w:cs="Arial" w:eastAsia="Arial" w:hAnsi="Arial"/>
          <w:sz w:val="14"/>
          <w:szCs w:val="14"/>
          <w:color w:val="auto"/>
        </w:rPr>
        <w:t>There have been no changes in our internal controls over financial reporting identified in connection with the evaluation described above that occurred during the fiscal quarter covered by this Quarterly Report on Form 10-Q that have materially affected, or are reasonably likely to materially affect, our internal controls over financial reporting.</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260"/>
          </w:cols>
          <w:pgMar w:left="320" w:top="309" w:right="319" w:bottom="1440" w:gutter="0" w:footer="0" w:header="0"/>
        </w:sectPr>
      </w:pPr>
    </w:p>
    <w:bookmarkStart w:id="87" w:name="page88"/>
    <w:bookmarkEnd w:id="87"/>
    <w:p>
      <w:pPr>
        <w:jc w:val="center"/>
        <w:ind w:right="-6"/>
        <w:spacing w:after="0"/>
        <w:rPr>
          <w:sz w:val="20"/>
          <w:szCs w:val="20"/>
          <w:color w:val="auto"/>
        </w:rPr>
      </w:pPr>
      <w:r>
        <w:rPr>
          <w:rFonts w:ascii="Arial" w:cs="Arial" w:eastAsia="Arial" w:hAnsi="Arial"/>
          <w:sz w:val="16"/>
          <w:szCs w:val="16"/>
          <w:b w:val="1"/>
          <w:bCs w:val="1"/>
          <w:color w:val="auto"/>
        </w:rPr>
        <w:t>PART II — OTHER INFORMATION</w:t>
      </w:r>
    </w:p>
    <w:p>
      <w:pPr>
        <w:spacing w:after="0" w:line="188"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Item 1A. RISK FACTORS</w:t>
      </w:r>
    </w:p>
    <w:p>
      <w:pPr>
        <w:spacing w:after="0" w:line="194" w:lineRule="exact"/>
        <w:rPr>
          <w:sz w:val="20"/>
          <w:szCs w:val="20"/>
          <w:color w:val="auto"/>
        </w:rPr>
      </w:pPr>
    </w:p>
    <w:p>
      <w:pPr>
        <w:jc w:val="both"/>
        <w:ind w:left="7" w:right="20" w:firstLine="279"/>
        <w:spacing w:after="0" w:line="250" w:lineRule="auto"/>
        <w:rPr>
          <w:sz w:val="20"/>
          <w:szCs w:val="20"/>
          <w:color w:val="auto"/>
        </w:rPr>
      </w:pPr>
      <w:r>
        <w:rPr>
          <w:rFonts w:ascii="Arial" w:cs="Arial" w:eastAsia="Arial" w:hAnsi="Arial"/>
          <w:sz w:val="16"/>
          <w:szCs w:val="16"/>
          <w:color w:val="auto"/>
        </w:rPr>
        <w:t>In addition to the other information contained in this Quarterly Report on Form 10-Q, you should consider the risk factors included in our most recently filed Annual Report on Form 10-K, as amended, and our March 31, 2020 Quarterly Report on Form 10-Q in evaluating our results of operations, financial condition, business and operations or an investment in the shares of our company.</w:t>
      </w:r>
    </w:p>
    <w:p>
      <w:pPr>
        <w:spacing w:after="0" w:line="164"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194" w:lineRule="exact"/>
        <w:rPr>
          <w:sz w:val="20"/>
          <w:szCs w:val="20"/>
          <w:color w:val="auto"/>
        </w:rPr>
      </w:pPr>
    </w:p>
    <w:p>
      <w:pPr>
        <w:ind w:left="567" w:hanging="288"/>
        <w:spacing w:after="0"/>
        <w:tabs>
          <w:tab w:leader="none" w:pos="567" w:val="left"/>
        </w:tabs>
        <w:numPr>
          <w:ilvl w:val="0"/>
          <w:numId w:val="77"/>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Issuer Purchases of Equity Securities</w:t>
      </w:r>
    </w:p>
    <w:p>
      <w:pPr>
        <w:spacing w:after="0" w:line="326"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78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1"/>
              </w:rPr>
              <w:t>Approximate</w:t>
            </w:r>
          </w:p>
        </w:tc>
      </w:tr>
      <w:tr>
        <w:trPr>
          <w:trHeight w:val="175"/>
        </w:trPr>
        <w:tc>
          <w:tcPr>
            <w:tcW w:w="78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Total number of</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0"/>
              </w:rPr>
              <w:t>dollar value of</w:t>
            </w:r>
          </w:p>
        </w:tc>
      </w:tr>
      <w:tr>
        <w:trPr>
          <w:trHeight w:val="175"/>
        </w:trPr>
        <w:tc>
          <w:tcPr>
            <w:tcW w:w="78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shares purchased as part</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8"/>
              </w:rPr>
              <w:t>shares that may</w:t>
            </w:r>
          </w:p>
        </w:tc>
      </w:tr>
      <w:tr>
        <w:trPr>
          <w:trHeight w:val="175"/>
        </w:trPr>
        <w:tc>
          <w:tcPr>
            <w:tcW w:w="78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of publicly</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0"/>
              </w:rPr>
              <w:t>yet be purchased</w:t>
            </w:r>
          </w:p>
        </w:tc>
      </w:tr>
      <w:tr>
        <w:trPr>
          <w:trHeight w:val="175"/>
        </w:trPr>
        <w:tc>
          <w:tcPr>
            <w:tcW w:w="78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Total number of shares</w:t>
            </w:r>
          </w:p>
        </w:tc>
        <w:tc>
          <w:tcPr>
            <w:tcW w:w="200" w:type="dxa"/>
            <w:vAlign w:val="bottom"/>
          </w:tcPr>
          <w:p>
            <w:pPr>
              <w:spacing w:after="0"/>
              <w:rPr>
                <w:sz w:val="15"/>
                <w:szCs w:val="15"/>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Average price</w:t>
            </w:r>
          </w:p>
        </w:tc>
        <w:tc>
          <w:tcPr>
            <w:tcW w:w="1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announced plans</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0"/>
              </w:rPr>
              <w:t>under the plans or</w:t>
            </w:r>
          </w:p>
        </w:tc>
      </w:tr>
      <w:tr>
        <w:trPr>
          <w:trHeight w:val="182"/>
        </w:trPr>
        <w:tc>
          <w:tcPr>
            <w:tcW w:w="4160" w:type="dxa"/>
            <w:vAlign w:val="bottom"/>
            <w:gridSpan w:val="2"/>
          </w:tcPr>
          <w:p>
            <w:pPr>
              <w:ind w:left="20"/>
              <w:spacing w:after="0"/>
              <w:rPr>
                <w:sz w:val="20"/>
                <w:szCs w:val="20"/>
                <w:color w:val="auto"/>
              </w:rPr>
            </w:pPr>
            <w:r>
              <w:rPr>
                <w:rFonts w:ascii="Arial" w:cs="Arial" w:eastAsia="Arial" w:hAnsi="Arial"/>
                <w:sz w:val="14"/>
                <w:szCs w:val="14"/>
                <w:b w:val="1"/>
                <w:bCs w:val="1"/>
                <w:color w:val="auto"/>
              </w:rPr>
              <w:t>Period</w:t>
            </w: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purchased</w:t>
            </w:r>
          </w:p>
        </w:tc>
        <w:tc>
          <w:tcPr>
            <w:tcW w:w="200" w:type="dxa"/>
            <w:vAlign w:val="bottom"/>
          </w:tcPr>
          <w:p>
            <w:pPr>
              <w:spacing w:after="0"/>
              <w:rPr>
                <w:sz w:val="15"/>
                <w:szCs w:val="15"/>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paid per share (a)</w:t>
            </w:r>
          </w:p>
        </w:tc>
        <w:tc>
          <w:tcPr>
            <w:tcW w:w="1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or programs</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9"/>
              </w:rPr>
              <w:t>programs</w:t>
            </w:r>
          </w:p>
        </w:tc>
      </w:tr>
      <w:tr>
        <w:trPr>
          <w:trHeight w:val="28"/>
        </w:trPr>
        <w:tc>
          <w:tcPr>
            <w:tcW w:w="780" w:type="dxa"/>
            <w:vAlign w:val="bottom"/>
            <w:tcBorders>
              <w:bottom w:val="single" w:sz="8" w:color="auto"/>
            </w:tcBorders>
          </w:tcPr>
          <w:p>
            <w:pPr>
              <w:spacing w:after="0"/>
              <w:rPr>
                <w:sz w:val="2"/>
                <w:szCs w:val="2"/>
                <w:color w:val="auto"/>
              </w:rPr>
            </w:pPr>
          </w:p>
        </w:tc>
        <w:tc>
          <w:tcPr>
            <w:tcW w:w="338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96"/>
        </w:trPr>
        <w:tc>
          <w:tcPr>
            <w:tcW w:w="780" w:type="dxa"/>
            <w:vAlign w:val="bottom"/>
          </w:tcPr>
          <w:p>
            <w:pPr>
              <w:spacing w:after="0"/>
              <w:rPr>
                <w:sz w:val="8"/>
                <w:szCs w:val="8"/>
                <w:color w:val="auto"/>
              </w:rPr>
            </w:pPr>
          </w:p>
        </w:tc>
        <w:tc>
          <w:tcPr>
            <w:tcW w:w="338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00" w:type="dxa"/>
            <w:vAlign w:val="bottom"/>
          </w:tcPr>
          <w:p>
            <w:pPr>
              <w:spacing w:after="0"/>
              <w:rPr>
                <w:sz w:val="8"/>
                <w:szCs w:val="8"/>
                <w:color w:val="auto"/>
              </w:rPr>
            </w:pPr>
          </w:p>
        </w:tc>
      </w:tr>
      <w:tr>
        <w:trPr>
          <w:trHeight w:val="213"/>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April 1, 2020 through April 30, 2020:</w:t>
            </w:r>
          </w:p>
        </w:tc>
        <w:tc>
          <w:tcPr>
            <w:tcW w:w="17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spacing w:after="0"/>
              <w:rPr>
                <w:sz w:val="18"/>
                <w:szCs w:val="18"/>
                <w:color w:val="auto"/>
              </w:rPr>
            </w:pPr>
          </w:p>
        </w:tc>
      </w:tr>
      <w:tr>
        <w:trPr>
          <w:trHeight w:val="209"/>
        </w:trPr>
        <w:tc>
          <w:tcPr>
            <w:tcW w:w="4160" w:type="dxa"/>
            <w:vAlign w:val="bottom"/>
            <w:gridSpan w:val="2"/>
          </w:tcPr>
          <w:p>
            <w:pPr>
              <w:ind w:left="220"/>
              <w:spacing w:after="0"/>
              <w:rPr>
                <w:sz w:val="20"/>
                <w:szCs w:val="20"/>
                <w:color w:val="auto"/>
              </w:rPr>
            </w:pPr>
            <w:r>
              <w:rPr>
                <w:rFonts w:ascii="Arial" w:cs="Arial" w:eastAsia="Arial" w:hAnsi="Arial"/>
                <w:sz w:val="16"/>
                <w:szCs w:val="16"/>
                <w:color w:val="auto"/>
              </w:rPr>
              <w:t>Class C</w:t>
            </w:r>
          </w:p>
        </w:tc>
        <w:tc>
          <w:tcPr>
            <w:tcW w:w="1700" w:type="dxa"/>
            <w:vAlign w:val="bottom"/>
          </w:tcPr>
          <w:p>
            <w:pPr>
              <w:jc w:val="right"/>
              <w:ind w:right="25"/>
              <w:spacing w:after="0"/>
              <w:rPr>
                <w:sz w:val="20"/>
                <w:szCs w:val="20"/>
                <w:color w:val="auto"/>
              </w:rPr>
            </w:pPr>
            <w:r>
              <w:rPr>
                <w:rFonts w:ascii="Arial" w:cs="Arial" w:eastAsia="Arial" w:hAnsi="Arial"/>
                <w:sz w:val="16"/>
                <w:szCs w:val="16"/>
                <w:color w:val="auto"/>
              </w:rPr>
              <w:t>15,198,100</w:t>
            </w:r>
          </w:p>
        </w:tc>
        <w:tc>
          <w:tcPr>
            <w:tcW w:w="120" w:type="dxa"/>
            <w:vAlign w:val="bottom"/>
          </w:tcPr>
          <w:p>
            <w:pPr>
              <w:spacing w:after="0"/>
              <w:rPr>
                <w:sz w:val="18"/>
                <w:szCs w:val="18"/>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ind w:right="45"/>
              <w:spacing w:after="0"/>
              <w:rPr>
                <w:sz w:val="20"/>
                <w:szCs w:val="20"/>
                <w:color w:val="auto"/>
              </w:rPr>
            </w:pPr>
            <w:r>
              <w:rPr>
                <w:rFonts w:ascii="Arial" w:cs="Arial" w:eastAsia="Arial" w:hAnsi="Arial"/>
                <w:sz w:val="16"/>
                <w:szCs w:val="16"/>
                <w:color w:val="auto"/>
              </w:rPr>
              <w:t>16.95</w:t>
            </w:r>
          </w:p>
        </w:tc>
        <w:tc>
          <w:tcPr>
            <w:tcW w:w="100" w:type="dxa"/>
            <w:vAlign w:val="bottom"/>
          </w:tcPr>
          <w:p>
            <w:pPr>
              <w:spacing w:after="0"/>
              <w:rPr>
                <w:sz w:val="18"/>
                <w:szCs w:val="18"/>
                <w:color w:val="auto"/>
              </w:rPr>
            </w:pPr>
          </w:p>
        </w:tc>
        <w:tc>
          <w:tcPr>
            <w:tcW w:w="1680" w:type="dxa"/>
            <w:vAlign w:val="bottom"/>
          </w:tcPr>
          <w:p>
            <w:pPr>
              <w:jc w:val="right"/>
              <w:ind w:right="27"/>
              <w:spacing w:after="0"/>
              <w:rPr>
                <w:sz w:val="20"/>
                <w:szCs w:val="20"/>
                <w:color w:val="auto"/>
              </w:rPr>
            </w:pPr>
            <w:r>
              <w:rPr>
                <w:rFonts w:ascii="Arial" w:cs="Arial" w:eastAsia="Arial" w:hAnsi="Arial"/>
                <w:sz w:val="16"/>
                <w:szCs w:val="16"/>
                <w:color w:val="auto"/>
              </w:rPr>
              <w:t>15,198,100</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1"/>
              </w:rPr>
              <w:t>(b)</w:t>
            </w:r>
          </w:p>
        </w:tc>
      </w:tr>
      <w:tr>
        <w:trPr>
          <w:trHeight w:val="24"/>
        </w:trPr>
        <w:tc>
          <w:tcPr>
            <w:tcW w:w="7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13"/>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May 1, 2020 through May 31, 2020:</w:t>
            </w:r>
          </w:p>
        </w:tc>
        <w:tc>
          <w:tcPr>
            <w:tcW w:w="17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spacing w:after="0"/>
              <w:rPr>
                <w:sz w:val="18"/>
                <w:szCs w:val="18"/>
                <w:color w:val="auto"/>
              </w:rPr>
            </w:pPr>
          </w:p>
        </w:tc>
      </w:tr>
      <w:tr>
        <w:trPr>
          <w:trHeight w:val="209"/>
        </w:trPr>
        <w:tc>
          <w:tcPr>
            <w:tcW w:w="4160" w:type="dxa"/>
            <w:vAlign w:val="bottom"/>
            <w:gridSpan w:val="2"/>
          </w:tcPr>
          <w:p>
            <w:pPr>
              <w:ind w:left="220"/>
              <w:spacing w:after="0"/>
              <w:rPr>
                <w:sz w:val="20"/>
                <w:szCs w:val="20"/>
                <w:color w:val="auto"/>
              </w:rPr>
            </w:pPr>
            <w:r>
              <w:rPr>
                <w:rFonts w:ascii="Arial" w:cs="Arial" w:eastAsia="Arial" w:hAnsi="Arial"/>
                <w:sz w:val="16"/>
                <w:szCs w:val="16"/>
                <w:color w:val="auto"/>
              </w:rPr>
              <w:t>Class C</w:t>
            </w:r>
          </w:p>
        </w:tc>
        <w:tc>
          <w:tcPr>
            <w:tcW w:w="1700" w:type="dxa"/>
            <w:vAlign w:val="bottom"/>
          </w:tcPr>
          <w:p>
            <w:pPr>
              <w:jc w:val="right"/>
              <w:ind w:right="25"/>
              <w:spacing w:after="0"/>
              <w:rPr>
                <w:sz w:val="20"/>
                <w:szCs w:val="20"/>
                <w:color w:val="auto"/>
              </w:rPr>
            </w:pPr>
            <w:r>
              <w:rPr>
                <w:rFonts w:ascii="Arial" w:cs="Arial" w:eastAsia="Arial" w:hAnsi="Arial"/>
                <w:sz w:val="16"/>
                <w:szCs w:val="16"/>
                <w:color w:val="auto"/>
              </w:rPr>
              <w:t>6,373,500</w:t>
            </w:r>
          </w:p>
        </w:tc>
        <w:tc>
          <w:tcPr>
            <w:tcW w:w="120" w:type="dxa"/>
            <w:vAlign w:val="bottom"/>
          </w:tcPr>
          <w:p>
            <w:pPr>
              <w:spacing w:after="0"/>
              <w:rPr>
                <w:sz w:val="18"/>
                <w:szCs w:val="18"/>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ind w:right="45"/>
              <w:spacing w:after="0"/>
              <w:rPr>
                <w:sz w:val="20"/>
                <w:szCs w:val="20"/>
                <w:color w:val="auto"/>
              </w:rPr>
            </w:pPr>
            <w:r>
              <w:rPr>
                <w:rFonts w:ascii="Arial" w:cs="Arial" w:eastAsia="Arial" w:hAnsi="Arial"/>
                <w:sz w:val="16"/>
                <w:szCs w:val="16"/>
                <w:color w:val="auto"/>
              </w:rPr>
              <w:t>21.07</w:t>
            </w:r>
          </w:p>
        </w:tc>
        <w:tc>
          <w:tcPr>
            <w:tcW w:w="100" w:type="dxa"/>
            <w:vAlign w:val="bottom"/>
          </w:tcPr>
          <w:p>
            <w:pPr>
              <w:spacing w:after="0"/>
              <w:rPr>
                <w:sz w:val="18"/>
                <w:szCs w:val="18"/>
                <w:color w:val="auto"/>
              </w:rPr>
            </w:pPr>
          </w:p>
        </w:tc>
        <w:tc>
          <w:tcPr>
            <w:tcW w:w="1680" w:type="dxa"/>
            <w:vAlign w:val="bottom"/>
          </w:tcPr>
          <w:p>
            <w:pPr>
              <w:jc w:val="right"/>
              <w:ind w:right="27"/>
              <w:spacing w:after="0"/>
              <w:rPr>
                <w:sz w:val="20"/>
                <w:szCs w:val="20"/>
                <w:color w:val="auto"/>
              </w:rPr>
            </w:pPr>
            <w:r>
              <w:rPr>
                <w:rFonts w:ascii="Arial" w:cs="Arial" w:eastAsia="Arial" w:hAnsi="Arial"/>
                <w:sz w:val="16"/>
                <w:szCs w:val="16"/>
                <w:color w:val="auto"/>
              </w:rPr>
              <w:t>6,373,500</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1"/>
              </w:rPr>
              <w:t>(b)</w:t>
            </w:r>
          </w:p>
        </w:tc>
      </w:tr>
      <w:tr>
        <w:trPr>
          <w:trHeight w:val="24"/>
        </w:trPr>
        <w:tc>
          <w:tcPr>
            <w:tcW w:w="7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13"/>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June 1, 2020 through June 30, 2020:</w:t>
            </w:r>
          </w:p>
        </w:tc>
        <w:tc>
          <w:tcPr>
            <w:tcW w:w="17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spacing w:after="0"/>
              <w:rPr>
                <w:sz w:val="18"/>
                <w:szCs w:val="18"/>
                <w:color w:val="auto"/>
              </w:rPr>
            </w:pPr>
          </w:p>
        </w:tc>
      </w:tr>
      <w:tr>
        <w:trPr>
          <w:trHeight w:val="209"/>
        </w:trPr>
        <w:tc>
          <w:tcPr>
            <w:tcW w:w="4160" w:type="dxa"/>
            <w:vAlign w:val="bottom"/>
            <w:gridSpan w:val="2"/>
          </w:tcPr>
          <w:p>
            <w:pPr>
              <w:ind w:left="220"/>
              <w:spacing w:after="0"/>
              <w:rPr>
                <w:sz w:val="20"/>
                <w:szCs w:val="20"/>
                <w:color w:val="auto"/>
              </w:rPr>
            </w:pPr>
            <w:r>
              <w:rPr>
                <w:rFonts w:ascii="Arial" w:cs="Arial" w:eastAsia="Arial" w:hAnsi="Arial"/>
                <w:sz w:val="16"/>
                <w:szCs w:val="16"/>
                <w:color w:val="auto"/>
              </w:rPr>
              <w:t>Class C</w:t>
            </w:r>
          </w:p>
        </w:tc>
        <w:tc>
          <w:tcPr>
            <w:tcW w:w="1700" w:type="dxa"/>
            <w:vAlign w:val="bottom"/>
          </w:tcPr>
          <w:p>
            <w:pPr>
              <w:jc w:val="right"/>
              <w:ind w:right="25"/>
              <w:spacing w:after="0"/>
              <w:rPr>
                <w:sz w:val="20"/>
                <w:szCs w:val="20"/>
                <w:color w:val="auto"/>
              </w:rPr>
            </w:pPr>
            <w:r>
              <w:rPr>
                <w:rFonts w:ascii="Arial" w:cs="Arial" w:eastAsia="Arial" w:hAnsi="Arial"/>
                <w:sz w:val="16"/>
                <w:szCs w:val="16"/>
                <w:color w:val="auto"/>
              </w:rPr>
              <w:t>3,798,900</w:t>
            </w:r>
          </w:p>
        </w:tc>
        <w:tc>
          <w:tcPr>
            <w:tcW w:w="120" w:type="dxa"/>
            <w:vAlign w:val="bottom"/>
          </w:tcPr>
          <w:p>
            <w:pPr>
              <w:spacing w:after="0"/>
              <w:rPr>
                <w:sz w:val="18"/>
                <w:szCs w:val="18"/>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ind w:right="45"/>
              <w:spacing w:after="0"/>
              <w:rPr>
                <w:sz w:val="20"/>
                <w:szCs w:val="20"/>
                <w:color w:val="auto"/>
              </w:rPr>
            </w:pPr>
            <w:r>
              <w:rPr>
                <w:rFonts w:ascii="Arial" w:cs="Arial" w:eastAsia="Arial" w:hAnsi="Arial"/>
                <w:sz w:val="16"/>
                <w:szCs w:val="16"/>
                <w:color w:val="auto"/>
              </w:rPr>
              <w:t>21.94</w:t>
            </w:r>
          </w:p>
        </w:tc>
        <w:tc>
          <w:tcPr>
            <w:tcW w:w="100" w:type="dxa"/>
            <w:vAlign w:val="bottom"/>
          </w:tcPr>
          <w:p>
            <w:pPr>
              <w:spacing w:after="0"/>
              <w:rPr>
                <w:sz w:val="18"/>
                <w:szCs w:val="18"/>
                <w:color w:val="auto"/>
              </w:rPr>
            </w:pPr>
          </w:p>
        </w:tc>
        <w:tc>
          <w:tcPr>
            <w:tcW w:w="1680" w:type="dxa"/>
            <w:vAlign w:val="bottom"/>
          </w:tcPr>
          <w:p>
            <w:pPr>
              <w:jc w:val="right"/>
              <w:ind w:right="27"/>
              <w:spacing w:after="0"/>
              <w:rPr>
                <w:sz w:val="20"/>
                <w:szCs w:val="20"/>
                <w:color w:val="auto"/>
              </w:rPr>
            </w:pPr>
            <w:r>
              <w:rPr>
                <w:rFonts w:ascii="Arial" w:cs="Arial" w:eastAsia="Arial" w:hAnsi="Arial"/>
                <w:sz w:val="16"/>
                <w:szCs w:val="16"/>
                <w:color w:val="auto"/>
              </w:rPr>
              <w:t>3,798,900</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1"/>
              </w:rPr>
              <w:t>(b)</w:t>
            </w:r>
          </w:p>
        </w:tc>
      </w:tr>
      <w:tr>
        <w:trPr>
          <w:trHeight w:val="24"/>
        </w:trPr>
        <w:tc>
          <w:tcPr>
            <w:tcW w:w="7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13"/>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 April 1, 2020 through June 30, 2020:</w:t>
            </w:r>
          </w:p>
        </w:tc>
        <w:tc>
          <w:tcPr>
            <w:tcW w:w="17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spacing w:after="0"/>
              <w:rPr>
                <w:sz w:val="18"/>
                <w:szCs w:val="18"/>
                <w:color w:val="auto"/>
              </w:rPr>
            </w:pPr>
          </w:p>
        </w:tc>
      </w:tr>
      <w:tr>
        <w:trPr>
          <w:trHeight w:val="209"/>
        </w:trPr>
        <w:tc>
          <w:tcPr>
            <w:tcW w:w="4160" w:type="dxa"/>
            <w:vAlign w:val="bottom"/>
            <w:gridSpan w:val="2"/>
          </w:tcPr>
          <w:p>
            <w:pPr>
              <w:ind w:left="220"/>
              <w:spacing w:after="0"/>
              <w:rPr>
                <w:sz w:val="20"/>
                <w:szCs w:val="20"/>
                <w:color w:val="auto"/>
              </w:rPr>
            </w:pPr>
            <w:r>
              <w:rPr>
                <w:rFonts w:ascii="Arial" w:cs="Arial" w:eastAsia="Arial" w:hAnsi="Arial"/>
                <w:sz w:val="16"/>
                <w:szCs w:val="16"/>
                <w:color w:val="auto"/>
              </w:rPr>
              <w:t>Class C</w:t>
            </w:r>
          </w:p>
        </w:tc>
        <w:tc>
          <w:tcPr>
            <w:tcW w:w="1700" w:type="dxa"/>
            <w:vAlign w:val="bottom"/>
          </w:tcPr>
          <w:p>
            <w:pPr>
              <w:jc w:val="right"/>
              <w:ind w:right="25"/>
              <w:spacing w:after="0"/>
              <w:rPr>
                <w:sz w:val="20"/>
                <w:szCs w:val="20"/>
                <w:color w:val="auto"/>
              </w:rPr>
            </w:pPr>
            <w:r>
              <w:rPr>
                <w:rFonts w:ascii="Arial" w:cs="Arial" w:eastAsia="Arial" w:hAnsi="Arial"/>
                <w:sz w:val="16"/>
                <w:szCs w:val="16"/>
                <w:color w:val="auto"/>
              </w:rPr>
              <w:t>25,370,500</w:t>
            </w:r>
          </w:p>
        </w:tc>
        <w:tc>
          <w:tcPr>
            <w:tcW w:w="120" w:type="dxa"/>
            <w:vAlign w:val="bottom"/>
          </w:tcPr>
          <w:p>
            <w:pPr>
              <w:spacing w:after="0"/>
              <w:rPr>
                <w:sz w:val="18"/>
                <w:szCs w:val="18"/>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ind w:right="45"/>
              <w:spacing w:after="0"/>
              <w:rPr>
                <w:sz w:val="20"/>
                <w:szCs w:val="20"/>
                <w:color w:val="auto"/>
              </w:rPr>
            </w:pPr>
            <w:r>
              <w:rPr>
                <w:rFonts w:ascii="Arial" w:cs="Arial" w:eastAsia="Arial" w:hAnsi="Arial"/>
                <w:sz w:val="16"/>
                <w:szCs w:val="16"/>
                <w:color w:val="auto"/>
              </w:rPr>
              <w:t>18.73</w:t>
            </w:r>
          </w:p>
        </w:tc>
        <w:tc>
          <w:tcPr>
            <w:tcW w:w="100" w:type="dxa"/>
            <w:vAlign w:val="bottom"/>
          </w:tcPr>
          <w:p>
            <w:pPr>
              <w:spacing w:after="0"/>
              <w:rPr>
                <w:sz w:val="18"/>
                <w:szCs w:val="18"/>
                <w:color w:val="auto"/>
              </w:rPr>
            </w:pPr>
          </w:p>
        </w:tc>
        <w:tc>
          <w:tcPr>
            <w:tcW w:w="1680" w:type="dxa"/>
            <w:vAlign w:val="bottom"/>
          </w:tcPr>
          <w:p>
            <w:pPr>
              <w:jc w:val="right"/>
              <w:ind w:right="27"/>
              <w:spacing w:after="0"/>
              <w:rPr>
                <w:sz w:val="20"/>
                <w:szCs w:val="20"/>
                <w:color w:val="auto"/>
              </w:rPr>
            </w:pPr>
            <w:r>
              <w:rPr>
                <w:rFonts w:ascii="Arial" w:cs="Arial" w:eastAsia="Arial" w:hAnsi="Arial"/>
                <w:sz w:val="16"/>
                <w:szCs w:val="16"/>
                <w:color w:val="auto"/>
              </w:rPr>
              <w:t>25,370,500</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1"/>
              </w:rPr>
              <w:t>(b)</w:t>
            </w:r>
          </w:p>
        </w:tc>
      </w:tr>
    </w:tbl>
    <w:p>
      <w:pPr>
        <w:spacing w:after="0" w:line="199" w:lineRule="exact"/>
        <w:rPr>
          <w:sz w:val="20"/>
          <w:szCs w:val="20"/>
          <w:color w:val="auto"/>
        </w:rPr>
      </w:pPr>
    </w:p>
    <w:p>
      <w:pPr>
        <w:ind w:left="7"/>
        <w:spacing w:after="0"/>
        <w:rPr>
          <w:sz w:val="20"/>
          <w:szCs w:val="20"/>
          <w:color w:val="auto"/>
        </w:rPr>
      </w:pPr>
      <w:r>
        <w:rPr>
          <w:rFonts w:ascii="Arial" w:cs="Arial" w:eastAsia="Arial" w:hAnsi="Arial"/>
          <w:sz w:val="16"/>
          <w:szCs w:val="16"/>
          <w:color w:val="auto"/>
        </w:rPr>
        <w:t>_______________</w:t>
      </w:r>
    </w:p>
    <w:p>
      <w:pPr>
        <w:spacing w:after="0" w:line="188" w:lineRule="exact"/>
        <w:rPr>
          <w:sz w:val="20"/>
          <w:szCs w:val="20"/>
          <w:color w:val="auto"/>
        </w:rPr>
      </w:pPr>
    </w:p>
    <w:p>
      <w:pPr>
        <w:ind w:left="427" w:hanging="427"/>
        <w:spacing w:after="0"/>
        <w:tabs>
          <w:tab w:leader="none" w:pos="427" w:val="left"/>
        </w:tabs>
        <w:numPr>
          <w:ilvl w:val="0"/>
          <w:numId w:val="78"/>
        </w:numPr>
        <w:rPr>
          <w:rFonts w:ascii="Arial" w:cs="Arial" w:eastAsia="Arial" w:hAnsi="Arial"/>
          <w:sz w:val="16"/>
          <w:szCs w:val="16"/>
          <w:color w:val="auto"/>
        </w:rPr>
      </w:pPr>
      <w:r>
        <w:rPr>
          <w:rFonts w:ascii="Arial" w:cs="Arial" w:eastAsia="Arial" w:hAnsi="Arial"/>
          <w:sz w:val="16"/>
          <w:szCs w:val="16"/>
          <w:color w:val="auto"/>
        </w:rPr>
        <w:t>Average price paid per share includes direct acquisition costs.</w:t>
      </w:r>
    </w:p>
    <w:p>
      <w:pPr>
        <w:spacing w:after="0" w:line="188" w:lineRule="exact"/>
        <w:rPr>
          <w:rFonts w:ascii="Arial" w:cs="Arial" w:eastAsia="Arial" w:hAnsi="Arial"/>
          <w:sz w:val="16"/>
          <w:szCs w:val="16"/>
          <w:color w:val="auto"/>
        </w:rPr>
      </w:pPr>
    </w:p>
    <w:p>
      <w:pPr>
        <w:ind w:left="427" w:hanging="427"/>
        <w:spacing w:after="0" w:line="258" w:lineRule="auto"/>
        <w:tabs>
          <w:tab w:leader="none" w:pos="427" w:val="left"/>
        </w:tabs>
        <w:numPr>
          <w:ilvl w:val="0"/>
          <w:numId w:val="78"/>
        </w:numPr>
        <w:rPr>
          <w:rFonts w:ascii="Arial" w:cs="Arial" w:eastAsia="Arial" w:hAnsi="Arial"/>
          <w:sz w:val="16"/>
          <w:szCs w:val="16"/>
          <w:color w:val="auto"/>
        </w:rPr>
      </w:pPr>
      <w:r>
        <w:rPr>
          <w:rFonts w:ascii="Arial" w:cs="Arial" w:eastAsia="Arial" w:hAnsi="Arial"/>
          <w:sz w:val="16"/>
          <w:szCs w:val="16"/>
          <w:color w:val="auto"/>
        </w:rPr>
        <w:t>In February 2020, our board of directors authorized an additional $1.0 billion for share repurchases. At June 30, 2020, the remaining amount authorized for share repurchases was $370.0 million under our most recent share repurchase program.</w:t>
      </w:r>
    </w:p>
    <w:p>
      <w:pPr>
        <w:spacing w:after="0" w:line="349"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267"/>
          </w:cols>
          <w:pgMar w:left="313" w:top="309" w:right="319" w:bottom="1440" w:gutter="0" w:footer="0" w:header="0"/>
        </w:sectPr>
      </w:pPr>
    </w:p>
    <w:bookmarkStart w:id="88" w:name="page89"/>
    <w:bookmarkEnd w:id="88"/>
    <w:p>
      <w:pPr>
        <w:spacing w:after="0"/>
        <w:rPr>
          <w:sz w:val="20"/>
          <w:szCs w:val="20"/>
          <w:color w:val="auto"/>
        </w:rPr>
      </w:pPr>
      <w:r>
        <w:rPr>
          <w:rFonts w:ascii="Arial" w:cs="Arial" w:eastAsia="Arial" w:hAnsi="Arial"/>
          <w:sz w:val="16"/>
          <w:szCs w:val="16"/>
          <w:b w:val="1"/>
          <w:bCs w:val="1"/>
          <w:color w:val="auto"/>
        </w:rPr>
        <w:t>Item 6. EXHIBITS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Listed below are the exhibits filed as part of this Quarterly Report (according to the number assigned to them in Item 601 of Regulation S-K):</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6"/>
          <w:szCs w:val="16"/>
          <w:color w:val="auto"/>
        </w:rPr>
        <w:t>2 — Plan of Acquisition, Reorganization, Arrangement, Liquidation or Succession</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460" w:type="dxa"/>
            <w:vAlign w:val="bottom"/>
          </w:tcPr>
          <w:p>
            <w:pPr>
              <w:jc w:val="center"/>
              <w:ind w:right="302"/>
              <w:spacing w:after="0"/>
              <w:rPr>
                <w:sz w:val="20"/>
                <w:szCs w:val="20"/>
                <w:color w:val="auto"/>
              </w:rPr>
            </w:pPr>
            <w:r>
              <w:rPr>
                <w:rFonts w:ascii="Arial" w:cs="Arial" w:eastAsia="Arial" w:hAnsi="Arial"/>
                <w:sz w:val="16"/>
                <w:szCs w:val="16"/>
                <w:color w:val="auto"/>
                <w:w w:val="89"/>
              </w:rPr>
              <w:t>2.1</w:t>
            </w:r>
          </w:p>
        </w:tc>
        <w:tc>
          <w:tcPr>
            <w:tcW w:w="9760" w:type="dxa"/>
            <w:vAlign w:val="bottom"/>
            <w:tcBorders>
              <w:bottom w:val="single" w:sz="8" w:color="0000FF"/>
            </w:tcBorders>
            <w:gridSpan w:val="7"/>
          </w:tcPr>
          <w:p>
            <w:pPr>
              <w:spacing w:after="0"/>
              <w:rPr>
                <w:rFonts w:ascii="Arial" w:cs="Arial" w:eastAsia="Arial" w:hAnsi="Arial"/>
                <w:sz w:val="16"/>
                <w:szCs w:val="16"/>
                <w:color w:val="0000FF"/>
                <w:w w:val="97"/>
              </w:rPr>
            </w:pPr>
            <w:hyperlink r:id="rId21">
              <w:r>
                <w:rPr>
                  <w:rFonts w:ascii="Arial" w:cs="Arial" w:eastAsia="Arial" w:hAnsi="Arial"/>
                  <w:sz w:val="16"/>
                  <w:szCs w:val="16"/>
                  <w:color w:val="0000FF"/>
                  <w:w w:val="97"/>
                </w:rPr>
                <w:t>Contribution Agreement, dated May 7, 2020, by and among Liberty Global plc, Liberty Global Europe 2 Limited, Liberty Global Holdco Limited,</w:t>
              </w:r>
            </w:hyperlink>
          </w:p>
        </w:tc>
      </w:tr>
      <w:tr>
        <w:trPr>
          <w:trHeight w:val="166"/>
        </w:trPr>
        <w:tc>
          <w:tcPr>
            <w:tcW w:w="1460" w:type="dxa"/>
            <w:vAlign w:val="bottom"/>
          </w:tcPr>
          <w:p>
            <w:pPr>
              <w:spacing w:after="0"/>
              <w:rPr>
                <w:sz w:val="14"/>
                <w:szCs w:val="14"/>
                <w:color w:val="auto"/>
              </w:rPr>
            </w:pPr>
          </w:p>
        </w:tc>
        <w:tc>
          <w:tcPr>
            <w:tcW w:w="9760" w:type="dxa"/>
            <w:vAlign w:val="bottom"/>
            <w:gridSpan w:val="7"/>
          </w:tcPr>
          <w:p>
            <w:pPr>
              <w:spacing w:after="0" w:line="166" w:lineRule="exact"/>
              <w:rPr>
                <w:rFonts w:ascii="Arial" w:cs="Arial" w:eastAsia="Arial" w:hAnsi="Arial"/>
                <w:sz w:val="16"/>
                <w:szCs w:val="16"/>
                <w:color w:val="0000FF"/>
                <w:w w:val="92"/>
              </w:rPr>
            </w:pPr>
            <w:hyperlink r:id="rId21">
              <w:r>
                <w:rPr>
                  <w:rFonts w:ascii="Arial" w:cs="Arial" w:eastAsia="Arial" w:hAnsi="Arial"/>
                  <w:sz w:val="16"/>
                  <w:szCs w:val="16"/>
                  <w:color w:val="0000FF"/>
                  <w:w w:val="92"/>
                </w:rPr>
                <w:t>Telefónica, S.A., and Telefonica O2 Holdings Limited (incorporated by reference to Exhibit 2.1 to the Registrant’s Current Report on Form 8-K filed on</w:t>
              </w:r>
            </w:hyperlink>
          </w:p>
        </w:tc>
      </w:tr>
      <w:tr>
        <w:trPr>
          <w:trHeight w:val="166"/>
        </w:trPr>
        <w:tc>
          <w:tcPr>
            <w:tcW w:w="1460" w:type="dxa"/>
            <w:vAlign w:val="bottom"/>
          </w:tcPr>
          <w:p>
            <w:pPr>
              <w:spacing w:after="0"/>
              <w:rPr>
                <w:sz w:val="14"/>
                <w:szCs w:val="14"/>
                <w:color w:val="auto"/>
              </w:rPr>
            </w:pPr>
          </w:p>
        </w:tc>
        <w:tc>
          <w:tcPr>
            <w:tcW w:w="9740" w:type="dxa"/>
            <w:vAlign w:val="bottom"/>
            <w:tcBorders>
              <w:top w:val="single" w:sz="8" w:color="0000FF"/>
            </w:tcBorders>
            <w:gridSpan w:val="6"/>
          </w:tcPr>
          <w:p>
            <w:pPr>
              <w:spacing w:after="0" w:line="166" w:lineRule="exact"/>
              <w:rPr>
                <w:rFonts w:ascii="Arial" w:cs="Arial" w:eastAsia="Arial" w:hAnsi="Arial"/>
                <w:sz w:val="16"/>
                <w:szCs w:val="16"/>
                <w:color w:val="0000FF"/>
              </w:rPr>
            </w:pPr>
            <w:hyperlink r:id="rId21">
              <w:r>
                <w:rPr>
                  <w:rFonts w:ascii="Arial" w:cs="Arial" w:eastAsia="Arial" w:hAnsi="Arial"/>
                  <w:sz w:val="16"/>
                  <w:szCs w:val="16"/>
                  <w:color w:val="0000FF"/>
                </w:rPr>
                <w:t>May 13, 2020 (File No. 001-35961)).</w:t>
              </w:r>
              <w:r>
                <w:rPr>
                  <w:rFonts w:ascii="Arial" w:cs="Arial" w:eastAsia="Arial" w:hAnsi="Arial"/>
                  <w:sz w:val="16"/>
                  <w:szCs w:val="16"/>
                  <w:color w:val="000000"/>
                </w:rPr>
                <w:t>***</w:t>
              </w:r>
            </w:hyperlink>
          </w:p>
        </w:tc>
        <w:tc>
          <w:tcPr>
            <w:tcW w:w="20" w:type="dxa"/>
            <w:vAlign w:val="bottom"/>
          </w:tcPr>
          <w:p>
            <w:pPr>
              <w:spacing w:after="0"/>
              <w:rPr>
                <w:sz w:val="14"/>
                <w:szCs w:val="14"/>
                <w:color w:val="auto"/>
              </w:rPr>
            </w:pPr>
          </w:p>
        </w:tc>
      </w:tr>
      <w:tr>
        <w:trPr>
          <w:trHeight w:val="20"/>
        </w:trPr>
        <w:tc>
          <w:tcPr>
            <w:tcW w:w="1460" w:type="dxa"/>
            <w:vAlign w:val="bottom"/>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2"/>
        </w:trPr>
        <w:tc>
          <w:tcPr>
            <w:tcW w:w="11220" w:type="dxa"/>
            <w:vAlign w:val="bottom"/>
            <w:gridSpan w:val="8"/>
          </w:tcPr>
          <w:p>
            <w:pPr>
              <w:spacing w:after="0"/>
              <w:rPr>
                <w:sz w:val="20"/>
                <w:szCs w:val="20"/>
                <w:color w:val="auto"/>
              </w:rPr>
            </w:pPr>
            <w:r>
              <w:rPr>
                <w:rFonts w:ascii="Arial" w:cs="Arial" w:eastAsia="Arial" w:hAnsi="Arial"/>
                <w:sz w:val="16"/>
                <w:szCs w:val="16"/>
                <w:color w:val="auto"/>
              </w:rPr>
              <w:t>4 — Instruments Defining the Rights of Securities Holders, including Indentures</w:t>
            </w:r>
          </w:p>
        </w:tc>
      </w:tr>
      <w:tr>
        <w:trPr>
          <w:trHeight w:val="303"/>
        </w:trPr>
        <w:tc>
          <w:tcPr>
            <w:tcW w:w="1460" w:type="dxa"/>
            <w:vAlign w:val="bottom"/>
          </w:tcPr>
          <w:p>
            <w:pPr>
              <w:jc w:val="center"/>
              <w:ind w:right="302"/>
              <w:spacing w:after="0"/>
              <w:rPr>
                <w:sz w:val="20"/>
                <w:szCs w:val="20"/>
                <w:color w:val="auto"/>
              </w:rPr>
            </w:pPr>
            <w:r>
              <w:rPr>
                <w:rFonts w:ascii="Arial" w:cs="Arial" w:eastAsia="Arial" w:hAnsi="Arial"/>
                <w:sz w:val="16"/>
                <w:szCs w:val="16"/>
                <w:color w:val="auto"/>
                <w:w w:val="89"/>
              </w:rPr>
              <w:t>4.1</w:t>
            </w:r>
          </w:p>
        </w:tc>
        <w:tc>
          <w:tcPr>
            <w:tcW w:w="9760" w:type="dxa"/>
            <w:vAlign w:val="bottom"/>
            <w:gridSpan w:val="7"/>
          </w:tcPr>
          <w:p>
            <w:pPr>
              <w:spacing w:after="0"/>
              <w:rPr>
                <w:rFonts w:ascii="Arial" w:cs="Arial" w:eastAsia="Arial" w:hAnsi="Arial"/>
                <w:sz w:val="16"/>
                <w:szCs w:val="16"/>
                <w:color w:val="0000FF"/>
                <w:w w:val="90"/>
              </w:rPr>
            </w:pPr>
            <w:hyperlink r:id="rId22">
              <w:r>
                <w:rPr>
                  <w:rFonts w:ascii="Arial" w:cs="Arial" w:eastAsia="Arial" w:hAnsi="Arial"/>
                  <w:sz w:val="16"/>
                  <w:szCs w:val="16"/>
                  <w:color w:val="0000FF"/>
                  <w:w w:val="90"/>
                </w:rPr>
                <w:t>Supplemental Agreement dated April 6, 2020 between, among others, Telenet BV as company, The Bank of Nova Scotia as facility agent and KBC Bank</w:t>
              </w:r>
            </w:hyperlink>
          </w:p>
        </w:tc>
      </w:tr>
      <w:tr>
        <w:trPr>
          <w:trHeight w:val="20"/>
        </w:trPr>
        <w:tc>
          <w:tcPr>
            <w:tcW w:w="1460" w:type="dxa"/>
            <w:vAlign w:val="bottom"/>
          </w:tcPr>
          <w:p>
            <w:pPr>
              <w:spacing w:after="0" w:line="20" w:lineRule="exact"/>
              <w:rPr>
                <w:sz w:val="1"/>
                <w:szCs w:val="1"/>
                <w:color w:val="auto"/>
              </w:rPr>
            </w:pPr>
          </w:p>
        </w:tc>
        <w:tc>
          <w:tcPr>
            <w:tcW w:w="586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6"/>
        </w:trPr>
        <w:tc>
          <w:tcPr>
            <w:tcW w:w="1460" w:type="dxa"/>
            <w:vAlign w:val="bottom"/>
          </w:tcPr>
          <w:p>
            <w:pPr>
              <w:spacing w:after="0"/>
              <w:rPr>
                <w:sz w:val="14"/>
                <w:szCs w:val="14"/>
                <w:color w:val="auto"/>
              </w:rPr>
            </w:pPr>
          </w:p>
        </w:tc>
        <w:tc>
          <w:tcPr>
            <w:tcW w:w="9760" w:type="dxa"/>
            <w:vAlign w:val="bottom"/>
            <w:tcBorders>
              <w:bottom w:val="single" w:sz="8" w:color="0000FF"/>
            </w:tcBorders>
            <w:gridSpan w:val="7"/>
          </w:tcPr>
          <w:p>
            <w:pPr>
              <w:spacing w:after="0" w:line="166" w:lineRule="exact"/>
              <w:rPr>
                <w:rFonts w:ascii="Arial" w:cs="Arial" w:eastAsia="Arial" w:hAnsi="Arial"/>
                <w:sz w:val="16"/>
                <w:szCs w:val="16"/>
                <w:color w:val="0000FF"/>
                <w:w w:val="86"/>
              </w:rPr>
            </w:pPr>
            <w:hyperlink r:id="rId22">
              <w:r>
                <w:rPr>
                  <w:rFonts w:ascii="Arial" w:cs="Arial" w:eastAsia="Arial" w:hAnsi="Arial"/>
                  <w:sz w:val="16"/>
                  <w:szCs w:val="16"/>
                  <w:color w:val="0000FF"/>
                  <w:w w:val="86"/>
                </w:rPr>
                <w:t>NV as security agent and attached as a schedule thereto, a copy of the Amended and Restated Credit Agreement dated April 6, 2020, between, among others,</w:t>
              </w:r>
            </w:hyperlink>
          </w:p>
        </w:tc>
      </w:tr>
      <w:tr>
        <w:trPr>
          <w:trHeight w:val="166"/>
        </w:trPr>
        <w:tc>
          <w:tcPr>
            <w:tcW w:w="1460" w:type="dxa"/>
            <w:vAlign w:val="bottom"/>
          </w:tcPr>
          <w:p>
            <w:pPr>
              <w:spacing w:after="0"/>
              <w:rPr>
                <w:sz w:val="14"/>
                <w:szCs w:val="14"/>
                <w:color w:val="auto"/>
              </w:rPr>
            </w:pPr>
          </w:p>
        </w:tc>
        <w:tc>
          <w:tcPr>
            <w:tcW w:w="9760" w:type="dxa"/>
            <w:vAlign w:val="bottom"/>
            <w:tcBorders>
              <w:bottom w:val="single" w:sz="8" w:color="0000FF"/>
            </w:tcBorders>
            <w:gridSpan w:val="7"/>
          </w:tcPr>
          <w:p>
            <w:pPr>
              <w:spacing w:after="0" w:line="166" w:lineRule="exact"/>
              <w:rPr>
                <w:rFonts w:ascii="Arial" w:cs="Arial" w:eastAsia="Arial" w:hAnsi="Arial"/>
                <w:sz w:val="16"/>
                <w:szCs w:val="16"/>
                <w:color w:val="0000FF"/>
                <w:w w:val="90"/>
              </w:rPr>
            </w:pPr>
            <w:hyperlink r:id="rId22">
              <w:r>
                <w:rPr>
                  <w:rFonts w:ascii="Arial" w:cs="Arial" w:eastAsia="Arial" w:hAnsi="Arial"/>
                  <w:sz w:val="16"/>
                  <w:szCs w:val="16"/>
                  <w:color w:val="0000FF"/>
                  <w:w w:val="90"/>
                </w:rPr>
                <w:t>Telenet BV as original borrower and The Bank of Nova Scotia as facility agent and KBC Bank NV as security agent (incorporated by reference to Exhibit</w:t>
              </w:r>
            </w:hyperlink>
          </w:p>
        </w:tc>
      </w:tr>
      <w:tr>
        <w:trPr>
          <w:trHeight w:val="166"/>
        </w:trPr>
        <w:tc>
          <w:tcPr>
            <w:tcW w:w="1460" w:type="dxa"/>
            <w:vAlign w:val="bottom"/>
          </w:tcPr>
          <w:p>
            <w:pPr>
              <w:spacing w:after="0"/>
              <w:rPr>
                <w:sz w:val="14"/>
                <w:szCs w:val="14"/>
                <w:color w:val="auto"/>
              </w:rPr>
            </w:pPr>
          </w:p>
        </w:tc>
        <w:tc>
          <w:tcPr>
            <w:tcW w:w="6120" w:type="dxa"/>
            <w:vAlign w:val="bottom"/>
            <w:tcBorders>
              <w:bottom w:val="single" w:sz="8" w:color="0000FF"/>
            </w:tcBorders>
            <w:gridSpan w:val="4"/>
          </w:tcPr>
          <w:p>
            <w:pPr>
              <w:spacing w:after="0" w:line="166" w:lineRule="exact"/>
              <w:rPr>
                <w:rFonts w:ascii="Arial" w:cs="Arial" w:eastAsia="Arial" w:hAnsi="Arial"/>
                <w:sz w:val="16"/>
                <w:szCs w:val="16"/>
                <w:color w:val="0000FF"/>
                <w:w w:val="89"/>
              </w:rPr>
            </w:pPr>
            <w:hyperlink r:id="rId22">
              <w:r>
                <w:rPr>
                  <w:rFonts w:ascii="Arial" w:cs="Arial" w:eastAsia="Arial" w:hAnsi="Arial"/>
                  <w:sz w:val="16"/>
                  <w:szCs w:val="16"/>
                  <w:color w:val="0000FF"/>
                  <w:w w:val="89"/>
                </w:rPr>
                <w:t>4.</w:t>
              </w:r>
              <w:r>
                <w:rPr>
                  <w:rFonts w:ascii="Arial" w:cs="Arial" w:eastAsia="Arial" w:hAnsi="Arial"/>
                  <w:sz w:val="16"/>
                  <w:szCs w:val="16"/>
                  <w:u w:val="single" w:color="auto"/>
                  <w:color w:val="0000FF"/>
                  <w:w w:val="89"/>
                </w:rPr>
                <w:t>1</w:t>
              </w:r>
              <w:r>
                <w:rPr>
                  <w:rFonts w:ascii="Arial" w:cs="Arial" w:eastAsia="Arial" w:hAnsi="Arial"/>
                  <w:sz w:val="16"/>
                  <w:szCs w:val="16"/>
                  <w:color w:val="0000FF"/>
                  <w:w w:val="89"/>
                </w:rPr>
                <w:t xml:space="preserve"> to the Registrant’s Current Report on Form 8-K filed on April 10, 2020 (File No. 001-35961)).</w:t>
              </w:r>
            </w:hyperlink>
          </w:p>
        </w:tc>
        <w:tc>
          <w:tcPr>
            <w:tcW w:w="3640" w:type="dxa"/>
            <w:vAlign w:val="bottom"/>
            <w:gridSpan w:val="3"/>
          </w:tcPr>
          <w:p>
            <w:pPr>
              <w:spacing w:after="0"/>
              <w:rPr>
                <w:sz w:val="14"/>
                <w:szCs w:val="14"/>
                <w:color w:val="auto"/>
              </w:rPr>
            </w:pPr>
          </w:p>
        </w:tc>
      </w:tr>
      <w:tr>
        <w:trPr>
          <w:trHeight w:val="317"/>
        </w:trPr>
        <w:tc>
          <w:tcPr>
            <w:tcW w:w="1460" w:type="dxa"/>
            <w:vAlign w:val="bottom"/>
          </w:tcPr>
          <w:p>
            <w:pPr>
              <w:jc w:val="center"/>
              <w:ind w:right="302"/>
              <w:spacing w:after="0"/>
              <w:rPr>
                <w:sz w:val="20"/>
                <w:szCs w:val="20"/>
                <w:color w:val="auto"/>
              </w:rPr>
            </w:pPr>
            <w:r>
              <w:rPr>
                <w:rFonts w:ascii="Arial" w:cs="Arial" w:eastAsia="Arial" w:hAnsi="Arial"/>
                <w:sz w:val="16"/>
                <w:szCs w:val="16"/>
                <w:color w:val="auto"/>
                <w:w w:val="89"/>
              </w:rPr>
              <w:t>4.2</w:t>
            </w:r>
          </w:p>
        </w:tc>
        <w:tc>
          <w:tcPr>
            <w:tcW w:w="9760" w:type="dxa"/>
            <w:vAlign w:val="bottom"/>
            <w:tcBorders>
              <w:bottom w:val="single" w:sz="8" w:color="0000FF"/>
            </w:tcBorders>
            <w:gridSpan w:val="7"/>
          </w:tcPr>
          <w:p>
            <w:pPr>
              <w:spacing w:after="0"/>
              <w:rPr>
                <w:rFonts w:ascii="Arial" w:cs="Arial" w:eastAsia="Arial" w:hAnsi="Arial"/>
                <w:sz w:val="16"/>
                <w:szCs w:val="16"/>
                <w:color w:val="0000FF"/>
                <w:w w:val="88"/>
              </w:rPr>
            </w:pPr>
            <w:hyperlink r:id="rId23">
              <w:r>
                <w:rPr>
                  <w:rFonts w:ascii="Arial" w:cs="Arial" w:eastAsia="Arial" w:hAnsi="Arial"/>
                  <w:sz w:val="16"/>
                  <w:szCs w:val="16"/>
                  <w:color w:val="0000FF"/>
                  <w:w w:val="88"/>
                </w:rPr>
                <w:t>Supplemental Deed dated April 23, 2020 between, among others, UPC Broadband Holding B.V. as Obligors’ Agent and The Bank of Nova Scotia as facility</w:t>
              </w:r>
            </w:hyperlink>
          </w:p>
        </w:tc>
      </w:tr>
      <w:tr>
        <w:trPr>
          <w:trHeight w:val="166"/>
        </w:trPr>
        <w:tc>
          <w:tcPr>
            <w:tcW w:w="1460" w:type="dxa"/>
            <w:vAlign w:val="bottom"/>
          </w:tcPr>
          <w:p>
            <w:pPr>
              <w:spacing w:after="0"/>
              <w:rPr>
                <w:sz w:val="14"/>
                <w:szCs w:val="14"/>
                <w:color w:val="auto"/>
              </w:rPr>
            </w:pPr>
          </w:p>
        </w:tc>
        <w:tc>
          <w:tcPr>
            <w:tcW w:w="9760" w:type="dxa"/>
            <w:vAlign w:val="bottom"/>
            <w:tcBorders>
              <w:bottom w:val="single" w:sz="8" w:color="0000FF"/>
            </w:tcBorders>
            <w:gridSpan w:val="7"/>
          </w:tcPr>
          <w:p>
            <w:pPr>
              <w:spacing w:after="0" w:line="166" w:lineRule="exact"/>
              <w:rPr>
                <w:rFonts w:ascii="Arial" w:cs="Arial" w:eastAsia="Arial" w:hAnsi="Arial"/>
                <w:sz w:val="16"/>
                <w:szCs w:val="16"/>
                <w:color w:val="0000FF"/>
                <w:w w:val="90"/>
              </w:rPr>
            </w:pPr>
            <w:hyperlink r:id="rId23">
              <w:r>
                <w:rPr>
                  <w:rFonts w:ascii="Arial" w:cs="Arial" w:eastAsia="Arial" w:hAnsi="Arial"/>
                  <w:sz w:val="16"/>
                  <w:szCs w:val="16"/>
                  <w:color w:val="0000FF"/>
                  <w:w w:val="90"/>
                </w:rPr>
                <w:t>agent and security agent, and attached as a schedule thereto, a copy of the Amended Senior Facilities Agreement dated April 23, 2020 between, among</w:t>
              </w:r>
            </w:hyperlink>
          </w:p>
        </w:tc>
      </w:tr>
      <w:tr>
        <w:trPr>
          <w:trHeight w:val="166"/>
        </w:trPr>
        <w:tc>
          <w:tcPr>
            <w:tcW w:w="1460" w:type="dxa"/>
            <w:vAlign w:val="bottom"/>
          </w:tcPr>
          <w:p>
            <w:pPr>
              <w:spacing w:after="0"/>
              <w:rPr>
                <w:sz w:val="14"/>
                <w:szCs w:val="14"/>
                <w:color w:val="auto"/>
              </w:rPr>
            </w:pPr>
          </w:p>
        </w:tc>
        <w:tc>
          <w:tcPr>
            <w:tcW w:w="9760" w:type="dxa"/>
            <w:vAlign w:val="bottom"/>
            <w:tcBorders>
              <w:bottom w:val="single" w:sz="8" w:color="0000FF"/>
            </w:tcBorders>
            <w:gridSpan w:val="7"/>
          </w:tcPr>
          <w:p>
            <w:pPr>
              <w:spacing w:after="0" w:line="166" w:lineRule="exact"/>
              <w:rPr>
                <w:rFonts w:ascii="Arial" w:cs="Arial" w:eastAsia="Arial" w:hAnsi="Arial"/>
                <w:sz w:val="16"/>
                <w:szCs w:val="16"/>
                <w:color w:val="0000FF"/>
                <w:w w:val="88"/>
              </w:rPr>
            </w:pPr>
            <w:hyperlink r:id="rId23">
              <w:r>
                <w:rPr>
                  <w:rFonts w:ascii="Arial" w:cs="Arial" w:eastAsia="Arial" w:hAnsi="Arial"/>
                  <w:sz w:val="16"/>
                  <w:szCs w:val="16"/>
                  <w:color w:val="0000FF"/>
                  <w:w w:val="88"/>
                </w:rPr>
                <w:t>others, UPC Broadband Holding B.V. as borrower and The Bank of Nova Scotia as facility agent and security agent (incorporated by reference to Exhibit 4.1</w:t>
              </w:r>
            </w:hyperlink>
          </w:p>
        </w:tc>
      </w:tr>
      <w:tr>
        <w:trPr>
          <w:trHeight w:val="166"/>
        </w:trPr>
        <w:tc>
          <w:tcPr>
            <w:tcW w:w="1460" w:type="dxa"/>
            <w:vAlign w:val="bottom"/>
          </w:tcPr>
          <w:p>
            <w:pPr>
              <w:spacing w:after="0"/>
              <w:rPr>
                <w:sz w:val="14"/>
                <w:szCs w:val="14"/>
                <w:color w:val="auto"/>
              </w:rPr>
            </w:pPr>
          </w:p>
        </w:tc>
        <w:tc>
          <w:tcPr>
            <w:tcW w:w="9760" w:type="dxa"/>
            <w:vAlign w:val="bottom"/>
            <w:gridSpan w:val="7"/>
          </w:tcPr>
          <w:p>
            <w:pPr>
              <w:spacing w:after="0" w:line="166" w:lineRule="exact"/>
              <w:rPr>
                <w:rFonts w:ascii="Arial" w:cs="Arial" w:eastAsia="Arial" w:hAnsi="Arial"/>
                <w:sz w:val="16"/>
                <w:szCs w:val="16"/>
                <w:color w:val="0000FF"/>
              </w:rPr>
            </w:pPr>
            <w:hyperlink r:id="rId23">
              <w:r>
                <w:rPr>
                  <w:rFonts w:ascii="Arial" w:cs="Arial" w:eastAsia="Arial" w:hAnsi="Arial"/>
                  <w:sz w:val="16"/>
                  <w:szCs w:val="16"/>
                  <w:color w:val="0000FF"/>
                </w:rPr>
                <w:t>to the Registrant’s Current Report on Form 8-K filed on April 29, 2020 (File No. 001-35961)).</w:t>
              </w:r>
            </w:hyperlink>
          </w:p>
        </w:tc>
      </w:tr>
      <w:tr>
        <w:trPr>
          <w:trHeight w:val="20"/>
        </w:trPr>
        <w:tc>
          <w:tcPr>
            <w:tcW w:w="1460" w:type="dxa"/>
            <w:vAlign w:val="bottom"/>
          </w:tcPr>
          <w:p>
            <w:pPr>
              <w:spacing w:after="0" w:line="20" w:lineRule="exact"/>
              <w:rPr>
                <w:sz w:val="1"/>
                <w:szCs w:val="1"/>
                <w:color w:val="auto"/>
              </w:rPr>
            </w:pPr>
          </w:p>
        </w:tc>
        <w:tc>
          <w:tcPr>
            <w:tcW w:w="586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2"/>
        </w:trPr>
        <w:tc>
          <w:tcPr>
            <w:tcW w:w="11220" w:type="dxa"/>
            <w:vAlign w:val="bottom"/>
            <w:gridSpan w:val="8"/>
          </w:tcPr>
          <w:p>
            <w:pPr>
              <w:spacing w:after="0"/>
              <w:rPr>
                <w:sz w:val="20"/>
                <w:szCs w:val="20"/>
                <w:color w:val="auto"/>
              </w:rPr>
            </w:pPr>
            <w:r>
              <w:rPr>
                <w:rFonts w:ascii="Arial" w:cs="Arial" w:eastAsia="Arial" w:hAnsi="Arial"/>
                <w:sz w:val="16"/>
                <w:szCs w:val="16"/>
                <w:color w:val="auto"/>
              </w:rPr>
              <w:t>10 — Material Contracts</w:t>
            </w:r>
          </w:p>
        </w:tc>
      </w:tr>
      <w:tr>
        <w:trPr>
          <w:trHeight w:val="303"/>
        </w:trPr>
        <w:tc>
          <w:tcPr>
            <w:tcW w:w="1460" w:type="dxa"/>
            <w:vAlign w:val="bottom"/>
          </w:tcPr>
          <w:p>
            <w:pPr>
              <w:jc w:val="center"/>
              <w:ind w:right="302"/>
              <w:spacing w:after="0"/>
              <w:rPr>
                <w:sz w:val="20"/>
                <w:szCs w:val="20"/>
                <w:color w:val="auto"/>
              </w:rPr>
            </w:pPr>
            <w:r>
              <w:rPr>
                <w:rFonts w:ascii="Arial" w:cs="Arial" w:eastAsia="Arial" w:hAnsi="Arial"/>
                <w:sz w:val="16"/>
                <w:szCs w:val="16"/>
                <w:color w:val="auto"/>
                <w:w w:val="89"/>
              </w:rPr>
              <w:t>10.1</w:t>
            </w:r>
          </w:p>
        </w:tc>
        <w:tc>
          <w:tcPr>
            <w:tcW w:w="9760" w:type="dxa"/>
            <w:vAlign w:val="bottom"/>
            <w:gridSpan w:val="7"/>
          </w:tcPr>
          <w:p>
            <w:pPr>
              <w:spacing w:after="0"/>
              <w:rPr>
                <w:sz w:val="20"/>
                <w:szCs w:val="20"/>
                <w:color w:val="auto"/>
              </w:rPr>
            </w:pPr>
            <w:r>
              <w:rPr>
                <w:rFonts w:ascii="Arial" w:cs="Arial" w:eastAsia="Arial" w:hAnsi="Arial"/>
                <w:sz w:val="16"/>
                <w:szCs w:val="16"/>
                <w:color w:val="0000FF"/>
                <w:w w:val="93"/>
              </w:rPr>
              <w:t>Liberty Global 2020 Long-Term Equity Incentive Program for executive officers under the Incentive Plan (description of said plan is incorporated by</w:t>
            </w:r>
          </w:p>
        </w:tc>
      </w:tr>
      <w:tr>
        <w:trPr>
          <w:trHeight w:val="166"/>
        </w:trPr>
        <w:tc>
          <w:tcPr>
            <w:tcW w:w="1460" w:type="dxa"/>
            <w:vAlign w:val="bottom"/>
          </w:tcPr>
          <w:p>
            <w:pPr>
              <w:spacing w:after="0"/>
              <w:rPr>
                <w:sz w:val="14"/>
                <w:szCs w:val="14"/>
                <w:color w:val="auto"/>
              </w:rPr>
            </w:pPr>
          </w:p>
        </w:tc>
        <w:tc>
          <w:tcPr>
            <w:tcW w:w="9360" w:type="dxa"/>
            <w:vAlign w:val="bottom"/>
            <w:tcBorders>
              <w:top w:val="single" w:sz="8" w:color="0000FF"/>
              <w:bottom w:val="single" w:sz="8" w:color="0000FF"/>
            </w:tcBorders>
            <w:gridSpan w:val="5"/>
          </w:tcPr>
          <w:p>
            <w:pPr>
              <w:spacing w:after="0" w:line="166" w:lineRule="exact"/>
              <w:rPr>
                <w:sz w:val="20"/>
                <w:szCs w:val="20"/>
                <w:color w:val="auto"/>
              </w:rPr>
            </w:pPr>
            <w:r>
              <w:rPr>
                <w:rFonts w:ascii="Arial" w:cs="Arial" w:eastAsia="Arial" w:hAnsi="Arial"/>
                <w:sz w:val="16"/>
                <w:szCs w:val="16"/>
                <w:color w:val="0000FF"/>
                <w:w w:val="89"/>
              </w:rPr>
              <w:t>reference to the description thereof included in Item 5.02(e) of the Registrant’s Current Report on Form 8-K filed April 3, 2020 (File No. 001-35961)).</w:t>
            </w:r>
          </w:p>
        </w:tc>
        <w:tc>
          <w:tcPr>
            <w:tcW w:w="38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r>
      <w:tr>
        <w:trPr>
          <w:trHeight w:val="352"/>
        </w:trPr>
        <w:tc>
          <w:tcPr>
            <w:tcW w:w="1460" w:type="dxa"/>
            <w:vAlign w:val="bottom"/>
          </w:tcPr>
          <w:p>
            <w:pPr>
              <w:jc w:val="center"/>
              <w:ind w:right="302"/>
              <w:spacing w:after="0"/>
              <w:rPr>
                <w:sz w:val="20"/>
                <w:szCs w:val="20"/>
                <w:color w:val="auto"/>
              </w:rPr>
            </w:pPr>
            <w:r>
              <w:rPr>
                <w:rFonts w:ascii="Arial" w:cs="Arial" w:eastAsia="Arial" w:hAnsi="Arial"/>
                <w:sz w:val="16"/>
                <w:szCs w:val="16"/>
                <w:color w:val="auto"/>
                <w:w w:val="89"/>
              </w:rPr>
              <w:t>10.2</w:t>
            </w:r>
          </w:p>
        </w:tc>
        <w:tc>
          <w:tcPr>
            <w:tcW w:w="9760" w:type="dxa"/>
            <w:vAlign w:val="bottom"/>
            <w:gridSpan w:val="7"/>
          </w:tcPr>
          <w:p>
            <w:pPr>
              <w:spacing w:after="0"/>
              <w:rPr>
                <w:rFonts w:ascii="Arial" w:cs="Arial" w:eastAsia="Arial" w:hAnsi="Arial"/>
                <w:sz w:val="16"/>
                <w:szCs w:val="16"/>
                <w:u w:val="single" w:color="auto"/>
                <w:color w:val="0000FF"/>
              </w:rPr>
            </w:pPr>
            <w:hyperlink w:anchor="page91">
              <w:r>
                <w:rPr>
                  <w:rFonts w:ascii="Arial" w:cs="Arial" w:eastAsia="Arial" w:hAnsi="Arial"/>
                  <w:sz w:val="16"/>
                  <w:szCs w:val="16"/>
                  <w:u w:val="single" w:color="auto"/>
                  <w:color w:val="0000FF"/>
                </w:rPr>
                <w:t>Employment Agreement, dated May 21, 2020, by and between Liberty Global, Inc. and Bryan H. Hall.*</w:t>
              </w:r>
            </w:hyperlink>
          </w:p>
        </w:tc>
      </w:tr>
      <w:tr>
        <w:trPr>
          <w:trHeight w:val="303"/>
        </w:trPr>
        <w:tc>
          <w:tcPr>
            <w:tcW w:w="1460" w:type="dxa"/>
            <w:vAlign w:val="bottom"/>
          </w:tcPr>
          <w:p>
            <w:pPr>
              <w:jc w:val="center"/>
              <w:ind w:right="302"/>
              <w:spacing w:after="0"/>
              <w:rPr>
                <w:sz w:val="20"/>
                <w:szCs w:val="20"/>
                <w:color w:val="auto"/>
              </w:rPr>
            </w:pPr>
            <w:r>
              <w:rPr>
                <w:rFonts w:ascii="Arial" w:cs="Arial" w:eastAsia="Arial" w:hAnsi="Arial"/>
                <w:sz w:val="16"/>
                <w:szCs w:val="16"/>
                <w:color w:val="auto"/>
                <w:w w:val="89"/>
              </w:rPr>
              <w:t>10.3</w:t>
            </w:r>
          </w:p>
        </w:tc>
        <w:tc>
          <w:tcPr>
            <w:tcW w:w="9760" w:type="dxa"/>
            <w:vAlign w:val="bottom"/>
            <w:gridSpan w:val="7"/>
          </w:tcPr>
          <w:p>
            <w:pPr>
              <w:spacing w:after="0"/>
              <w:rPr>
                <w:rFonts w:ascii="Arial" w:cs="Arial" w:eastAsia="Arial" w:hAnsi="Arial"/>
                <w:sz w:val="16"/>
                <w:szCs w:val="16"/>
                <w:color w:val="0000FF"/>
                <w:w w:val="89"/>
              </w:rPr>
            </w:pPr>
            <w:hyperlink w:anchor="page116">
              <w:r>
                <w:rPr>
                  <w:rFonts w:ascii="Arial" w:cs="Arial" w:eastAsia="Arial" w:hAnsi="Arial"/>
                  <w:sz w:val="16"/>
                  <w:szCs w:val="16"/>
                  <w:color w:val="0000FF"/>
                  <w:w w:val="89"/>
                </w:rPr>
                <w:t>Employment Agreement, dated May 19, 2005, by and between Liberty Global Europe Limited (formerly known as UGC Europe Services Ltd.) and Andrea</w:t>
              </w:r>
            </w:hyperlink>
          </w:p>
        </w:tc>
      </w:tr>
      <w:tr>
        <w:trPr>
          <w:trHeight w:val="166"/>
        </w:trPr>
        <w:tc>
          <w:tcPr>
            <w:tcW w:w="1460" w:type="dxa"/>
            <w:vAlign w:val="bottom"/>
          </w:tcPr>
          <w:p>
            <w:pPr>
              <w:spacing w:after="0"/>
              <w:rPr>
                <w:sz w:val="14"/>
                <w:szCs w:val="14"/>
                <w:color w:val="auto"/>
              </w:rPr>
            </w:pPr>
          </w:p>
        </w:tc>
        <w:tc>
          <w:tcPr>
            <w:tcW w:w="6100" w:type="dxa"/>
            <w:vAlign w:val="bottom"/>
            <w:tcBorders>
              <w:top w:val="single" w:sz="8" w:color="0000FF"/>
              <w:bottom w:val="single" w:sz="8" w:color="0000FF"/>
            </w:tcBorders>
            <w:gridSpan w:val="3"/>
          </w:tcPr>
          <w:p>
            <w:pPr>
              <w:spacing w:after="0" w:line="166" w:lineRule="exact"/>
              <w:rPr>
                <w:rFonts w:ascii="Arial" w:cs="Arial" w:eastAsia="Arial" w:hAnsi="Arial"/>
                <w:sz w:val="16"/>
                <w:szCs w:val="16"/>
                <w:color w:val="0000FF"/>
                <w:w w:val="89"/>
              </w:rPr>
            </w:pPr>
            <w:hyperlink w:anchor="page116">
              <w:r>
                <w:rPr>
                  <w:rFonts w:ascii="Arial" w:cs="Arial" w:eastAsia="Arial" w:hAnsi="Arial"/>
                  <w:sz w:val="16"/>
                  <w:szCs w:val="16"/>
                  <w:color w:val="0000FF"/>
                  <w:w w:val="89"/>
                </w:rPr>
                <w:t>Salvato, assigned by Liberty Global Europe Limited to Liberty Global plc on November 1, 2013.*</w:t>
              </w:r>
            </w:hyperlink>
          </w:p>
        </w:tc>
        <w:tc>
          <w:tcPr>
            <w:tcW w:w="3640" w:type="dxa"/>
            <w:vAlign w:val="bottom"/>
            <w:tcBorders>
              <w:top w:val="single" w:sz="8" w:color="0000FF"/>
            </w:tcBorders>
            <w:gridSpan w:val="3"/>
          </w:tcPr>
          <w:p>
            <w:pPr>
              <w:spacing w:after="0"/>
              <w:rPr>
                <w:sz w:val="14"/>
                <w:szCs w:val="14"/>
                <w:color w:val="auto"/>
              </w:rPr>
            </w:pPr>
          </w:p>
        </w:tc>
        <w:tc>
          <w:tcPr>
            <w:tcW w:w="20" w:type="dxa"/>
            <w:vAlign w:val="bottom"/>
          </w:tcPr>
          <w:p>
            <w:pPr>
              <w:spacing w:after="0"/>
              <w:rPr>
                <w:sz w:val="14"/>
                <w:szCs w:val="14"/>
                <w:color w:val="auto"/>
              </w:rPr>
            </w:pPr>
          </w:p>
        </w:tc>
      </w:tr>
      <w:tr>
        <w:trPr>
          <w:trHeight w:val="352"/>
        </w:trPr>
        <w:tc>
          <w:tcPr>
            <w:tcW w:w="11220" w:type="dxa"/>
            <w:vAlign w:val="bottom"/>
            <w:gridSpan w:val="8"/>
          </w:tcPr>
          <w:p>
            <w:pPr>
              <w:spacing w:after="0"/>
              <w:rPr>
                <w:sz w:val="20"/>
                <w:szCs w:val="20"/>
                <w:color w:val="auto"/>
              </w:rPr>
            </w:pPr>
            <w:r>
              <w:rPr>
                <w:rFonts w:ascii="Arial" w:cs="Arial" w:eastAsia="Arial" w:hAnsi="Arial"/>
                <w:sz w:val="16"/>
                <w:szCs w:val="16"/>
                <w:color w:val="auto"/>
              </w:rPr>
              <w:t>31 — Rule 13a-14(a)/15d-14(a) Certification:</w:t>
            </w:r>
          </w:p>
        </w:tc>
      </w:tr>
      <w:tr>
        <w:trPr>
          <w:trHeight w:val="337"/>
        </w:trPr>
        <w:tc>
          <w:tcPr>
            <w:tcW w:w="1460" w:type="dxa"/>
            <w:vAlign w:val="bottom"/>
          </w:tcPr>
          <w:p>
            <w:pPr>
              <w:jc w:val="center"/>
              <w:ind w:right="302"/>
              <w:spacing w:after="0"/>
              <w:rPr>
                <w:sz w:val="20"/>
                <w:szCs w:val="20"/>
                <w:color w:val="auto"/>
              </w:rPr>
            </w:pPr>
            <w:r>
              <w:rPr>
                <w:rFonts w:ascii="Arial" w:cs="Arial" w:eastAsia="Arial" w:hAnsi="Arial"/>
                <w:sz w:val="16"/>
                <w:szCs w:val="16"/>
                <w:color w:val="auto"/>
                <w:w w:val="89"/>
              </w:rPr>
              <w:t>31.1</w:t>
            </w:r>
          </w:p>
        </w:tc>
        <w:tc>
          <w:tcPr>
            <w:tcW w:w="9760" w:type="dxa"/>
            <w:vAlign w:val="bottom"/>
            <w:gridSpan w:val="7"/>
          </w:tcPr>
          <w:p>
            <w:pPr>
              <w:spacing w:after="0"/>
              <w:rPr>
                <w:rFonts w:ascii="Arial" w:cs="Arial" w:eastAsia="Arial" w:hAnsi="Arial"/>
                <w:sz w:val="16"/>
                <w:szCs w:val="16"/>
                <w:u w:val="single" w:color="auto"/>
                <w:color w:val="0000FF"/>
              </w:rPr>
            </w:pPr>
            <w:hyperlink w:anchor="page134">
              <w:r>
                <w:rPr>
                  <w:rFonts w:ascii="Arial" w:cs="Arial" w:eastAsia="Arial" w:hAnsi="Arial"/>
                  <w:sz w:val="16"/>
                  <w:szCs w:val="16"/>
                  <w:u w:val="single" w:color="auto"/>
                  <w:color w:val="0000FF"/>
                </w:rPr>
                <w:t>Certification of President and Chief Executive Officer*</w:t>
              </w:r>
            </w:hyperlink>
          </w:p>
        </w:tc>
      </w:tr>
      <w:tr>
        <w:trPr>
          <w:trHeight w:val="337"/>
        </w:trPr>
        <w:tc>
          <w:tcPr>
            <w:tcW w:w="1460" w:type="dxa"/>
            <w:vAlign w:val="bottom"/>
          </w:tcPr>
          <w:p>
            <w:pPr>
              <w:jc w:val="center"/>
              <w:ind w:right="302"/>
              <w:spacing w:after="0"/>
              <w:rPr>
                <w:sz w:val="20"/>
                <w:szCs w:val="20"/>
                <w:color w:val="auto"/>
              </w:rPr>
            </w:pPr>
            <w:r>
              <w:rPr>
                <w:rFonts w:ascii="Arial" w:cs="Arial" w:eastAsia="Arial" w:hAnsi="Arial"/>
                <w:sz w:val="16"/>
                <w:szCs w:val="16"/>
                <w:color w:val="auto"/>
                <w:w w:val="89"/>
              </w:rPr>
              <w:t>31.2</w:t>
            </w:r>
          </w:p>
        </w:tc>
        <w:tc>
          <w:tcPr>
            <w:tcW w:w="9760" w:type="dxa"/>
            <w:vAlign w:val="bottom"/>
            <w:gridSpan w:val="7"/>
          </w:tcPr>
          <w:p>
            <w:pPr>
              <w:spacing w:after="0"/>
              <w:rPr>
                <w:rFonts w:ascii="Arial" w:cs="Arial" w:eastAsia="Arial" w:hAnsi="Arial"/>
                <w:sz w:val="16"/>
                <w:szCs w:val="16"/>
                <w:u w:val="single" w:color="auto"/>
                <w:color w:val="0000FF"/>
              </w:rPr>
            </w:pPr>
            <w:hyperlink w:anchor="page135">
              <w:r>
                <w:rPr>
                  <w:rFonts w:ascii="Arial" w:cs="Arial" w:eastAsia="Arial" w:hAnsi="Arial"/>
                  <w:sz w:val="16"/>
                  <w:szCs w:val="16"/>
                  <w:u w:val="single" w:color="auto"/>
                  <w:color w:val="0000FF"/>
                </w:rPr>
                <w:t>Certification of Executive Vice President and Chief Financial Officer*</w:t>
              </w:r>
            </w:hyperlink>
          </w:p>
        </w:tc>
      </w:tr>
      <w:tr>
        <w:trPr>
          <w:trHeight w:val="337"/>
        </w:trPr>
        <w:tc>
          <w:tcPr>
            <w:tcW w:w="11220" w:type="dxa"/>
            <w:vAlign w:val="bottom"/>
            <w:gridSpan w:val="8"/>
          </w:tcPr>
          <w:p>
            <w:pPr>
              <w:spacing w:after="0"/>
              <w:rPr>
                <w:rFonts w:ascii="Arial" w:cs="Arial" w:eastAsia="Arial" w:hAnsi="Arial"/>
                <w:sz w:val="16"/>
                <w:szCs w:val="16"/>
                <w:u w:val="single" w:color="auto"/>
                <w:color w:val="0000FF"/>
              </w:rPr>
            </w:pPr>
            <w:hyperlink w:anchor="page136">
              <w:r>
                <w:rPr>
                  <w:rFonts w:ascii="Arial" w:cs="Arial" w:eastAsia="Arial" w:hAnsi="Arial"/>
                  <w:sz w:val="16"/>
                  <w:szCs w:val="16"/>
                  <w:u w:val="single" w:color="auto"/>
                  <w:color w:val="0000FF"/>
                </w:rPr>
                <w:t>32 — Section 1350 Certification**</w:t>
              </w:r>
            </w:hyperlink>
          </w:p>
        </w:tc>
      </w:tr>
      <w:tr>
        <w:trPr>
          <w:trHeight w:val="337"/>
        </w:trPr>
        <w:tc>
          <w:tcPr>
            <w:tcW w:w="1460" w:type="dxa"/>
            <w:vAlign w:val="bottom"/>
          </w:tcPr>
          <w:p>
            <w:pPr>
              <w:spacing w:after="0"/>
              <w:rPr>
                <w:sz w:val="20"/>
                <w:szCs w:val="20"/>
                <w:color w:val="auto"/>
              </w:rPr>
            </w:pPr>
            <w:r>
              <w:rPr>
                <w:rFonts w:ascii="Arial" w:cs="Arial" w:eastAsia="Arial" w:hAnsi="Arial"/>
                <w:sz w:val="16"/>
                <w:szCs w:val="16"/>
                <w:color w:val="auto"/>
              </w:rPr>
              <w:t>101.SCH</w:t>
            </w:r>
          </w:p>
        </w:tc>
        <w:tc>
          <w:tcPr>
            <w:tcW w:w="9760" w:type="dxa"/>
            <w:vAlign w:val="bottom"/>
            <w:gridSpan w:val="7"/>
          </w:tcPr>
          <w:p>
            <w:pPr>
              <w:spacing w:after="0"/>
              <w:rPr>
                <w:sz w:val="20"/>
                <w:szCs w:val="20"/>
                <w:color w:val="auto"/>
              </w:rPr>
            </w:pPr>
            <w:r>
              <w:rPr>
                <w:rFonts w:ascii="Arial" w:cs="Arial" w:eastAsia="Arial" w:hAnsi="Arial"/>
                <w:sz w:val="16"/>
                <w:szCs w:val="16"/>
                <w:color w:val="auto"/>
              </w:rPr>
              <w:t>Inline XBRL Taxonomy Extension Schema Document*</w:t>
            </w:r>
          </w:p>
        </w:tc>
      </w:tr>
      <w:tr>
        <w:trPr>
          <w:trHeight w:val="337"/>
        </w:trPr>
        <w:tc>
          <w:tcPr>
            <w:tcW w:w="1460" w:type="dxa"/>
            <w:vAlign w:val="bottom"/>
          </w:tcPr>
          <w:p>
            <w:pPr>
              <w:spacing w:after="0"/>
              <w:rPr>
                <w:sz w:val="20"/>
                <w:szCs w:val="20"/>
                <w:color w:val="auto"/>
              </w:rPr>
            </w:pPr>
            <w:r>
              <w:rPr>
                <w:rFonts w:ascii="Arial" w:cs="Arial" w:eastAsia="Arial" w:hAnsi="Arial"/>
                <w:sz w:val="16"/>
                <w:szCs w:val="16"/>
                <w:color w:val="auto"/>
              </w:rPr>
              <w:t>101.CAL</w:t>
            </w:r>
          </w:p>
        </w:tc>
        <w:tc>
          <w:tcPr>
            <w:tcW w:w="9760" w:type="dxa"/>
            <w:vAlign w:val="bottom"/>
            <w:gridSpan w:val="7"/>
          </w:tcPr>
          <w:p>
            <w:pPr>
              <w:spacing w:after="0"/>
              <w:rPr>
                <w:sz w:val="20"/>
                <w:szCs w:val="20"/>
                <w:color w:val="auto"/>
              </w:rPr>
            </w:pPr>
            <w:r>
              <w:rPr>
                <w:rFonts w:ascii="Arial" w:cs="Arial" w:eastAsia="Arial" w:hAnsi="Arial"/>
                <w:sz w:val="16"/>
                <w:szCs w:val="16"/>
                <w:color w:val="auto"/>
              </w:rPr>
              <w:t>Inline XBRL Taxonomy Extension Calculation Linkbase Document*</w:t>
            </w:r>
          </w:p>
        </w:tc>
      </w:tr>
      <w:tr>
        <w:trPr>
          <w:trHeight w:val="337"/>
        </w:trPr>
        <w:tc>
          <w:tcPr>
            <w:tcW w:w="1460" w:type="dxa"/>
            <w:vAlign w:val="bottom"/>
          </w:tcPr>
          <w:p>
            <w:pPr>
              <w:spacing w:after="0"/>
              <w:rPr>
                <w:sz w:val="20"/>
                <w:szCs w:val="20"/>
                <w:color w:val="auto"/>
              </w:rPr>
            </w:pPr>
            <w:r>
              <w:rPr>
                <w:rFonts w:ascii="Arial" w:cs="Arial" w:eastAsia="Arial" w:hAnsi="Arial"/>
                <w:sz w:val="16"/>
                <w:szCs w:val="16"/>
                <w:color w:val="auto"/>
              </w:rPr>
              <w:t>101.DEF</w:t>
            </w:r>
          </w:p>
        </w:tc>
        <w:tc>
          <w:tcPr>
            <w:tcW w:w="9760" w:type="dxa"/>
            <w:vAlign w:val="bottom"/>
            <w:gridSpan w:val="7"/>
          </w:tcPr>
          <w:p>
            <w:pPr>
              <w:spacing w:after="0"/>
              <w:rPr>
                <w:sz w:val="20"/>
                <w:szCs w:val="20"/>
                <w:color w:val="auto"/>
              </w:rPr>
            </w:pPr>
            <w:r>
              <w:rPr>
                <w:rFonts w:ascii="Arial" w:cs="Arial" w:eastAsia="Arial" w:hAnsi="Arial"/>
                <w:sz w:val="16"/>
                <w:szCs w:val="16"/>
                <w:color w:val="auto"/>
              </w:rPr>
              <w:t>Inline XBRL Taxonomy Extension Definition Linkbase*</w:t>
            </w:r>
          </w:p>
        </w:tc>
      </w:tr>
      <w:tr>
        <w:trPr>
          <w:trHeight w:val="337"/>
        </w:trPr>
        <w:tc>
          <w:tcPr>
            <w:tcW w:w="1460" w:type="dxa"/>
            <w:vAlign w:val="bottom"/>
          </w:tcPr>
          <w:p>
            <w:pPr>
              <w:spacing w:after="0"/>
              <w:rPr>
                <w:sz w:val="20"/>
                <w:szCs w:val="20"/>
                <w:color w:val="auto"/>
              </w:rPr>
            </w:pPr>
            <w:r>
              <w:rPr>
                <w:rFonts w:ascii="Arial" w:cs="Arial" w:eastAsia="Arial" w:hAnsi="Arial"/>
                <w:sz w:val="16"/>
                <w:szCs w:val="16"/>
                <w:color w:val="auto"/>
              </w:rPr>
              <w:t>101.LAB</w:t>
            </w:r>
          </w:p>
        </w:tc>
        <w:tc>
          <w:tcPr>
            <w:tcW w:w="9760" w:type="dxa"/>
            <w:vAlign w:val="bottom"/>
            <w:gridSpan w:val="7"/>
          </w:tcPr>
          <w:p>
            <w:pPr>
              <w:spacing w:after="0"/>
              <w:rPr>
                <w:sz w:val="20"/>
                <w:szCs w:val="20"/>
                <w:color w:val="auto"/>
              </w:rPr>
            </w:pPr>
            <w:r>
              <w:rPr>
                <w:rFonts w:ascii="Arial" w:cs="Arial" w:eastAsia="Arial" w:hAnsi="Arial"/>
                <w:sz w:val="16"/>
                <w:szCs w:val="16"/>
                <w:color w:val="auto"/>
              </w:rPr>
              <w:t>Inline XBRL Taxonomy Extension Label Linkbase Document*</w:t>
            </w:r>
          </w:p>
        </w:tc>
      </w:tr>
      <w:tr>
        <w:trPr>
          <w:trHeight w:val="337"/>
        </w:trPr>
        <w:tc>
          <w:tcPr>
            <w:tcW w:w="1460" w:type="dxa"/>
            <w:vAlign w:val="bottom"/>
          </w:tcPr>
          <w:p>
            <w:pPr>
              <w:spacing w:after="0"/>
              <w:rPr>
                <w:sz w:val="20"/>
                <w:szCs w:val="20"/>
                <w:color w:val="auto"/>
              </w:rPr>
            </w:pPr>
            <w:r>
              <w:rPr>
                <w:rFonts w:ascii="Arial" w:cs="Arial" w:eastAsia="Arial" w:hAnsi="Arial"/>
                <w:sz w:val="16"/>
                <w:szCs w:val="16"/>
                <w:color w:val="auto"/>
              </w:rPr>
              <w:t>101.PRE</w:t>
            </w:r>
          </w:p>
        </w:tc>
        <w:tc>
          <w:tcPr>
            <w:tcW w:w="9760" w:type="dxa"/>
            <w:vAlign w:val="bottom"/>
            <w:gridSpan w:val="7"/>
          </w:tcPr>
          <w:p>
            <w:pPr>
              <w:spacing w:after="0"/>
              <w:rPr>
                <w:sz w:val="20"/>
                <w:szCs w:val="20"/>
                <w:color w:val="auto"/>
              </w:rPr>
            </w:pPr>
            <w:r>
              <w:rPr>
                <w:rFonts w:ascii="Arial" w:cs="Arial" w:eastAsia="Arial" w:hAnsi="Arial"/>
                <w:sz w:val="16"/>
                <w:szCs w:val="16"/>
                <w:color w:val="auto"/>
              </w:rPr>
              <w:t>Inline XBRL Taxonomy Extension Presentation Linkbase Document*</w:t>
            </w:r>
          </w:p>
        </w:tc>
      </w:tr>
    </w:tbl>
    <w:p>
      <w:pPr>
        <w:spacing w:after="0" w:line="141" w:lineRule="exact"/>
        <w:rPr>
          <w:sz w:val="20"/>
          <w:szCs w:val="20"/>
          <w:color w:val="auto"/>
        </w:rPr>
      </w:pPr>
    </w:p>
    <w:p>
      <w:pPr>
        <w:ind w:left="1480" w:hanging="1464"/>
        <w:spacing w:after="0"/>
        <w:tabs>
          <w:tab w:leader="none" w:pos="14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Cover Page Interactive Data File (formatted as Inline XBRL and contained in Exhibit 101)*</w:t>
      </w:r>
    </w:p>
    <w:p>
      <w:pPr>
        <w:spacing w:after="0" w:line="2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_______________</w:t>
      </w:r>
    </w:p>
    <w:p>
      <w:pPr>
        <w:spacing w:after="0" w:line="142" w:lineRule="exact"/>
        <w:rPr>
          <w:sz w:val="20"/>
          <w:szCs w:val="20"/>
          <w:color w:val="auto"/>
        </w:rPr>
      </w:pPr>
    </w:p>
    <w:p>
      <w:pPr>
        <w:ind w:left="680" w:hanging="664"/>
        <w:spacing w:after="0"/>
        <w:tabs>
          <w:tab w:leader="none" w:pos="6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165" w:lineRule="exact"/>
        <w:rPr>
          <w:sz w:val="20"/>
          <w:szCs w:val="20"/>
          <w:color w:val="auto"/>
        </w:rPr>
      </w:pPr>
    </w:p>
    <w:p>
      <w:pPr>
        <w:ind w:left="700" w:hanging="684"/>
        <w:spacing w:after="0"/>
        <w:tabs>
          <w:tab w:leader="none" w:pos="7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Furnished herewith</w:t>
      </w:r>
    </w:p>
    <w:p>
      <w:pPr>
        <w:spacing w:after="0" w:line="48" w:lineRule="exact"/>
        <w:rPr>
          <w:rFonts w:ascii="Arial" w:cs="Arial" w:eastAsia="Arial" w:hAnsi="Arial"/>
          <w:sz w:val="16"/>
          <w:szCs w:val="16"/>
          <w:color w:val="auto"/>
        </w:rPr>
      </w:pPr>
    </w:p>
    <w:p>
      <w:pPr>
        <w:ind w:left="700" w:right="380" w:hanging="684"/>
        <w:spacing w:after="0" w:line="258" w:lineRule="auto"/>
        <w:tabs>
          <w:tab w:leader="none" w:pos="7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Schedules and similar attachments to the agreement have been omitted pursuant to Item 601(a)(5) of Regulation S-K but will be provided to the U.S. Securities and Exchange Commission or its staff upon request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240"/>
          </w:cols>
          <w:pgMar w:left="320" w:top="309" w:right="339" w:bottom="1440" w:gutter="0" w:footer="0" w:header="0"/>
        </w:sectPr>
      </w:pPr>
    </w:p>
    <w:bookmarkStart w:id="89" w:name="page90"/>
    <w:bookmarkEnd w:id="89"/>
    <w:p>
      <w:pPr>
        <w:jc w:val="center"/>
        <w:spacing w:after="0"/>
        <w:rPr>
          <w:sz w:val="20"/>
          <w:szCs w:val="20"/>
          <w:color w:val="auto"/>
        </w:rPr>
      </w:pPr>
      <w:r>
        <w:rPr>
          <w:rFonts w:ascii="Arial" w:cs="Arial" w:eastAsia="Arial" w:hAnsi="Arial"/>
          <w:sz w:val="16"/>
          <w:szCs w:val="16"/>
          <w:b w:val="1"/>
          <w:bCs w:val="1"/>
          <w:color w:val="auto"/>
        </w:rPr>
        <w:t>SIGNATURES</w:t>
      </w:r>
    </w:p>
    <w:p>
      <w:pPr>
        <w:spacing w:after="0" w:line="148" w:lineRule="exact"/>
        <w:rPr>
          <w:sz w:val="20"/>
          <w:szCs w:val="20"/>
          <w:color w:val="auto"/>
        </w:rPr>
      </w:pPr>
    </w:p>
    <w:p>
      <w:pPr>
        <w:ind w:firstLine="372"/>
        <w:spacing w:after="0" w:line="258"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302" w:lineRule="exact"/>
        <w:rPr>
          <w:sz w:val="20"/>
          <w:szCs w:val="20"/>
          <w:color w:val="auto"/>
        </w:rPr>
      </w:pPr>
    </w:p>
    <w:p>
      <w:pPr>
        <w:ind w:left="7040"/>
        <w:spacing w:after="0"/>
        <w:rPr>
          <w:sz w:val="20"/>
          <w:szCs w:val="20"/>
          <w:color w:val="auto"/>
        </w:rPr>
      </w:pPr>
      <w:r>
        <w:rPr>
          <w:rFonts w:ascii="Arial" w:cs="Arial" w:eastAsia="Arial" w:hAnsi="Arial"/>
          <w:sz w:val="16"/>
          <w:szCs w:val="16"/>
          <w:color w:val="auto"/>
        </w:rPr>
        <w:t>LIBERTY GLOBAL PLC</w:t>
      </w:r>
    </w:p>
    <w:p>
      <w:pPr>
        <w:spacing w:after="0" w:line="328" w:lineRule="exact"/>
        <w:rPr>
          <w:sz w:val="20"/>
          <w:szCs w:val="20"/>
          <w:color w:val="auto"/>
        </w:rPr>
      </w:pPr>
    </w:p>
    <w:p>
      <w:pPr>
        <w:ind w:left="240"/>
        <w:spacing w:after="0"/>
        <w:tabs>
          <w:tab w:leader="none" w:pos="6980" w:val="left"/>
          <w:tab w:leader="none" w:pos="7280" w:val="left"/>
        </w:tabs>
        <w:rPr>
          <w:sz w:val="20"/>
          <w:szCs w:val="20"/>
          <w:color w:val="auto"/>
        </w:rPr>
      </w:pPr>
      <w:r>
        <w:rPr>
          <w:rFonts w:ascii="Arial" w:cs="Arial" w:eastAsia="Arial" w:hAnsi="Arial"/>
          <w:sz w:val="16"/>
          <w:szCs w:val="16"/>
          <w:color w:val="auto"/>
        </w:rPr>
        <w:t>Dated: August 3, 2020</w:t>
      </w:r>
      <w:r>
        <w:rPr>
          <w:sz w:val="20"/>
          <w:szCs w:val="20"/>
          <w:color w:val="auto"/>
        </w:rPr>
        <w:tab/>
      </w:r>
      <w:r>
        <w:rPr>
          <w:rFonts w:ascii="Arial" w:cs="Arial" w:eastAsia="Arial" w:hAnsi="Arial"/>
          <w:sz w:val="16"/>
          <w:szCs w:val="16"/>
          <w:color w:val="auto"/>
        </w:rPr>
        <w:t>/s/</w:t>
      </w:r>
      <w:r>
        <w:rPr>
          <w:sz w:val="20"/>
          <w:szCs w:val="20"/>
          <w:color w:val="auto"/>
        </w:rPr>
        <w:tab/>
      </w:r>
      <w:r>
        <w:rPr>
          <w:rFonts w:ascii="Arial" w:cs="Arial" w:eastAsia="Arial" w:hAnsi="Arial"/>
          <w:sz w:val="14"/>
          <w:szCs w:val="14"/>
          <w:color w:val="auto"/>
        </w:rPr>
        <w:t>M</w:t>
      </w:r>
      <w:r>
        <w:rPr>
          <w:rFonts w:ascii="Arial" w:cs="Arial" w:eastAsia="Arial" w:hAnsi="Arial"/>
          <w:sz w:val="11"/>
          <w:szCs w:val="11"/>
          <w:color w:val="auto"/>
        </w:rPr>
        <w:t>ICHAEL</w:t>
      </w:r>
      <w:r>
        <w:rPr>
          <w:rFonts w:ascii="Arial" w:cs="Arial" w:eastAsia="Arial" w:hAnsi="Arial"/>
          <w:sz w:val="14"/>
          <w:szCs w:val="14"/>
          <w:color w:val="auto"/>
        </w:rPr>
        <w:t xml:space="preserve"> T. F</w:t>
      </w:r>
      <w:r>
        <w:rPr>
          <w:rFonts w:ascii="Arial" w:cs="Arial" w:eastAsia="Arial" w:hAnsi="Arial"/>
          <w:sz w:val="11"/>
          <w:szCs w:val="11"/>
          <w:color w:val="auto"/>
        </w:rPr>
        <w: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2950845</wp:posOffset>
            </wp:positionH>
            <wp:positionV relativeFrom="paragraph">
              <wp:posOffset>30480</wp:posOffset>
            </wp:positionV>
            <wp:extent cx="407035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4070350" cy="7620"/>
                    </a:xfrm>
                    <a:prstGeom prst="rect">
                      <a:avLst/>
                    </a:prstGeom>
                    <a:noFill/>
                  </pic:spPr>
                </pic:pic>
              </a:graphicData>
            </a:graphic>
          </wp:anchor>
        </w:drawing>
      </w:r>
    </w:p>
    <w:p>
      <w:pPr>
        <w:spacing w:after="0" w:line="52" w:lineRule="exact"/>
        <w:rPr>
          <w:sz w:val="20"/>
          <w:szCs w:val="20"/>
          <w:color w:val="auto"/>
        </w:rPr>
      </w:pPr>
    </w:p>
    <w:p>
      <w:pPr>
        <w:jc w:val="center"/>
        <w:ind w:left="4460"/>
        <w:spacing w:after="0"/>
        <w:rPr>
          <w:sz w:val="20"/>
          <w:szCs w:val="20"/>
          <w:color w:val="auto"/>
        </w:rPr>
      </w:pPr>
      <w:r>
        <w:rPr>
          <w:rFonts w:ascii="Arial" w:cs="Arial" w:eastAsia="Arial" w:hAnsi="Arial"/>
          <w:sz w:val="16"/>
          <w:szCs w:val="16"/>
          <w:color w:val="auto"/>
        </w:rPr>
        <w:t>Michael T. Fries</w:t>
      </w:r>
    </w:p>
    <w:p>
      <w:pPr>
        <w:spacing w:after="0" w:line="12" w:lineRule="exact"/>
        <w:rPr>
          <w:sz w:val="20"/>
          <w:szCs w:val="20"/>
          <w:color w:val="auto"/>
        </w:rPr>
      </w:pPr>
    </w:p>
    <w:p>
      <w:pPr>
        <w:jc w:val="center"/>
        <w:ind w:left="4460"/>
        <w:spacing w:after="0"/>
        <w:rPr>
          <w:sz w:val="20"/>
          <w:szCs w:val="20"/>
          <w:color w:val="auto"/>
        </w:rPr>
      </w:pPr>
      <w:r>
        <w:rPr>
          <w:rFonts w:ascii="Arial" w:cs="Arial" w:eastAsia="Arial" w:hAnsi="Arial"/>
          <w:sz w:val="16"/>
          <w:szCs w:val="16"/>
          <w:i w:val="1"/>
          <w:iCs w:val="1"/>
          <w:color w:val="auto"/>
        </w:rPr>
        <w:t>President and Chief Executive Officer</w:t>
      </w:r>
    </w:p>
    <w:p>
      <w:pPr>
        <w:spacing w:after="0" w:line="330" w:lineRule="exact"/>
        <w:rPr>
          <w:sz w:val="20"/>
          <w:szCs w:val="20"/>
          <w:color w:val="auto"/>
        </w:rPr>
      </w:pPr>
    </w:p>
    <w:p>
      <w:pPr>
        <w:ind w:left="240"/>
        <w:spacing w:after="0"/>
        <w:tabs>
          <w:tab w:leader="none" w:pos="6780" w:val="left"/>
          <w:tab w:leader="none" w:pos="7080" w:val="left"/>
        </w:tabs>
        <w:rPr>
          <w:sz w:val="20"/>
          <w:szCs w:val="20"/>
          <w:color w:val="auto"/>
        </w:rPr>
      </w:pPr>
      <w:r>
        <w:rPr>
          <w:rFonts w:ascii="Arial" w:cs="Arial" w:eastAsia="Arial" w:hAnsi="Arial"/>
          <w:sz w:val="16"/>
          <w:szCs w:val="16"/>
          <w:color w:val="auto"/>
        </w:rPr>
        <w:t>Dated: August 3, 2020</w:t>
      </w:r>
      <w:r>
        <w:rPr>
          <w:sz w:val="20"/>
          <w:szCs w:val="20"/>
          <w:color w:val="auto"/>
        </w:rPr>
        <w:tab/>
      </w:r>
      <w:r>
        <w:rPr>
          <w:rFonts w:ascii="Arial" w:cs="Arial" w:eastAsia="Arial" w:hAnsi="Arial"/>
          <w:sz w:val="16"/>
          <w:szCs w:val="16"/>
          <w:color w:val="auto"/>
        </w:rPr>
        <w:t>/s/</w:t>
      </w:r>
      <w:r>
        <w:rPr>
          <w:sz w:val="20"/>
          <w:szCs w:val="20"/>
          <w:color w:val="auto"/>
        </w:rPr>
        <w:tab/>
      </w:r>
      <w:r>
        <w:rPr>
          <w:rFonts w:ascii="Arial" w:cs="Arial" w:eastAsia="Arial" w:hAnsi="Arial"/>
          <w:sz w:val="14"/>
          <w:szCs w:val="14"/>
          <w:color w:val="auto"/>
        </w:rPr>
        <w:t>C</w:t>
      </w:r>
      <w:r>
        <w:rPr>
          <w:rFonts w:ascii="Arial" w:cs="Arial" w:eastAsia="Arial" w:hAnsi="Arial"/>
          <w:sz w:val="11"/>
          <w:szCs w:val="11"/>
          <w:color w:val="auto"/>
        </w:rPr>
        <w:t>HARLES</w:t>
      </w:r>
      <w:r>
        <w:rPr>
          <w:rFonts w:ascii="Arial" w:cs="Arial" w:eastAsia="Arial" w:hAnsi="Arial"/>
          <w:sz w:val="14"/>
          <w:szCs w:val="14"/>
          <w:color w:val="auto"/>
        </w:rPr>
        <w:t xml:space="preserve"> H.R. B</w:t>
      </w:r>
      <w:r>
        <w:rPr>
          <w:rFonts w:ascii="Arial" w:cs="Arial" w:eastAsia="Arial" w:hAnsi="Arial"/>
          <w:sz w:val="11"/>
          <w:szCs w:val="11"/>
          <w:color w:val="auto"/>
        </w:rPr>
        <w:t>RACKEN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2950845</wp:posOffset>
            </wp:positionH>
            <wp:positionV relativeFrom="paragraph">
              <wp:posOffset>30480</wp:posOffset>
            </wp:positionV>
            <wp:extent cx="407035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4070350" cy="7620"/>
                    </a:xfrm>
                    <a:prstGeom prst="rect">
                      <a:avLst/>
                    </a:prstGeom>
                    <a:noFill/>
                  </pic:spPr>
                </pic:pic>
              </a:graphicData>
            </a:graphic>
          </wp:anchor>
        </w:drawing>
      </w:r>
    </w:p>
    <w:p>
      <w:pPr>
        <w:spacing w:after="0" w:line="52" w:lineRule="exact"/>
        <w:rPr>
          <w:sz w:val="20"/>
          <w:szCs w:val="20"/>
          <w:color w:val="auto"/>
        </w:rPr>
      </w:pPr>
    </w:p>
    <w:p>
      <w:pPr>
        <w:jc w:val="center"/>
        <w:ind w:left="4460"/>
        <w:spacing w:after="0"/>
        <w:rPr>
          <w:sz w:val="20"/>
          <w:szCs w:val="20"/>
          <w:color w:val="auto"/>
        </w:rPr>
      </w:pPr>
      <w:r>
        <w:rPr>
          <w:rFonts w:ascii="Arial" w:cs="Arial" w:eastAsia="Arial" w:hAnsi="Arial"/>
          <w:sz w:val="16"/>
          <w:szCs w:val="16"/>
          <w:color w:val="auto"/>
        </w:rPr>
        <w:t>Charles H.R. Bracken</w:t>
      </w:r>
    </w:p>
    <w:p>
      <w:pPr>
        <w:spacing w:after="0" w:line="12" w:lineRule="exact"/>
        <w:rPr>
          <w:sz w:val="20"/>
          <w:szCs w:val="20"/>
          <w:color w:val="auto"/>
        </w:rPr>
      </w:pPr>
    </w:p>
    <w:p>
      <w:pPr>
        <w:jc w:val="center"/>
        <w:ind w:left="4460"/>
        <w:spacing w:after="0"/>
        <w:rPr>
          <w:sz w:val="20"/>
          <w:szCs w:val="20"/>
          <w:color w:val="auto"/>
        </w:rPr>
      </w:pPr>
      <w:r>
        <w:rPr>
          <w:rFonts w:ascii="Arial" w:cs="Arial" w:eastAsia="Arial" w:hAnsi="Arial"/>
          <w:sz w:val="16"/>
          <w:szCs w:val="16"/>
          <w:i w:val="1"/>
          <w:iCs w:val="1"/>
          <w:color w:val="auto"/>
        </w:rPr>
        <w:t>Executive Vice President and Chief</w:t>
      </w:r>
    </w:p>
    <w:p>
      <w:pPr>
        <w:spacing w:after="0" w:line="2" w:lineRule="exact"/>
        <w:rPr>
          <w:sz w:val="20"/>
          <w:szCs w:val="20"/>
          <w:color w:val="auto"/>
        </w:rPr>
      </w:pPr>
    </w:p>
    <w:p>
      <w:pPr>
        <w:jc w:val="center"/>
        <w:ind w:left="4460"/>
        <w:spacing w:after="0"/>
        <w:rPr>
          <w:sz w:val="20"/>
          <w:szCs w:val="20"/>
          <w:color w:val="auto"/>
        </w:rPr>
      </w:pPr>
      <w:r>
        <w:rPr>
          <w:rFonts w:ascii="Arial" w:cs="Arial" w:eastAsia="Arial" w:hAnsi="Arial"/>
          <w:sz w:val="16"/>
          <w:szCs w:val="16"/>
          <w:i w:val="1"/>
          <w:iCs w:val="1"/>
          <w:color w:val="auto"/>
        </w:rPr>
        <w:t>Financial Officer</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260"/>
          </w:cols>
          <w:pgMar w:left="320" w:top="309" w:right="319" w:bottom="1440" w:gutter="0" w:footer="0" w:header="0"/>
        </w:sectPr>
      </w:pPr>
    </w:p>
    <w:bookmarkStart w:id="90" w:name="page91"/>
    <w:bookmarkEnd w:id="90"/>
    <w:p>
      <w:pPr>
        <w:jc w:val="right"/>
        <w:spacing w:after="0"/>
        <w:rPr>
          <w:sz w:val="20"/>
          <w:szCs w:val="20"/>
          <w:color w:val="auto"/>
        </w:rPr>
      </w:pPr>
      <w:r>
        <w:rPr>
          <w:rFonts w:ascii="Arial" w:cs="Arial" w:eastAsia="Arial" w:hAnsi="Arial"/>
          <w:sz w:val="16"/>
          <w:szCs w:val="16"/>
          <w:b w:val="1"/>
          <w:bCs w:val="1"/>
          <w:color w:val="auto"/>
        </w:rPr>
        <w:t>Exhibit 10.2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EMPLOYMENT AGREEMENT</w:t>
      </w:r>
    </w:p>
    <w:p>
      <w:pPr>
        <w:spacing w:after="0" w:line="286" w:lineRule="exact"/>
        <w:rPr>
          <w:sz w:val="20"/>
          <w:szCs w:val="20"/>
          <w:color w:val="auto"/>
        </w:rPr>
      </w:pPr>
    </w:p>
    <w:p>
      <w:pPr>
        <w:jc w:val="both"/>
        <w:ind w:firstLine="1117"/>
        <w:spacing w:after="0" w:line="292" w:lineRule="auto"/>
        <w:rPr>
          <w:sz w:val="20"/>
          <w:szCs w:val="20"/>
          <w:color w:val="auto"/>
        </w:rPr>
      </w:pPr>
      <w:r>
        <w:rPr>
          <w:rFonts w:ascii="Arial" w:cs="Arial" w:eastAsia="Arial" w:hAnsi="Arial"/>
          <w:sz w:val="18"/>
          <w:szCs w:val="18"/>
          <w:color w:val="auto"/>
        </w:rPr>
        <w:t>This EMPLOYMENT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as of May 21, 2020 by and among Liberty Global,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Bryan H. Hall (the “</w:t>
      </w:r>
      <w:r>
        <w:rPr>
          <w:rFonts w:ascii="Arial" w:cs="Arial" w:eastAsia="Arial" w:hAnsi="Arial"/>
          <w:sz w:val="18"/>
          <w:szCs w:val="18"/>
          <w:u w:val="single" w:color="auto"/>
          <w:color w:val="auto"/>
        </w:rPr>
        <w:t>Executive</w:t>
      </w:r>
      <w:r>
        <w:rPr>
          <w:rFonts w:ascii="Arial" w:cs="Arial" w:eastAsia="Arial" w:hAnsi="Arial"/>
          <w:sz w:val="18"/>
          <w:szCs w:val="18"/>
          <w:color w:val="auto"/>
        </w:rPr>
        <w:t>”) (the Company and the Executive collectively,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125"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WHEREAS, the Company desires to continue to employ the Executive as Executive Vice President, General Counsel and Secretary;</w:t>
      </w:r>
    </w:p>
    <w:p>
      <w:pPr>
        <w:spacing w:after="0" w:line="42" w:lineRule="exact"/>
        <w:rPr>
          <w:sz w:val="20"/>
          <w:szCs w:val="20"/>
          <w:color w:val="auto"/>
        </w:rPr>
      </w:pPr>
    </w:p>
    <w:p>
      <w:pPr>
        <w:spacing w:after="0"/>
        <w:rPr>
          <w:sz w:val="20"/>
          <w:szCs w:val="20"/>
          <w:color w:val="auto"/>
        </w:rPr>
      </w:pPr>
      <w:r>
        <w:rPr>
          <w:rFonts w:ascii="Arial" w:cs="Arial" w:eastAsia="Arial" w:hAnsi="Arial"/>
          <w:sz w:val="19"/>
          <w:szCs w:val="19"/>
          <w:color w:val="auto"/>
        </w:rPr>
        <w:t>and</w:t>
      </w:r>
    </w:p>
    <w:p>
      <w:pPr>
        <w:spacing w:after="0" w:line="173" w:lineRule="exact"/>
        <w:rPr>
          <w:sz w:val="20"/>
          <w:szCs w:val="20"/>
          <w:color w:val="auto"/>
        </w:rPr>
      </w:pPr>
    </w:p>
    <w:p>
      <w:pPr>
        <w:jc w:val="both"/>
        <w:ind w:right="20" w:firstLine="1117"/>
        <w:spacing w:after="0" w:line="264" w:lineRule="auto"/>
        <w:rPr>
          <w:sz w:val="20"/>
          <w:szCs w:val="20"/>
          <w:color w:val="auto"/>
        </w:rPr>
      </w:pPr>
      <w:r>
        <w:rPr>
          <w:rFonts w:ascii="Arial" w:cs="Arial" w:eastAsia="Arial" w:hAnsi="Arial"/>
          <w:sz w:val="19"/>
          <w:szCs w:val="19"/>
          <w:color w:val="auto"/>
        </w:rPr>
        <w:t>WHEREAS, the Parties desire to enter into this Agreement to secure the Executive’s employment during the term hereof, on the terms and conditions set forth herein.</w:t>
      </w:r>
    </w:p>
    <w:p>
      <w:pPr>
        <w:spacing w:after="0" w:line="148" w:lineRule="exact"/>
        <w:rPr>
          <w:sz w:val="20"/>
          <w:szCs w:val="20"/>
          <w:color w:val="auto"/>
        </w:rPr>
      </w:pPr>
    </w:p>
    <w:p>
      <w:pPr>
        <w:jc w:val="both"/>
        <w:ind w:right="20" w:firstLine="1117"/>
        <w:spacing w:after="0" w:line="264" w:lineRule="auto"/>
        <w:rPr>
          <w:sz w:val="20"/>
          <w:szCs w:val="20"/>
          <w:color w:val="auto"/>
        </w:rPr>
      </w:pPr>
      <w:r>
        <w:rPr>
          <w:rFonts w:ascii="Arial" w:cs="Arial" w:eastAsia="Arial" w:hAnsi="Arial"/>
          <w:sz w:val="19"/>
          <w:szCs w:val="19"/>
          <w:color w:val="auto"/>
        </w:rPr>
        <w:t>NOW, THEREFORE, for good and valuable consideration, the receipt and sufficiency of which is hereby acknowledged, the Parties agree as follows:</w:t>
      </w:r>
    </w:p>
    <w:p>
      <w:pPr>
        <w:spacing w:after="0" w:line="144" w:lineRule="exact"/>
        <w:rPr>
          <w:sz w:val="20"/>
          <w:szCs w:val="20"/>
          <w:color w:val="auto"/>
        </w:rPr>
      </w:pPr>
    </w:p>
    <w:p>
      <w:pPr>
        <w:jc w:val="center"/>
        <w:ind w:right="60"/>
        <w:spacing w:after="0"/>
        <w:rPr>
          <w:sz w:val="20"/>
          <w:szCs w:val="20"/>
          <w:color w:val="auto"/>
        </w:rPr>
      </w:pPr>
      <w:r>
        <w:rPr>
          <w:rFonts w:ascii="Arial" w:cs="Arial" w:eastAsia="Arial" w:hAnsi="Arial"/>
          <w:sz w:val="19"/>
          <w:szCs w:val="19"/>
          <w:b w:val="1"/>
          <w:bCs w:val="1"/>
          <w:color w:val="010000"/>
        </w:rPr>
        <w:t>ARTICLE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DEFINITIONS</w:t>
      </w:r>
    </w:p>
    <w:p>
      <w:pPr>
        <w:spacing w:after="0" w:line="173" w:lineRule="exact"/>
        <w:rPr>
          <w:sz w:val="20"/>
          <w:szCs w:val="20"/>
          <w:color w:val="auto"/>
        </w:rPr>
      </w:pPr>
    </w:p>
    <w:p>
      <w:pPr>
        <w:ind w:left="560"/>
        <w:spacing w:after="0"/>
        <w:tabs>
          <w:tab w:leader="none" w:pos="1560" w:val="left"/>
        </w:tabs>
        <w:rPr>
          <w:sz w:val="20"/>
          <w:szCs w:val="20"/>
          <w:color w:val="auto"/>
        </w:rPr>
      </w:pPr>
      <w:r>
        <w:rPr>
          <w:rFonts w:ascii="Arial" w:cs="Arial" w:eastAsia="Arial" w:hAnsi="Arial"/>
          <w:sz w:val="19"/>
          <w:szCs w:val="19"/>
          <w:color w:val="010000"/>
        </w:rPr>
        <w:t>Section 1.1</w:t>
      </w:r>
      <w:r>
        <w:rPr>
          <w:sz w:val="20"/>
          <w:szCs w:val="20"/>
          <w:color w:val="auto"/>
        </w:rPr>
        <w:tab/>
      </w:r>
      <w:r>
        <w:rPr>
          <w:rFonts w:ascii="Arial" w:cs="Arial" w:eastAsia="Arial" w:hAnsi="Arial"/>
          <w:sz w:val="17"/>
          <w:szCs w:val="17"/>
          <w:u w:val="single" w:color="auto"/>
          <w:color w:val="auto"/>
        </w:rPr>
        <w:t>Defined Terms</w:t>
      </w:r>
      <w:r>
        <w:rPr>
          <w:rFonts w:ascii="Arial" w:cs="Arial" w:eastAsia="Arial" w:hAnsi="Arial"/>
          <w:sz w:val="17"/>
          <w:szCs w:val="17"/>
          <w:color w:val="auto"/>
        </w:rPr>
        <w:t>. As used in this Agreement, the following terms have the following meanings:</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Board</w:t>
      </w:r>
      <w:r>
        <w:rPr>
          <w:rFonts w:ascii="Arial" w:cs="Arial" w:eastAsia="Arial" w:hAnsi="Arial"/>
          <w:sz w:val="19"/>
          <w:szCs w:val="19"/>
          <w:color w:val="auto"/>
        </w:rPr>
        <w:t>” means the Board of Directors of the Parent.</w:t>
      </w:r>
    </w:p>
    <w:p>
      <w:pPr>
        <w:spacing w:after="0" w:line="189" w:lineRule="exact"/>
        <w:rPr>
          <w:sz w:val="20"/>
          <w:szCs w:val="20"/>
          <w:color w:val="auto"/>
        </w:rPr>
      </w:pPr>
    </w:p>
    <w:p>
      <w:pPr>
        <w:jc w:val="both"/>
        <w:ind w:firstLine="55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Cause</w:t>
      </w:r>
      <w:r>
        <w:rPr>
          <w:rFonts w:ascii="Arial" w:cs="Arial" w:eastAsia="Arial" w:hAnsi="Arial"/>
          <w:sz w:val="17"/>
          <w:szCs w:val="17"/>
          <w:color w:val="auto"/>
        </w:rPr>
        <w:t>” shall mean a determination in good faith by the Company that the Executive (a) has engaged in gross negligence, gross incompetence or willful misconduct in the performance of the Executive’s duties with respect to the Parent, the Company or any of their subsidiaries, (b) has refused without proper legal reason to perform the Executive’s duties and responsibilities to the Parent, the Company or any of their subsidiaries, (c) has materially breached any provision of this Agreement or any material written agreement or corporate policy or code of conduct established by the Parent, the Company or any of their subsidiaries (and as may be amended from time to time), (d) has engaged in conduct that is materially injurious to the Parent, the Company or any of their subsidiaries, (e) has disclosed without specific authorization from the Company material Confidential Information, (f) has committed an act of theft, fraud, embezzlement, misappropriation or breach of a fiduciary duty to the Parent, the Company or any of their subsidiaries, (g) has been indicted for a crime involving fraud, dishonesty or moral turpitude or any felony (or a crime of similar import in a jurisdiction outside the U.S.), or (h) has, directly or indirectly (through a failure to put in place and enforce appropriate compliance controls and procedures), violated, or there appears to be, after due inquiry, a reasonable basis to conclude that the Executive has violated, the Foreign Corrupt Practices Act, the UK Bribery Act, and/or other similar applicable laws, in any material respect.</w:t>
      </w:r>
    </w:p>
    <w:p>
      <w:pPr>
        <w:spacing w:after="0" w:line="145"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Class A Shares</w:t>
      </w:r>
      <w:r>
        <w:rPr>
          <w:rFonts w:ascii="Arial" w:cs="Arial" w:eastAsia="Arial" w:hAnsi="Arial"/>
          <w:sz w:val="19"/>
          <w:szCs w:val="19"/>
          <w:color w:val="auto"/>
        </w:rPr>
        <w:t>” means the Parent’s Class A ordinary shares.</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Class C Shares</w:t>
      </w:r>
      <w:r>
        <w:rPr>
          <w:rFonts w:ascii="Arial" w:cs="Arial" w:eastAsia="Arial" w:hAnsi="Arial"/>
          <w:sz w:val="19"/>
          <w:szCs w:val="19"/>
          <w:color w:val="auto"/>
        </w:rPr>
        <w:t>” means the Parent’s Class C ordinary shares.</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Code</w:t>
      </w:r>
      <w:r>
        <w:rPr>
          <w:rFonts w:ascii="Arial" w:cs="Arial" w:eastAsia="Arial" w:hAnsi="Arial"/>
          <w:sz w:val="19"/>
          <w:szCs w:val="19"/>
          <w:color w:val="auto"/>
        </w:rPr>
        <w:t>” means the U.S. Internal Revenue Code of 1986, as amended.</w:t>
      </w:r>
    </w:p>
    <w:p>
      <w:pPr>
        <w:spacing w:after="0" w:line="375" w:lineRule="exact"/>
        <w:rPr>
          <w:sz w:val="20"/>
          <w:szCs w:val="20"/>
          <w:color w:val="auto"/>
        </w:rPr>
      </w:pPr>
    </w:p>
    <w:p>
      <w:pPr>
        <w:ind w:left="3620"/>
        <w:spacing w:after="0"/>
        <w:rPr>
          <w:sz w:val="20"/>
          <w:szCs w:val="20"/>
          <w:color w:val="auto"/>
        </w:rPr>
      </w:pPr>
      <w:r>
        <w:rPr>
          <w:rFonts w:ascii="Arial" w:cs="Arial" w:eastAsia="Arial" w:hAnsi="Arial"/>
          <w:sz w:val="19"/>
          <w:szCs w:val="19"/>
          <w:color w:val="auto"/>
        </w:rPr>
        <w:t>1</w:t>
      </w:r>
    </w:p>
    <w:p>
      <w:pPr>
        <w:sectPr>
          <w:pgSz w:w="11900" w:h="16838" w:orient="portrait"/>
          <w:cols w:equalWidth="0" w:num="1">
            <w:col w:w="11260"/>
          </w:cols>
          <w:pgMar w:left="320" w:top="123" w:right="319" w:bottom="1440" w:gutter="0" w:footer="0" w:header="0"/>
        </w:sectPr>
      </w:pPr>
    </w:p>
    <w:bookmarkStart w:id="91" w:name="page92"/>
    <w:bookmarkEnd w:id="91"/>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Company Entity</w:t>
      </w:r>
      <w:r>
        <w:rPr>
          <w:rFonts w:ascii="Arial" w:cs="Arial" w:eastAsia="Arial" w:hAnsi="Arial"/>
          <w:sz w:val="19"/>
          <w:szCs w:val="19"/>
          <w:color w:val="auto"/>
        </w:rPr>
        <w:t>” means the Parent, the Company and/or any of their subsidiaries or other affiliates.</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Compensation Committee</w:t>
      </w:r>
      <w:r>
        <w:rPr>
          <w:rFonts w:ascii="Arial" w:cs="Arial" w:eastAsia="Arial" w:hAnsi="Arial"/>
          <w:sz w:val="19"/>
          <w:szCs w:val="19"/>
          <w:color w:val="auto"/>
        </w:rPr>
        <w:t>” means the Compensation Committee of the Board.</w:t>
      </w:r>
    </w:p>
    <w:p>
      <w:pPr>
        <w:spacing w:after="0" w:line="189" w:lineRule="exact"/>
        <w:rPr>
          <w:sz w:val="20"/>
          <w:szCs w:val="20"/>
          <w:color w:val="auto"/>
        </w:rPr>
      </w:pPr>
    </w:p>
    <w:p>
      <w:pPr>
        <w:jc w:val="both"/>
        <w:ind w:firstLine="559"/>
        <w:spacing w:after="0" w:line="25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Date of Termination</w:t>
      </w:r>
      <w:r>
        <w:rPr>
          <w:rFonts w:ascii="Arial" w:cs="Arial" w:eastAsia="Arial" w:hAnsi="Arial"/>
          <w:sz w:val="19"/>
          <w:szCs w:val="19"/>
          <w:color w:val="auto"/>
        </w:rPr>
        <w:t xml:space="preserve">” shall mean the date specified in the Notice of Termination relating to termination of the Executive’s employment with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that the Company may require an earlier Date of Termination than the date specified by the Executive in a Notice of Termination delivered pursuant to Section 4.2.</w:t>
      </w:r>
    </w:p>
    <w:p>
      <w:pPr>
        <w:spacing w:after="0" w:line="15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shall mean that the Executive meets the requirements for disability benefits under the Company’s long-term disability plan.</w:t>
      </w:r>
    </w:p>
    <w:p>
      <w:pPr>
        <w:spacing w:after="0" w:line="200" w:lineRule="exact"/>
        <w:rPr>
          <w:sz w:val="20"/>
          <w:szCs w:val="20"/>
          <w:color w:val="auto"/>
        </w:rPr>
      </w:pPr>
    </w:p>
    <w:p>
      <w:pPr>
        <w:jc w:val="both"/>
        <w:ind w:firstLine="55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Good Reason</w:t>
      </w:r>
      <w:r>
        <w:rPr>
          <w:rFonts w:ascii="Arial" w:cs="Arial" w:eastAsia="Arial" w:hAnsi="Arial"/>
          <w:sz w:val="18"/>
          <w:szCs w:val="18"/>
          <w:color w:val="auto"/>
        </w:rPr>
        <w:t>” shall mean any of the following events that occur without the Executive’s prior written consent: (a) the assignment to the Executive of any duties materially inconsistent with the Executive’s position, authority, duties or responsibilities, or any other action by the Company that results in a material diminution in the Executive’s authority, duties or responsibilities (excluding for this purpose an isolated, insubstantial and inadvertent action not taken in bad faith); (b) any material breach of this Agreement by the Company; (c) a material reduction in Base Salary or material reduction in target Annual Bonus under Article III, as each may be increased from time to time; or (d) relocation of Executive’s principal place of employment from the Company’s headquarters in the Denver metropolitan area.</w:t>
      </w:r>
    </w:p>
    <w:p>
      <w:pPr>
        <w:spacing w:after="0" w:line="152" w:lineRule="exact"/>
        <w:rPr>
          <w:sz w:val="20"/>
          <w:szCs w:val="20"/>
          <w:color w:val="auto"/>
        </w:rPr>
      </w:pPr>
    </w:p>
    <w:p>
      <w:pPr>
        <w:jc w:val="both"/>
        <w:ind w:firstLine="559"/>
        <w:spacing w:after="0" w:line="248" w:lineRule="auto"/>
        <w:rPr>
          <w:sz w:val="20"/>
          <w:szCs w:val="20"/>
          <w:color w:val="auto"/>
        </w:rPr>
      </w:pPr>
      <w:r>
        <w:rPr>
          <w:rFonts w:ascii="Arial" w:cs="Arial" w:eastAsia="Arial" w:hAnsi="Arial"/>
          <w:sz w:val="19"/>
          <w:szCs w:val="19"/>
          <w:color w:val="auto"/>
        </w:rPr>
        <w:t>In order for a termination to be considered for “Good Reason,” (i) the Executive must provide written notice to the Company of the existence of the condition(s) the Executive claims constitutes Good Reason within 30 days of the initial existence, or if later, the Executive’s actual good faith knowledge of the condition(s), (ii) the Company shall have 30 days after such notice is given (the “</w:t>
      </w:r>
      <w:r>
        <w:rPr>
          <w:rFonts w:ascii="Arial" w:cs="Arial" w:eastAsia="Arial" w:hAnsi="Arial"/>
          <w:sz w:val="19"/>
          <w:szCs w:val="19"/>
          <w:u w:val="single" w:color="auto"/>
          <w:color w:val="auto"/>
        </w:rPr>
        <w:t>Cure Period</w:t>
      </w:r>
      <w:r>
        <w:rPr>
          <w:rFonts w:ascii="Arial" w:cs="Arial" w:eastAsia="Arial" w:hAnsi="Arial"/>
          <w:sz w:val="19"/>
          <w:szCs w:val="19"/>
          <w:color w:val="auto"/>
        </w:rPr>
        <w:t>”) during which to remedy the condition(s) to the extent that such condition(s) is reasonably curable, and, if not so cured, (iii) the Executive must actually terminate employment within 30 days of the expiration of the Cure Period.</w:t>
      </w:r>
    </w:p>
    <w:p>
      <w:pPr>
        <w:spacing w:after="0" w:line="163" w:lineRule="exact"/>
        <w:rPr>
          <w:sz w:val="20"/>
          <w:szCs w:val="20"/>
          <w:color w:val="auto"/>
        </w:rPr>
      </w:pPr>
    </w:p>
    <w:p>
      <w:pPr>
        <w:jc w:val="both"/>
        <w:ind w:right="20" w:firstLine="559"/>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Grant Award Agreements</w:t>
      </w:r>
      <w:r>
        <w:rPr>
          <w:rFonts w:ascii="Arial" w:cs="Arial" w:eastAsia="Arial" w:hAnsi="Arial"/>
          <w:sz w:val="19"/>
          <w:szCs w:val="19"/>
          <w:color w:val="auto"/>
        </w:rPr>
        <w:t>” means collectively and individually any one of the equity grant agreements in the form established by the Company or the Parent, as the case may be, awarding equity grants to senior management personnel, including the Executive.</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Incentive Plan</w:t>
      </w:r>
      <w:r>
        <w:rPr>
          <w:rFonts w:ascii="Arial" w:cs="Arial" w:eastAsia="Arial" w:hAnsi="Arial"/>
          <w:sz w:val="19"/>
          <w:szCs w:val="19"/>
          <w:color w:val="auto"/>
        </w:rPr>
        <w:t>” means the Liberty Global 2014 Incentive Plan, as may be amended from time to time, or a successor plan.</w:t>
      </w:r>
    </w:p>
    <w:p>
      <w:pPr>
        <w:spacing w:after="0" w:line="189" w:lineRule="exact"/>
        <w:rPr>
          <w:sz w:val="20"/>
          <w:szCs w:val="20"/>
          <w:color w:val="auto"/>
        </w:rPr>
      </w:pPr>
    </w:p>
    <w:p>
      <w:pPr>
        <w:jc w:val="both"/>
        <w:ind w:firstLine="559"/>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Notice of Termination</w:t>
      </w:r>
      <w:r>
        <w:rPr>
          <w:rFonts w:ascii="Arial" w:cs="Arial" w:eastAsia="Arial" w:hAnsi="Arial"/>
          <w:sz w:val="19"/>
          <w:szCs w:val="19"/>
          <w:color w:val="auto"/>
        </w:rPr>
        <w:t>” shall mean a written notice delivered by the Company or the Executive to the other party in accordance with Section 8.9 indicating the specific termination provision in this Agreement relied upon for termination of the Executive’s employment and the Date of Termination that sets forth in reasonable detail the facts and circumstances claimed to provide a basis for termination of the Executive’s employment under the provision so indicated.</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Parent</w:t>
      </w:r>
      <w:r>
        <w:rPr>
          <w:rFonts w:ascii="Arial" w:cs="Arial" w:eastAsia="Arial" w:hAnsi="Arial"/>
          <w:sz w:val="19"/>
          <w:szCs w:val="19"/>
          <w:color w:val="auto"/>
        </w:rPr>
        <w:t>” means Liberty Global plc, a company organized under the laws of England &amp; Wales.</w:t>
      </w:r>
    </w:p>
    <w:p>
      <w:pPr>
        <w:spacing w:after="0" w:line="375" w:lineRule="exact"/>
        <w:rPr>
          <w:sz w:val="20"/>
          <w:szCs w:val="20"/>
          <w:color w:val="auto"/>
        </w:rPr>
      </w:pPr>
    </w:p>
    <w:p>
      <w:pPr>
        <w:ind w:left="3620"/>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1260"/>
          </w:cols>
          <w:pgMar w:left="320" w:top="318" w:right="319" w:bottom="1440" w:gutter="0" w:footer="0" w:header="0"/>
        </w:sectPr>
      </w:pPr>
    </w:p>
    <w:bookmarkStart w:id="92" w:name="page93"/>
    <w:bookmarkEnd w:id="92"/>
    <w:p>
      <w:pPr>
        <w:ind w:left="560"/>
        <w:spacing w:after="0"/>
        <w:tabs>
          <w:tab w:leader="none" w:pos="1560" w:val="left"/>
        </w:tabs>
        <w:rPr>
          <w:sz w:val="20"/>
          <w:szCs w:val="20"/>
          <w:color w:val="auto"/>
        </w:rPr>
      </w:pPr>
      <w:r>
        <w:rPr>
          <w:rFonts w:ascii="Arial" w:cs="Arial" w:eastAsia="Arial" w:hAnsi="Arial"/>
          <w:sz w:val="19"/>
          <w:szCs w:val="19"/>
          <w:color w:val="010000"/>
        </w:rPr>
        <w:t>Section 1.2</w:t>
      </w:r>
      <w:r>
        <w:rPr>
          <w:sz w:val="20"/>
          <w:szCs w:val="20"/>
          <w:color w:val="auto"/>
        </w:rPr>
        <w:tab/>
      </w:r>
      <w:r>
        <w:rPr>
          <w:rFonts w:ascii="Arial" w:cs="Arial" w:eastAsia="Arial" w:hAnsi="Arial"/>
          <w:sz w:val="17"/>
          <w:szCs w:val="17"/>
          <w:u w:val="single" w:color="auto"/>
          <w:color w:val="auto"/>
        </w:rPr>
        <w:t>Other Interpretive Provisions</w:t>
      </w:r>
      <w:r>
        <w:rPr>
          <w:rFonts w:ascii="Arial" w:cs="Arial" w:eastAsia="Arial" w:hAnsi="Arial"/>
          <w:sz w:val="17"/>
          <w:szCs w:val="17"/>
          <w:color w:val="auto"/>
        </w:rPr>
        <w:t>.</w:t>
      </w:r>
    </w:p>
    <w:p>
      <w:pPr>
        <w:spacing w:after="0" w:line="189" w:lineRule="exact"/>
        <w:rPr>
          <w:sz w:val="20"/>
          <w:szCs w:val="20"/>
          <w:color w:val="auto"/>
        </w:rPr>
      </w:pPr>
    </w:p>
    <w:p>
      <w:pPr>
        <w:ind w:left="1500" w:hanging="390"/>
        <w:spacing w:after="0"/>
        <w:tabs>
          <w:tab w:leader="none" w:pos="1500" w:val="left"/>
        </w:tabs>
        <w:numPr>
          <w:ilvl w:val="0"/>
          <w:numId w:val="83"/>
        </w:numPr>
        <w:rPr>
          <w:rFonts w:ascii="Arial" w:cs="Arial" w:eastAsia="Arial" w:hAnsi="Arial"/>
          <w:sz w:val="19"/>
          <w:szCs w:val="19"/>
          <w:color w:val="010000"/>
        </w:rPr>
      </w:pPr>
      <w:r>
        <w:rPr>
          <w:rFonts w:ascii="Arial" w:cs="Arial" w:eastAsia="Arial" w:hAnsi="Arial"/>
          <w:sz w:val="19"/>
          <w:szCs w:val="19"/>
          <w:color w:val="auto"/>
        </w:rPr>
        <w:t>Capitalized terms are used as defined in this Agreement, unless otherwise indicated.</w:t>
      </w:r>
    </w:p>
    <w:p>
      <w:pPr>
        <w:spacing w:after="0" w:line="188" w:lineRule="exact"/>
        <w:rPr>
          <w:rFonts w:ascii="Arial" w:cs="Arial" w:eastAsia="Arial" w:hAnsi="Arial"/>
          <w:sz w:val="19"/>
          <w:szCs w:val="19"/>
          <w:color w:val="010000"/>
        </w:rPr>
      </w:pPr>
    </w:p>
    <w:p>
      <w:pPr>
        <w:jc w:val="both"/>
        <w:ind w:left="560" w:firstLine="550"/>
        <w:spacing w:after="0" w:line="225" w:lineRule="exact"/>
        <w:tabs>
          <w:tab w:leader="none" w:pos="1673" w:val="left"/>
        </w:tabs>
        <w:numPr>
          <w:ilvl w:val="0"/>
          <w:numId w:val="83"/>
        </w:numPr>
        <w:rPr>
          <w:rFonts w:ascii="Arial" w:cs="Arial" w:eastAsia="Arial" w:hAnsi="Arial"/>
          <w:sz w:val="18"/>
          <w:szCs w:val="18"/>
          <w:color w:val="010000"/>
        </w:rPr>
      </w:pPr>
      <w:r>
        <w:rPr>
          <w:rFonts w:ascii="Arial" w:cs="Arial" w:eastAsia="Arial" w:hAnsi="Arial"/>
          <w:sz w:val="18"/>
          <w:szCs w:val="18"/>
          <w:color w:val="auto"/>
        </w:rPr>
        <w:t>The name assigned to this Agreement and headings and captions of the sections, paragraphs, subparagraphs, clauses and subclauses of this Agreement are for convenience of reference only and shall not in any way affect the meaning or interpretation of any of the provisions hereof. Words of inclusion shall not be construed as terms of limitation herein, so that references to “include,” “includes” and “including” shall not be limiting and shall be regarded as references to non</w:t>
      </w:r>
      <w:r>
        <w:rPr>
          <w:rFonts w:ascii="MS PGothic" w:cs="MS PGothic" w:eastAsia="MS PGothic" w:hAnsi="MS PGothic"/>
          <w:sz w:val="18"/>
          <w:szCs w:val="18"/>
          <w:color w:val="auto"/>
        </w:rPr>
        <w:t>‑</w:t>
      </w:r>
      <w:r>
        <w:rPr>
          <w:rFonts w:ascii="Arial" w:cs="Arial" w:eastAsia="Arial" w:hAnsi="Arial"/>
          <w:sz w:val="18"/>
          <w:szCs w:val="18"/>
          <w:color w:val="auto"/>
        </w:rPr>
        <w:t>exclusive and non</w:t>
      </w:r>
      <w:r>
        <w:rPr>
          <w:rFonts w:ascii="MS PGothic" w:cs="MS PGothic" w:eastAsia="MS PGothic" w:hAnsi="MS PGothic"/>
          <w:sz w:val="18"/>
          <w:szCs w:val="18"/>
          <w:color w:val="auto"/>
        </w:rPr>
        <w:t>‑</w:t>
      </w:r>
      <w:r>
        <w:rPr>
          <w:rFonts w:ascii="Arial" w:cs="Arial" w:eastAsia="Arial" w:hAnsi="Arial"/>
          <w:sz w:val="18"/>
          <w:szCs w:val="18"/>
          <w:color w:val="auto"/>
        </w:rPr>
        <w:t>characterizing illustrations. Any reference to a Section of the Code shall be deemed to include any successor to such Section.</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010000"/>
        </w:rPr>
        <w:t>ARTICLE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EMPLOYMENT &amp; DUTIES</w:t>
      </w:r>
    </w:p>
    <w:p>
      <w:pPr>
        <w:spacing w:after="0" w:line="184" w:lineRule="exact"/>
        <w:rPr>
          <w:sz w:val="20"/>
          <w:szCs w:val="20"/>
          <w:color w:val="auto"/>
        </w:rPr>
      </w:pPr>
    </w:p>
    <w:p>
      <w:pPr>
        <w:jc w:val="both"/>
        <w:ind w:firstLine="559"/>
        <w:spacing w:after="0" w:line="253" w:lineRule="auto"/>
        <w:rPr>
          <w:sz w:val="20"/>
          <w:szCs w:val="20"/>
          <w:color w:val="auto"/>
        </w:rPr>
      </w:pPr>
      <w:r>
        <w:rPr>
          <w:rFonts w:ascii="Arial" w:cs="Arial" w:eastAsia="Arial" w:hAnsi="Arial"/>
          <w:sz w:val="19"/>
          <w:szCs w:val="19"/>
          <w:color w:val="010000"/>
        </w:rPr>
        <w:t xml:space="preserve">Section 2.1 </w:t>
      </w:r>
      <w:r>
        <w:rPr>
          <w:rFonts w:ascii="Arial" w:cs="Arial" w:eastAsia="Arial" w:hAnsi="Arial"/>
          <w:sz w:val="19"/>
          <w:szCs w:val="19"/>
          <w:u w:val="single" w:color="auto"/>
          <w:color w:val="000000"/>
        </w:rPr>
        <w:t>Title and Location</w:t>
      </w:r>
      <w:r>
        <w:rPr>
          <w:rFonts w:ascii="Arial" w:cs="Arial" w:eastAsia="Arial" w:hAnsi="Arial"/>
          <w:sz w:val="19"/>
          <w:szCs w:val="19"/>
          <w:color w:val="000000"/>
        </w:rPr>
        <w:t>. The Company will employ the Executive, and the Executive agrees to serve as Executive Vice President,</w:t>
      </w:r>
      <w:r>
        <w:rPr>
          <w:rFonts w:ascii="Arial" w:cs="Arial" w:eastAsia="Arial" w:hAnsi="Arial"/>
          <w:sz w:val="19"/>
          <w:szCs w:val="19"/>
          <w:color w:val="010000"/>
        </w:rPr>
        <w:t xml:space="preserve"> </w:t>
      </w:r>
      <w:r>
        <w:rPr>
          <w:rFonts w:ascii="Arial" w:cs="Arial" w:eastAsia="Arial" w:hAnsi="Arial"/>
          <w:sz w:val="19"/>
          <w:szCs w:val="19"/>
          <w:color w:val="000000"/>
        </w:rPr>
        <w:t>General Counsel and Secretary of the Company and of the Parent, on the terms and conditions hereinafter set forth, with the location of employment to be principally Denver, Colorado.</w:t>
      </w:r>
    </w:p>
    <w:p>
      <w:pPr>
        <w:spacing w:after="0" w:line="158" w:lineRule="exact"/>
        <w:rPr>
          <w:sz w:val="20"/>
          <w:szCs w:val="20"/>
          <w:color w:val="auto"/>
        </w:rPr>
      </w:pPr>
    </w:p>
    <w:p>
      <w:pPr>
        <w:jc w:val="both"/>
        <w:ind w:right="20" w:firstLine="559"/>
        <w:spacing w:after="0" w:line="264" w:lineRule="auto"/>
        <w:rPr>
          <w:sz w:val="20"/>
          <w:szCs w:val="20"/>
          <w:color w:val="auto"/>
        </w:rPr>
      </w:pPr>
      <w:r>
        <w:rPr>
          <w:rFonts w:ascii="Arial" w:cs="Arial" w:eastAsia="Arial" w:hAnsi="Arial"/>
          <w:sz w:val="19"/>
          <w:szCs w:val="19"/>
          <w:color w:val="010000"/>
        </w:rPr>
        <w:t xml:space="preserve">Section 2.2 </w:t>
      </w:r>
      <w:r>
        <w:rPr>
          <w:rFonts w:ascii="Arial" w:cs="Arial" w:eastAsia="Arial" w:hAnsi="Arial"/>
          <w:sz w:val="19"/>
          <w:szCs w:val="19"/>
          <w:u w:val="single" w:color="auto"/>
          <w:color w:val="000000"/>
        </w:rPr>
        <w:t>Employment Term</w:t>
      </w:r>
      <w:r>
        <w:rPr>
          <w:rFonts w:ascii="Arial" w:cs="Arial" w:eastAsia="Arial" w:hAnsi="Arial"/>
          <w:sz w:val="19"/>
          <w:szCs w:val="19"/>
          <w:color w:val="000000"/>
        </w:rPr>
        <w:t>. The Executive’s employment by the Company pursuant to this Agreement will commence on the date hereof</w:t>
      </w:r>
      <w:r>
        <w:rPr>
          <w:rFonts w:ascii="Arial" w:cs="Arial" w:eastAsia="Arial" w:hAnsi="Arial"/>
          <w:sz w:val="19"/>
          <w:szCs w:val="19"/>
          <w:color w:val="010000"/>
        </w:rPr>
        <w:t xml:space="preserve"> </w:t>
      </w:r>
      <w:r>
        <w:rPr>
          <w:rFonts w:ascii="Arial" w:cs="Arial" w:eastAsia="Arial" w:hAnsi="Arial"/>
          <w:sz w:val="19"/>
          <w:szCs w:val="19"/>
          <w:color w:val="000000"/>
        </w:rPr>
        <w:t>and will continue until terminated pursuant to Article IV (the “</w:t>
      </w:r>
      <w:r>
        <w:rPr>
          <w:rFonts w:ascii="Arial" w:cs="Arial" w:eastAsia="Arial" w:hAnsi="Arial"/>
          <w:sz w:val="19"/>
          <w:szCs w:val="19"/>
          <w:u w:val="single" w:color="auto"/>
          <w:color w:val="000000"/>
        </w:rPr>
        <w:t>Employment Period</w:t>
      </w:r>
      <w:r>
        <w:rPr>
          <w:rFonts w:ascii="Arial" w:cs="Arial" w:eastAsia="Arial" w:hAnsi="Arial"/>
          <w:sz w:val="19"/>
          <w:szCs w:val="19"/>
          <w:color w:val="000000"/>
        </w:rPr>
        <w:t>”).</w:t>
      </w:r>
    </w:p>
    <w:p>
      <w:pPr>
        <w:spacing w:after="0" w:line="148" w:lineRule="exact"/>
        <w:rPr>
          <w:sz w:val="20"/>
          <w:szCs w:val="20"/>
          <w:color w:val="auto"/>
        </w:rPr>
      </w:pPr>
    </w:p>
    <w:p>
      <w:pPr>
        <w:ind w:left="560"/>
        <w:spacing w:after="0"/>
        <w:tabs>
          <w:tab w:leader="none" w:pos="1560" w:val="left"/>
        </w:tabs>
        <w:rPr>
          <w:sz w:val="20"/>
          <w:szCs w:val="20"/>
          <w:color w:val="auto"/>
        </w:rPr>
      </w:pPr>
      <w:r>
        <w:rPr>
          <w:rFonts w:ascii="Arial" w:cs="Arial" w:eastAsia="Arial" w:hAnsi="Arial"/>
          <w:sz w:val="19"/>
          <w:szCs w:val="19"/>
          <w:color w:val="010000"/>
        </w:rPr>
        <w:t>Section 2.3</w:t>
      </w:r>
      <w:r>
        <w:rPr>
          <w:sz w:val="20"/>
          <w:szCs w:val="20"/>
          <w:color w:val="auto"/>
        </w:rPr>
        <w:tab/>
      </w:r>
      <w:r>
        <w:rPr>
          <w:rFonts w:ascii="Arial" w:cs="Arial" w:eastAsia="Arial" w:hAnsi="Arial"/>
          <w:sz w:val="16"/>
          <w:szCs w:val="16"/>
          <w:u w:val="single" w:color="auto"/>
          <w:color w:val="auto"/>
        </w:rPr>
        <w:t>Duties; Other Interests</w:t>
      </w:r>
      <w:r>
        <w:rPr>
          <w:rFonts w:ascii="Arial" w:cs="Arial" w:eastAsia="Arial" w:hAnsi="Arial"/>
          <w:sz w:val="16"/>
          <w:szCs w:val="16"/>
          <w:color w:val="auto"/>
        </w:rPr>
        <w:t>.</w:t>
      </w:r>
    </w:p>
    <w:p>
      <w:pPr>
        <w:spacing w:after="0" w:line="189" w:lineRule="exact"/>
        <w:rPr>
          <w:sz w:val="20"/>
          <w:szCs w:val="20"/>
          <w:color w:val="auto"/>
        </w:rPr>
      </w:pPr>
    </w:p>
    <w:p>
      <w:pPr>
        <w:ind w:left="1500" w:hanging="390"/>
        <w:spacing w:after="0"/>
        <w:tabs>
          <w:tab w:leader="none" w:pos="1500" w:val="left"/>
        </w:tabs>
        <w:numPr>
          <w:ilvl w:val="0"/>
          <w:numId w:val="84"/>
        </w:numPr>
        <w:rPr>
          <w:rFonts w:ascii="Arial" w:cs="Arial" w:eastAsia="Arial" w:hAnsi="Arial"/>
          <w:sz w:val="19"/>
          <w:szCs w:val="19"/>
          <w:color w:val="010000"/>
        </w:rPr>
      </w:pPr>
      <w:r>
        <w:rPr>
          <w:rFonts w:ascii="Arial" w:cs="Arial" w:eastAsia="Arial" w:hAnsi="Arial"/>
          <w:sz w:val="19"/>
          <w:szCs w:val="19"/>
          <w:i w:val="1"/>
          <w:iCs w:val="1"/>
          <w:color w:val="auto"/>
        </w:rPr>
        <w:t>Reporting</w:t>
      </w:r>
      <w:r>
        <w:rPr>
          <w:rFonts w:ascii="Arial" w:cs="Arial" w:eastAsia="Arial" w:hAnsi="Arial"/>
          <w:sz w:val="19"/>
          <w:szCs w:val="19"/>
          <w:color w:val="auto"/>
        </w:rPr>
        <w:t>. The Executive shall report directly to the President and CEO of the Parent (the “</w:t>
      </w:r>
      <w:r>
        <w:rPr>
          <w:rFonts w:ascii="Arial" w:cs="Arial" w:eastAsia="Arial" w:hAnsi="Arial"/>
          <w:sz w:val="19"/>
          <w:szCs w:val="19"/>
          <w:u w:val="single" w:color="auto"/>
          <w:color w:val="auto"/>
        </w:rPr>
        <w:t>CEO</w:t>
      </w:r>
      <w:r>
        <w:rPr>
          <w:rFonts w:ascii="Arial" w:cs="Arial" w:eastAsia="Arial" w:hAnsi="Arial"/>
          <w:sz w:val="19"/>
          <w:szCs w:val="19"/>
          <w:color w:val="auto"/>
        </w:rPr>
        <w:t>”).</w:t>
      </w:r>
    </w:p>
    <w:p>
      <w:pPr>
        <w:spacing w:after="0" w:line="188" w:lineRule="exact"/>
        <w:rPr>
          <w:rFonts w:ascii="Arial" w:cs="Arial" w:eastAsia="Arial" w:hAnsi="Arial"/>
          <w:sz w:val="19"/>
          <w:szCs w:val="19"/>
          <w:color w:val="010000"/>
        </w:rPr>
      </w:pPr>
    </w:p>
    <w:p>
      <w:pPr>
        <w:jc w:val="both"/>
        <w:ind w:left="560" w:firstLine="550"/>
        <w:spacing w:after="0" w:line="263" w:lineRule="auto"/>
        <w:tabs>
          <w:tab w:leader="none" w:pos="1522" w:val="left"/>
        </w:tabs>
        <w:numPr>
          <w:ilvl w:val="0"/>
          <w:numId w:val="84"/>
        </w:numPr>
        <w:rPr>
          <w:rFonts w:ascii="Arial" w:cs="Arial" w:eastAsia="Arial" w:hAnsi="Arial"/>
          <w:sz w:val="18"/>
          <w:szCs w:val="18"/>
          <w:color w:val="010000"/>
        </w:rPr>
      </w:pPr>
      <w:r>
        <w:rPr>
          <w:rFonts w:ascii="Arial" w:cs="Arial" w:eastAsia="Arial" w:hAnsi="Arial"/>
          <w:sz w:val="18"/>
          <w:szCs w:val="18"/>
          <w:i w:val="1"/>
          <w:iCs w:val="1"/>
          <w:color w:val="auto"/>
        </w:rPr>
        <w:t>Duties</w:t>
      </w:r>
      <w:r>
        <w:rPr>
          <w:rFonts w:ascii="Arial" w:cs="Arial" w:eastAsia="Arial" w:hAnsi="Arial"/>
          <w:sz w:val="18"/>
          <w:szCs w:val="18"/>
          <w:color w:val="auto"/>
        </w:rPr>
        <w:t>. The Executive agrees to serve in the positions referred to in Section 2.1 and to perform diligently, faithfully and to the best</w:t>
      </w:r>
      <w:r>
        <w:rPr>
          <w:rFonts w:ascii="Arial" w:cs="Arial" w:eastAsia="Arial" w:hAnsi="Arial"/>
          <w:sz w:val="18"/>
          <w:szCs w:val="18"/>
          <w:i w:val="1"/>
          <w:iCs w:val="1"/>
          <w:color w:val="auto"/>
        </w:rPr>
        <w:t xml:space="preserve"> </w:t>
      </w:r>
      <w:r>
        <w:rPr>
          <w:rFonts w:ascii="Arial" w:cs="Arial" w:eastAsia="Arial" w:hAnsi="Arial"/>
          <w:sz w:val="18"/>
          <w:szCs w:val="18"/>
          <w:color w:val="auto"/>
        </w:rPr>
        <w:t>of the Executive’s abilities the usual and customary duties and services appertaining to such positions, as well as such additional duties and services appropriate to such positions which the Parent, the Company and the Executive mutually may agree upon from time to time or which the CEO may lawfully direct. The Executive’s employment shall also be subject to the policies maintained and established by the Parent and/or the Company that are of general applicability to the Company’s executives and/or employees, as such policies may be amended from time to time, including without limitation all relevant Codes of Conduct.</w:t>
      </w:r>
    </w:p>
    <w:p>
      <w:pPr>
        <w:spacing w:after="0" w:line="151" w:lineRule="exact"/>
        <w:rPr>
          <w:rFonts w:ascii="Arial" w:cs="Arial" w:eastAsia="Arial" w:hAnsi="Arial"/>
          <w:sz w:val="18"/>
          <w:szCs w:val="18"/>
          <w:color w:val="010000"/>
        </w:rPr>
      </w:pPr>
    </w:p>
    <w:p>
      <w:pPr>
        <w:jc w:val="both"/>
        <w:ind w:left="560" w:right="20" w:firstLine="550"/>
        <w:spacing w:after="0" w:line="253" w:lineRule="auto"/>
        <w:tabs>
          <w:tab w:leader="none" w:pos="1639" w:val="left"/>
        </w:tabs>
        <w:numPr>
          <w:ilvl w:val="0"/>
          <w:numId w:val="84"/>
        </w:numPr>
        <w:rPr>
          <w:rFonts w:ascii="Arial" w:cs="Arial" w:eastAsia="Arial" w:hAnsi="Arial"/>
          <w:sz w:val="19"/>
          <w:szCs w:val="19"/>
          <w:color w:val="010000"/>
        </w:rPr>
      </w:pPr>
      <w:r>
        <w:rPr>
          <w:rFonts w:ascii="Arial" w:cs="Arial" w:eastAsia="Arial" w:hAnsi="Arial"/>
          <w:sz w:val="19"/>
          <w:szCs w:val="19"/>
          <w:i w:val="1"/>
          <w:iCs w:val="1"/>
          <w:color w:val="auto"/>
        </w:rPr>
        <w:t>Business Time</w:t>
      </w:r>
      <w:r>
        <w:rPr>
          <w:rFonts w:ascii="Arial" w:cs="Arial" w:eastAsia="Arial" w:hAnsi="Arial"/>
          <w:sz w:val="19"/>
          <w:szCs w:val="19"/>
          <w:color w:val="auto"/>
        </w:rPr>
        <w:t>. As provided in Section 6.1, the Executive will, while employed, devote substantially all of the Executive’s</w:t>
      </w:r>
      <w:r>
        <w:rPr>
          <w:rFonts w:ascii="Arial" w:cs="Arial" w:eastAsia="Arial" w:hAnsi="Arial"/>
          <w:sz w:val="19"/>
          <w:szCs w:val="19"/>
          <w:i w:val="1"/>
          <w:iCs w:val="1"/>
          <w:color w:val="auto"/>
        </w:rPr>
        <w:t xml:space="preserve"> </w:t>
      </w:r>
      <w:r>
        <w:rPr>
          <w:rFonts w:ascii="Arial" w:cs="Arial" w:eastAsia="Arial" w:hAnsi="Arial"/>
          <w:sz w:val="19"/>
          <w:szCs w:val="19"/>
          <w:color w:val="auto"/>
        </w:rPr>
        <w:t>business time and attention to the Executive’s duties and responsibilities for the Parent and the Company. Notwithstanding the foregoing, the Executive may engage in personal business and non-profit activities that</w:t>
      </w:r>
    </w:p>
    <w:p>
      <w:pPr>
        <w:spacing w:after="0" w:line="344" w:lineRule="exact"/>
        <w:rPr>
          <w:sz w:val="20"/>
          <w:szCs w:val="20"/>
          <w:color w:val="auto"/>
        </w:rPr>
      </w:pPr>
    </w:p>
    <w:p>
      <w:pPr>
        <w:ind w:left="3620"/>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1260"/>
          </w:cols>
          <w:pgMar w:left="320" w:top="318" w:right="319" w:bottom="1440" w:gutter="0" w:footer="0" w:header="0"/>
        </w:sectPr>
      </w:pPr>
    </w:p>
    <w:bookmarkStart w:id="93" w:name="page94"/>
    <w:bookmarkEnd w:id="93"/>
    <w:p>
      <w:pPr>
        <w:spacing w:after="0"/>
        <w:rPr>
          <w:sz w:val="20"/>
          <w:szCs w:val="20"/>
          <w:color w:val="auto"/>
        </w:rPr>
      </w:pPr>
      <w:r>
        <w:rPr>
          <w:rFonts w:ascii="Arial" w:cs="Arial" w:eastAsia="Arial" w:hAnsi="Arial"/>
          <w:sz w:val="19"/>
          <w:szCs w:val="19"/>
          <w:color w:val="auto"/>
        </w:rPr>
        <w:t>in no manner conflict with the Executive’s ability to fulfill the Executive’s duties to the Parent and the Company.</w:t>
      </w:r>
    </w:p>
    <w:p>
      <w:pPr>
        <w:spacing w:after="0" w:line="189" w:lineRule="exact"/>
        <w:rPr>
          <w:sz w:val="20"/>
          <w:szCs w:val="20"/>
          <w:color w:val="auto"/>
        </w:rPr>
      </w:pPr>
    </w:p>
    <w:p>
      <w:pPr>
        <w:jc w:val="both"/>
        <w:ind w:firstLine="550"/>
        <w:spacing w:after="0" w:line="265" w:lineRule="auto"/>
        <w:tabs>
          <w:tab w:leader="none" w:pos="1078" w:val="left"/>
        </w:tabs>
        <w:numPr>
          <w:ilvl w:val="0"/>
          <w:numId w:val="85"/>
        </w:numPr>
        <w:rPr>
          <w:rFonts w:ascii="Arial" w:cs="Arial" w:eastAsia="Arial" w:hAnsi="Arial"/>
          <w:sz w:val="18"/>
          <w:szCs w:val="18"/>
          <w:color w:val="010000"/>
        </w:rPr>
      </w:pPr>
      <w:r>
        <w:rPr>
          <w:rFonts w:ascii="Arial" w:cs="Arial" w:eastAsia="Arial" w:hAnsi="Arial"/>
          <w:sz w:val="18"/>
          <w:szCs w:val="18"/>
          <w:i w:val="1"/>
          <w:iCs w:val="1"/>
          <w:color w:val="auto"/>
        </w:rPr>
        <w:t>Fiduciary Duties</w:t>
      </w:r>
      <w:r>
        <w:rPr>
          <w:rFonts w:ascii="Arial" w:cs="Arial" w:eastAsia="Arial" w:hAnsi="Arial"/>
          <w:sz w:val="18"/>
          <w:szCs w:val="18"/>
          <w:color w:val="auto"/>
        </w:rPr>
        <w:t>. The Executive acknowledges and agrees that the Executive owes a fiduciary duty of loyalty, fidelity and</w:t>
      </w:r>
      <w:r>
        <w:rPr>
          <w:rFonts w:ascii="Arial" w:cs="Arial" w:eastAsia="Arial" w:hAnsi="Arial"/>
          <w:sz w:val="18"/>
          <w:szCs w:val="18"/>
          <w:i w:val="1"/>
          <w:iCs w:val="1"/>
          <w:color w:val="auto"/>
        </w:rPr>
        <w:t xml:space="preserve"> </w:t>
      </w:r>
      <w:r>
        <w:rPr>
          <w:rFonts w:ascii="Arial" w:cs="Arial" w:eastAsia="Arial" w:hAnsi="Arial"/>
          <w:sz w:val="18"/>
          <w:szCs w:val="18"/>
          <w:color w:val="auto"/>
        </w:rPr>
        <w:t>allegiance to act in the best interests of the Parent and the Company and to do no act that would materially injure the business, interests, or reputation of the Parent and the Company or any of their affiliates. In keeping with these duties, the Executive shall make full disclosure to the Parent of all business opportunities pertaining to the Parent’s and the Company’s business and shall not appropriate for the Executive’s own benefit business opportunities concerning the subject matter of the fiduciary relationship.</w:t>
      </w:r>
    </w:p>
    <w:p>
      <w:pPr>
        <w:spacing w:after="0" w:line="148" w:lineRule="exact"/>
        <w:rPr>
          <w:rFonts w:ascii="Arial" w:cs="Arial" w:eastAsia="Arial" w:hAnsi="Arial"/>
          <w:sz w:val="18"/>
          <w:szCs w:val="18"/>
          <w:color w:val="010000"/>
        </w:rPr>
      </w:pPr>
    </w:p>
    <w:p>
      <w:pPr>
        <w:jc w:val="both"/>
        <w:ind w:right="20" w:firstLine="550"/>
        <w:spacing w:after="0" w:line="253" w:lineRule="auto"/>
        <w:tabs>
          <w:tab w:leader="none" w:pos="1032" w:val="left"/>
        </w:tabs>
        <w:numPr>
          <w:ilvl w:val="0"/>
          <w:numId w:val="85"/>
        </w:numPr>
        <w:rPr>
          <w:rFonts w:ascii="Arial" w:cs="Arial" w:eastAsia="Arial" w:hAnsi="Arial"/>
          <w:sz w:val="19"/>
          <w:szCs w:val="19"/>
          <w:color w:val="010000"/>
        </w:rPr>
      </w:pPr>
      <w:r>
        <w:rPr>
          <w:rFonts w:ascii="Arial" w:cs="Arial" w:eastAsia="Arial" w:hAnsi="Arial"/>
          <w:sz w:val="19"/>
          <w:szCs w:val="19"/>
          <w:i w:val="1"/>
          <w:iCs w:val="1"/>
          <w:color w:val="auto"/>
        </w:rPr>
        <w:t xml:space="preserve">Working Abroad. </w:t>
      </w:r>
      <w:r>
        <w:rPr>
          <w:rFonts w:ascii="Arial" w:cs="Arial" w:eastAsia="Arial" w:hAnsi="Arial"/>
          <w:sz w:val="19"/>
          <w:szCs w:val="19"/>
          <w:color w:val="auto"/>
        </w:rPr>
        <w:t>If duties hereunder require the Executive to work abroad (other than in connection with ordinary course</w:t>
      </w:r>
      <w:r>
        <w:rPr>
          <w:rFonts w:ascii="Arial" w:cs="Arial" w:eastAsia="Arial" w:hAnsi="Arial"/>
          <w:sz w:val="19"/>
          <w:szCs w:val="19"/>
          <w:i w:val="1"/>
          <w:iCs w:val="1"/>
          <w:color w:val="auto"/>
        </w:rPr>
        <w:t xml:space="preserve"> </w:t>
      </w:r>
      <w:r>
        <w:rPr>
          <w:rFonts w:ascii="Arial" w:cs="Arial" w:eastAsia="Arial" w:hAnsi="Arial"/>
          <w:sz w:val="19"/>
          <w:szCs w:val="19"/>
          <w:color w:val="auto"/>
        </w:rPr>
        <w:t>business travel), the Company agrees to make such arrangements as may be appropriate, given the amount of time abroad, to provide for reasonable housing, transportation or other issues or expenses.</w:t>
      </w:r>
    </w:p>
    <w:p>
      <w:pPr>
        <w:spacing w:after="0" w:line="154" w:lineRule="exact"/>
        <w:rPr>
          <w:sz w:val="20"/>
          <w:szCs w:val="20"/>
          <w:color w:val="auto"/>
        </w:rPr>
      </w:pPr>
    </w:p>
    <w:p>
      <w:pPr>
        <w:jc w:val="center"/>
        <w:ind w:right="600"/>
        <w:spacing w:after="0"/>
        <w:rPr>
          <w:sz w:val="20"/>
          <w:szCs w:val="20"/>
          <w:color w:val="auto"/>
        </w:rPr>
      </w:pPr>
      <w:r>
        <w:rPr>
          <w:rFonts w:ascii="Arial" w:cs="Arial" w:eastAsia="Arial" w:hAnsi="Arial"/>
          <w:sz w:val="19"/>
          <w:szCs w:val="19"/>
          <w:b w:val="1"/>
          <w:bCs w:val="1"/>
          <w:color w:val="010000"/>
        </w:rPr>
        <w:t>ARTICLE III</w:t>
      </w:r>
    </w:p>
    <w:p>
      <w:pPr>
        <w:spacing w:after="0" w:line="23" w:lineRule="exact"/>
        <w:rPr>
          <w:sz w:val="20"/>
          <w:szCs w:val="20"/>
          <w:color w:val="auto"/>
        </w:rPr>
      </w:pPr>
    </w:p>
    <w:p>
      <w:pPr>
        <w:ind w:left="3720"/>
        <w:spacing w:after="0"/>
        <w:rPr>
          <w:sz w:val="20"/>
          <w:szCs w:val="20"/>
          <w:color w:val="auto"/>
        </w:rPr>
      </w:pPr>
      <w:r>
        <w:rPr>
          <w:rFonts w:ascii="Arial" w:cs="Arial" w:eastAsia="Arial" w:hAnsi="Arial"/>
          <w:sz w:val="19"/>
          <w:szCs w:val="19"/>
          <w:b w:val="1"/>
          <w:bCs w:val="1"/>
          <w:color w:val="auto"/>
        </w:rPr>
        <w:t>COMPENSATION &amp; BENEFITS</w:t>
      </w:r>
    </w:p>
    <w:p>
      <w:pPr>
        <w:spacing w:after="0" w:line="184" w:lineRule="exact"/>
        <w:rPr>
          <w:sz w:val="20"/>
          <w:szCs w:val="20"/>
          <w:color w:val="auto"/>
        </w:rPr>
      </w:pPr>
    </w:p>
    <w:p>
      <w:pPr>
        <w:spacing w:after="0"/>
        <w:tabs>
          <w:tab w:leader="none" w:pos="1000" w:val="left"/>
        </w:tabs>
        <w:rPr>
          <w:sz w:val="20"/>
          <w:szCs w:val="20"/>
          <w:color w:val="auto"/>
        </w:rPr>
      </w:pPr>
      <w:r>
        <w:rPr>
          <w:rFonts w:ascii="Arial" w:cs="Arial" w:eastAsia="Arial" w:hAnsi="Arial"/>
          <w:sz w:val="19"/>
          <w:szCs w:val="19"/>
          <w:color w:val="010000"/>
        </w:rPr>
        <w:t>Section 3.1</w:t>
      </w:r>
      <w:r>
        <w:rPr>
          <w:sz w:val="20"/>
          <w:szCs w:val="20"/>
          <w:color w:val="auto"/>
        </w:rPr>
        <w:tab/>
      </w:r>
      <w:r>
        <w:rPr>
          <w:rFonts w:ascii="Arial" w:cs="Arial" w:eastAsia="Arial" w:hAnsi="Arial"/>
          <w:sz w:val="16"/>
          <w:szCs w:val="16"/>
          <w:u w:val="single" w:color="auto"/>
          <w:color w:val="auto"/>
        </w:rPr>
        <w:t>Compensation</w:t>
      </w:r>
      <w:r>
        <w:rPr>
          <w:rFonts w:ascii="Arial" w:cs="Arial" w:eastAsia="Arial" w:hAnsi="Arial"/>
          <w:sz w:val="16"/>
          <w:szCs w:val="16"/>
          <w:color w:val="auto"/>
        </w:rPr>
        <w:t>.</w:t>
      </w:r>
    </w:p>
    <w:p>
      <w:pPr>
        <w:spacing w:after="0" w:line="189" w:lineRule="exact"/>
        <w:rPr>
          <w:sz w:val="20"/>
          <w:szCs w:val="20"/>
          <w:color w:val="auto"/>
        </w:rPr>
      </w:pPr>
    </w:p>
    <w:p>
      <w:pPr>
        <w:jc w:val="both"/>
        <w:ind w:firstLine="550"/>
        <w:spacing w:after="0" w:line="225" w:lineRule="exact"/>
        <w:tabs>
          <w:tab w:leader="none" w:pos="951" w:val="left"/>
        </w:tabs>
        <w:numPr>
          <w:ilvl w:val="0"/>
          <w:numId w:val="86"/>
        </w:numPr>
        <w:rPr>
          <w:rFonts w:ascii="Arial" w:cs="Arial" w:eastAsia="Arial" w:hAnsi="Arial"/>
          <w:sz w:val="19"/>
          <w:szCs w:val="19"/>
          <w:color w:val="010000"/>
        </w:rPr>
      </w:pPr>
      <w:r>
        <w:rPr>
          <w:rFonts w:ascii="Arial" w:cs="Arial" w:eastAsia="Arial" w:hAnsi="Arial"/>
          <w:sz w:val="19"/>
          <w:szCs w:val="19"/>
          <w:i w:val="1"/>
          <w:iCs w:val="1"/>
          <w:color w:val="auto"/>
        </w:rPr>
        <w:t>Base Salary</w:t>
      </w:r>
      <w:r>
        <w:rPr>
          <w:rFonts w:ascii="Arial" w:cs="Arial" w:eastAsia="Arial" w:hAnsi="Arial"/>
          <w:sz w:val="19"/>
          <w:szCs w:val="19"/>
          <w:color w:val="auto"/>
        </w:rPr>
        <w:t>. During the Employment Period, the Company shall pay the Executive a base salary (the “</w:t>
      </w:r>
      <w:r>
        <w:rPr>
          <w:rFonts w:ascii="Arial" w:cs="Arial" w:eastAsia="Arial" w:hAnsi="Arial"/>
          <w:sz w:val="19"/>
          <w:szCs w:val="19"/>
          <w:u w:val="single" w:color="auto"/>
          <w:color w:val="auto"/>
        </w:rPr>
        <w:t>Base Salary</w:t>
      </w:r>
      <w:r>
        <w:rPr>
          <w:rFonts w:ascii="Arial" w:cs="Arial" w:eastAsia="Arial" w:hAnsi="Arial"/>
          <w:sz w:val="19"/>
          <w:szCs w:val="19"/>
          <w:color w:val="auto"/>
        </w:rPr>
        <w:t>”), to be paid on</w:t>
      </w:r>
      <w:r>
        <w:rPr>
          <w:rFonts w:ascii="Arial" w:cs="Arial" w:eastAsia="Arial" w:hAnsi="Arial"/>
          <w:sz w:val="19"/>
          <w:szCs w:val="19"/>
          <w:i w:val="1"/>
          <w:iCs w:val="1"/>
          <w:color w:val="auto"/>
        </w:rPr>
        <w:t xml:space="preserve"> </w:t>
      </w:r>
      <w:r>
        <w:rPr>
          <w:rFonts w:ascii="Arial" w:cs="Arial" w:eastAsia="Arial" w:hAnsi="Arial"/>
          <w:sz w:val="19"/>
          <w:szCs w:val="19"/>
          <w:color w:val="auto"/>
        </w:rPr>
        <w:t>the same payroll cycle as other U.S.</w:t>
      </w:r>
      <w:r>
        <w:rPr>
          <w:rFonts w:ascii="MS PGothic" w:cs="MS PGothic" w:eastAsia="MS PGothic" w:hAnsi="MS PGothic"/>
          <w:sz w:val="19"/>
          <w:szCs w:val="19"/>
          <w:color w:val="auto"/>
        </w:rPr>
        <w:t>‑</w:t>
      </w:r>
      <w:r>
        <w:rPr>
          <w:rFonts w:ascii="Arial" w:cs="Arial" w:eastAsia="Arial" w:hAnsi="Arial"/>
          <w:sz w:val="19"/>
          <w:szCs w:val="19"/>
          <w:color w:val="auto"/>
        </w:rPr>
        <w:t>based employees of the Company, at an annual rate of One Million Ninety-Nine Thousand dollars ($1,099,000). The Base Salary will be reviewed annually and may be adjusted upward (but not downward) by the CEO and the Compensation Committee in its discretion.</w:t>
      </w:r>
    </w:p>
    <w:p>
      <w:pPr>
        <w:spacing w:after="0" w:line="170" w:lineRule="exact"/>
        <w:rPr>
          <w:rFonts w:ascii="Arial" w:cs="Arial" w:eastAsia="Arial" w:hAnsi="Arial"/>
          <w:sz w:val="19"/>
          <w:szCs w:val="19"/>
          <w:color w:val="010000"/>
        </w:rPr>
      </w:pPr>
    </w:p>
    <w:p>
      <w:pPr>
        <w:jc w:val="both"/>
        <w:ind w:firstLine="550"/>
        <w:spacing w:after="0" w:line="261" w:lineRule="auto"/>
        <w:tabs>
          <w:tab w:leader="none" w:pos="985" w:val="left"/>
        </w:tabs>
        <w:numPr>
          <w:ilvl w:val="0"/>
          <w:numId w:val="86"/>
        </w:numPr>
        <w:rPr>
          <w:rFonts w:ascii="Arial" w:cs="Arial" w:eastAsia="Arial" w:hAnsi="Arial"/>
          <w:sz w:val="18"/>
          <w:szCs w:val="18"/>
          <w:color w:val="010000"/>
        </w:rPr>
      </w:pPr>
      <w:r>
        <w:rPr>
          <w:rFonts w:ascii="Arial" w:cs="Arial" w:eastAsia="Arial" w:hAnsi="Arial"/>
          <w:sz w:val="18"/>
          <w:szCs w:val="18"/>
          <w:i w:val="1"/>
          <w:iCs w:val="1"/>
          <w:color w:val="auto"/>
        </w:rPr>
        <w:t>Annual Bonus</w:t>
      </w:r>
      <w:r>
        <w:rPr>
          <w:rFonts w:ascii="Arial" w:cs="Arial" w:eastAsia="Arial" w:hAnsi="Arial"/>
          <w:sz w:val="18"/>
          <w:szCs w:val="18"/>
          <w:color w:val="auto"/>
        </w:rPr>
        <w:t>. For each fiscal year ending during the Employment Period beginning with fiscal year 2020, the Executive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eligible to earn an “</w:t>
      </w:r>
      <w:r>
        <w:rPr>
          <w:rFonts w:ascii="Arial" w:cs="Arial" w:eastAsia="Arial" w:hAnsi="Arial"/>
          <w:sz w:val="18"/>
          <w:szCs w:val="18"/>
          <w:u w:val="single" w:color="auto"/>
          <w:color w:val="auto"/>
        </w:rPr>
        <w:t>Annual Bonus</w:t>
      </w:r>
      <w:r>
        <w:rPr>
          <w:rFonts w:ascii="Arial" w:cs="Arial" w:eastAsia="Arial" w:hAnsi="Arial"/>
          <w:sz w:val="18"/>
          <w:szCs w:val="18"/>
          <w:color w:val="auto"/>
        </w:rPr>
        <w:t>,” provided that the Executive remains employed with a Company Entity through the payment date for such Annual Bonus (except as otherwise provided herein). The Executive’s target Annual Bonus opportunity for calendar year 2020 is Two Million Five Hundred Thousand dollars ($2,500,000). The target Annual Bonus will be reviewed annually and for fiscal years after 2020 may be adjusted by the Compensation Committee in its discretion. No portion of the Annual Bonus is guaranteed. The Annual Bonus shall be subject to the terms and conditions established by the Compensation Committee with respect to the Parent’s annual incentive program, including any recoupment provision, and shall be paid in the fiscal year following the year of performance in the same manner as for other U.S.-based executives of the Company.</w:t>
      </w:r>
    </w:p>
    <w:p>
      <w:pPr>
        <w:spacing w:after="0" w:line="153" w:lineRule="exact"/>
        <w:rPr>
          <w:rFonts w:ascii="Arial" w:cs="Arial" w:eastAsia="Arial" w:hAnsi="Arial"/>
          <w:sz w:val="18"/>
          <w:szCs w:val="18"/>
          <w:color w:val="010000"/>
        </w:rPr>
      </w:pPr>
    </w:p>
    <w:p>
      <w:pPr>
        <w:jc w:val="both"/>
        <w:ind w:firstLine="550"/>
        <w:spacing w:after="0" w:line="253" w:lineRule="auto"/>
        <w:tabs>
          <w:tab w:leader="none" w:pos="1067" w:val="left"/>
        </w:tabs>
        <w:numPr>
          <w:ilvl w:val="0"/>
          <w:numId w:val="86"/>
        </w:numPr>
        <w:rPr>
          <w:rFonts w:ascii="Arial" w:cs="Arial" w:eastAsia="Arial" w:hAnsi="Arial"/>
          <w:sz w:val="19"/>
          <w:szCs w:val="19"/>
          <w:color w:val="010000"/>
        </w:rPr>
      </w:pPr>
      <w:r>
        <w:rPr>
          <w:rFonts w:ascii="Arial" w:cs="Arial" w:eastAsia="Arial" w:hAnsi="Arial"/>
          <w:sz w:val="19"/>
          <w:szCs w:val="19"/>
          <w:i w:val="1"/>
          <w:iCs w:val="1"/>
          <w:color w:val="auto"/>
        </w:rPr>
        <w:t>Annual Equity Awards</w:t>
      </w:r>
      <w:r>
        <w:rPr>
          <w:rFonts w:ascii="Arial" w:cs="Arial" w:eastAsia="Arial" w:hAnsi="Arial"/>
          <w:sz w:val="19"/>
          <w:szCs w:val="19"/>
          <w:color w:val="auto"/>
        </w:rPr>
        <w:t>. The Executive shall be granted annual equity awards under the terms of the Incentive Plan and the</w:t>
      </w:r>
      <w:r>
        <w:rPr>
          <w:rFonts w:ascii="Arial" w:cs="Arial" w:eastAsia="Arial" w:hAnsi="Arial"/>
          <w:sz w:val="19"/>
          <w:szCs w:val="19"/>
          <w:i w:val="1"/>
          <w:iCs w:val="1"/>
          <w:color w:val="auto"/>
        </w:rPr>
        <w:t xml:space="preserve"> </w:t>
      </w:r>
      <w:r>
        <w:rPr>
          <w:rFonts w:ascii="Arial" w:cs="Arial" w:eastAsia="Arial" w:hAnsi="Arial"/>
          <w:sz w:val="19"/>
          <w:szCs w:val="19"/>
          <w:color w:val="auto"/>
        </w:rPr>
        <w:t>implementing award agreements in each calendar year during the Employment Period, conditioned upon the Executive being employed by a Company Entity on the applicable grant date (the “</w:t>
      </w:r>
      <w:r>
        <w:rPr>
          <w:rFonts w:ascii="Arial" w:cs="Arial" w:eastAsia="Arial" w:hAnsi="Arial"/>
          <w:sz w:val="19"/>
          <w:szCs w:val="19"/>
          <w:u w:val="single" w:color="auto"/>
          <w:color w:val="auto"/>
        </w:rPr>
        <w:t>Annual Equity Grant</w:t>
      </w:r>
      <w:r>
        <w:rPr>
          <w:rFonts w:ascii="Arial" w:cs="Arial" w:eastAsia="Arial" w:hAnsi="Arial"/>
          <w:sz w:val="19"/>
          <w:szCs w:val="19"/>
          <w:color w:val="auto"/>
        </w:rPr>
        <w:t>”).</w:t>
      </w:r>
    </w:p>
    <w:p>
      <w:pPr>
        <w:spacing w:after="0" w:line="344" w:lineRule="exact"/>
        <w:rPr>
          <w:sz w:val="20"/>
          <w:szCs w:val="20"/>
          <w:color w:val="auto"/>
        </w:rPr>
      </w:pPr>
    </w:p>
    <w:p>
      <w:pPr>
        <w:ind w:left="3060"/>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0700"/>
          </w:cols>
          <w:pgMar w:left="880" w:top="318" w:right="319" w:bottom="1440" w:gutter="0" w:footer="0" w:header="0"/>
        </w:sectPr>
      </w:pPr>
    </w:p>
    <w:bookmarkStart w:id="94" w:name="page95"/>
    <w:bookmarkEnd w:id="94"/>
    <w:p>
      <w:pPr>
        <w:jc w:val="both"/>
        <w:ind w:left="560"/>
        <w:spacing w:after="0" w:line="248" w:lineRule="auto"/>
        <w:rPr>
          <w:sz w:val="20"/>
          <w:szCs w:val="20"/>
          <w:color w:val="auto"/>
        </w:rPr>
      </w:pPr>
      <w:r>
        <w:rPr>
          <w:rFonts w:ascii="Arial" w:cs="Arial" w:eastAsia="Arial" w:hAnsi="Arial"/>
          <w:sz w:val="19"/>
          <w:szCs w:val="19"/>
          <w:color w:val="auto"/>
        </w:rPr>
        <w:t>For calendar year 2020, the Annual Equity Grant shall have a target equity value of Four Million dollars ($4,000,000) (the “</w:t>
      </w:r>
      <w:r>
        <w:rPr>
          <w:rFonts w:ascii="Arial" w:cs="Arial" w:eastAsia="Arial" w:hAnsi="Arial"/>
          <w:sz w:val="19"/>
          <w:szCs w:val="19"/>
          <w:u w:val="single" w:color="auto"/>
          <w:color w:val="auto"/>
        </w:rPr>
        <w:t>Annual Grant</w:t>
      </w:r>
      <w:r>
        <w:rPr>
          <w:rFonts w:ascii="Arial" w:cs="Arial" w:eastAsia="Arial" w:hAnsi="Arial"/>
          <w:sz w:val="19"/>
          <w:szCs w:val="19"/>
          <w:color w:val="auto"/>
        </w:rPr>
        <w:t xml:space="preserve"> </w:t>
      </w:r>
      <w:r>
        <w:rPr>
          <w:rFonts w:ascii="Arial" w:cs="Arial" w:eastAsia="Arial" w:hAnsi="Arial"/>
          <w:sz w:val="19"/>
          <w:szCs w:val="19"/>
          <w:u w:val="single" w:color="auto"/>
          <w:color w:val="auto"/>
        </w:rPr>
        <w:t>Value</w:t>
      </w:r>
      <w:r>
        <w:rPr>
          <w:rFonts w:ascii="Arial" w:cs="Arial" w:eastAsia="Arial" w:hAnsi="Arial"/>
          <w:sz w:val="19"/>
          <w:szCs w:val="19"/>
          <w:color w:val="auto"/>
        </w:rPr>
        <w:t>”). The target Annual Grant Value will be reviewed annually and may be adjusted by the Compensation Committee in its sole discretion. The Annual Equity Grant shall be granted in the form, at the same time and on otherwise substantially the same terms and conditions as annual equity grants are made to the Parent’s other senior executive officers (pursuant to a Grant Award Agreement in respect thereof to be established by the Parent).</w:t>
      </w:r>
    </w:p>
    <w:p>
      <w:pPr>
        <w:spacing w:after="0" w:line="163" w:lineRule="exact"/>
        <w:rPr>
          <w:sz w:val="20"/>
          <w:szCs w:val="20"/>
          <w:color w:val="auto"/>
        </w:rPr>
      </w:pPr>
    </w:p>
    <w:p>
      <w:pPr>
        <w:jc w:val="both"/>
        <w:ind w:left="560" w:firstLine="550"/>
        <w:spacing w:after="0" w:line="253" w:lineRule="auto"/>
        <w:tabs>
          <w:tab w:leader="none" w:pos="1673" w:val="left"/>
        </w:tabs>
        <w:numPr>
          <w:ilvl w:val="0"/>
          <w:numId w:val="87"/>
        </w:numPr>
        <w:rPr>
          <w:rFonts w:ascii="Arial" w:cs="Arial" w:eastAsia="Arial" w:hAnsi="Arial"/>
          <w:sz w:val="19"/>
          <w:szCs w:val="19"/>
          <w:color w:val="010000"/>
        </w:rPr>
      </w:pPr>
      <w:r>
        <w:rPr>
          <w:rFonts w:ascii="Arial" w:cs="Arial" w:eastAsia="Arial" w:hAnsi="Arial"/>
          <w:sz w:val="19"/>
          <w:szCs w:val="19"/>
          <w:i w:val="1"/>
          <w:iCs w:val="1"/>
          <w:color w:val="auto"/>
        </w:rPr>
        <w:t>Automobile Allowance</w:t>
      </w:r>
      <w:r>
        <w:rPr>
          <w:rFonts w:ascii="Arial" w:cs="Arial" w:eastAsia="Arial" w:hAnsi="Arial"/>
          <w:sz w:val="19"/>
          <w:szCs w:val="19"/>
          <w:color w:val="auto"/>
        </w:rPr>
        <w:t>. During the Employment Period, the Company shall pay the Executive an annual cash automobile</w:t>
      </w:r>
      <w:r>
        <w:rPr>
          <w:rFonts w:ascii="Arial" w:cs="Arial" w:eastAsia="Arial" w:hAnsi="Arial"/>
          <w:sz w:val="19"/>
          <w:szCs w:val="19"/>
          <w:i w:val="1"/>
          <w:iCs w:val="1"/>
          <w:color w:val="auto"/>
        </w:rPr>
        <w:t xml:space="preserve"> </w:t>
      </w:r>
      <w:r>
        <w:rPr>
          <w:rFonts w:ascii="Arial" w:cs="Arial" w:eastAsia="Arial" w:hAnsi="Arial"/>
          <w:sz w:val="19"/>
          <w:szCs w:val="19"/>
          <w:color w:val="auto"/>
        </w:rPr>
        <w:t>allowance of $15,000, paid in equal installments with the Company’s standard payroll cycle, subject to adjustment for future periods in line with policy for equivalent level executives at the determination of the Chief Executive Officer.</w:t>
      </w:r>
    </w:p>
    <w:p>
      <w:pPr>
        <w:spacing w:after="0" w:line="158" w:lineRule="exact"/>
        <w:rPr>
          <w:sz w:val="20"/>
          <w:szCs w:val="20"/>
          <w:color w:val="auto"/>
        </w:rPr>
      </w:pPr>
    </w:p>
    <w:p>
      <w:pPr>
        <w:jc w:val="both"/>
        <w:ind w:firstLine="559"/>
        <w:spacing w:after="0" w:line="297" w:lineRule="auto"/>
        <w:rPr>
          <w:sz w:val="20"/>
          <w:szCs w:val="20"/>
          <w:color w:val="auto"/>
        </w:rPr>
      </w:pPr>
      <w:r>
        <w:rPr>
          <w:rFonts w:ascii="Arial" w:cs="Arial" w:eastAsia="Arial" w:hAnsi="Arial"/>
          <w:sz w:val="17"/>
          <w:szCs w:val="17"/>
          <w:color w:val="010000"/>
        </w:rPr>
        <w:t xml:space="preserve">Section 3.2 </w:t>
      </w:r>
      <w:r>
        <w:rPr>
          <w:rFonts w:ascii="Arial" w:cs="Arial" w:eastAsia="Arial" w:hAnsi="Arial"/>
          <w:sz w:val="17"/>
          <w:szCs w:val="17"/>
          <w:u w:val="single" w:color="auto"/>
          <w:color w:val="000000"/>
        </w:rPr>
        <w:t>Withholding</w:t>
      </w:r>
      <w:r>
        <w:rPr>
          <w:rFonts w:ascii="Arial" w:cs="Arial" w:eastAsia="Arial" w:hAnsi="Arial"/>
          <w:sz w:val="17"/>
          <w:szCs w:val="17"/>
          <w:color w:val="000000"/>
        </w:rPr>
        <w:t>. The Company and the Parent will have the right to withhold from payments otherwise due and owing to the</w:t>
      </w:r>
      <w:r>
        <w:rPr>
          <w:rFonts w:ascii="Arial" w:cs="Arial" w:eastAsia="Arial" w:hAnsi="Arial"/>
          <w:sz w:val="17"/>
          <w:szCs w:val="17"/>
          <w:color w:val="010000"/>
        </w:rPr>
        <w:t xml:space="preserve"> </w:t>
      </w:r>
      <w:r>
        <w:rPr>
          <w:rFonts w:ascii="Arial" w:cs="Arial" w:eastAsia="Arial" w:hAnsi="Arial"/>
          <w:sz w:val="17"/>
          <w:szCs w:val="17"/>
          <w:color w:val="000000"/>
        </w:rPr>
        <w:t>Executive, an amount sufficient to satisfy any federal, state, and/or local income and payroll taxes (and any UK or foreign taxes), any amount required to be deducted under any employee benefit plan in which the Executive participates or as required to satisfy any valid lien or court order.</w:t>
      </w:r>
    </w:p>
    <w:p>
      <w:pPr>
        <w:spacing w:after="0" w:line="124" w:lineRule="exact"/>
        <w:rPr>
          <w:sz w:val="20"/>
          <w:szCs w:val="20"/>
          <w:color w:val="auto"/>
        </w:rPr>
      </w:pPr>
    </w:p>
    <w:p>
      <w:pPr>
        <w:jc w:val="both"/>
        <w:ind w:firstLine="559"/>
        <w:spacing w:after="0" w:line="224" w:lineRule="exact"/>
        <w:rPr>
          <w:sz w:val="20"/>
          <w:szCs w:val="20"/>
          <w:color w:val="auto"/>
        </w:rPr>
      </w:pPr>
      <w:r>
        <w:rPr>
          <w:rFonts w:ascii="Arial" w:cs="Arial" w:eastAsia="Arial" w:hAnsi="Arial"/>
          <w:sz w:val="19"/>
          <w:szCs w:val="19"/>
          <w:color w:val="010000"/>
        </w:rPr>
        <w:t xml:space="preserve">Section 3.3 </w:t>
      </w:r>
      <w:r>
        <w:rPr>
          <w:rFonts w:ascii="Arial" w:cs="Arial" w:eastAsia="Arial" w:hAnsi="Arial"/>
          <w:sz w:val="19"/>
          <w:szCs w:val="19"/>
          <w:u w:val="single" w:color="auto"/>
          <w:color w:val="000000"/>
        </w:rPr>
        <w:t>Employee Benefits</w:t>
      </w:r>
      <w:r>
        <w:rPr>
          <w:rFonts w:ascii="Arial" w:cs="Arial" w:eastAsia="Arial" w:hAnsi="Arial"/>
          <w:sz w:val="19"/>
          <w:szCs w:val="19"/>
          <w:color w:val="000000"/>
        </w:rPr>
        <w:t>. During the Employment Period, the Executive shall have the opportunity to participate in all U.S.</w:t>
      </w:r>
      <w:r>
        <w:rPr>
          <w:rFonts w:ascii="MS PGothic" w:cs="MS PGothic" w:eastAsia="MS PGothic" w:hAnsi="MS PGothic"/>
          <w:sz w:val="19"/>
          <w:szCs w:val="19"/>
          <w:color w:val="000000"/>
        </w:rPr>
        <w:t>‑</w:t>
      </w:r>
      <w:r>
        <w:rPr>
          <w:rFonts w:ascii="Arial" w:cs="Arial" w:eastAsia="Arial" w:hAnsi="Arial"/>
          <w:sz w:val="19"/>
          <w:szCs w:val="19"/>
          <w:color w:val="000000"/>
        </w:rPr>
        <w:t>based</w:t>
      </w:r>
      <w:r>
        <w:rPr>
          <w:rFonts w:ascii="Arial" w:cs="Arial" w:eastAsia="Arial" w:hAnsi="Arial"/>
          <w:sz w:val="19"/>
          <w:szCs w:val="19"/>
          <w:color w:val="010000"/>
        </w:rPr>
        <w:t xml:space="preserve"> </w:t>
      </w:r>
      <w:r>
        <w:rPr>
          <w:rFonts w:ascii="Arial" w:cs="Arial" w:eastAsia="Arial" w:hAnsi="Arial"/>
          <w:sz w:val="19"/>
          <w:szCs w:val="19"/>
          <w:color w:val="000000"/>
        </w:rPr>
        <w:t>employee benefit plans and arrangements sponsored or maintained by the Company for the benefit of its senior executive group based in Denver, including without limitation, all group insurance plans (term life, medical and disability) and retirement plans, subject to the terms and conditions of such plans. The Executive shall be entitled to vacation leave that is consistent with the vacation policy for U.S.</w:t>
      </w:r>
      <w:r>
        <w:rPr>
          <w:rFonts w:ascii="MS PGothic" w:cs="MS PGothic" w:eastAsia="MS PGothic" w:hAnsi="MS PGothic"/>
          <w:sz w:val="19"/>
          <w:szCs w:val="19"/>
          <w:color w:val="000000"/>
        </w:rPr>
        <w:t>‑</w:t>
      </w:r>
      <w:r>
        <w:rPr>
          <w:rFonts w:ascii="Arial" w:cs="Arial" w:eastAsia="Arial" w:hAnsi="Arial"/>
          <w:sz w:val="19"/>
          <w:szCs w:val="19"/>
          <w:color w:val="000000"/>
        </w:rPr>
        <w:t>based senior executive personnel in Denver.</w:t>
      </w:r>
    </w:p>
    <w:p>
      <w:pPr>
        <w:spacing w:after="0" w:line="172" w:lineRule="exact"/>
        <w:rPr>
          <w:sz w:val="20"/>
          <w:szCs w:val="20"/>
          <w:color w:val="auto"/>
        </w:rPr>
      </w:pPr>
    </w:p>
    <w:p>
      <w:pPr>
        <w:jc w:val="both"/>
        <w:ind w:right="20" w:firstLine="559"/>
        <w:spacing w:after="0" w:line="292" w:lineRule="auto"/>
        <w:rPr>
          <w:sz w:val="20"/>
          <w:szCs w:val="20"/>
          <w:color w:val="auto"/>
        </w:rPr>
      </w:pPr>
      <w:r>
        <w:rPr>
          <w:rFonts w:ascii="Arial" w:cs="Arial" w:eastAsia="Arial" w:hAnsi="Arial"/>
          <w:sz w:val="18"/>
          <w:szCs w:val="18"/>
          <w:color w:val="010000"/>
        </w:rPr>
        <w:t xml:space="preserve">Section 3.4 </w:t>
      </w:r>
      <w:r>
        <w:rPr>
          <w:rFonts w:ascii="Arial" w:cs="Arial" w:eastAsia="Arial" w:hAnsi="Arial"/>
          <w:sz w:val="18"/>
          <w:szCs w:val="18"/>
          <w:u w:val="single" w:color="auto"/>
          <w:color w:val="000000"/>
        </w:rPr>
        <w:t>Business Expenses</w:t>
      </w:r>
      <w:r>
        <w:rPr>
          <w:rFonts w:ascii="Arial" w:cs="Arial" w:eastAsia="Arial" w:hAnsi="Arial"/>
          <w:sz w:val="18"/>
          <w:szCs w:val="18"/>
          <w:color w:val="000000"/>
        </w:rPr>
        <w:t>. The Executive shall be reimbursed for all reasonable expenses incurred by the Executive in the discharge of</w:t>
      </w:r>
      <w:r>
        <w:rPr>
          <w:rFonts w:ascii="Arial" w:cs="Arial" w:eastAsia="Arial" w:hAnsi="Arial"/>
          <w:sz w:val="18"/>
          <w:szCs w:val="18"/>
          <w:color w:val="010000"/>
        </w:rPr>
        <w:t xml:space="preserve"> </w:t>
      </w:r>
      <w:r>
        <w:rPr>
          <w:rFonts w:ascii="Arial" w:cs="Arial" w:eastAsia="Arial" w:hAnsi="Arial"/>
          <w:sz w:val="18"/>
          <w:szCs w:val="18"/>
          <w:color w:val="000000"/>
        </w:rPr>
        <w:t>the Executive’s duties, subject to and in accordance with the Company’s practices and policies for its senior executives.</w:t>
      </w:r>
    </w:p>
    <w:p>
      <w:pPr>
        <w:spacing w:after="0" w:line="121"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010000"/>
        </w:rPr>
        <w:t>ARTICLE IV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TERMINATION</w:t>
      </w:r>
    </w:p>
    <w:p>
      <w:pPr>
        <w:spacing w:after="0" w:line="370" w:lineRule="exact"/>
        <w:rPr>
          <w:sz w:val="20"/>
          <w:szCs w:val="20"/>
          <w:color w:val="auto"/>
        </w:rPr>
      </w:pPr>
    </w:p>
    <w:p>
      <w:pPr>
        <w:ind w:left="3620"/>
        <w:spacing w:after="0"/>
        <w:rPr>
          <w:sz w:val="20"/>
          <w:szCs w:val="20"/>
          <w:color w:val="auto"/>
        </w:rPr>
      </w:pPr>
      <w:r>
        <w:rPr>
          <w:rFonts w:ascii="Arial" w:cs="Arial" w:eastAsia="Arial" w:hAnsi="Arial"/>
          <w:sz w:val="19"/>
          <w:szCs w:val="19"/>
          <w:color w:val="auto"/>
        </w:rPr>
        <w:t>5</w:t>
      </w:r>
    </w:p>
    <w:p>
      <w:pPr>
        <w:sectPr>
          <w:pgSz w:w="11900" w:h="16838" w:orient="portrait"/>
          <w:cols w:equalWidth="0" w:num="1">
            <w:col w:w="11260"/>
          </w:cols>
          <w:pgMar w:left="320" w:top="318" w:right="319" w:bottom="1440" w:gutter="0" w:footer="0" w:header="0"/>
        </w:sectPr>
      </w:pPr>
    </w:p>
    <w:bookmarkStart w:id="95" w:name="page96"/>
    <w:bookmarkEnd w:id="95"/>
    <w:p>
      <w:pPr>
        <w:jc w:val="both"/>
        <w:ind w:firstLine="559"/>
        <w:spacing w:after="0" w:line="274" w:lineRule="auto"/>
        <w:rPr>
          <w:sz w:val="20"/>
          <w:szCs w:val="20"/>
          <w:color w:val="auto"/>
        </w:rPr>
      </w:pPr>
      <w:r>
        <w:rPr>
          <w:rFonts w:ascii="Arial" w:cs="Arial" w:eastAsia="Arial" w:hAnsi="Arial"/>
          <w:sz w:val="18"/>
          <w:szCs w:val="18"/>
          <w:color w:val="010000"/>
        </w:rPr>
        <w:t xml:space="preserve">Section 4.1 </w:t>
      </w:r>
      <w:r>
        <w:rPr>
          <w:rFonts w:ascii="Arial" w:cs="Arial" w:eastAsia="Arial" w:hAnsi="Arial"/>
          <w:sz w:val="18"/>
          <w:szCs w:val="18"/>
          <w:u w:val="single" w:color="auto"/>
          <w:color w:val="000000"/>
        </w:rPr>
        <w:t>Company’s Right to Terminate</w:t>
      </w:r>
      <w:r>
        <w:rPr>
          <w:rFonts w:ascii="Arial" w:cs="Arial" w:eastAsia="Arial" w:hAnsi="Arial"/>
          <w:sz w:val="18"/>
          <w:szCs w:val="18"/>
          <w:color w:val="000000"/>
        </w:rPr>
        <w:t>. This is an at-will employment agreement. The Company may terminate the Executive’s</w:t>
      </w:r>
      <w:r>
        <w:rPr>
          <w:rFonts w:ascii="Arial" w:cs="Arial" w:eastAsia="Arial" w:hAnsi="Arial"/>
          <w:sz w:val="18"/>
          <w:szCs w:val="18"/>
          <w:color w:val="010000"/>
        </w:rPr>
        <w:t xml:space="preserve"> </w:t>
      </w:r>
      <w:r>
        <w:rPr>
          <w:rFonts w:ascii="Arial" w:cs="Arial" w:eastAsia="Arial" w:hAnsi="Arial"/>
          <w:sz w:val="18"/>
          <w:szCs w:val="18"/>
          <w:color w:val="000000"/>
        </w:rPr>
        <w:t>employment under this Agreement with or without Cause at any time by providing the Executive with a Notice of Termination, which in the case of a termination without Cause shall have an effective date not less than thirty (30) days after delivery of such Notice of Termination.</w:t>
      </w:r>
    </w:p>
    <w:p>
      <w:pPr>
        <w:spacing w:after="0" w:line="140" w:lineRule="exact"/>
        <w:rPr>
          <w:sz w:val="20"/>
          <w:szCs w:val="20"/>
          <w:color w:val="auto"/>
        </w:rPr>
      </w:pPr>
    </w:p>
    <w:p>
      <w:pPr>
        <w:jc w:val="both"/>
        <w:ind w:right="20" w:firstLine="559"/>
        <w:spacing w:after="0" w:line="249" w:lineRule="auto"/>
        <w:rPr>
          <w:sz w:val="20"/>
          <w:szCs w:val="20"/>
          <w:color w:val="auto"/>
        </w:rPr>
      </w:pPr>
      <w:r>
        <w:rPr>
          <w:rFonts w:ascii="Arial" w:cs="Arial" w:eastAsia="Arial" w:hAnsi="Arial"/>
          <w:sz w:val="19"/>
          <w:szCs w:val="19"/>
          <w:color w:val="010000"/>
        </w:rPr>
        <w:t xml:space="preserve">Section 4.2 </w:t>
      </w:r>
      <w:r>
        <w:rPr>
          <w:rFonts w:ascii="Arial" w:cs="Arial" w:eastAsia="Arial" w:hAnsi="Arial"/>
          <w:sz w:val="19"/>
          <w:szCs w:val="19"/>
          <w:u w:val="single" w:color="auto"/>
          <w:color w:val="000000"/>
        </w:rPr>
        <w:t>The Executive’s Right to Terminate</w:t>
      </w:r>
      <w:r>
        <w:rPr>
          <w:rFonts w:ascii="Arial" w:cs="Arial" w:eastAsia="Arial" w:hAnsi="Arial"/>
          <w:sz w:val="19"/>
          <w:szCs w:val="19"/>
          <w:color w:val="000000"/>
        </w:rPr>
        <w:t>. The Executive may terminate the Executive’s employment under this Agreement for any</w:t>
      </w:r>
      <w:r>
        <w:rPr>
          <w:rFonts w:ascii="Arial" w:cs="Arial" w:eastAsia="Arial" w:hAnsi="Arial"/>
          <w:sz w:val="19"/>
          <w:szCs w:val="19"/>
          <w:color w:val="010000"/>
        </w:rPr>
        <w:t xml:space="preserve"> </w:t>
      </w:r>
      <w:r>
        <w:rPr>
          <w:rFonts w:ascii="Arial" w:cs="Arial" w:eastAsia="Arial" w:hAnsi="Arial"/>
          <w:sz w:val="19"/>
          <w:szCs w:val="19"/>
          <w:color w:val="000000"/>
        </w:rPr>
        <w:t>reason whatsoever, by providing the Company with a Notice of Termination, with an effective date not less than thirty (30) days after delivery of such Notice of Termination, unless such termination is effected with Good Reason, in which case the notice shall comply with the timing specified in the definition of Good Reason.</w:t>
      </w:r>
    </w:p>
    <w:p>
      <w:pPr>
        <w:spacing w:after="0" w:line="164" w:lineRule="exact"/>
        <w:rPr>
          <w:sz w:val="20"/>
          <w:szCs w:val="20"/>
          <w:color w:val="auto"/>
        </w:rPr>
      </w:pPr>
    </w:p>
    <w:p>
      <w:pPr>
        <w:jc w:val="both"/>
        <w:ind w:firstLine="559"/>
        <w:spacing w:after="0" w:line="292" w:lineRule="auto"/>
        <w:rPr>
          <w:sz w:val="20"/>
          <w:szCs w:val="20"/>
          <w:color w:val="auto"/>
        </w:rPr>
      </w:pPr>
      <w:r>
        <w:rPr>
          <w:rFonts w:ascii="Arial" w:cs="Arial" w:eastAsia="Arial" w:hAnsi="Arial"/>
          <w:sz w:val="18"/>
          <w:szCs w:val="18"/>
          <w:color w:val="010000"/>
        </w:rPr>
        <w:t xml:space="preserve">Section 4.3 </w:t>
      </w:r>
      <w:r>
        <w:rPr>
          <w:rFonts w:ascii="Arial" w:cs="Arial" w:eastAsia="Arial" w:hAnsi="Arial"/>
          <w:sz w:val="18"/>
          <w:szCs w:val="18"/>
          <w:u w:val="single" w:color="auto"/>
          <w:color w:val="000000"/>
        </w:rPr>
        <w:t>Death; Disability</w:t>
      </w:r>
      <w:r>
        <w:rPr>
          <w:rFonts w:ascii="Arial" w:cs="Arial" w:eastAsia="Arial" w:hAnsi="Arial"/>
          <w:sz w:val="18"/>
          <w:szCs w:val="18"/>
          <w:color w:val="000000"/>
        </w:rPr>
        <w:t>. If not terminated earlier, the Executive’s employment under this Agreement shall terminate upon the date of the</w:t>
      </w:r>
      <w:r>
        <w:rPr>
          <w:rFonts w:ascii="Arial" w:cs="Arial" w:eastAsia="Arial" w:hAnsi="Arial"/>
          <w:sz w:val="18"/>
          <w:szCs w:val="18"/>
          <w:color w:val="010000"/>
        </w:rPr>
        <w:t xml:space="preserve"> </w:t>
      </w:r>
      <w:r>
        <w:rPr>
          <w:rFonts w:ascii="Arial" w:cs="Arial" w:eastAsia="Arial" w:hAnsi="Arial"/>
          <w:sz w:val="18"/>
          <w:szCs w:val="18"/>
          <w:color w:val="000000"/>
        </w:rPr>
        <w:t>Executive’s death during his employment or upon the date specified in a Notice of Termination upon the Executive’s Disability.</w:t>
      </w:r>
    </w:p>
    <w:p>
      <w:pPr>
        <w:spacing w:after="0" w:line="125" w:lineRule="exact"/>
        <w:rPr>
          <w:sz w:val="20"/>
          <w:szCs w:val="20"/>
          <w:color w:val="auto"/>
        </w:rPr>
      </w:pPr>
    </w:p>
    <w:p>
      <w:pPr>
        <w:jc w:val="both"/>
        <w:ind w:firstLine="559"/>
        <w:spacing w:after="0" w:line="249" w:lineRule="auto"/>
        <w:rPr>
          <w:sz w:val="20"/>
          <w:szCs w:val="20"/>
          <w:color w:val="auto"/>
        </w:rPr>
      </w:pPr>
      <w:r>
        <w:rPr>
          <w:rFonts w:ascii="Arial" w:cs="Arial" w:eastAsia="Arial" w:hAnsi="Arial"/>
          <w:sz w:val="19"/>
          <w:szCs w:val="19"/>
          <w:color w:val="010000"/>
        </w:rPr>
        <w:t xml:space="preserve">Section 4.4 </w:t>
      </w:r>
      <w:r>
        <w:rPr>
          <w:rFonts w:ascii="Arial" w:cs="Arial" w:eastAsia="Arial" w:hAnsi="Arial"/>
          <w:sz w:val="19"/>
          <w:szCs w:val="19"/>
          <w:u w:val="single" w:color="auto"/>
          <w:color w:val="000000"/>
        </w:rPr>
        <w:t>Deemed Resignations</w:t>
      </w:r>
      <w:r>
        <w:rPr>
          <w:rFonts w:ascii="Arial" w:cs="Arial" w:eastAsia="Arial" w:hAnsi="Arial"/>
          <w:sz w:val="19"/>
          <w:szCs w:val="19"/>
          <w:color w:val="000000"/>
        </w:rPr>
        <w:t>. Unless otherwise agreed by the Parent and the Company in writing prior to the termination of the</w:t>
      </w:r>
      <w:r>
        <w:rPr>
          <w:rFonts w:ascii="Arial" w:cs="Arial" w:eastAsia="Arial" w:hAnsi="Arial"/>
          <w:sz w:val="19"/>
          <w:szCs w:val="19"/>
          <w:color w:val="010000"/>
        </w:rPr>
        <w:t xml:space="preserve"> </w:t>
      </w:r>
      <w:r>
        <w:rPr>
          <w:rFonts w:ascii="Arial" w:cs="Arial" w:eastAsia="Arial" w:hAnsi="Arial"/>
          <w:sz w:val="19"/>
          <w:szCs w:val="19"/>
          <w:color w:val="000000"/>
        </w:rPr>
        <w:t>Executive’s employment, any termination of the Executive’s employment will constitute an automatic resignation of the Executive as an officer, board member or any other position with the Parent, the Company or any of their affiliates. The Executive agrees to execute and deliver all documents reasonably requested by the Parent in connection therewith.</w:t>
      </w:r>
    </w:p>
    <w:p>
      <w:pPr>
        <w:spacing w:after="0" w:line="160"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010000"/>
        </w:rPr>
        <w:t>ARTICLE V</w:t>
      </w:r>
    </w:p>
    <w:p>
      <w:pPr>
        <w:spacing w:after="0" w:line="23" w:lineRule="exact"/>
        <w:rPr>
          <w:sz w:val="20"/>
          <w:szCs w:val="20"/>
          <w:color w:val="auto"/>
        </w:rPr>
      </w:pPr>
    </w:p>
    <w:p>
      <w:pPr>
        <w:ind w:left="560" w:right="2600" w:firstLine="2035"/>
        <w:spacing w:after="0" w:line="444" w:lineRule="auto"/>
        <w:rPr>
          <w:sz w:val="20"/>
          <w:szCs w:val="20"/>
          <w:color w:val="auto"/>
        </w:rPr>
      </w:pPr>
      <w:r>
        <w:rPr>
          <w:rFonts w:ascii="Arial" w:cs="Arial" w:eastAsia="Arial" w:hAnsi="Arial"/>
          <w:sz w:val="19"/>
          <w:szCs w:val="19"/>
          <w:b w:val="1"/>
          <w:bCs w:val="1"/>
          <w:color w:val="auto"/>
        </w:rPr>
        <w:t xml:space="preserve">EFFECT OF TERMINATION OF EMPLOYMENT ON COMPENSATION </w:t>
      </w:r>
      <w:r>
        <w:rPr>
          <w:rFonts w:ascii="Arial" w:cs="Arial" w:eastAsia="Arial" w:hAnsi="Arial"/>
          <w:sz w:val="19"/>
          <w:szCs w:val="19"/>
          <w:color w:val="010000"/>
        </w:rPr>
        <w:t xml:space="preserve">Section 5.1 </w:t>
      </w:r>
      <w:r>
        <w:rPr>
          <w:rFonts w:ascii="Arial" w:cs="Arial" w:eastAsia="Arial" w:hAnsi="Arial"/>
          <w:sz w:val="19"/>
          <w:szCs w:val="19"/>
          <w:u w:val="single" w:color="auto"/>
          <w:color w:val="000000"/>
        </w:rPr>
        <w:t>Effect of Termination of Employment on Compensation</w:t>
      </w:r>
      <w:r>
        <w:rPr>
          <w:rFonts w:ascii="Arial" w:cs="Arial" w:eastAsia="Arial" w:hAnsi="Arial"/>
          <w:sz w:val="19"/>
          <w:szCs w:val="19"/>
          <w:color w:val="000000"/>
        </w:rPr>
        <w:t>.</w:t>
      </w:r>
    </w:p>
    <w:p>
      <w:pPr>
        <w:spacing w:after="0" w:line="1" w:lineRule="exact"/>
        <w:rPr>
          <w:sz w:val="20"/>
          <w:szCs w:val="20"/>
          <w:color w:val="auto"/>
        </w:rPr>
      </w:pPr>
    </w:p>
    <w:p>
      <w:pPr>
        <w:jc w:val="both"/>
        <w:ind w:left="560" w:firstLine="550"/>
        <w:spacing w:after="0" w:line="262" w:lineRule="auto"/>
        <w:tabs>
          <w:tab w:leader="none" w:pos="1546" w:val="left"/>
        </w:tabs>
        <w:numPr>
          <w:ilvl w:val="0"/>
          <w:numId w:val="88"/>
        </w:numPr>
        <w:rPr>
          <w:rFonts w:ascii="Arial" w:cs="Arial" w:eastAsia="Arial" w:hAnsi="Arial"/>
          <w:sz w:val="18"/>
          <w:szCs w:val="18"/>
          <w:color w:val="010000"/>
        </w:rPr>
      </w:pPr>
      <w:r>
        <w:rPr>
          <w:rFonts w:ascii="Arial" w:cs="Arial" w:eastAsia="Arial" w:hAnsi="Arial"/>
          <w:sz w:val="18"/>
          <w:szCs w:val="18"/>
          <w:i w:val="1"/>
          <w:iCs w:val="1"/>
          <w:color w:val="auto"/>
        </w:rPr>
        <w:t>Benefit Obligation and Accrued Obligation Defined</w:t>
      </w:r>
      <w:r>
        <w:rPr>
          <w:rFonts w:ascii="Arial" w:cs="Arial" w:eastAsia="Arial" w:hAnsi="Arial"/>
          <w:sz w:val="18"/>
          <w:szCs w:val="18"/>
          <w:color w:val="auto"/>
        </w:rPr>
        <w:t>. For purposes of this Agreement, payment of the “</w:t>
      </w:r>
      <w:r>
        <w:rPr>
          <w:rFonts w:ascii="Arial" w:cs="Arial" w:eastAsia="Arial" w:hAnsi="Arial"/>
          <w:sz w:val="18"/>
          <w:szCs w:val="18"/>
          <w:u w:val="single" w:color="auto"/>
          <w:color w:val="auto"/>
        </w:rPr>
        <w:t>Benefit Obligation</w:t>
      </w:r>
      <w:r>
        <w:rPr>
          <w:rFonts w:ascii="Arial" w:cs="Arial" w:eastAsia="Arial" w:hAnsi="Arial"/>
          <w:sz w:val="18"/>
          <w:szCs w:val="18"/>
          <w:color w:val="auto"/>
        </w:rPr>
        <w:t>” shall</w:t>
      </w:r>
      <w:r>
        <w:rPr>
          <w:rFonts w:ascii="Arial" w:cs="Arial" w:eastAsia="Arial" w:hAnsi="Arial"/>
          <w:sz w:val="18"/>
          <w:szCs w:val="18"/>
          <w:i w:val="1"/>
          <w:iCs w:val="1"/>
          <w:color w:val="auto"/>
        </w:rPr>
        <w:t xml:space="preserve"> </w:t>
      </w:r>
      <w:r>
        <w:rPr>
          <w:rFonts w:ascii="Arial" w:cs="Arial" w:eastAsia="Arial" w:hAnsi="Arial"/>
          <w:sz w:val="18"/>
          <w:szCs w:val="18"/>
          <w:color w:val="auto"/>
        </w:rPr>
        <w:t>mean payment by the Company to the Executive (or the Executive’s designated beneficiary or legal representative, as applicable), in accordance with the terms of this Agreement or the applicable plan document, of all vested benefits to which he is entitled under the terms of the employee benefit plans and compensation arrangements in which the Executive is a participant as of the Date of Termination. “</w:t>
      </w:r>
      <w:r>
        <w:rPr>
          <w:rFonts w:ascii="Arial" w:cs="Arial" w:eastAsia="Arial" w:hAnsi="Arial"/>
          <w:sz w:val="18"/>
          <w:szCs w:val="18"/>
          <w:u w:val="single" w:color="auto"/>
          <w:color w:val="auto"/>
        </w:rPr>
        <w:t>Accrued</w:t>
      </w:r>
      <w:r>
        <w:rPr>
          <w:rFonts w:ascii="Arial" w:cs="Arial" w:eastAsia="Arial" w:hAnsi="Arial"/>
          <w:sz w:val="18"/>
          <w:szCs w:val="18"/>
          <w:color w:val="auto"/>
        </w:rPr>
        <w:t xml:space="preserve"> </w:t>
      </w:r>
      <w:r>
        <w:rPr>
          <w:rFonts w:ascii="Arial" w:cs="Arial" w:eastAsia="Arial" w:hAnsi="Arial"/>
          <w:sz w:val="18"/>
          <w:szCs w:val="18"/>
          <w:u w:val="single" w:color="auto"/>
          <w:color w:val="auto"/>
        </w:rPr>
        <w:t>Obligation</w:t>
      </w:r>
      <w:r>
        <w:rPr>
          <w:rFonts w:ascii="Arial" w:cs="Arial" w:eastAsia="Arial" w:hAnsi="Arial"/>
          <w:sz w:val="18"/>
          <w:szCs w:val="18"/>
          <w:color w:val="auto"/>
        </w:rPr>
        <w:t>” means the sum of (1) the Executive’s Base Salary through the Date of Termination (together with any automobile allowance under Section 3.1(d)) and (2) any incurred but unreimbursed expenses for which the Executive is entitled to reimbursement in accordance with Company policies, in each case, to the extent not theretofore paid.</w:t>
      </w:r>
    </w:p>
    <w:p>
      <w:pPr>
        <w:spacing w:after="0" w:line="151" w:lineRule="exact"/>
        <w:rPr>
          <w:rFonts w:ascii="Arial" w:cs="Arial" w:eastAsia="Arial" w:hAnsi="Arial"/>
          <w:sz w:val="18"/>
          <w:szCs w:val="18"/>
          <w:color w:val="010000"/>
        </w:rPr>
      </w:pPr>
    </w:p>
    <w:p>
      <w:pPr>
        <w:jc w:val="both"/>
        <w:ind w:left="560" w:firstLine="550"/>
        <w:spacing w:after="0" w:line="249" w:lineRule="auto"/>
        <w:tabs>
          <w:tab w:leader="none" w:pos="1743" w:val="left"/>
        </w:tabs>
        <w:numPr>
          <w:ilvl w:val="0"/>
          <w:numId w:val="88"/>
        </w:numPr>
        <w:rPr>
          <w:rFonts w:ascii="Arial" w:cs="Arial" w:eastAsia="Arial" w:hAnsi="Arial"/>
          <w:sz w:val="19"/>
          <w:szCs w:val="19"/>
          <w:color w:val="010000"/>
        </w:rPr>
      </w:pPr>
      <w:r>
        <w:rPr>
          <w:rFonts w:ascii="Arial" w:cs="Arial" w:eastAsia="Arial" w:hAnsi="Arial"/>
          <w:sz w:val="19"/>
          <w:szCs w:val="19"/>
          <w:i w:val="1"/>
          <w:iCs w:val="1"/>
          <w:color w:val="auto"/>
        </w:rPr>
        <w:t>Termination by the Company without Cause; Termination by the Executive with Good Reason; Disability</w:t>
      </w:r>
      <w:r>
        <w:rPr>
          <w:rFonts w:ascii="Arial" w:cs="Arial" w:eastAsia="Arial" w:hAnsi="Arial"/>
          <w:sz w:val="19"/>
          <w:szCs w:val="19"/>
          <w:color w:val="auto"/>
        </w:rPr>
        <w:t>. Subject to</w:t>
      </w:r>
      <w:r>
        <w:rPr>
          <w:rFonts w:ascii="Arial" w:cs="Arial" w:eastAsia="Arial" w:hAnsi="Arial"/>
          <w:sz w:val="19"/>
          <w:szCs w:val="19"/>
          <w:i w:val="1"/>
          <w:iCs w:val="1"/>
          <w:color w:val="auto"/>
        </w:rPr>
        <w:t xml:space="preserve"> </w:t>
      </w:r>
      <w:r>
        <w:rPr>
          <w:rFonts w:ascii="Arial" w:cs="Arial" w:eastAsia="Arial" w:hAnsi="Arial"/>
          <w:sz w:val="19"/>
          <w:szCs w:val="19"/>
          <w:color w:val="auto"/>
        </w:rPr>
        <w:t>Section 5.1(e), if the Executive’s employment is terminated involuntarily by the Company without Cause, by the Company due to Disability, or voluntarily by the Executive with Good Reason, the Company shall pay or provide to the Executive (or the Executive’s guardian, if applicable):</w:t>
      </w:r>
    </w:p>
    <w:p>
      <w:pPr>
        <w:spacing w:after="0" w:line="350" w:lineRule="exact"/>
        <w:rPr>
          <w:sz w:val="20"/>
          <w:szCs w:val="20"/>
          <w:color w:val="auto"/>
        </w:rPr>
      </w:pPr>
    </w:p>
    <w:p>
      <w:pPr>
        <w:ind w:left="3620"/>
        <w:spacing w:after="0"/>
        <w:rPr>
          <w:sz w:val="20"/>
          <w:szCs w:val="20"/>
          <w:color w:val="auto"/>
        </w:rPr>
      </w:pPr>
      <w:r>
        <w:rPr>
          <w:rFonts w:ascii="Arial" w:cs="Arial" w:eastAsia="Arial" w:hAnsi="Arial"/>
          <w:sz w:val="19"/>
          <w:szCs w:val="19"/>
          <w:color w:val="auto"/>
        </w:rPr>
        <w:t>6</w:t>
      </w:r>
    </w:p>
    <w:p>
      <w:pPr>
        <w:sectPr>
          <w:pgSz w:w="11900" w:h="16838" w:orient="portrait"/>
          <w:cols w:equalWidth="0" w:num="1">
            <w:col w:w="11260"/>
          </w:cols>
          <w:pgMar w:left="320" w:top="318" w:right="319" w:bottom="1440" w:gutter="0" w:footer="0" w:header="0"/>
        </w:sectPr>
      </w:pPr>
    </w:p>
    <w:bookmarkStart w:id="96" w:name="page97"/>
    <w:bookmarkEnd w:id="96"/>
    <w:p>
      <w:pPr>
        <w:ind w:firstLine="548"/>
        <w:spacing w:after="0" w:line="264" w:lineRule="auto"/>
        <w:tabs>
          <w:tab w:leader="none" w:pos="943" w:val="left"/>
        </w:tabs>
        <w:numPr>
          <w:ilvl w:val="0"/>
          <w:numId w:val="89"/>
        </w:numPr>
        <w:rPr>
          <w:rFonts w:ascii="Arial" w:cs="Arial" w:eastAsia="Arial" w:hAnsi="Arial"/>
          <w:sz w:val="19"/>
          <w:szCs w:val="19"/>
          <w:color w:val="010000"/>
        </w:rPr>
      </w:pPr>
      <w:r>
        <w:rPr>
          <w:rFonts w:ascii="Arial" w:cs="Arial" w:eastAsia="Arial" w:hAnsi="Arial"/>
          <w:sz w:val="19"/>
          <w:szCs w:val="19"/>
          <w:color w:val="auto"/>
        </w:rPr>
        <w:t>The Accrued Obligation within thirty (30) days following the Date of Termination or such earlier date as may be required by applicable law;</w:t>
      </w:r>
    </w:p>
    <w:p>
      <w:pPr>
        <w:spacing w:after="0" w:line="147" w:lineRule="exact"/>
        <w:rPr>
          <w:rFonts w:ascii="Arial" w:cs="Arial" w:eastAsia="Arial" w:hAnsi="Arial"/>
          <w:sz w:val="19"/>
          <w:szCs w:val="19"/>
          <w:color w:val="010000"/>
        </w:rPr>
      </w:pPr>
    </w:p>
    <w:p>
      <w:pPr>
        <w:ind w:firstLine="548"/>
        <w:spacing w:after="0" w:line="264" w:lineRule="auto"/>
        <w:tabs>
          <w:tab w:leader="none" w:pos="984" w:val="left"/>
        </w:tabs>
        <w:numPr>
          <w:ilvl w:val="0"/>
          <w:numId w:val="89"/>
        </w:numPr>
        <w:rPr>
          <w:rFonts w:ascii="Arial" w:cs="Arial" w:eastAsia="Arial" w:hAnsi="Arial"/>
          <w:sz w:val="19"/>
          <w:szCs w:val="19"/>
          <w:color w:val="010000"/>
        </w:rPr>
      </w:pPr>
      <w:r>
        <w:rPr>
          <w:rFonts w:ascii="Arial" w:cs="Arial" w:eastAsia="Arial" w:hAnsi="Arial"/>
          <w:sz w:val="19"/>
          <w:szCs w:val="19"/>
          <w:color w:val="auto"/>
        </w:rPr>
        <w:t>The Benefit Obligation at the times specified in and in accordance with the terms of the applicable employee benefit plans and compensation arrangements;</w:t>
      </w:r>
    </w:p>
    <w:p>
      <w:pPr>
        <w:spacing w:after="0" w:line="147" w:lineRule="exact"/>
        <w:rPr>
          <w:rFonts w:ascii="Arial" w:cs="Arial" w:eastAsia="Arial" w:hAnsi="Arial"/>
          <w:sz w:val="19"/>
          <w:szCs w:val="19"/>
          <w:color w:val="010000"/>
        </w:rPr>
      </w:pPr>
    </w:p>
    <w:p>
      <w:pPr>
        <w:jc w:val="both"/>
        <w:ind w:firstLine="548"/>
        <w:spacing w:after="0" w:line="261" w:lineRule="auto"/>
        <w:tabs>
          <w:tab w:leader="none" w:pos="1082" w:val="left"/>
        </w:tabs>
        <w:numPr>
          <w:ilvl w:val="0"/>
          <w:numId w:val="89"/>
        </w:numPr>
        <w:rPr>
          <w:rFonts w:ascii="Arial" w:cs="Arial" w:eastAsia="Arial" w:hAnsi="Arial"/>
          <w:sz w:val="18"/>
          <w:szCs w:val="18"/>
          <w:color w:val="010000"/>
        </w:rPr>
      </w:pPr>
      <w:r>
        <w:rPr>
          <w:rFonts w:ascii="Arial" w:cs="Arial" w:eastAsia="Arial" w:hAnsi="Arial"/>
          <w:sz w:val="18"/>
          <w:szCs w:val="18"/>
          <w:color w:val="auto"/>
        </w:rPr>
        <w:t xml:space="preserve">If the Executive is employed for at least nine (9) months of a calendar year, a pro-rated Annual Bonus for the year in which the Date of Termination occurs based on actual performance results as determined by the Compensation Committee, multiplied by a fraction, the numerator of which shall be the number of days of the Executive’s actual employment in the year in which the Date of Termination occurs and the denominator of which shall be the total number of days in the year in which the Date of Termination occurs, which amount shall be paid at the time that bonuses for such year are otherwise paid to the Company’s active executives;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if at any time the Compensation Committee of the Parent adopts a different policy for similarly situated U.S. senior executives regarding such terminations during a calendar year, such policy shall apply. (Any individual performance rating will be at the discretion of the CEO.)</w:t>
      </w:r>
    </w:p>
    <w:p>
      <w:pPr>
        <w:spacing w:after="0" w:line="153" w:lineRule="exact"/>
        <w:rPr>
          <w:rFonts w:ascii="Arial" w:cs="Arial" w:eastAsia="Arial" w:hAnsi="Arial"/>
          <w:sz w:val="18"/>
          <w:szCs w:val="18"/>
          <w:color w:val="010000"/>
        </w:rPr>
      </w:pPr>
    </w:p>
    <w:p>
      <w:pPr>
        <w:jc w:val="both"/>
        <w:ind w:firstLine="548"/>
        <w:spacing w:after="0" w:line="247" w:lineRule="auto"/>
        <w:tabs>
          <w:tab w:leader="none" w:pos="1095" w:val="left"/>
        </w:tabs>
        <w:numPr>
          <w:ilvl w:val="0"/>
          <w:numId w:val="89"/>
        </w:numPr>
        <w:rPr>
          <w:rFonts w:ascii="Arial" w:cs="Arial" w:eastAsia="Arial" w:hAnsi="Arial"/>
          <w:sz w:val="19"/>
          <w:szCs w:val="19"/>
          <w:color w:val="010000"/>
        </w:rPr>
      </w:pPr>
      <w:r>
        <w:rPr>
          <w:rFonts w:ascii="Arial" w:cs="Arial" w:eastAsia="Arial" w:hAnsi="Arial"/>
          <w:sz w:val="19"/>
          <w:szCs w:val="19"/>
          <w:color w:val="auto"/>
        </w:rPr>
        <w:t xml:space="preserve">Severance equal to one (1) times the Executive’s annual Base Salary at the rate in effect on the Date of Termination, which shall be paid in equal installments over a twelve- (12-) month period commencing on the sixtieth (60th) day following the Date of Termination in accordance with the Company's standard payroll cycle;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the Executive’s termination is due to Disability, the total amount payable pursuant to this Section 5.1(b)(iv) shall be reduced by the total amount of all disability benefits payable to the Executive pursuant to employee benefit plans of any Company Entity during the period of such installment payments; and</w:t>
      </w:r>
    </w:p>
    <w:p>
      <w:pPr>
        <w:spacing w:after="0" w:line="163" w:lineRule="exact"/>
        <w:rPr>
          <w:rFonts w:ascii="Arial" w:cs="Arial" w:eastAsia="Arial" w:hAnsi="Arial"/>
          <w:sz w:val="19"/>
          <w:szCs w:val="19"/>
          <w:color w:val="010000"/>
        </w:rPr>
      </w:pPr>
    </w:p>
    <w:p>
      <w:pPr>
        <w:jc w:val="both"/>
        <w:ind w:firstLine="548"/>
        <w:spacing w:after="0" w:line="247" w:lineRule="auto"/>
        <w:tabs>
          <w:tab w:leader="none" w:pos="1043" w:val="left"/>
        </w:tabs>
        <w:numPr>
          <w:ilvl w:val="0"/>
          <w:numId w:val="89"/>
        </w:numPr>
        <w:rPr>
          <w:rFonts w:ascii="Arial" w:cs="Arial" w:eastAsia="Arial" w:hAnsi="Arial"/>
          <w:sz w:val="19"/>
          <w:szCs w:val="19"/>
          <w:color w:val="010000"/>
        </w:rPr>
      </w:pPr>
      <w:r>
        <w:rPr>
          <w:rFonts w:ascii="Arial" w:cs="Arial" w:eastAsia="Arial" w:hAnsi="Arial"/>
          <w:sz w:val="19"/>
          <w:szCs w:val="19"/>
          <w:color w:val="auto"/>
        </w:rPr>
        <w:t>During the period beginning on the Date of Termination and ending on the earlier of (A) the date that is twelve (12) months after the Date of Termination or (B) such date that the Executive obtains similar coverage from a subsequent employer, the Executive and the Executive’s spouse and eligible dependents, as the case may be, shall be entitled to continue participation in all welfare benefit plans, practices, policies and programs in which the Executive and the Executive’s spouse and eligible dependents participate in immediately prior to the Date of Termination at a cost to the Executive no greater than that of active senior executive employees of the Company.</w:t>
      </w:r>
    </w:p>
    <w:p>
      <w:pPr>
        <w:spacing w:after="0" w:line="163" w:lineRule="exact"/>
        <w:rPr>
          <w:rFonts w:ascii="Arial" w:cs="Arial" w:eastAsia="Arial" w:hAnsi="Arial"/>
          <w:sz w:val="19"/>
          <w:szCs w:val="19"/>
          <w:color w:val="010000"/>
        </w:rPr>
      </w:pPr>
    </w:p>
    <w:p>
      <w:pPr>
        <w:jc w:val="both"/>
        <w:ind w:firstLine="548"/>
        <w:spacing w:after="0" w:line="268" w:lineRule="auto"/>
        <w:tabs>
          <w:tab w:leader="none" w:pos="1060" w:val="left"/>
        </w:tabs>
        <w:numPr>
          <w:ilvl w:val="0"/>
          <w:numId w:val="89"/>
        </w:numPr>
        <w:rPr>
          <w:rFonts w:ascii="Arial" w:cs="Arial" w:eastAsia="Arial" w:hAnsi="Arial"/>
          <w:sz w:val="18"/>
          <w:szCs w:val="18"/>
          <w:color w:val="010000"/>
        </w:rPr>
      </w:pPr>
      <w:r>
        <w:rPr>
          <w:rFonts w:ascii="Arial" w:cs="Arial" w:eastAsia="Arial" w:hAnsi="Arial"/>
          <w:sz w:val="18"/>
          <w:szCs w:val="18"/>
          <w:color w:val="auto"/>
        </w:rPr>
        <w:t>Unless more favorable treatment is provided under the terms of a Grant Award Agreement, any unvested equity awards previously granted to the Executive and outstanding as of the Date of Termination which are scheduled to vest within a six (6) month period after the Date of Termination will continue to vest through the date that is six (6) months after the Date of Termination. Treatment of any other unvested equity awards will be determined by the Company in good faith.</w:t>
      </w:r>
    </w:p>
    <w:p>
      <w:pPr>
        <w:spacing w:after="0" w:line="332" w:lineRule="exact"/>
        <w:rPr>
          <w:sz w:val="20"/>
          <w:szCs w:val="20"/>
          <w:color w:val="auto"/>
        </w:rPr>
      </w:pPr>
    </w:p>
    <w:p>
      <w:pPr>
        <w:ind w:left="2500"/>
        <w:spacing w:after="0"/>
        <w:rPr>
          <w:sz w:val="20"/>
          <w:szCs w:val="20"/>
          <w:color w:val="auto"/>
        </w:rPr>
      </w:pPr>
      <w:r>
        <w:rPr>
          <w:rFonts w:ascii="Arial" w:cs="Arial" w:eastAsia="Arial" w:hAnsi="Arial"/>
          <w:sz w:val="19"/>
          <w:szCs w:val="19"/>
          <w:color w:val="auto"/>
        </w:rPr>
        <w:t>7</w:t>
      </w:r>
    </w:p>
    <w:p>
      <w:pPr>
        <w:sectPr>
          <w:pgSz w:w="11900" w:h="16838" w:orient="portrait"/>
          <w:cols w:equalWidth="0" w:num="1">
            <w:col w:w="10140"/>
          </w:cols>
          <w:pgMar w:left="1440" w:top="318" w:right="319" w:bottom="1440" w:gutter="0" w:footer="0" w:header="0"/>
        </w:sectPr>
      </w:pPr>
    </w:p>
    <w:bookmarkStart w:id="97" w:name="page98"/>
    <w:bookmarkEnd w:id="97"/>
    <w:p>
      <w:pPr>
        <w:ind w:left="10"/>
        <w:spacing w:after="0"/>
        <w:rPr>
          <w:sz w:val="20"/>
          <w:szCs w:val="20"/>
          <w:color w:val="auto"/>
        </w:rPr>
      </w:pPr>
      <w:r>
        <w:rPr>
          <w:rFonts w:ascii="Arial" w:cs="Arial" w:eastAsia="Arial" w:hAnsi="Arial"/>
          <w:sz w:val="19"/>
          <w:szCs w:val="19"/>
          <w:color w:val="auto"/>
        </w:rPr>
        <w:t>Any relevant Grant Award Agreement will be deemed to be modified to reflect this provision.</w:t>
      </w:r>
    </w:p>
    <w:p>
      <w:pPr>
        <w:spacing w:after="0" w:line="189" w:lineRule="exact"/>
        <w:rPr>
          <w:sz w:val="20"/>
          <w:szCs w:val="20"/>
          <w:color w:val="auto"/>
        </w:rPr>
      </w:pPr>
    </w:p>
    <w:p>
      <w:pPr>
        <w:ind w:left="-550" w:right="20" w:firstLine="550"/>
        <w:spacing w:after="0" w:line="264" w:lineRule="auto"/>
        <w:tabs>
          <w:tab w:leader="none" w:pos="401" w:val="left"/>
        </w:tabs>
        <w:numPr>
          <w:ilvl w:val="0"/>
          <w:numId w:val="90"/>
        </w:numPr>
        <w:rPr>
          <w:rFonts w:ascii="Arial" w:cs="Arial" w:eastAsia="Arial" w:hAnsi="Arial"/>
          <w:sz w:val="19"/>
          <w:szCs w:val="19"/>
          <w:color w:val="010000"/>
        </w:rPr>
      </w:pPr>
      <w:r>
        <w:rPr>
          <w:rFonts w:ascii="Arial" w:cs="Arial" w:eastAsia="Arial" w:hAnsi="Arial"/>
          <w:sz w:val="19"/>
          <w:szCs w:val="19"/>
          <w:i w:val="1"/>
          <w:iCs w:val="1"/>
          <w:color w:val="auto"/>
        </w:rPr>
        <w:t>Death</w:t>
      </w:r>
      <w:r>
        <w:rPr>
          <w:rFonts w:ascii="Arial" w:cs="Arial" w:eastAsia="Arial" w:hAnsi="Arial"/>
          <w:sz w:val="19"/>
          <w:szCs w:val="19"/>
          <w:color w:val="auto"/>
        </w:rPr>
        <w:t>. Subject to Section 5.1(e), if the Executive’s employment is terminated due to the Executive’s death, the Company shall pay</w:t>
      </w:r>
      <w:r>
        <w:rPr>
          <w:rFonts w:ascii="Arial" w:cs="Arial" w:eastAsia="Arial" w:hAnsi="Arial"/>
          <w:sz w:val="19"/>
          <w:szCs w:val="19"/>
          <w:i w:val="1"/>
          <w:iCs w:val="1"/>
          <w:color w:val="auto"/>
        </w:rPr>
        <w:t xml:space="preserve"> </w:t>
      </w:r>
      <w:r>
        <w:rPr>
          <w:rFonts w:ascii="Arial" w:cs="Arial" w:eastAsia="Arial" w:hAnsi="Arial"/>
          <w:sz w:val="19"/>
          <w:szCs w:val="19"/>
          <w:color w:val="auto"/>
        </w:rPr>
        <w:t>or provide to the Executive’s estate:</w:t>
      </w:r>
    </w:p>
    <w:p>
      <w:pPr>
        <w:spacing w:after="0" w:line="147" w:lineRule="exact"/>
        <w:rPr>
          <w:rFonts w:ascii="Arial" w:cs="Arial" w:eastAsia="Arial" w:hAnsi="Arial"/>
          <w:sz w:val="19"/>
          <w:szCs w:val="19"/>
          <w:color w:val="010000"/>
        </w:rPr>
      </w:pPr>
    </w:p>
    <w:p>
      <w:pPr>
        <w:ind w:left="10" w:firstLine="548"/>
        <w:spacing w:after="0" w:line="264" w:lineRule="auto"/>
        <w:tabs>
          <w:tab w:leader="none" w:pos="953" w:val="left"/>
        </w:tabs>
        <w:numPr>
          <w:ilvl w:val="1"/>
          <w:numId w:val="90"/>
        </w:numPr>
        <w:rPr>
          <w:rFonts w:ascii="Arial" w:cs="Arial" w:eastAsia="Arial" w:hAnsi="Arial"/>
          <w:sz w:val="19"/>
          <w:szCs w:val="19"/>
          <w:color w:val="010000"/>
        </w:rPr>
      </w:pPr>
      <w:r>
        <w:rPr>
          <w:rFonts w:ascii="Arial" w:cs="Arial" w:eastAsia="Arial" w:hAnsi="Arial"/>
          <w:sz w:val="19"/>
          <w:szCs w:val="19"/>
          <w:color w:val="auto"/>
        </w:rPr>
        <w:t>The Accrued Obligation within thirty (30) days following the Date of Termination or such earlier date as may be required by applicable law;</w:t>
      </w:r>
    </w:p>
    <w:p>
      <w:pPr>
        <w:spacing w:after="0" w:line="147" w:lineRule="exact"/>
        <w:rPr>
          <w:rFonts w:ascii="Arial" w:cs="Arial" w:eastAsia="Arial" w:hAnsi="Arial"/>
          <w:sz w:val="19"/>
          <w:szCs w:val="19"/>
          <w:color w:val="010000"/>
        </w:rPr>
      </w:pPr>
    </w:p>
    <w:p>
      <w:pPr>
        <w:ind w:left="10" w:firstLine="548"/>
        <w:spacing w:after="0" w:line="264" w:lineRule="auto"/>
        <w:tabs>
          <w:tab w:leader="none" w:pos="994" w:val="left"/>
        </w:tabs>
        <w:numPr>
          <w:ilvl w:val="1"/>
          <w:numId w:val="90"/>
        </w:numPr>
        <w:rPr>
          <w:rFonts w:ascii="Arial" w:cs="Arial" w:eastAsia="Arial" w:hAnsi="Arial"/>
          <w:sz w:val="19"/>
          <w:szCs w:val="19"/>
          <w:color w:val="010000"/>
        </w:rPr>
      </w:pPr>
      <w:r>
        <w:rPr>
          <w:rFonts w:ascii="Arial" w:cs="Arial" w:eastAsia="Arial" w:hAnsi="Arial"/>
          <w:sz w:val="19"/>
          <w:szCs w:val="19"/>
          <w:color w:val="auto"/>
        </w:rPr>
        <w:t>The Benefit Obligation at the times specified in and in accordance with the terms of the applicable employee benefit plans and compensation arrangements;</w:t>
      </w:r>
    </w:p>
    <w:p>
      <w:pPr>
        <w:spacing w:after="0" w:line="147" w:lineRule="exact"/>
        <w:rPr>
          <w:rFonts w:ascii="Arial" w:cs="Arial" w:eastAsia="Arial" w:hAnsi="Arial"/>
          <w:sz w:val="19"/>
          <w:szCs w:val="19"/>
          <w:color w:val="010000"/>
        </w:rPr>
      </w:pPr>
    </w:p>
    <w:p>
      <w:pPr>
        <w:jc w:val="both"/>
        <w:ind w:left="10" w:firstLine="548"/>
        <w:spacing w:after="0" w:line="247" w:lineRule="auto"/>
        <w:tabs>
          <w:tab w:leader="none" w:pos="1080" w:val="left"/>
        </w:tabs>
        <w:numPr>
          <w:ilvl w:val="1"/>
          <w:numId w:val="90"/>
        </w:numPr>
        <w:rPr>
          <w:rFonts w:ascii="Arial" w:cs="Arial" w:eastAsia="Arial" w:hAnsi="Arial"/>
          <w:sz w:val="19"/>
          <w:szCs w:val="19"/>
          <w:color w:val="010000"/>
        </w:rPr>
      </w:pPr>
      <w:r>
        <w:rPr>
          <w:rFonts w:ascii="Arial" w:cs="Arial" w:eastAsia="Arial" w:hAnsi="Arial"/>
          <w:sz w:val="19"/>
          <w:szCs w:val="19"/>
          <w:color w:val="auto"/>
        </w:rPr>
        <w:t>A pro-rated Annual Bonus for the year in which the Date of Termination occurs based on actual performance results as determined by the Compensation Committee, multiplied by a fraction, the numerator of which shall be the number of days of the Executive’s actual employment in the year in which the Date of Termination occurs and the denominator of which shall be the total number of days in the year in which the Date of Termination occurs, which amount (if any) shall be paid at the time that bonuses for such year are otherwise paid to the Company’s active executives (any individual performance rating will be at the discretion of the CEO); and</w:t>
      </w:r>
    </w:p>
    <w:p>
      <w:pPr>
        <w:spacing w:after="0" w:line="163" w:lineRule="exact"/>
        <w:rPr>
          <w:rFonts w:ascii="Arial" w:cs="Arial" w:eastAsia="Arial" w:hAnsi="Arial"/>
          <w:sz w:val="19"/>
          <w:szCs w:val="19"/>
          <w:color w:val="010000"/>
        </w:rPr>
      </w:pPr>
    </w:p>
    <w:p>
      <w:pPr>
        <w:jc w:val="both"/>
        <w:ind w:left="10" w:right="20" w:firstLine="548"/>
        <w:spacing w:after="0" w:line="253" w:lineRule="auto"/>
        <w:tabs>
          <w:tab w:leader="none" w:pos="1058" w:val="left"/>
        </w:tabs>
        <w:numPr>
          <w:ilvl w:val="1"/>
          <w:numId w:val="90"/>
        </w:numPr>
        <w:rPr>
          <w:rFonts w:ascii="Arial" w:cs="Arial" w:eastAsia="Arial" w:hAnsi="Arial"/>
          <w:sz w:val="19"/>
          <w:szCs w:val="19"/>
          <w:color w:val="010000"/>
        </w:rPr>
      </w:pPr>
      <w:r>
        <w:rPr>
          <w:rFonts w:ascii="Arial" w:cs="Arial" w:eastAsia="Arial" w:hAnsi="Arial"/>
          <w:sz w:val="19"/>
          <w:szCs w:val="19"/>
          <w:color w:val="auto"/>
        </w:rPr>
        <w:t>Severance equal to one times the Executive’s annual Base Salary at the rate in effect on the Date of Termination, which shall be paid in equal installments over a twelve- (12-) month period commencing on the sixtieth (60th) day following the Date of Termination in accordance with the Company’s standard payroll cycle.</w:t>
      </w:r>
    </w:p>
    <w:p>
      <w:pPr>
        <w:spacing w:after="0" w:line="158" w:lineRule="exact"/>
        <w:rPr>
          <w:rFonts w:ascii="Arial" w:cs="Arial" w:eastAsia="Arial" w:hAnsi="Arial"/>
          <w:sz w:val="19"/>
          <w:szCs w:val="19"/>
          <w:color w:val="010000"/>
        </w:rPr>
      </w:pPr>
    </w:p>
    <w:p>
      <w:pPr>
        <w:jc w:val="both"/>
        <w:ind w:left="-550" w:right="20" w:firstLine="550"/>
        <w:spacing w:after="0" w:line="248" w:lineRule="auto"/>
        <w:tabs>
          <w:tab w:leader="none" w:pos="423" w:val="left"/>
        </w:tabs>
        <w:numPr>
          <w:ilvl w:val="0"/>
          <w:numId w:val="90"/>
        </w:numPr>
        <w:rPr>
          <w:rFonts w:ascii="Arial" w:cs="Arial" w:eastAsia="Arial" w:hAnsi="Arial"/>
          <w:sz w:val="19"/>
          <w:szCs w:val="19"/>
          <w:color w:val="010000"/>
        </w:rPr>
      </w:pPr>
      <w:r>
        <w:rPr>
          <w:rFonts w:ascii="Arial" w:cs="Arial" w:eastAsia="Arial" w:hAnsi="Arial"/>
          <w:sz w:val="19"/>
          <w:szCs w:val="19"/>
          <w:i w:val="1"/>
          <w:iCs w:val="1"/>
          <w:color w:val="auto"/>
        </w:rPr>
        <w:t>Other Terminations</w:t>
      </w:r>
      <w:r>
        <w:rPr>
          <w:rFonts w:ascii="Arial" w:cs="Arial" w:eastAsia="Arial" w:hAnsi="Arial"/>
          <w:sz w:val="19"/>
          <w:szCs w:val="19"/>
          <w:color w:val="auto"/>
        </w:rPr>
        <w:t>. If, during the Employment Period, the Executive’s employment is terminated for any reason other than those</w:t>
      </w:r>
      <w:r>
        <w:rPr>
          <w:rFonts w:ascii="Arial" w:cs="Arial" w:eastAsia="Arial" w:hAnsi="Arial"/>
          <w:sz w:val="19"/>
          <w:szCs w:val="19"/>
          <w:i w:val="1"/>
          <w:iCs w:val="1"/>
          <w:color w:val="auto"/>
        </w:rPr>
        <w:t xml:space="preserve"> </w:t>
      </w:r>
      <w:r>
        <w:rPr>
          <w:rFonts w:ascii="Arial" w:cs="Arial" w:eastAsia="Arial" w:hAnsi="Arial"/>
          <w:sz w:val="19"/>
          <w:szCs w:val="19"/>
          <w:color w:val="auto"/>
        </w:rPr>
        <w:t>specified in Section 5.1(b) or 5.1(c), the Executive shall be entitled only to the Accrued Obligation, payable within thirty (30) days following the Date of Termination or such earlier date as may be required by applicable law, and the Benefit Obligation, payable or due at the times specified in and in accordance with the terms of the applicable employee benefit plans and compensation arrangements, and the Executive shall not be entitled to any other amounts under this Agreement.</w:t>
      </w:r>
    </w:p>
    <w:p>
      <w:pPr>
        <w:spacing w:after="0" w:line="162" w:lineRule="exact"/>
        <w:rPr>
          <w:rFonts w:ascii="Arial" w:cs="Arial" w:eastAsia="Arial" w:hAnsi="Arial"/>
          <w:sz w:val="19"/>
          <w:szCs w:val="19"/>
          <w:color w:val="010000"/>
        </w:rPr>
      </w:pPr>
    </w:p>
    <w:p>
      <w:pPr>
        <w:jc w:val="both"/>
        <w:ind w:left="-550" w:firstLine="550"/>
        <w:spacing w:after="0" w:line="247" w:lineRule="auto"/>
        <w:tabs>
          <w:tab w:leader="none" w:pos="401" w:val="left"/>
        </w:tabs>
        <w:numPr>
          <w:ilvl w:val="0"/>
          <w:numId w:val="90"/>
        </w:numPr>
        <w:rPr>
          <w:rFonts w:ascii="Arial" w:cs="Arial" w:eastAsia="Arial" w:hAnsi="Arial"/>
          <w:sz w:val="19"/>
          <w:szCs w:val="19"/>
          <w:color w:val="010000"/>
        </w:rPr>
      </w:pPr>
      <w:r>
        <w:rPr>
          <w:rFonts w:ascii="Arial" w:cs="Arial" w:eastAsia="Arial" w:hAnsi="Arial"/>
          <w:sz w:val="19"/>
          <w:szCs w:val="19"/>
          <w:i w:val="1"/>
          <w:iCs w:val="1"/>
          <w:color w:val="auto"/>
        </w:rPr>
        <w:t>Release of Claims</w:t>
      </w:r>
      <w:r>
        <w:rPr>
          <w:rFonts w:ascii="Arial" w:cs="Arial" w:eastAsia="Arial" w:hAnsi="Arial"/>
          <w:sz w:val="19"/>
          <w:szCs w:val="19"/>
          <w:color w:val="auto"/>
        </w:rPr>
        <w:t>. Notwithstanding any provision herein to the contrary, if the Executive (or the Executive’s estate or guardian, as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applicable) has not delivered to the Company an executed release, substantially in the form attached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Release</w:t>
      </w:r>
      <w:r>
        <w:rPr>
          <w:rFonts w:ascii="Arial" w:cs="Arial" w:eastAsia="Arial" w:hAnsi="Arial"/>
          <w:sz w:val="19"/>
          <w:szCs w:val="19"/>
          <w:color w:val="auto"/>
        </w:rPr>
        <w:t>”), which shall effectuate a full and complete release of claims against the Company and its affiliates, officers and directors and acknowledge the applicability of continuing covenants under this Agreement, on or before the fiftieth (50th) day after the Date of Termination, or if the Executive (or the Executive’s estate or guardian, as applicable) revokes such executed Release prior to the sixtieth (60th) day after the Date of Termination, the Executive (or the</w:t>
      </w:r>
    </w:p>
    <w:p>
      <w:pPr>
        <w:spacing w:after="0" w:line="349" w:lineRule="exact"/>
        <w:rPr>
          <w:sz w:val="20"/>
          <w:szCs w:val="20"/>
          <w:color w:val="auto"/>
        </w:rPr>
      </w:pPr>
    </w:p>
    <w:p>
      <w:pPr>
        <w:ind w:left="2510"/>
        <w:spacing w:after="0"/>
        <w:rPr>
          <w:sz w:val="20"/>
          <w:szCs w:val="20"/>
          <w:color w:val="auto"/>
        </w:rPr>
      </w:pPr>
      <w:r>
        <w:rPr>
          <w:rFonts w:ascii="Arial" w:cs="Arial" w:eastAsia="Arial" w:hAnsi="Arial"/>
          <w:sz w:val="19"/>
          <w:szCs w:val="19"/>
          <w:color w:val="auto"/>
        </w:rPr>
        <w:t>8</w:t>
      </w:r>
    </w:p>
    <w:p>
      <w:pPr>
        <w:sectPr>
          <w:pgSz w:w="11900" w:h="16838" w:orient="portrait"/>
          <w:cols w:equalWidth="0" w:num="1">
            <w:col w:w="10150"/>
          </w:cols>
          <w:pgMar w:left="1430" w:top="318" w:right="319" w:bottom="1440" w:gutter="0" w:footer="0" w:header="0"/>
        </w:sectPr>
      </w:pPr>
    </w:p>
    <w:bookmarkStart w:id="98" w:name="page99"/>
    <w:bookmarkEnd w:id="98"/>
    <w:p>
      <w:pPr>
        <w:ind w:left="560" w:right="20"/>
        <w:spacing w:after="0" w:line="264" w:lineRule="auto"/>
        <w:rPr>
          <w:sz w:val="20"/>
          <w:szCs w:val="20"/>
          <w:color w:val="auto"/>
        </w:rPr>
      </w:pPr>
      <w:r>
        <w:rPr>
          <w:rFonts w:ascii="Arial" w:cs="Arial" w:eastAsia="Arial" w:hAnsi="Arial"/>
          <w:sz w:val="19"/>
          <w:szCs w:val="19"/>
          <w:color w:val="auto"/>
        </w:rPr>
        <w:t>Executive’s estate or guardian, as applicable) shall forfeit all of the payments and benefits described in Sections 5.1(b)(iii) through (vi) and Section 5.1(c)(iii) through (iv).</w:t>
      </w:r>
    </w:p>
    <w:p>
      <w:pPr>
        <w:spacing w:after="0" w:line="144"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010000"/>
        </w:rPr>
        <w:t>ARTICLE VI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RESTRICTIVE COVENANTS</w:t>
      </w:r>
    </w:p>
    <w:p>
      <w:pPr>
        <w:spacing w:after="0" w:line="184" w:lineRule="exact"/>
        <w:rPr>
          <w:sz w:val="20"/>
          <w:szCs w:val="20"/>
          <w:color w:val="auto"/>
        </w:rPr>
      </w:pPr>
    </w:p>
    <w:p>
      <w:pPr>
        <w:jc w:val="both"/>
        <w:ind w:firstLine="559"/>
        <w:spacing w:after="0" w:line="260" w:lineRule="auto"/>
        <w:rPr>
          <w:sz w:val="20"/>
          <w:szCs w:val="20"/>
          <w:color w:val="auto"/>
        </w:rPr>
      </w:pPr>
      <w:r>
        <w:rPr>
          <w:rFonts w:ascii="Arial" w:cs="Arial" w:eastAsia="Arial" w:hAnsi="Arial"/>
          <w:sz w:val="18"/>
          <w:szCs w:val="18"/>
          <w:color w:val="010000"/>
        </w:rPr>
        <w:t xml:space="preserve">Section 6.1 </w:t>
      </w:r>
      <w:r>
        <w:rPr>
          <w:rFonts w:ascii="Arial" w:cs="Arial" w:eastAsia="Arial" w:hAnsi="Arial"/>
          <w:sz w:val="18"/>
          <w:szCs w:val="18"/>
          <w:u w:val="single" w:color="auto"/>
          <w:color w:val="000000"/>
        </w:rPr>
        <w:t>Exclusive Services</w:t>
      </w:r>
      <w:r>
        <w:rPr>
          <w:rFonts w:ascii="Arial" w:cs="Arial" w:eastAsia="Arial" w:hAnsi="Arial"/>
          <w:sz w:val="18"/>
          <w:szCs w:val="18"/>
          <w:color w:val="000000"/>
        </w:rPr>
        <w:t>. Except as permitted in accordance with Section 2.3(c), the Executive shall during the Employment Period,</w:t>
      </w:r>
      <w:r>
        <w:rPr>
          <w:rFonts w:ascii="Arial" w:cs="Arial" w:eastAsia="Arial" w:hAnsi="Arial"/>
          <w:sz w:val="18"/>
          <w:szCs w:val="18"/>
          <w:color w:val="010000"/>
        </w:rPr>
        <w:t xml:space="preserve"> </w:t>
      </w:r>
      <w:r>
        <w:rPr>
          <w:rFonts w:ascii="Arial" w:cs="Arial" w:eastAsia="Arial" w:hAnsi="Arial"/>
          <w:sz w:val="18"/>
          <w:szCs w:val="18"/>
          <w:color w:val="000000"/>
        </w:rPr>
        <w:t xml:space="preserve">except during vacation periods, periods of illness and the like, devote substantially all of the Executive’s business time and attention to the Executive’s duties and responsibilities for the Parent and the Company. During the Executive’s employment with any Company Entity, the Executive shall not engage in any other business activity that would materially interfere with the Executive’s responsibilities or the performance of the Executive’s duties under this Agreement,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(i) with the consent of the CEO, the Executive may sit on the boards of directors of other entities (and earn compensation relating to such service as a director), (ii) with prior disclosure to the Parent’s General Counsel, the Executive may engage in civic and charitable activities, and (iii) the Executive may manage personal investments and affairs, in each case so long as such other activities do not materially interfere with the performance of the Executive’s duties hereunder. If the Executive serves on the board of directors or advisory board or similar body of any entity at the direction of the Parent or the Company, any compensation of the Executive for such service shall be paid to a Company Entity unless otherwise determined by the CEO.</w:t>
      </w:r>
    </w:p>
    <w:p>
      <w:pPr>
        <w:spacing w:after="0" w:line="154" w:lineRule="exact"/>
        <w:rPr>
          <w:sz w:val="20"/>
          <w:szCs w:val="20"/>
          <w:color w:val="auto"/>
        </w:rPr>
      </w:pPr>
    </w:p>
    <w:p>
      <w:pPr>
        <w:jc w:val="both"/>
        <w:ind w:right="20" w:firstLine="559"/>
        <w:spacing w:after="0" w:line="224" w:lineRule="exact"/>
        <w:rPr>
          <w:sz w:val="20"/>
          <w:szCs w:val="20"/>
          <w:color w:val="auto"/>
        </w:rPr>
      </w:pPr>
      <w:r>
        <w:rPr>
          <w:rFonts w:ascii="Arial" w:cs="Arial" w:eastAsia="Arial" w:hAnsi="Arial"/>
          <w:sz w:val="19"/>
          <w:szCs w:val="19"/>
          <w:color w:val="010000"/>
        </w:rPr>
        <w:t xml:space="preserve">Section 6.2 </w:t>
      </w:r>
      <w:r>
        <w:rPr>
          <w:rFonts w:ascii="Arial" w:cs="Arial" w:eastAsia="Arial" w:hAnsi="Arial"/>
          <w:sz w:val="19"/>
          <w:szCs w:val="19"/>
          <w:u w:val="single" w:color="auto"/>
          <w:color w:val="000000"/>
        </w:rPr>
        <w:t>Non</w:t>
      </w:r>
      <w:r>
        <w:rPr>
          <w:rFonts w:ascii="MS PGothic" w:cs="MS PGothic" w:eastAsia="MS PGothic" w:hAnsi="MS PGothic"/>
          <w:sz w:val="19"/>
          <w:szCs w:val="19"/>
          <w:u w:val="single" w:color="auto"/>
          <w:color w:val="000000"/>
        </w:rPr>
        <w:t>‑</w:t>
      </w:r>
      <w:r>
        <w:rPr>
          <w:rFonts w:ascii="Arial" w:cs="Arial" w:eastAsia="Arial" w:hAnsi="Arial"/>
          <w:sz w:val="19"/>
          <w:szCs w:val="19"/>
          <w:u w:val="single" w:color="auto"/>
          <w:color w:val="000000"/>
        </w:rPr>
        <w:t>Solicitation, Non</w:t>
      </w:r>
      <w:r>
        <w:rPr>
          <w:rFonts w:ascii="MS PGothic" w:cs="MS PGothic" w:eastAsia="MS PGothic" w:hAnsi="MS PGothic"/>
          <w:sz w:val="19"/>
          <w:szCs w:val="19"/>
          <w:u w:val="single" w:color="auto"/>
          <w:color w:val="000000"/>
        </w:rPr>
        <w:t>‑</w:t>
      </w:r>
      <w:r>
        <w:rPr>
          <w:rFonts w:ascii="Arial" w:cs="Arial" w:eastAsia="Arial" w:hAnsi="Arial"/>
          <w:sz w:val="19"/>
          <w:szCs w:val="19"/>
          <w:u w:val="single" w:color="auto"/>
          <w:color w:val="000000"/>
        </w:rPr>
        <w:t>Interference and Non</w:t>
      </w:r>
      <w:r>
        <w:rPr>
          <w:rFonts w:ascii="MS PGothic" w:cs="MS PGothic" w:eastAsia="MS PGothic" w:hAnsi="MS PGothic"/>
          <w:sz w:val="19"/>
          <w:szCs w:val="19"/>
          <w:u w:val="single" w:color="auto"/>
          <w:color w:val="000000"/>
        </w:rPr>
        <w:t>‑</w:t>
      </w:r>
      <w:r>
        <w:rPr>
          <w:rFonts w:ascii="Arial" w:cs="Arial" w:eastAsia="Arial" w:hAnsi="Arial"/>
          <w:sz w:val="19"/>
          <w:szCs w:val="19"/>
          <w:u w:val="single" w:color="auto"/>
          <w:color w:val="000000"/>
        </w:rPr>
        <w:t>Competition</w:t>
      </w:r>
      <w:r>
        <w:rPr>
          <w:rFonts w:ascii="Arial" w:cs="Arial" w:eastAsia="Arial" w:hAnsi="Arial"/>
          <w:sz w:val="19"/>
          <w:szCs w:val="19"/>
          <w:color w:val="000000"/>
        </w:rPr>
        <w:t>. As a means to protect the Company Entities’ legitimate business</w:t>
      </w:r>
      <w:r>
        <w:rPr>
          <w:rFonts w:ascii="Arial" w:cs="Arial" w:eastAsia="Arial" w:hAnsi="Arial"/>
          <w:sz w:val="19"/>
          <w:szCs w:val="19"/>
          <w:color w:val="010000"/>
        </w:rPr>
        <w:t xml:space="preserve"> </w:t>
      </w:r>
      <w:r>
        <w:rPr>
          <w:rFonts w:ascii="Arial" w:cs="Arial" w:eastAsia="Arial" w:hAnsi="Arial"/>
          <w:sz w:val="19"/>
          <w:szCs w:val="19"/>
          <w:color w:val="000000"/>
        </w:rPr>
        <w:t>interests including protection of the “</w:t>
      </w:r>
      <w:r>
        <w:rPr>
          <w:rFonts w:ascii="Arial" w:cs="Arial" w:eastAsia="Arial" w:hAnsi="Arial"/>
          <w:sz w:val="19"/>
          <w:szCs w:val="19"/>
          <w:u w:val="single" w:color="auto"/>
          <w:color w:val="000000"/>
        </w:rPr>
        <w:t>Confidential Information</w:t>
      </w:r>
      <w:r>
        <w:rPr>
          <w:rFonts w:ascii="Arial" w:cs="Arial" w:eastAsia="Arial" w:hAnsi="Arial"/>
          <w:sz w:val="19"/>
          <w:szCs w:val="19"/>
          <w:color w:val="000000"/>
        </w:rPr>
        <w:t>” (as defined in Section 6.3(a)) of any Company Entity (the Executive hereby agreeing and acknowledging that the activities prohibited by this Article VI would necessarily involve the use of Confidential Information), during the “</w:t>
      </w:r>
      <w:r>
        <w:rPr>
          <w:rFonts w:ascii="Arial" w:cs="Arial" w:eastAsia="Arial" w:hAnsi="Arial"/>
          <w:sz w:val="19"/>
          <w:szCs w:val="19"/>
          <w:u w:val="single" w:color="auto"/>
          <w:color w:val="000000"/>
        </w:rPr>
        <w:t>Restricted Period</w:t>
      </w:r>
      <w:r>
        <w:rPr>
          <w:rFonts w:ascii="Arial" w:cs="Arial" w:eastAsia="Arial" w:hAnsi="Arial"/>
          <w:sz w:val="19"/>
          <w:szCs w:val="19"/>
          <w:color w:val="000000"/>
        </w:rPr>
        <w:t>” (as defined below), the Executive shall not, directly, indirectly or as an agent on behalf of any person, firm, partnership, corporation or other entity:</w:t>
      </w:r>
    </w:p>
    <w:p>
      <w:pPr>
        <w:spacing w:after="0" w:line="172" w:lineRule="exact"/>
        <w:rPr>
          <w:sz w:val="20"/>
          <w:szCs w:val="20"/>
          <w:color w:val="auto"/>
        </w:rPr>
      </w:pPr>
    </w:p>
    <w:p>
      <w:pPr>
        <w:jc w:val="both"/>
        <w:ind w:left="560" w:firstLine="550"/>
        <w:spacing w:after="0" w:line="224" w:lineRule="exact"/>
        <w:tabs>
          <w:tab w:leader="none" w:pos="1534" w:val="left"/>
        </w:tabs>
        <w:numPr>
          <w:ilvl w:val="0"/>
          <w:numId w:val="91"/>
        </w:numPr>
        <w:rPr>
          <w:rFonts w:ascii="Arial" w:cs="Arial" w:eastAsia="Arial" w:hAnsi="Arial"/>
          <w:sz w:val="19"/>
          <w:szCs w:val="19"/>
          <w:color w:val="010000"/>
        </w:rPr>
      </w:pPr>
      <w:r>
        <w:rPr>
          <w:rFonts w:ascii="Arial" w:cs="Arial" w:eastAsia="Arial" w:hAnsi="Arial"/>
          <w:sz w:val="19"/>
          <w:szCs w:val="19"/>
          <w:color w:val="auto"/>
        </w:rPr>
        <w:t>solicit for employment, consulting or any other provision of services or hire any person who is a full</w:t>
      </w:r>
      <w:r>
        <w:rPr>
          <w:rFonts w:ascii="MS PGothic" w:cs="MS PGothic" w:eastAsia="MS PGothic" w:hAnsi="MS PGothic"/>
          <w:sz w:val="19"/>
          <w:szCs w:val="19"/>
          <w:color w:val="auto"/>
        </w:rPr>
        <w:t>‑</w:t>
      </w:r>
      <w:r>
        <w:rPr>
          <w:rFonts w:ascii="Arial" w:cs="Arial" w:eastAsia="Arial" w:hAnsi="Arial"/>
          <w:sz w:val="19"/>
          <w:szCs w:val="19"/>
          <w:color w:val="auto"/>
        </w:rPr>
        <w:t>time or part</w:t>
      </w:r>
      <w:r>
        <w:rPr>
          <w:rFonts w:ascii="MS PGothic" w:cs="MS PGothic" w:eastAsia="MS PGothic" w:hAnsi="MS PGothic"/>
          <w:sz w:val="19"/>
          <w:szCs w:val="19"/>
          <w:color w:val="auto"/>
        </w:rPr>
        <w:t>‑</w:t>
      </w:r>
      <w:r>
        <w:rPr>
          <w:rFonts w:ascii="Arial" w:cs="Arial" w:eastAsia="Arial" w:hAnsi="Arial"/>
          <w:sz w:val="19"/>
          <w:szCs w:val="19"/>
          <w:color w:val="auto"/>
        </w:rPr>
        <w:t>time employee of (or in the preceding six (6) months was employed by) any Company Entity or an individual performing, on average, twenty or more hours per week of personal services as an independent contractor to any Company Entity. This includes, without limitation, inducing or attempting to induce, or influencing or attempting to influence, any such person to terminate his or her employment or performance of services with or for any Company Entity; or</w:t>
      </w:r>
    </w:p>
    <w:p>
      <w:pPr>
        <w:spacing w:after="0" w:line="171" w:lineRule="exact"/>
        <w:rPr>
          <w:rFonts w:ascii="Arial" w:cs="Arial" w:eastAsia="Arial" w:hAnsi="Arial"/>
          <w:sz w:val="19"/>
          <w:szCs w:val="19"/>
          <w:color w:val="010000"/>
        </w:rPr>
      </w:pPr>
    </w:p>
    <w:p>
      <w:pPr>
        <w:jc w:val="both"/>
        <w:ind w:left="560" w:right="20" w:firstLine="550"/>
        <w:spacing w:after="0" w:line="268" w:lineRule="auto"/>
        <w:tabs>
          <w:tab w:leader="none" w:pos="1603" w:val="left"/>
        </w:tabs>
        <w:numPr>
          <w:ilvl w:val="0"/>
          <w:numId w:val="91"/>
        </w:numPr>
        <w:rPr>
          <w:rFonts w:ascii="Arial" w:cs="Arial" w:eastAsia="Arial" w:hAnsi="Arial"/>
          <w:sz w:val="18"/>
          <w:szCs w:val="18"/>
          <w:color w:val="010000"/>
        </w:rPr>
      </w:pPr>
      <w:r>
        <w:rPr>
          <w:rFonts w:ascii="Arial" w:cs="Arial" w:eastAsia="Arial" w:hAnsi="Arial"/>
          <w:sz w:val="18"/>
          <w:szCs w:val="18"/>
          <w:color w:val="auto"/>
        </w:rPr>
        <w:t>(x) solicit or encourage any person or entity who is or, within the prior six (6) months, was a customer, producer, advertiser, distributor or supplier of any Company Entity during the Employment Period to discontinue such person’s or entity’s business relationship with the Company Entity; or (y) discourage any prospective customer, producer, advertiser, distributor or supplier of any Company Entity from becoming a customer, producer, advertiser, distributor or supplier of the Company Entity; or</w:t>
      </w:r>
    </w:p>
    <w:p>
      <w:pPr>
        <w:spacing w:after="0" w:line="332" w:lineRule="exact"/>
        <w:rPr>
          <w:sz w:val="20"/>
          <w:szCs w:val="20"/>
          <w:color w:val="auto"/>
        </w:rPr>
      </w:pPr>
    </w:p>
    <w:p>
      <w:pPr>
        <w:ind w:left="3620"/>
        <w:spacing w:after="0"/>
        <w:rPr>
          <w:sz w:val="20"/>
          <w:szCs w:val="20"/>
          <w:color w:val="auto"/>
        </w:rPr>
      </w:pPr>
      <w:r>
        <w:rPr>
          <w:rFonts w:ascii="Arial" w:cs="Arial" w:eastAsia="Arial" w:hAnsi="Arial"/>
          <w:sz w:val="19"/>
          <w:szCs w:val="19"/>
          <w:color w:val="auto"/>
        </w:rPr>
        <w:t>9</w:t>
      </w:r>
    </w:p>
    <w:p>
      <w:pPr>
        <w:sectPr>
          <w:pgSz w:w="11900" w:h="16838" w:orient="portrait"/>
          <w:cols w:equalWidth="0" w:num="1">
            <w:col w:w="11260"/>
          </w:cols>
          <w:pgMar w:left="320" w:top="318" w:right="319" w:bottom="1440" w:gutter="0" w:footer="0" w:header="0"/>
        </w:sectPr>
      </w:pPr>
    </w:p>
    <w:bookmarkStart w:id="99" w:name="page100"/>
    <w:bookmarkEnd w:id="99"/>
    <w:p>
      <w:pPr>
        <w:jc w:val="both"/>
        <w:ind w:right="20" w:firstLine="550"/>
        <w:spacing w:after="0" w:line="288" w:lineRule="auto"/>
        <w:tabs>
          <w:tab w:leader="none" w:pos="1067" w:val="left"/>
        </w:tabs>
        <w:numPr>
          <w:ilvl w:val="0"/>
          <w:numId w:val="92"/>
        </w:numPr>
        <w:rPr>
          <w:rFonts w:ascii="Arial" w:cs="Arial" w:eastAsia="Arial" w:hAnsi="Arial"/>
          <w:sz w:val="17"/>
          <w:szCs w:val="17"/>
          <w:color w:val="010000"/>
        </w:rPr>
      </w:pPr>
      <w:r>
        <w:rPr>
          <w:rFonts w:ascii="Arial" w:cs="Arial" w:eastAsia="Arial" w:hAnsi="Arial"/>
          <w:sz w:val="17"/>
          <w:szCs w:val="17"/>
          <w:color w:val="auto"/>
        </w:rPr>
        <w:t>hold any interest in (whether as owner, investor, shareholder, lender or otherwise) or perform any services for (whether as employee, consultant, advisor, director or otherwise), including the service of providing advice for, a Competitive Business. For the purposes of this Agreement, a “</w:t>
      </w:r>
      <w:r>
        <w:rPr>
          <w:rFonts w:ascii="Arial" w:cs="Arial" w:eastAsia="Arial" w:hAnsi="Arial"/>
          <w:sz w:val="17"/>
          <w:szCs w:val="17"/>
          <w:u w:val="single" w:color="auto"/>
          <w:color w:val="auto"/>
        </w:rPr>
        <w:t>Competitive Business</w:t>
      </w:r>
      <w:r>
        <w:rPr>
          <w:rFonts w:ascii="Arial" w:cs="Arial" w:eastAsia="Arial" w:hAnsi="Arial"/>
          <w:sz w:val="17"/>
          <w:szCs w:val="17"/>
          <w:color w:val="auto"/>
        </w:rPr>
        <w:t>” shall be any entity that directly or through subsidiaries in which it has a controlling interest operates a cable, satellite or broadband communications system that is in direct competition with the Parent or the Company.</w:t>
      </w:r>
    </w:p>
    <w:p>
      <w:pPr>
        <w:spacing w:after="0" w:line="132" w:lineRule="exact"/>
        <w:rPr>
          <w:rFonts w:ascii="Arial" w:cs="Arial" w:eastAsia="Arial" w:hAnsi="Arial"/>
          <w:sz w:val="17"/>
          <w:szCs w:val="17"/>
          <w:color w:val="010000"/>
        </w:rPr>
      </w:pPr>
    </w:p>
    <w:p>
      <w:pPr>
        <w:ind w:right="20" w:firstLine="550"/>
        <w:spacing w:after="0" w:line="264" w:lineRule="auto"/>
        <w:tabs>
          <w:tab w:leader="none" w:pos="1101" w:val="left"/>
        </w:tabs>
        <w:numPr>
          <w:ilvl w:val="0"/>
          <w:numId w:val="92"/>
        </w:numPr>
        <w:rPr>
          <w:rFonts w:ascii="Arial" w:cs="Arial" w:eastAsia="Arial" w:hAnsi="Arial"/>
          <w:sz w:val="19"/>
          <w:szCs w:val="19"/>
          <w:color w:val="010000"/>
        </w:rPr>
      </w:pPr>
      <w:r>
        <w:rPr>
          <w:rFonts w:ascii="Arial" w:cs="Arial" w:eastAsia="Arial" w:hAnsi="Arial"/>
          <w:sz w:val="19"/>
          <w:szCs w:val="19"/>
          <w:color w:val="auto"/>
        </w:rPr>
        <w:t>The “</w:t>
      </w:r>
      <w:r>
        <w:rPr>
          <w:rFonts w:ascii="Arial" w:cs="Arial" w:eastAsia="Arial" w:hAnsi="Arial"/>
          <w:sz w:val="19"/>
          <w:szCs w:val="19"/>
          <w:u w:val="single" w:color="auto"/>
          <w:color w:val="auto"/>
        </w:rPr>
        <w:t>Restricted Period</w:t>
      </w:r>
      <w:r>
        <w:rPr>
          <w:rFonts w:ascii="Arial" w:cs="Arial" w:eastAsia="Arial" w:hAnsi="Arial"/>
          <w:sz w:val="19"/>
          <w:szCs w:val="19"/>
          <w:color w:val="auto"/>
        </w:rPr>
        <w:t>” shall include the Employment Period and shall expire on the first anniversary of the Executive’s termination of employment with all Company Entities.</w:t>
      </w:r>
    </w:p>
    <w:p>
      <w:pPr>
        <w:spacing w:after="0" w:line="147" w:lineRule="exact"/>
        <w:rPr>
          <w:rFonts w:ascii="Arial" w:cs="Arial" w:eastAsia="Arial" w:hAnsi="Arial"/>
          <w:sz w:val="19"/>
          <w:szCs w:val="19"/>
          <w:color w:val="010000"/>
        </w:rPr>
      </w:pPr>
    </w:p>
    <w:p>
      <w:pPr>
        <w:jc w:val="both"/>
        <w:ind w:firstLine="550"/>
        <w:spacing w:after="0" w:line="249" w:lineRule="auto"/>
        <w:tabs>
          <w:tab w:leader="none" w:pos="986" w:val="left"/>
        </w:tabs>
        <w:numPr>
          <w:ilvl w:val="0"/>
          <w:numId w:val="92"/>
        </w:numPr>
        <w:rPr>
          <w:rFonts w:ascii="Arial" w:cs="Arial" w:eastAsia="Arial" w:hAnsi="Arial"/>
          <w:sz w:val="19"/>
          <w:szCs w:val="19"/>
          <w:color w:val="010000"/>
        </w:rPr>
      </w:pPr>
      <w:r>
        <w:rPr>
          <w:rFonts w:ascii="Arial" w:cs="Arial" w:eastAsia="Arial" w:hAnsi="Arial"/>
          <w:sz w:val="19"/>
          <w:szCs w:val="19"/>
          <w:color w:val="auto"/>
        </w:rPr>
        <w:t>Notwithstanding Section 6.2(c) above, the Executive may own, directly or indirectly, an aggregate of not more than five percent (5%) of the outstanding shares or other equity interest in any entity that engages in a Competitive Business, so long as such ownership therein is solely as a passive investor and does not include the performance of any services (as director, employee, consultant, advisor or otherwise) to such entity.</w:t>
      </w:r>
    </w:p>
    <w:p>
      <w:pPr>
        <w:spacing w:after="0" w:line="164" w:lineRule="exact"/>
        <w:rPr>
          <w:sz w:val="20"/>
          <w:szCs w:val="20"/>
          <w:color w:val="auto"/>
        </w:rPr>
      </w:pPr>
    </w:p>
    <w:p>
      <w:pPr>
        <w:spacing w:after="0"/>
        <w:tabs>
          <w:tab w:leader="none" w:pos="1000" w:val="left"/>
        </w:tabs>
        <w:rPr>
          <w:sz w:val="20"/>
          <w:szCs w:val="20"/>
          <w:color w:val="auto"/>
        </w:rPr>
      </w:pPr>
      <w:r>
        <w:rPr>
          <w:rFonts w:ascii="Arial" w:cs="Arial" w:eastAsia="Arial" w:hAnsi="Arial"/>
          <w:sz w:val="19"/>
          <w:szCs w:val="19"/>
          <w:color w:val="010000"/>
        </w:rPr>
        <w:t>Section 6.3</w:t>
      </w:r>
      <w:r>
        <w:rPr>
          <w:sz w:val="20"/>
          <w:szCs w:val="20"/>
          <w:color w:val="auto"/>
        </w:rPr>
        <w:tab/>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w:t>
      </w:r>
    </w:p>
    <w:p>
      <w:pPr>
        <w:spacing w:after="0" w:line="189" w:lineRule="exact"/>
        <w:rPr>
          <w:sz w:val="20"/>
          <w:szCs w:val="20"/>
          <w:color w:val="auto"/>
        </w:rPr>
      </w:pPr>
    </w:p>
    <w:p>
      <w:pPr>
        <w:jc w:val="both"/>
        <w:ind w:firstLine="550"/>
        <w:spacing w:after="0" w:line="222" w:lineRule="exact"/>
        <w:tabs>
          <w:tab w:leader="none" w:pos="1021" w:val="left"/>
        </w:tabs>
        <w:numPr>
          <w:ilvl w:val="0"/>
          <w:numId w:val="93"/>
        </w:numPr>
        <w:rPr>
          <w:rFonts w:ascii="Arial" w:cs="Arial" w:eastAsia="Arial" w:hAnsi="Arial"/>
          <w:sz w:val="17"/>
          <w:szCs w:val="17"/>
          <w:color w:val="010000"/>
        </w:rPr>
      </w:pPr>
      <w:r>
        <w:rPr>
          <w:rFonts w:ascii="Arial" w:cs="Arial" w:eastAsia="Arial" w:hAnsi="Arial"/>
          <w:sz w:val="17"/>
          <w:szCs w:val="17"/>
          <w:i w:val="1"/>
          <w:iCs w:val="1"/>
          <w:color w:val="auto"/>
        </w:rPr>
        <w:t>No Disclosure</w:t>
      </w:r>
      <w:r>
        <w:rPr>
          <w:rFonts w:ascii="Arial" w:cs="Arial" w:eastAsia="Arial" w:hAnsi="Arial"/>
          <w:sz w:val="17"/>
          <w:szCs w:val="17"/>
          <w:color w:val="auto"/>
        </w:rPr>
        <w:t>. The Executive shall not, at any time (whether during or after the Employment Period) (x) retain or use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benefit, purposes or account of himself or any other person or entity, or (y) disclose, divulge, reveal, communicate, share, transfer or provide access to any person or entity outside any Company Entity (other than the Parent, its shareholders, directors, officers, managers, employees, agents, counsel, investment advisers or representatives in the normal course of the performance of their duties), any non</w:t>
      </w:r>
      <w:r>
        <w:rPr>
          <w:rFonts w:ascii="MS PGothic" w:cs="MS PGothic" w:eastAsia="MS PGothic" w:hAnsi="MS PGothic"/>
          <w:sz w:val="17"/>
          <w:szCs w:val="17"/>
          <w:color w:val="auto"/>
        </w:rPr>
        <w:t>‑</w:t>
      </w:r>
      <w:r>
        <w:rPr>
          <w:rFonts w:ascii="Arial" w:cs="Arial" w:eastAsia="Arial" w:hAnsi="Arial"/>
          <w:sz w:val="17"/>
          <w:szCs w:val="17"/>
          <w:color w:val="auto"/>
        </w:rPr>
        <w:t>public, proprietary or confidential information (including trade secrets, know</w:t>
      </w:r>
      <w:r>
        <w:rPr>
          <w:rFonts w:ascii="MS PGothic" w:cs="MS PGothic" w:eastAsia="MS PGothic" w:hAnsi="MS PGothic"/>
          <w:sz w:val="17"/>
          <w:szCs w:val="17"/>
          <w:color w:val="auto"/>
        </w:rPr>
        <w:t>‑</w:t>
      </w:r>
      <w:r>
        <w:rPr>
          <w:rFonts w:ascii="Arial" w:cs="Arial" w:eastAsia="Arial" w:hAnsi="Arial"/>
          <w:sz w:val="17"/>
          <w:szCs w:val="17"/>
          <w:color w:val="auto"/>
        </w:rPr>
        <w:t>how, research and development, software, databases, inventions, processes, formulae, technology, designs and other intellectual property, information concerning finances, investments, profits, pricing, costs, products, services, vendors, customers, clients, partners, investors, personnel, compensation, recruiting, training, advertising, sales, marketing, promotions, government and regulatory activities and approval) concerning the past, current or future business, activities and operations of any Company Entities and/or any third party that has disclosed or provided any of same to any Company Entity on a confidential basis (“</w:t>
      </w:r>
      <w:r>
        <w:rPr>
          <w:rFonts w:ascii="Arial" w:cs="Arial" w:eastAsia="Arial" w:hAnsi="Arial"/>
          <w:sz w:val="17"/>
          <w:szCs w:val="17"/>
          <w:u w:val="single" w:color="auto"/>
          <w:color w:val="auto"/>
        </w:rPr>
        <w:t>Confidential</w:t>
      </w:r>
      <w:r>
        <w:rPr>
          <w:rFonts w:ascii="Arial" w:cs="Arial" w:eastAsia="Arial" w:hAnsi="Arial"/>
          <w:sz w:val="17"/>
          <w:szCs w:val="17"/>
          <w:color w:val="auto"/>
        </w:rPr>
        <w:t xml:space="preserve"> </w:t>
      </w:r>
      <w:r>
        <w:rPr>
          <w:rFonts w:ascii="Arial" w:cs="Arial" w:eastAsia="Arial" w:hAnsi="Arial"/>
          <w:sz w:val="17"/>
          <w:szCs w:val="17"/>
          <w:u w:val="single" w:color="auto"/>
          <w:color w:val="auto"/>
        </w:rPr>
        <w:t>Information</w:t>
      </w:r>
      <w:r>
        <w:rPr>
          <w:rFonts w:ascii="Arial" w:cs="Arial" w:eastAsia="Arial" w:hAnsi="Arial"/>
          <w:sz w:val="17"/>
          <w:szCs w:val="17"/>
          <w:color w:val="auto"/>
        </w:rPr>
        <w:t>”) without the prior authorization of the Board. Confidential Information shall not include any information that is (A) generally known to the industry or the public other than as a result of the Executive’s breach of this Agreement; (B) is or was available to the Executive on a non</w:t>
      </w:r>
      <w:r>
        <w:rPr>
          <w:rFonts w:ascii="MS PGothic" w:cs="MS PGothic" w:eastAsia="MS PGothic" w:hAnsi="MS PGothic"/>
          <w:sz w:val="17"/>
          <w:szCs w:val="17"/>
          <w:color w:val="auto"/>
        </w:rPr>
        <w:t>‑</w:t>
      </w:r>
      <w:r>
        <w:rPr>
          <w:rFonts w:ascii="Arial" w:cs="Arial" w:eastAsia="Arial" w:hAnsi="Arial"/>
          <w:sz w:val="17"/>
          <w:szCs w:val="17"/>
          <w:color w:val="auto"/>
        </w:rPr>
        <w:t>confidential basis prior to its disclosure to the Executive by any Company Entity, or (C) made available to the Executive by a third party who, to the best of the Executive’s knowledge, is or was not bound by a confidentiality agreement with (or other confidentiality obligation to) any Company Entity or another person or entity. The Executive shall handle Confidential Information in accordance with the applicable federal securities laws.</w:t>
      </w:r>
    </w:p>
    <w:p>
      <w:pPr>
        <w:spacing w:after="0" w:line="178" w:lineRule="exact"/>
        <w:rPr>
          <w:rFonts w:ascii="Arial" w:cs="Arial" w:eastAsia="Arial" w:hAnsi="Arial"/>
          <w:sz w:val="17"/>
          <w:szCs w:val="17"/>
          <w:color w:val="010000"/>
        </w:rPr>
      </w:pPr>
    </w:p>
    <w:p>
      <w:pPr>
        <w:ind w:right="20" w:firstLine="550"/>
        <w:spacing w:after="0" w:line="264" w:lineRule="auto"/>
        <w:tabs>
          <w:tab w:leader="none" w:pos="1008" w:val="left"/>
        </w:tabs>
        <w:numPr>
          <w:ilvl w:val="0"/>
          <w:numId w:val="93"/>
        </w:numPr>
        <w:rPr>
          <w:rFonts w:ascii="Arial" w:cs="Arial" w:eastAsia="Arial" w:hAnsi="Arial"/>
          <w:sz w:val="19"/>
          <w:szCs w:val="19"/>
          <w:color w:val="010000"/>
        </w:rPr>
      </w:pPr>
      <w:r>
        <w:rPr>
          <w:rFonts w:ascii="Arial" w:cs="Arial" w:eastAsia="Arial" w:hAnsi="Arial"/>
          <w:sz w:val="19"/>
          <w:szCs w:val="19"/>
          <w:i w:val="1"/>
          <w:iCs w:val="1"/>
          <w:color w:val="auto"/>
        </w:rPr>
        <w:t>Permitted Disclosures</w:t>
      </w:r>
      <w:r>
        <w:rPr>
          <w:rFonts w:ascii="Arial" w:cs="Arial" w:eastAsia="Arial" w:hAnsi="Arial"/>
          <w:sz w:val="19"/>
          <w:szCs w:val="19"/>
          <w:color w:val="auto"/>
        </w:rPr>
        <w:t>. Notwithstanding the provisions of the immediately preceding clause (i), nothing in this Agreement shall</w:t>
      </w:r>
      <w:r>
        <w:rPr>
          <w:rFonts w:ascii="Arial" w:cs="Arial" w:eastAsia="Arial" w:hAnsi="Arial"/>
          <w:sz w:val="19"/>
          <w:szCs w:val="19"/>
          <w:i w:val="1"/>
          <w:iCs w:val="1"/>
          <w:color w:val="auto"/>
        </w:rPr>
        <w:t xml:space="preserve"> </w:t>
      </w:r>
      <w:r>
        <w:rPr>
          <w:rFonts w:ascii="Arial" w:cs="Arial" w:eastAsia="Arial" w:hAnsi="Arial"/>
          <w:sz w:val="19"/>
          <w:szCs w:val="19"/>
          <w:color w:val="auto"/>
        </w:rPr>
        <w:t>preclude the Executive from (x) using</w:t>
      </w:r>
    </w:p>
    <w:p>
      <w:pPr>
        <w:spacing w:after="0" w:line="334" w:lineRule="exact"/>
        <w:rPr>
          <w:sz w:val="20"/>
          <w:szCs w:val="20"/>
          <w:color w:val="auto"/>
        </w:rPr>
      </w:pPr>
    </w:p>
    <w:p>
      <w:pPr>
        <w:ind w:left="3060"/>
        <w:spacing w:after="0"/>
        <w:rPr>
          <w:sz w:val="20"/>
          <w:szCs w:val="20"/>
          <w:color w:val="auto"/>
        </w:rPr>
      </w:pPr>
      <w:r>
        <w:rPr>
          <w:rFonts w:ascii="Arial" w:cs="Arial" w:eastAsia="Arial" w:hAnsi="Arial"/>
          <w:sz w:val="19"/>
          <w:szCs w:val="19"/>
          <w:color w:val="auto"/>
        </w:rPr>
        <w:t>10</w:t>
      </w:r>
    </w:p>
    <w:p>
      <w:pPr>
        <w:sectPr>
          <w:pgSz w:w="11900" w:h="16838" w:orient="portrait"/>
          <w:cols w:equalWidth="0" w:num="1">
            <w:col w:w="10700"/>
          </w:cols>
          <w:pgMar w:left="880" w:top="318" w:right="319" w:bottom="1440" w:gutter="0" w:footer="0" w:header="0"/>
        </w:sectPr>
      </w:pPr>
    </w:p>
    <w:bookmarkStart w:id="100" w:name="page101"/>
    <w:bookmarkEnd w:id="100"/>
    <w:p>
      <w:pPr>
        <w:jc w:val="both"/>
        <w:ind w:left="560"/>
        <w:spacing w:after="0" w:line="259" w:lineRule="auto"/>
        <w:rPr>
          <w:sz w:val="20"/>
          <w:szCs w:val="20"/>
          <w:color w:val="auto"/>
        </w:rPr>
      </w:pPr>
      <w:r>
        <w:rPr>
          <w:rFonts w:ascii="Arial" w:cs="Arial" w:eastAsia="Arial" w:hAnsi="Arial"/>
          <w:sz w:val="18"/>
          <w:szCs w:val="18"/>
          <w:color w:val="auto"/>
        </w:rPr>
        <w:t xml:space="preserve">any Confidential Information in any manner reasonably connected to the conduct of the business of any Company Entity; or (y) disclosing the Confidential Information to the extent required by applicable law, rule or regulation (including complying with any oral or written questions, interrogatories, requests for information or documents, subpoena, civil investigative demand or similar process to which the Executive is subject). Nothing contained herein shall prevent the use in any formal dispute resolution proceeding (subject, to the extent possible, to a protective order) of Confidential Information in connection with the assertion or defense of any claim, charge or other dispute by or against any Company Entity or the Executive. Notwithstanding the foregoing, nothing in this Agreement prohibits or restricts the Executive from reporting possible violations of law to any governmental authority or making other disclosures that are protected under whistleblower provisions of applicable law, and the Parties acknowledge and agree that the Executive does not need the prior authorization of any Company Entity to make any such reports or disclosures and the Executive is not required to notify any Company Entity that the Executive has made such reports or disclosures. However, to the maximum extent permitted by law, the Executive agrees that if such an administrative claim is made, the Executive shall not be entitled to recover any individual monetary relief or other individual remedies from any Company Entity;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nothing herein limits the Executive’s right to receive an award for information provided to any federal, state or local government agency.</w:t>
      </w:r>
    </w:p>
    <w:p>
      <w:pPr>
        <w:spacing w:after="0" w:line="156" w:lineRule="exact"/>
        <w:rPr>
          <w:sz w:val="20"/>
          <w:szCs w:val="20"/>
          <w:color w:val="auto"/>
        </w:rPr>
      </w:pPr>
    </w:p>
    <w:p>
      <w:pPr>
        <w:jc w:val="both"/>
        <w:ind w:left="560" w:firstLine="550"/>
        <w:spacing w:after="0" w:line="276" w:lineRule="auto"/>
        <w:tabs>
          <w:tab w:leader="none" w:pos="1592" w:val="left"/>
        </w:tabs>
        <w:numPr>
          <w:ilvl w:val="0"/>
          <w:numId w:val="94"/>
        </w:numPr>
        <w:rPr>
          <w:rFonts w:ascii="Arial" w:cs="Arial" w:eastAsia="Arial" w:hAnsi="Arial"/>
          <w:sz w:val="17"/>
          <w:szCs w:val="17"/>
          <w:color w:val="010000"/>
        </w:rPr>
      </w:pPr>
      <w:r>
        <w:rPr>
          <w:rFonts w:ascii="Arial" w:cs="Arial" w:eastAsia="Arial" w:hAnsi="Arial"/>
          <w:sz w:val="17"/>
          <w:szCs w:val="17"/>
          <w:i w:val="1"/>
          <w:iCs w:val="1"/>
          <w:color w:val="auto"/>
        </w:rPr>
        <w:t>Return All Materials</w:t>
      </w:r>
      <w:r>
        <w:rPr>
          <w:rFonts w:ascii="Arial" w:cs="Arial" w:eastAsia="Arial" w:hAnsi="Arial"/>
          <w:sz w:val="17"/>
          <w:szCs w:val="17"/>
          <w:color w:val="auto"/>
        </w:rPr>
        <w:t>. Upon termination of the Executive’s employment for any reason, the Executive shall (x) cease and not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thereafter commence use of any Confidential Information or intellectual property (including any patent, invention, copyright, trade secret, trademark, trade name, logo, domain name or other source indicator) owned or used by any Company Entity, (y) immediately destroy, delete, or return to the Parent (at the Parent’s option) all originals and copies in any form or medium (including memoranda, books, papers, plans, computer files, letters and other data) in the Executive’s possession or control (including any of the foregoing stored or located in the Executive’s office, home, smartphone, laptop or other computer, whether or not such computer is property of any Company Entity) that contain Confidential Information or otherwise relate to the business of any Company Entity, except that the Executive may retain only those portions of any personal notes, notebooks and diaries that do not contain any Confidential Information; and (z) notify and fully cooperate with the Parent regarding the delivery or destruction of any other Confidential Information of which the Executive is or becomes aware;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nothing in this Agreement or elsewhere shall prevent the Executive from retaining and utilizing: documents relating to personal benefits, entitlements and obligations; documents relating to personal tax obligations; desk calendar, rolodex, and the like; and such other records and documents as may reasonably be approved by the Parent.</w:t>
      </w:r>
    </w:p>
    <w:p>
      <w:pPr>
        <w:spacing w:after="0" w:line="141" w:lineRule="exact"/>
        <w:rPr>
          <w:sz w:val="20"/>
          <w:szCs w:val="20"/>
          <w:color w:val="auto"/>
        </w:rPr>
      </w:pPr>
    </w:p>
    <w:p>
      <w:pPr>
        <w:jc w:val="both"/>
        <w:ind w:firstLine="559"/>
        <w:spacing w:after="0" w:line="288" w:lineRule="auto"/>
        <w:rPr>
          <w:sz w:val="20"/>
          <w:szCs w:val="20"/>
          <w:color w:val="auto"/>
        </w:rPr>
      </w:pPr>
      <w:r>
        <w:rPr>
          <w:rFonts w:ascii="Arial" w:cs="Arial" w:eastAsia="Arial" w:hAnsi="Arial"/>
          <w:sz w:val="17"/>
          <w:szCs w:val="17"/>
          <w:color w:val="010000"/>
        </w:rPr>
        <w:t xml:space="preserve">Section 6.4 </w:t>
      </w:r>
      <w:r>
        <w:rPr>
          <w:rFonts w:ascii="Arial" w:cs="Arial" w:eastAsia="Arial" w:hAnsi="Arial"/>
          <w:sz w:val="17"/>
          <w:szCs w:val="17"/>
          <w:u w:val="single" w:color="auto"/>
          <w:color w:val="000000"/>
        </w:rPr>
        <w:t>Reasonableness of Covenants</w:t>
      </w:r>
      <w:r>
        <w:rPr>
          <w:rFonts w:ascii="Arial" w:cs="Arial" w:eastAsia="Arial" w:hAnsi="Arial"/>
          <w:sz w:val="17"/>
          <w:szCs w:val="17"/>
          <w:color w:val="000000"/>
        </w:rPr>
        <w:t>. The Executive acknowledges and agrees that the services to be provided by the Executive under</w:t>
      </w:r>
      <w:r>
        <w:rPr>
          <w:rFonts w:ascii="Arial" w:cs="Arial" w:eastAsia="Arial" w:hAnsi="Arial"/>
          <w:sz w:val="17"/>
          <w:szCs w:val="17"/>
          <w:color w:val="010000"/>
        </w:rPr>
        <w:t xml:space="preserve"> </w:t>
      </w:r>
      <w:r>
        <w:rPr>
          <w:rFonts w:ascii="Arial" w:cs="Arial" w:eastAsia="Arial" w:hAnsi="Arial"/>
          <w:sz w:val="17"/>
          <w:szCs w:val="17"/>
          <w:color w:val="000000"/>
        </w:rPr>
        <w:t>this Agreement are of a special, unique and extraordinary nature. The Executive further acknowledges and agrees that the restrictions contained in this Article VI are necessary to prevent the use and disclosure of Confidential Information and to protect other legitimate business interests of the Company Entities. The Executive acknowledges that all of the restrictions in this Article VI are reasonable in all respects, including duration, territory</w:t>
      </w:r>
    </w:p>
    <w:p>
      <w:pPr>
        <w:spacing w:after="0" w:line="318" w:lineRule="exact"/>
        <w:rPr>
          <w:sz w:val="20"/>
          <w:szCs w:val="20"/>
          <w:color w:val="auto"/>
        </w:rPr>
      </w:pPr>
    </w:p>
    <w:p>
      <w:pPr>
        <w:ind w:left="3620"/>
        <w:spacing w:after="0"/>
        <w:rPr>
          <w:sz w:val="20"/>
          <w:szCs w:val="20"/>
          <w:color w:val="auto"/>
        </w:rPr>
      </w:pPr>
      <w:r>
        <w:rPr>
          <w:rFonts w:ascii="Arial" w:cs="Arial" w:eastAsia="Arial" w:hAnsi="Arial"/>
          <w:sz w:val="19"/>
          <w:szCs w:val="19"/>
          <w:color w:val="auto"/>
        </w:rPr>
        <w:t>11</w:t>
      </w:r>
    </w:p>
    <w:p>
      <w:pPr>
        <w:sectPr>
          <w:pgSz w:w="11900" w:h="16838" w:orient="portrait"/>
          <w:cols w:equalWidth="0" w:num="1">
            <w:col w:w="11260"/>
          </w:cols>
          <w:pgMar w:left="320" w:top="318" w:right="319" w:bottom="1440" w:gutter="0" w:footer="0" w:header="0"/>
        </w:sectPr>
      </w:pPr>
    </w:p>
    <w:bookmarkStart w:id="101" w:name="page102"/>
    <w:bookmarkEnd w:id="101"/>
    <w:p>
      <w:pPr>
        <w:jc w:val="both"/>
        <w:spacing w:after="0" w:line="223" w:lineRule="exact"/>
        <w:rPr>
          <w:sz w:val="20"/>
          <w:szCs w:val="20"/>
          <w:color w:val="auto"/>
        </w:rPr>
      </w:pPr>
      <w:r>
        <w:rPr>
          <w:rFonts w:ascii="Arial" w:cs="Arial" w:eastAsia="Arial" w:hAnsi="Arial"/>
          <w:sz w:val="17"/>
          <w:szCs w:val="17"/>
          <w:color w:val="auto"/>
        </w:rPr>
        <w:t>and scope of activity. The Executive agrees that the restrictions contained in this Article VI shall be construed as separate agreements independent of any other provision of this Agreement or any other agreement between the Executive and any Company Entity. The Executive agrees that the existence of any claim or cause of action by the Executive against any Company Entity, whether predicated on this Agreement or otherwise, shall not constitute a defense to the enforcement by the Parent or the Company of the covenants and restrictions in this Article VI. The Executive agrees that the restrictive covenants contained in this Article VI are a material part of the Executive’s obligations under this Agreement for which the Parent and the Company have agreed to compensate the Executive as provided in this Agreement. The Restricted Period referenced above shall be tolled on a day</w:t>
      </w:r>
      <w:r>
        <w:rPr>
          <w:rFonts w:ascii="MS PGothic" w:cs="MS PGothic" w:eastAsia="MS PGothic" w:hAnsi="MS PGothic"/>
          <w:sz w:val="17"/>
          <w:szCs w:val="17"/>
          <w:color w:val="auto"/>
        </w:rPr>
        <w:t>‑</w:t>
      </w:r>
      <w:r>
        <w:rPr>
          <w:rFonts w:ascii="Arial" w:cs="Arial" w:eastAsia="Arial" w:hAnsi="Arial"/>
          <w:sz w:val="17"/>
          <w:szCs w:val="17"/>
          <w:color w:val="auto"/>
        </w:rPr>
        <w:t>for</w:t>
      </w:r>
      <w:r>
        <w:rPr>
          <w:rFonts w:ascii="MS PGothic" w:cs="MS PGothic" w:eastAsia="MS PGothic" w:hAnsi="MS PGothic"/>
          <w:sz w:val="17"/>
          <w:szCs w:val="17"/>
          <w:color w:val="auto"/>
        </w:rPr>
        <w:t>‑</w:t>
      </w:r>
      <w:r>
        <w:rPr>
          <w:rFonts w:ascii="Arial" w:cs="Arial" w:eastAsia="Arial" w:hAnsi="Arial"/>
          <w:sz w:val="17"/>
          <w:szCs w:val="17"/>
          <w:color w:val="auto"/>
        </w:rPr>
        <w:t>day basis for each day during which the Executive violates the provisions of the subparagraphs above in any respect, so that the Executive is restricted from engaging in the activities prohibited by the subparagraphs for the full period.</w:t>
      </w:r>
    </w:p>
    <w:p>
      <w:pPr>
        <w:spacing w:after="0" w:line="176" w:lineRule="exact"/>
        <w:rPr>
          <w:sz w:val="20"/>
          <w:szCs w:val="20"/>
          <w:color w:val="auto"/>
        </w:rPr>
      </w:pPr>
    </w:p>
    <w:p>
      <w:pPr>
        <w:ind w:left="560"/>
        <w:spacing w:after="0"/>
        <w:tabs>
          <w:tab w:leader="none" w:pos="1560" w:val="left"/>
        </w:tabs>
        <w:rPr>
          <w:sz w:val="20"/>
          <w:szCs w:val="20"/>
          <w:color w:val="auto"/>
        </w:rPr>
      </w:pPr>
      <w:r>
        <w:rPr>
          <w:rFonts w:ascii="Arial" w:cs="Arial" w:eastAsia="Arial" w:hAnsi="Arial"/>
          <w:sz w:val="19"/>
          <w:szCs w:val="19"/>
          <w:color w:val="010000"/>
        </w:rPr>
        <w:t>Section 6.5</w:t>
      </w:r>
      <w:r>
        <w:rPr>
          <w:sz w:val="20"/>
          <w:szCs w:val="20"/>
          <w:color w:val="auto"/>
        </w:rPr>
        <w:tab/>
      </w:r>
      <w:r>
        <w:rPr>
          <w:rFonts w:ascii="Arial" w:cs="Arial" w:eastAsia="Arial" w:hAnsi="Arial"/>
          <w:sz w:val="17"/>
          <w:szCs w:val="17"/>
          <w:u w:val="single" w:color="auto"/>
          <w:color w:val="auto"/>
        </w:rPr>
        <w:t>Works Made for Hire</w:t>
      </w:r>
      <w:r>
        <w:rPr>
          <w:rFonts w:ascii="Arial" w:cs="Arial" w:eastAsia="Arial" w:hAnsi="Arial"/>
          <w:sz w:val="17"/>
          <w:szCs w:val="17"/>
          <w:color w:val="auto"/>
        </w:rPr>
        <w:t>.</w:t>
      </w:r>
    </w:p>
    <w:p>
      <w:pPr>
        <w:spacing w:after="0" w:line="189" w:lineRule="exact"/>
        <w:rPr>
          <w:sz w:val="20"/>
          <w:szCs w:val="20"/>
          <w:color w:val="auto"/>
        </w:rPr>
      </w:pPr>
    </w:p>
    <w:p>
      <w:pPr>
        <w:jc w:val="both"/>
        <w:ind w:left="560" w:firstLine="550"/>
        <w:spacing w:after="0" w:line="277" w:lineRule="auto"/>
        <w:tabs>
          <w:tab w:leader="none" w:pos="1523" w:val="left"/>
        </w:tabs>
        <w:numPr>
          <w:ilvl w:val="0"/>
          <w:numId w:val="95"/>
        </w:numPr>
        <w:rPr>
          <w:rFonts w:ascii="Arial" w:cs="Arial" w:eastAsia="Arial" w:hAnsi="Arial"/>
          <w:sz w:val="17"/>
          <w:szCs w:val="17"/>
          <w:color w:val="010000"/>
        </w:rPr>
      </w:pPr>
      <w:r>
        <w:rPr>
          <w:rFonts w:ascii="Arial" w:cs="Arial" w:eastAsia="Arial" w:hAnsi="Arial"/>
          <w:sz w:val="17"/>
          <w:szCs w:val="17"/>
          <w:i w:val="1"/>
          <w:iCs w:val="1"/>
          <w:color w:val="auto"/>
        </w:rPr>
        <w:t>General</w:t>
      </w:r>
      <w:r>
        <w:rPr>
          <w:rFonts w:ascii="Arial" w:cs="Arial" w:eastAsia="Arial" w:hAnsi="Arial"/>
          <w:sz w:val="17"/>
          <w:szCs w:val="17"/>
          <w:color w:val="auto"/>
        </w:rPr>
        <w:t>. The Executive recognizes and agrees that all original works of authorship, and all inventions, discoveries, improvements</w:t>
      </w:r>
      <w:r>
        <w:rPr>
          <w:rFonts w:ascii="Arial" w:cs="Arial" w:eastAsia="Arial" w:hAnsi="Arial"/>
          <w:sz w:val="17"/>
          <w:szCs w:val="17"/>
          <w:i w:val="1"/>
          <w:iCs w:val="1"/>
          <w:color w:val="auto"/>
        </w:rPr>
        <w:t xml:space="preserve"> </w:t>
      </w:r>
      <w:r>
        <w:rPr>
          <w:rFonts w:ascii="Arial" w:cs="Arial" w:eastAsia="Arial" w:hAnsi="Arial"/>
          <w:sz w:val="17"/>
          <w:szCs w:val="17"/>
          <w:color w:val="auto"/>
        </w:rPr>
        <w:t>and other results of creative thinking or discovery by the Executive during the Employment Period, whether the result of individual efforts or in acts in concert with others, arising in the scope of the Executive’s employment, utilizing in any way any of the Confidential Information or property of any Company Entity, or otherwise relating to the business of any Company Entity, are and shall be “works made for hire” within the meaning of the United States copyright laws, to the extent applicable thereto, and in all events shall be the sole and exclusive property of a Company Entity (collectively, the “</w:t>
      </w:r>
      <w:r>
        <w:rPr>
          <w:rFonts w:ascii="Arial" w:cs="Arial" w:eastAsia="Arial" w:hAnsi="Arial"/>
          <w:sz w:val="17"/>
          <w:szCs w:val="17"/>
          <w:u w:val="single" w:color="auto"/>
          <w:color w:val="auto"/>
        </w:rPr>
        <w:t>Created Works</w:t>
      </w:r>
      <w:r>
        <w:rPr>
          <w:rFonts w:ascii="Arial" w:cs="Arial" w:eastAsia="Arial" w:hAnsi="Arial"/>
          <w:sz w:val="17"/>
          <w:szCs w:val="17"/>
          <w:color w:val="auto"/>
        </w:rPr>
        <w:t>”). Without limiting the generality of the foregoing, the Created Works shall include all computer software, written materials, business processes, compilations, programs, improvements, inventions, notes, copyrightable works made, fixed, conceived, or acquired by the Executive in the scope of the Executive’s employment, utilizing in any way any of the Confidential Information, or otherwise relating to the business of any Company Entity. No part of the definition of Created Works is intended to exclude the Created Works from being included among the items constituting Confidential Information.</w:t>
      </w:r>
    </w:p>
    <w:p>
      <w:pPr>
        <w:spacing w:after="0" w:line="140" w:lineRule="exact"/>
        <w:rPr>
          <w:rFonts w:ascii="Arial" w:cs="Arial" w:eastAsia="Arial" w:hAnsi="Arial"/>
          <w:sz w:val="17"/>
          <w:szCs w:val="17"/>
          <w:color w:val="010000"/>
        </w:rPr>
      </w:pPr>
    </w:p>
    <w:p>
      <w:pPr>
        <w:jc w:val="both"/>
        <w:ind w:left="560" w:right="20" w:firstLine="550"/>
        <w:spacing w:after="0" w:line="262" w:lineRule="auto"/>
        <w:tabs>
          <w:tab w:leader="none" w:pos="1522" w:val="left"/>
        </w:tabs>
        <w:numPr>
          <w:ilvl w:val="0"/>
          <w:numId w:val="95"/>
        </w:numPr>
        <w:rPr>
          <w:rFonts w:ascii="Arial" w:cs="Arial" w:eastAsia="Arial" w:hAnsi="Arial"/>
          <w:sz w:val="18"/>
          <w:szCs w:val="18"/>
          <w:color w:val="010000"/>
        </w:rPr>
      </w:pPr>
      <w:r>
        <w:rPr>
          <w:rFonts w:ascii="Arial" w:cs="Arial" w:eastAsia="Arial" w:hAnsi="Arial"/>
          <w:sz w:val="18"/>
          <w:szCs w:val="18"/>
          <w:i w:val="1"/>
          <w:iCs w:val="1"/>
          <w:color w:val="auto"/>
        </w:rPr>
        <w:t>Assignment of Created Works</w:t>
      </w:r>
      <w:r>
        <w:rPr>
          <w:rFonts w:ascii="Arial" w:cs="Arial" w:eastAsia="Arial" w:hAnsi="Arial"/>
          <w:sz w:val="18"/>
          <w:szCs w:val="18"/>
          <w:color w:val="auto"/>
        </w:rPr>
        <w:t>. The Executive hereby fully assigns to the Parent or its designee all of the Executive’s right, title and</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in and to the Created Works and all aspects thereof, including without limitation all rights to renewals, extensions, causes of action, reproduce, prepare derivative works, distribute, display, perform, transfer, make, use and sell. The Executive will, from time to time during the Employment Period and thereafter, and at any time upon the request of the Parent or its designee, execute and deliver any documents, agreements, certificates or other instruments affirming, giving effect to or otherwise perfecting the Parent’s or its designee’s rights in the Created Works and will provide such cooperation as the Parent or its designee shall reasonably request in connection with the protection, exploitation or perfection of its rights therein anywhere in the world.</w:t>
      </w:r>
    </w:p>
    <w:p>
      <w:pPr>
        <w:spacing w:after="0" w:line="151" w:lineRule="exact"/>
        <w:rPr>
          <w:rFonts w:ascii="Arial" w:cs="Arial" w:eastAsia="Arial" w:hAnsi="Arial"/>
          <w:sz w:val="18"/>
          <w:szCs w:val="18"/>
          <w:color w:val="010000"/>
        </w:rPr>
      </w:pPr>
    </w:p>
    <w:p>
      <w:pPr>
        <w:ind w:left="560" w:right="20" w:firstLine="550"/>
        <w:spacing w:after="0" w:line="264" w:lineRule="auto"/>
        <w:tabs>
          <w:tab w:leader="none" w:pos="1604" w:val="left"/>
        </w:tabs>
        <w:numPr>
          <w:ilvl w:val="0"/>
          <w:numId w:val="95"/>
        </w:numPr>
        <w:rPr>
          <w:rFonts w:ascii="Arial" w:cs="Arial" w:eastAsia="Arial" w:hAnsi="Arial"/>
          <w:sz w:val="19"/>
          <w:szCs w:val="19"/>
          <w:color w:val="010000"/>
        </w:rPr>
      </w:pPr>
      <w:r>
        <w:rPr>
          <w:rFonts w:ascii="Arial" w:cs="Arial" w:eastAsia="Arial" w:hAnsi="Arial"/>
          <w:sz w:val="19"/>
          <w:szCs w:val="19"/>
          <w:i w:val="1"/>
          <w:iCs w:val="1"/>
          <w:color w:val="auto"/>
        </w:rPr>
        <w:t>Power of Attorney</w:t>
      </w:r>
      <w:r>
        <w:rPr>
          <w:rFonts w:ascii="Arial" w:cs="Arial" w:eastAsia="Arial" w:hAnsi="Arial"/>
          <w:sz w:val="19"/>
          <w:szCs w:val="19"/>
          <w:color w:val="auto"/>
        </w:rPr>
        <w:t>. If the Parent or its designee is unable, after reasonable effort, to secure the Executive’s signature on any</w:t>
      </w:r>
      <w:r>
        <w:rPr>
          <w:rFonts w:ascii="Arial" w:cs="Arial" w:eastAsia="Arial" w:hAnsi="Arial"/>
          <w:sz w:val="19"/>
          <w:szCs w:val="19"/>
          <w:i w:val="1"/>
          <w:iCs w:val="1"/>
          <w:color w:val="auto"/>
        </w:rPr>
        <w:t xml:space="preserve"> </w:t>
      </w:r>
      <w:r>
        <w:rPr>
          <w:rFonts w:ascii="Arial" w:cs="Arial" w:eastAsia="Arial" w:hAnsi="Arial"/>
          <w:sz w:val="19"/>
          <w:szCs w:val="19"/>
          <w:color w:val="auto"/>
        </w:rPr>
        <w:t>application for patent, copyright, trademark</w:t>
      </w:r>
    </w:p>
    <w:p>
      <w:pPr>
        <w:spacing w:after="0" w:line="334" w:lineRule="exact"/>
        <w:rPr>
          <w:sz w:val="20"/>
          <w:szCs w:val="20"/>
          <w:color w:val="auto"/>
        </w:rPr>
      </w:pPr>
    </w:p>
    <w:p>
      <w:pPr>
        <w:ind w:left="3620"/>
        <w:spacing w:after="0"/>
        <w:rPr>
          <w:sz w:val="20"/>
          <w:szCs w:val="20"/>
          <w:color w:val="auto"/>
        </w:rPr>
      </w:pPr>
      <w:r>
        <w:rPr>
          <w:rFonts w:ascii="Arial" w:cs="Arial" w:eastAsia="Arial" w:hAnsi="Arial"/>
          <w:sz w:val="19"/>
          <w:szCs w:val="19"/>
          <w:color w:val="auto"/>
        </w:rPr>
        <w:t>12</w:t>
      </w:r>
    </w:p>
    <w:p>
      <w:pPr>
        <w:sectPr>
          <w:pgSz w:w="11900" w:h="16838" w:orient="portrait"/>
          <w:cols w:equalWidth="0" w:num="1">
            <w:col w:w="11260"/>
          </w:cols>
          <w:pgMar w:left="320" w:top="318" w:right="319" w:bottom="1440" w:gutter="0" w:footer="0" w:header="0"/>
        </w:sectPr>
      </w:pPr>
    </w:p>
    <w:bookmarkStart w:id="102" w:name="page103"/>
    <w:bookmarkEnd w:id="102"/>
    <w:p>
      <w:pPr>
        <w:jc w:val="both"/>
        <w:ind w:left="560"/>
        <w:spacing w:after="0" w:line="224" w:lineRule="exact"/>
        <w:rPr>
          <w:sz w:val="20"/>
          <w:szCs w:val="20"/>
          <w:color w:val="auto"/>
        </w:rPr>
      </w:pPr>
      <w:r>
        <w:rPr>
          <w:rFonts w:ascii="Arial" w:cs="Arial" w:eastAsia="Arial" w:hAnsi="Arial"/>
          <w:sz w:val="18"/>
          <w:szCs w:val="18"/>
          <w:color w:val="auto"/>
        </w:rPr>
        <w:t>or other analogous registration or other documents regarding any legal protection relating to a Created Work, whether because of the Executive’s physical or mental incapacity or for any other reason whatsoever, the Executive hereby irrevocably designates and appoints the Parent and its duly authorized designees, officers and agents as the Executive’s agent and attorney</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fact, to act for and in the Executive’s behalf and stead to execute and file any such application or applications or other documents and to do all other lawfully permitted acts to further the prosecution and issuance of patent, copyright or trademark registrations or any other legal protection thereon with the same legal force and effect as if executed by the Executive.</w:t>
      </w:r>
    </w:p>
    <w:p>
      <w:pPr>
        <w:spacing w:after="0" w:line="172" w:lineRule="exact"/>
        <w:rPr>
          <w:sz w:val="20"/>
          <w:szCs w:val="20"/>
          <w:color w:val="auto"/>
        </w:rPr>
      </w:pPr>
    </w:p>
    <w:p>
      <w:pPr>
        <w:ind w:left="560" w:right="20" w:firstLine="550"/>
        <w:spacing w:after="0" w:line="264" w:lineRule="auto"/>
        <w:tabs>
          <w:tab w:leader="none" w:pos="1522" w:val="left"/>
        </w:tabs>
        <w:numPr>
          <w:ilvl w:val="0"/>
          <w:numId w:val="96"/>
        </w:numPr>
        <w:rPr>
          <w:rFonts w:ascii="Arial" w:cs="Arial" w:eastAsia="Arial" w:hAnsi="Arial"/>
          <w:sz w:val="19"/>
          <w:szCs w:val="19"/>
          <w:color w:val="010000"/>
        </w:rPr>
      </w:pPr>
      <w:r>
        <w:rPr>
          <w:rFonts w:ascii="Arial" w:cs="Arial" w:eastAsia="Arial" w:hAnsi="Arial"/>
          <w:sz w:val="19"/>
          <w:szCs w:val="19"/>
          <w:i w:val="1"/>
          <w:iCs w:val="1"/>
          <w:color w:val="auto"/>
        </w:rPr>
        <w:t>Disclosure of Created Works</w:t>
      </w:r>
      <w:r>
        <w:rPr>
          <w:rFonts w:ascii="Arial" w:cs="Arial" w:eastAsia="Arial" w:hAnsi="Arial"/>
          <w:sz w:val="19"/>
          <w:szCs w:val="19"/>
          <w:color w:val="auto"/>
        </w:rPr>
        <w:t>. The Executive will promptly and without reservation fully disclose any Created Works to the Parent</w:t>
      </w:r>
      <w:r>
        <w:rPr>
          <w:rFonts w:ascii="Arial" w:cs="Arial" w:eastAsia="Arial" w:hAnsi="Arial"/>
          <w:sz w:val="19"/>
          <w:szCs w:val="19"/>
          <w:i w:val="1"/>
          <w:iCs w:val="1"/>
          <w:color w:val="auto"/>
        </w:rPr>
        <w:t xml:space="preserve"> </w:t>
      </w:r>
      <w:r>
        <w:rPr>
          <w:rFonts w:ascii="Arial" w:cs="Arial" w:eastAsia="Arial" w:hAnsi="Arial"/>
          <w:sz w:val="19"/>
          <w:szCs w:val="19"/>
          <w:color w:val="auto"/>
        </w:rPr>
        <w:t>or its designee both during the Employment Period and thereafter.</w:t>
      </w:r>
    </w:p>
    <w:p>
      <w:pPr>
        <w:spacing w:after="0" w:line="148" w:lineRule="exact"/>
        <w:rPr>
          <w:sz w:val="20"/>
          <w:szCs w:val="20"/>
          <w:color w:val="auto"/>
        </w:rPr>
      </w:pPr>
    </w:p>
    <w:p>
      <w:pPr>
        <w:jc w:val="both"/>
        <w:ind w:firstLine="559"/>
        <w:spacing w:after="0" w:line="280" w:lineRule="auto"/>
        <w:rPr>
          <w:sz w:val="20"/>
          <w:szCs w:val="20"/>
          <w:color w:val="auto"/>
        </w:rPr>
      </w:pPr>
      <w:r>
        <w:rPr>
          <w:rFonts w:ascii="Arial" w:cs="Arial" w:eastAsia="Arial" w:hAnsi="Arial"/>
          <w:sz w:val="17"/>
          <w:szCs w:val="17"/>
          <w:color w:val="010000"/>
        </w:rPr>
        <w:t xml:space="preserve">Section 6.6 </w:t>
      </w:r>
      <w:r>
        <w:rPr>
          <w:rFonts w:ascii="Arial" w:cs="Arial" w:eastAsia="Arial" w:hAnsi="Arial"/>
          <w:sz w:val="17"/>
          <w:szCs w:val="17"/>
          <w:u w:val="single" w:color="auto"/>
          <w:color w:val="000000"/>
        </w:rPr>
        <w:t>Intangible Property</w:t>
      </w:r>
      <w:r>
        <w:rPr>
          <w:rFonts w:ascii="Arial" w:cs="Arial" w:eastAsia="Arial" w:hAnsi="Arial"/>
          <w:sz w:val="17"/>
          <w:szCs w:val="17"/>
          <w:color w:val="000000"/>
        </w:rPr>
        <w:t>. The Executive will not at any time during or after the Employment Period have or claim any right, title or</w:t>
      </w:r>
      <w:r>
        <w:rPr>
          <w:rFonts w:ascii="Arial" w:cs="Arial" w:eastAsia="Arial" w:hAnsi="Arial"/>
          <w:sz w:val="17"/>
          <w:szCs w:val="17"/>
          <w:color w:val="010000"/>
        </w:rPr>
        <w:t xml:space="preserve"> </w:t>
      </w:r>
      <w:r>
        <w:rPr>
          <w:rFonts w:ascii="Arial" w:cs="Arial" w:eastAsia="Arial" w:hAnsi="Arial"/>
          <w:sz w:val="17"/>
          <w:szCs w:val="17"/>
          <w:color w:val="000000"/>
        </w:rPr>
        <w:t xml:space="preserve">interest in any trade name, trademark, or copyright belonging to or used by any Company Entity, it being the intention of the Parties that the Executive shall, and hereby does, recognize that the Company Entities now have and shall hereafter have and retain the sole and exclusive rights in any and all such trade names, trademarks and copyrights. The Executive shall cooperate fully with any Company Entity during the Employment Period and thereafter in the securing of trade name, patent, trademark or copyright protection or other similar rights in the United States and in foreign countries and shall give evidence and testimony and execute and deliver to the Company Entity all papers reasonably requested by it in connection therewith;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w:t>
      </w:r>
      <w:r>
        <w:rPr>
          <w:rFonts w:ascii="Arial" w:cs="Arial" w:eastAsia="Arial" w:hAnsi="Arial"/>
          <w:sz w:val="17"/>
          <w:szCs w:val="17"/>
          <w:u w:val="single" w:color="auto"/>
          <w:color w:val="000000"/>
        </w:rPr>
        <w:t>however</w:t>
      </w:r>
      <w:r>
        <w:rPr>
          <w:rFonts w:ascii="Arial" w:cs="Arial" w:eastAsia="Arial" w:hAnsi="Arial"/>
          <w:sz w:val="17"/>
          <w:szCs w:val="17"/>
          <w:color w:val="000000"/>
        </w:rPr>
        <w:t xml:space="preserve"> that the Company shall reimburse the Executive for reasonable expenses related thereto.</w:t>
      </w:r>
    </w:p>
    <w:p>
      <w:pPr>
        <w:spacing w:after="0" w:line="133"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010000"/>
        </w:rPr>
        <w:t>ARTICLE VII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OTHER COVENANTS</w:t>
      </w:r>
    </w:p>
    <w:p>
      <w:pPr>
        <w:spacing w:after="0" w:line="184" w:lineRule="exact"/>
        <w:rPr>
          <w:sz w:val="20"/>
          <w:szCs w:val="20"/>
          <w:color w:val="auto"/>
        </w:rPr>
      </w:pPr>
    </w:p>
    <w:p>
      <w:pPr>
        <w:jc w:val="both"/>
        <w:ind w:firstLine="559"/>
        <w:spacing w:after="0" w:line="223" w:lineRule="exact"/>
        <w:rPr>
          <w:sz w:val="20"/>
          <w:szCs w:val="20"/>
          <w:color w:val="auto"/>
        </w:rPr>
      </w:pPr>
      <w:r>
        <w:rPr>
          <w:rFonts w:ascii="Arial" w:cs="Arial" w:eastAsia="Arial" w:hAnsi="Arial"/>
          <w:sz w:val="17"/>
          <w:szCs w:val="17"/>
          <w:color w:val="010000"/>
        </w:rPr>
        <w:t xml:space="preserve">Section 7.1 </w:t>
      </w:r>
      <w:r>
        <w:rPr>
          <w:rFonts w:ascii="Arial" w:cs="Arial" w:eastAsia="Arial" w:hAnsi="Arial"/>
          <w:sz w:val="17"/>
          <w:szCs w:val="17"/>
          <w:u w:val="single" w:color="auto"/>
          <w:color w:val="000000"/>
        </w:rPr>
        <w:t>409A Limitations</w:t>
      </w:r>
      <w:r>
        <w:rPr>
          <w:rFonts w:ascii="Arial" w:cs="Arial" w:eastAsia="Arial" w:hAnsi="Arial"/>
          <w:sz w:val="17"/>
          <w:szCs w:val="17"/>
          <w:color w:val="000000"/>
        </w:rPr>
        <w:t>. To the extent that any payment to the Executive constitutes a “deferral of compensation” subject to</w:t>
      </w:r>
      <w:r>
        <w:rPr>
          <w:rFonts w:ascii="Arial" w:cs="Arial" w:eastAsia="Arial" w:hAnsi="Arial"/>
          <w:sz w:val="17"/>
          <w:szCs w:val="17"/>
          <w:color w:val="010000"/>
        </w:rPr>
        <w:t xml:space="preserve"> </w:t>
      </w:r>
      <w:r>
        <w:rPr>
          <w:rFonts w:ascii="Arial" w:cs="Arial" w:eastAsia="Arial" w:hAnsi="Arial"/>
          <w:sz w:val="17"/>
          <w:szCs w:val="17"/>
          <w:color w:val="000000"/>
        </w:rPr>
        <w:t>Section 409A of the Code (a “</w:t>
      </w:r>
      <w:r>
        <w:rPr>
          <w:rFonts w:ascii="Arial" w:cs="Arial" w:eastAsia="Arial" w:hAnsi="Arial"/>
          <w:sz w:val="17"/>
          <w:szCs w:val="17"/>
          <w:u w:val="single" w:color="auto"/>
          <w:color w:val="000000"/>
        </w:rPr>
        <w:t>409A Payment</w:t>
      </w:r>
      <w:r>
        <w:rPr>
          <w:rFonts w:ascii="Arial" w:cs="Arial" w:eastAsia="Arial" w:hAnsi="Arial"/>
          <w:sz w:val="17"/>
          <w:szCs w:val="17"/>
          <w:color w:val="000000"/>
        </w:rPr>
        <w:t>”), and such payment is triggered by the Executive’s termination of employment for any reason other than death, then such 409A Payment shall not commence unless and until the Executive has experienced a “separation from service,” as defined in Treasury Regulation 1.409A</w:t>
      </w:r>
      <w:r>
        <w:rPr>
          <w:rFonts w:ascii="MS PGothic" w:cs="MS PGothic" w:eastAsia="MS PGothic" w:hAnsi="MS PGothic"/>
          <w:sz w:val="17"/>
          <w:szCs w:val="17"/>
          <w:color w:val="000000"/>
        </w:rPr>
        <w:t>‑</w:t>
      </w:r>
      <w:r>
        <w:rPr>
          <w:rFonts w:ascii="Arial" w:cs="Arial" w:eastAsia="Arial" w:hAnsi="Arial"/>
          <w:sz w:val="17"/>
          <w:szCs w:val="17"/>
          <w:color w:val="000000"/>
        </w:rPr>
        <w:t>1(h) (“</w:t>
      </w:r>
      <w:r>
        <w:rPr>
          <w:rFonts w:ascii="Arial" w:cs="Arial" w:eastAsia="Arial" w:hAnsi="Arial"/>
          <w:sz w:val="17"/>
          <w:szCs w:val="17"/>
          <w:u w:val="single" w:color="auto"/>
          <w:color w:val="000000"/>
        </w:rPr>
        <w:t>Separation from Service</w:t>
      </w:r>
      <w:r>
        <w:rPr>
          <w:rFonts w:ascii="Arial" w:cs="Arial" w:eastAsia="Arial" w:hAnsi="Arial"/>
          <w:sz w:val="17"/>
          <w:szCs w:val="17"/>
          <w:color w:val="000000"/>
        </w:rPr>
        <w:t>”). Furthermore, if on the date of the Executive’s Separation from Service, the Executive is a “specified employee,” as such term is defined in Treas. Reg. Section 1.409A</w:t>
      </w:r>
      <w:r>
        <w:rPr>
          <w:rFonts w:ascii="MS PGothic" w:cs="MS PGothic" w:eastAsia="MS PGothic" w:hAnsi="MS PGothic"/>
          <w:sz w:val="17"/>
          <w:szCs w:val="17"/>
          <w:color w:val="000000"/>
        </w:rPr>
        <w:t>‑</w:t>
      </w:r>
      <w:r>
        <w:rPr>
          <w:rFonts w:ascii="Arial" w:cs="Arial" w:eastAsia="Arial" w:hAnsi="Arial"/>
          <w:sz w:val="17"/>
          <w:szCs w:val="17"/>
          <w:color w:val="000000"/>
        </w:rPr>
        <w:t>1(i), as determined from time to time by the Company, then such 409A Payment shall be made to the Executive on the earlier of (i) the date that is six (6) months after the Executive’s Separation from Service; or (ii) the date of the Executive’s death. The 409A Payments under this Agreement that would otherwise be made during such period shall be aggregated and paid in one (1) lump sum, without interest, on the first business day following the end of the six (6) month period or following the date of the Executive’s death, whichever is earlier, and the balance of the 409A Payments, if any, shall be paid in accordance with the applicable payment schedule provided in this Agreement. The intent of the parties hereto is that payments and benefits under this Agreement comply with or be exempt from Section 409A of the Code and the regulations and guidance promulgated thereunder. Accordingly,</w:t>
      </w:r>
    </w:p>
    <w:p>
      <w:pPr>
        <w:spacing w:after="0" w:line="358" w:lineRule="exact"/>
        <w:rPr>
          <w:sz w:val="20"/>
          <w:szCs w:val="20"/>
          <w:color w:val="auto"/>
        </w:rPr>
      </w:pPr>
    </w:p>
    <w:p>
      <w:pPr>
        <w:ind w:left="3620"/>
        <w:spacing w:after="0"/>
        <w:rPr>
          <w:sz w:val="20"/>
          <w:szCs w:val="20"/>
          <w:color w:val="auto"/>
        </w:rPr>
      </w:pPr>
      <w:r>
        <w:rPr>
          <w:rFonts w:ascii="Arial" w:cs="Arial" w:eastAsia="Arial" w:hAnsi="Arial"/>
          <w:sz w:val="19"/>
          <w:szCs w:val="19"/>
          <w:color w:val="auto"/>
        </w:rPr>
        <w:t>13</w:t>
      </w:r>
    </w:p>
    <w:p>
      <w:pPr>
        <w:sectPr>
          <w:pgSz w:w="11900" w:h="16838" w:orient="portrait"/>
          <w:cols w:equalWidth="0" w:num="1">
            <w:col w:w="11260"/>
          </w:cols>
          <w:pgMar w:left="320" w:top="318" w:right="319" w:bottom="1440" w:gutter="0" w:footer="0" w:header="0"/>
        </w:sectPr>
      </w:pPr>
    </w:p>
    <w:bookmarkStart w:id="103" w:name="page104"/>
    <w:bookmarkEnd w:id="103"/>
    <w:p>
      <w:pPr>
        <w:jc w:val="both"/>
        <w:spacing w:after="0" w:line="223" w:lineRule="exact"/>
        <w:rPr>
          <w:sz w:val="20"/>
          <w:szCs w:val="20"/>
          <w:color w:val="auto"/>
        </w:rPr>
      </w:pPr>
      <w:r>
        <w:rPr>
          <w:rFonts w:ascii="Arial" w:cs="Arial" w:eastAsia="Arial" w:hAnsi="Arial"/>
          <w:sz w:val="18"/>
          <w:szCs w:val="18"/>
          <w:color w:val="auto"/>
        </w:rPr>
        <w:t>to the maximum extent permitted, this Agreement shall be interpreted to be in compliance therewith or exempt therefrom. Whenever a payment under this Agreement specifies a payment period with reference to a number of days (e.g., “paid within sixty (60) days”) following the Executive’s termination of employment, such payment shall commence following the Executive’s Separation from Service and the actual date of payment within the specified period shall be within the sole discretion of the Company. With respect to reimbursements (whether such reimbursements are for business expenses or, to the extent permitted under the Company’s policies, other expenses) and/or in</w:t>
      </w:r>
      <w:r>
        <w:rPr>
          <w:rFonts w:ascii="MS PGothic" w:cs="MS PGothic" w:eastAsia="MS PGothic" w:hAnsi="MS PGothic"/>
          <w:sz w:val="18"/>
          <w:szCs w:val="18"/>
          <w:color w:val="auto"/>
        </w:rPr>
        <w:t>‑</w:t>
      </w:r>
      <w:r>
        <w:rPr>
          <w:rFonts w:ascii="Arial" w:cs="Arial" w:eastAsia="Arial" w:hAnsi="Arial"/>
          <w:sz w:val="18"/>
          <w:szCs w:val="18"/>
          <w:color w:val="auto"/>
        </w:rPr>
        <w:t>kind benefits, in each case, that constitute deferred compensation subject to Section 409A of the Code, each of the following shall apply: (x) no reimbursement of expenses incurred by the Executive during any taxable year shall be made after the last day of the following taxable year of the Executive; (y) the amount of expenses eligible for reimbursement, or in</w:t>
      </w:r>
      <w:r>
        <w:rPr>
          <w:rFonts w:ascii="MS PGothic" w:cs="MS PGothic" w:eastAsia="MS PGothic" w:hAnsi="MS PGothic"/>
          <w:sz w:val="18"/>
          <w:szCs w:val="18"/>
          <w:color w:val="auto"/>
        </w:rPr>
        <w:t>‑</w:t>
      </w:r>
      <w:r>
        <w:rPr>
          <w:rFonts w:ascii="Arial" w:cs="Arial" w:eastAsia="Arial" w:hAnsi="Arial"/>
          <w:sz w:val="18"/>
          <w:szCs w:val="18"/>
          <w:color w:val="auto"/>
        </w:rPr>
        <w:t>kind benefits provided, during a taxable year of the Executive shall not affect the expenses eligible for reimbursement, or in</w:t>
      </w:r>
      <w:r>
        <w:rPr>
          <w:rFonts w:ascii="MS PGothic" w:cs="MS PGothic" w:eastAsia="MS PGothic" w:hAnsi="MS PGothic"/>
          <w:sz w:val="18"/>
          <w:szCs w:val="18"/>
          <w:color w:val="auto"/>
        </w:rPr>
        <w:t>‑</w:t>
      </w:r>
      <w:r>
        <w:rPr>
          <w:rFonts w:ascii="Arial" w:cs="Arial" w:eastAsia="Arial" w:hAnsi="Arial"/>
          <w:sz w:val="18"/>
          <w:szCs w:val="18"/>
          <w:color w:val="auto"/>
        </w:rPr>
        <w:t>kind benefits to be provided, to the Executive in any other taxable year; and (z) the right to reimbursement of such expenses or in</w:t>
      </w:r>
      <w:r>
        <w:rPr>
          <w:rFonts w:ascii="MS PGothic" w:cs="MS PGothic" w:eastAsia="MS PGothic" w:hAnsi="MS PGothic"/>
          <w:sz w:val="18"/>
          <w:szCs w:val="18"/>
          <w:color w:val="auto"/>
        </w:rPr>
        <w:t>‑</w:t>
      </w:r>
      <w:r>
        <w:rPr>
          <w:rFonts w:ascii="Arial" w:cs="Arial" w:eastAsia="Arial" w:hAnsi="Arial"/>
          <w:sz w:val="18"/>
          <w:szCs w:val="18"/>
          <w:color w:val="auto"/>
        </w:rPr>
        <w:t>kind benefits shall not be subject to liquidation or exchange for another benefit.</w:t>
      </w:r>
    </w:p>
    <w:p>
      <w:pPr>
        <w:spacing w:after="0" w:line="172" w:lineRule="exact"/>
        <w:rPr>
          <w:sz w:val="20"/>
          <w:szCs w:val="20"/>
          <w:color w:val="auto"/>
        </w:rPr>
      </w:pPr>
    </w:p>
    <w:p>
      <w:pPr>
        <w:ind w:left="560"/>
        <w:spacing w:after="0"/>
        <w:tabs>
          <w:tab w:leader="none" w:pos="1560" w:val="left"/>
        </w:tabs>
        <w:rPr>
          <w:sz w:val="20"/>
          <w:szCs w:val="20"/>
          <w:color w:val="auto"/>
        </w:rPr>
      </w:pPr>
      <w:r>
        <w:rPr>
          <w:rFonts w:ascii="Arial" w:cs="Arial" w:eastAsia="Arial" w:hAnsi="Arial"/>
          <w:sz w:val="19"/>
          <w:szCs w:val="19"/>
          <w:color w:val="010000"/>
        </w:rPr>
        <w:t>Section 7.2</w:t>
      </w:r>
      <w:r>
        <w:rPr>
          <w:sz w:val="20"/>
          <w:szCs w:val="20"/>
          <w:color w:val="auto"/>
        </w:rPr>
        <w:tab/>
      </w:r>
      <w:r>
        <w:rPr>
          <w:rFonts w:ascii="Arial" w:cs="Arial" w:eastAsia="Arial" w:hAnsi="Arial"/>
          <w:sz w:val="17"/>
          <w:szCs w:val="17"/>
          <w:u w:val="single" w:color="auto"/>
          <w:color w:val="auto"/>
        </w:rPr>
        <w:t>280G Matters</w:t>
      </w:r>
      <w:r>
        <w:rPr>
          <w:rFonts w:ascii="Arial" w:cs="Arial" w:eastAsia="Arial" w:hAnsi="Arial"/>
          <w:sz w:val="17"/>
          <w:szCs w:val="17"/>
          <w:color w:val="auto"/>
        </w:rPr>
        <w:t>.</w:t>
      </w:r>
    </w:p>
    <w:p>
      <w:pPr>
        <w:spacing w:after="0" w:line="189" w:lineRule="exact"/>
        <w:rPr>
          <w:sz w:val="20"/>
          <w:szCs w:val="20"/>
          <w:color w:val="auto"/>
        </w:rPr>
      </w:pPr>
    </w:p>
    <w:p>
      <w:pPr>
        <w:jc w:val="both"/>
        <w:ind w:left="560" w:firstLine="550"/>
        <w:spacing w:after="0" w:line="224" w:lineRule="exact"/>
        <w:tabs>
          <w:tab w:leader="none" w:pos="1511" w:val="left"/>
        </w:tabs>
        <w:numPr>
          <w:ilvl w:val="0"/>
          <w:numId w:val="97"/>
        </w:numPr>
        <w:rPr>
          <w:rFonts w:ascii="Arial" w:cs="Arial" w:eastAsia="Arial" w:hAnsi="Arial"/>
          <w:sz w:val="19"/>
          <w:szCs w:val="19"/>
          <w:color w:val="010000"/>
        </w:rPr>
      </w:pPr>
      <w:r>
        <w:rPr>
          <w:rFonts w:ascii="Arial" w:cs="Arial" w:eastAsia="Arial" w:hAnsi="Arial"/>
          <w:sz w:val="19"/>
          <w:szCs w:val="19"/>
          <w:i w:val="1"/>
          <w:iCs w:val="1"/>
          <w:color w:val="auto"/>
        </w:rPr>
        <w:t>Gross</w:t>
      </w:r>
      <w:r>
        <w:rPr>
          <w:rFonts w:ascii="MS PGothic" w:cs="MS PGothic" w:eastAsia="MS PGothic" w:hAnsi="MS PGothic"/>
          <w:sz w:val="19"/>
          <w:szCs w:val="19"/>
          <w:i w:val="1"/>
          <w:iCs w:val="1"/>
          <w:color w:val="auto"/>
        </w:rPr>
        <w:t>‑</w:t>
      </w:r>
      <w:r>
        <w:rPr>
          <w:rFonts w:ascii="Arial" w:cs="Arial" w:eastAsia="Arial" w:hAnsi="Arial"/>
          <w:sz w:val="19"/>
          <w:szCs w:val="19"/>
          <w:i w:val="1"/>
          <w:iCs w:val="1"/>
          <w:color w:val="auto"/>
        </w:rPr>
        <w:t>Up Waiver</w:t>
      </w:r>
      <w:r>
        <w:rPr>
          <w:rFonts w:ascii="Arial" w:cs="Arial" w:eastAsia="Arial" w:hAnsi="Arial"/>
          <w:sz w:val="19"/>
          <w:szCs w:val="19"/>
          <w:color w:val="auto"/>
        </w:rPr>
        <w:t>. The Executive hereby acknowledges and agrees that he shall have no rights to any additional payments intended</w:t>
      </w:r>
      <w:r>
        <w:rPr>
          <w:rFonts w:ascii="Arial" w:cs="Arial" w:eastAsia="Arial" w:hAnsi="Arial"/>
          <w:sz w:val="19"/>
          <w:szCs w:val="19"/>
          <w:i w:val="1"/>
          <w:iCs w:val="1"/>
          <w:color w:val="auto"/>
        </w:rPr>
        <w:t xml:space="preserve"> </w:t>
      </w:r>
      <w:r>
        <w:rPr>
          <w:rFonts w:ascii="Arial" w:cs="Arial" w:eastAsia="Arial" w:hAnsi="Arial"/>
          <w:sz w:val="19"/>
          <w:szCs w:val="19"/>
          <w:color w:val="auto"/>
        </w:rPr>
        <w:t>to make the Executive whole for any taxes relating to “parachute payments” (as defined in Section 280G of the Code), including without limitation excise taxes imposed by Section 4999 of the Code and any related federal, state or local taxes (including without limitation any interest or penalties imposed with respect to such taxes) under any plans, agreements or arrangements, including the Grant Award Agreements by and between the Executive and the Parent and/or the Company.</w:t>
      </w:r>
    </w:p>
    <w:p>
      <w:pPr>
        <w:spacing w:after="0" w:line="171" w:lineRule="exact"/>
        <w:rPr>
          <w:rFonts w:ascii="Arial" w:cs="Arial" w:eastAsia="Arial" w:hAnsi="Arial"/>
          <w:sz w:val="19"/>
          <w:szCs w:val="19"/>
          <w:color w:val="010000"/>
        </w:rPr>
      </w:pPr>
    </w:p>
    <w:p>
      <w:pPr>
        <w:jc w:val="both"/>
        <w:ind w:left="560" w:firstLine="550"/>
        <w:spacing w:after="0" w:line="253" w:lineRule="auto"/>
        <w:tabs>
          <w:tab w:leader="none" w:pos="1545" w:val="left"/>
        </w:tabs>
        <w:numPr>
          <w:ilvl w:val="0"/>
          <w:numId w:val="97"/>
        </w:numPr>
        <w:rPr>
          <w:rFonts w:ascii="Arial" w:cs="Arial" w:eastAsia="Arial" w:hAnsi="Arial"/>
          <w:sz w:val="19"/>
          <w:szCs w:val="19"/>
          <w:color w:val="010000"/>
        </w:rPr>
      </w:pPr>
      <w:r>
        <w:rPr>
          <w:rFonts w:ascii="Arial" w:cs="Arial" w:eastAsia="Arial" w:hAnsi="Arial"/>
          <w:sz w:val="19"/>
          <w:szCs w:val="19"/>
          <w:i w:val="1"/>
          <w:iCs w:val="1"/>
          <w:color w:val="auto"/>
        </w:rPr>
        <w:t>Potential Reduction in Payments</w:t>
      </w:r>
      <w:r>
        <w:rPr>
          <w:rFonts w:ascii="Arial" w:cs="Arial" w:eastAsia="Arial" w:hAnsi="Arial"/>
          <w:sz w:val="19"/>
          <w:szCs w:val="19"/>
          <w:color w:val="auto"/>
        </w:rPr>
        <w:t>. The following shall apply with respect to all plans, agreements and arrangements applicable to</w:t>
      </w:r>
      <w:r>
        <w:rPr>
          <w:rFonts w:ascii="Arial" w:cs="Arial" w:eastAsia="Arial" w:hAnsi="Arial"/>
          <w:sz w:val="19"/>
          <w:szCs w:val="19"/>
          <w:i w:val="1"/>
          <w:iCs w:val="1"/>
          <w:color w:val="auto"/>
        </w:rPr>
        <w:t xml:space="preserve"> </w:t>
      </w:r>
      <w:r>
        <w:rPr>
          <w:rFonts w:ascii="Arial" w:cs="Arial" w:eastAsia="Arial" w:hAnsi="Arial"/>
          <w:sz w:val="19"/>
          <w:szCs w:val="19"/>
          <w:color w:val="auto"/>
        </w:rPr>
        <w:t>the Executive and shall supersede any provisions in such plans, agreements or arrangements relating to the reduction of payments or benefits in connection with Section 280G and Section 4999 of the Code.</w:t>
      </w:r>
    </w:p>
    <w:p>
      <w:pPr>
        <w:spacing w:after="0" w:line="158" w:lineRule="exact"/>
        <w:rPr>
          <w:rFonts w:ascii="Arial" w:cs="Arial" w:eastAsia="Arial" w:hAnsi="Arial"/>
          <w:sz w:val="19"/>
          <w:szCs w:val="19"/>
          <w:color w:val="010000"/>
        </w:rPr>
      </w:pPr>
    </w:p>
    <w:p>
      <w:pPr>
        <w:jc w:val="both"/>
        <w:ind w:left="1120" w:firstLine="548"/>
        <w:spacing w:after="0" w:line="278" w:lineRule="auto"/>
        <w:tabs>
          <w:tab w:leader="none" w:pos="2122" w:val="left"/>
        </w:tabs>
        <w:numPr>
          <w:ilvl w:val="1"/>
          <w:numId w:val="97"/>
        </w:numPr>
        <w:rPr>
          <w:rFonts w:ascii="Arial" w:cs="Arial" w:eastAsia="Arial" w:hAnsi="Arial"/>
          <w:sz w:val="17"/>
          <w:szCs w:val="17"/>
          <w:color w:val="010000"/>
        </w:rPr>
      </w:pPr>
      <w:r>
        <w:rPr>
          <w:rFonts w:ascii="Arial" w:cs="Arial" w:eastAsia="Arial" w:hAnsi="Arial"/>
          <w:sz w:val="17"/>
          <w:szCs w:val="17"/>
          <w:color w:val="auto"/>
        </w:rPr>
        <w:t>Notwithstanding any provision of this Agreement, if any portion of the payments or benefits under this Agreement, or under any other agreement with the Executive or plan of the Company or its affiliates (in the aggregate, “</w:t>
      </w:r>
      <w:r>
        <w:rPr>
          <w:rFonts w:ascii="Arial" w:cs="Arial" w:eastAsia="Arial" w:hAnsi="Arial"/>
          <w:sz w:val="17"/>
          <w:szCs w:val="17"/>
          <w:u w:val="single" w:color="auto"/>
          <w:color w:val="auto"/>
        </w:rPr>
        <w:t>Total Payments</w:t>
      </w:r>
      <w:r>
        <w:rPr>
          <w:rFonts w:ascii="Arial" w:cs="Arial" w:eastAsia="Arial" w:hAnsi="Arial"/>
          <w:sz w:val="17"/>
          <w:szCs w:val="17"/>
          <w:color w:val="auto"/>
        </w:rPr>
        <w:t>”), would constitute an “excess parachute payment” and would, but for this Section 7.2, result in the imposition on the Executive of an excise tax under Section 4999 of the Code (the “</w:t>
      </w:r>
      <w:r>
        <w:rPr>
          <w:rFonts w:ascii="Arial" w:cs="Arial" w:eastAsia="Arial" w:hAnsi="Arial"/>
          <w:sz w:val="17"/>
          <w:szCs w:val="17"/>
          <w:u w:val="single" w:color="auto"/>
          <w:color w:val="auto"/>
        </w:rPr>
        <w:t>Excise Tax</w:t>
      </w:r>
      <w:r>
        <w:rPr>
          <w:rFonts w:ascii="Arial" w:cs="Arial" w:eastAsia="Arial" w:hAnsi="Arial"/>
          <w:sz w:val="17"/>
          <w:szCs w:val="17"/>
          <w:color w:val="auto"/>
        </w:rPr>
        <w:t>”), then the Total Payments to be made to the Executive shall either be (i) delivered in full, or (ii) delivered in such reduced amount in the manner determined in accordance with Section 7.2(b)(ii) so that no portion of such Total Payments would be subject to the Excise Tax, whichever of the foregoing clauses (i) or (ii) results in the receipt by the Executive of the greatest benefit on an after-tax basis (taking into account the applicable federal, state and local income taxes and the Excise Tax). The determinations with respect to this Section 7.2(b) shall be made by an independent auditor (the “</w:t>
      </w:r>
      <w:r>
        <w:rPr>
          <w:rFonts w:ascii="Arial" w:cs="Arial" w:eastAsia="Arial" w:hAnsi="Arial"/>
          <w:sz w:val="17"/>
          <w:szCs w:val="17"/>
          <w:u w:val="single" w:color="auto"/>
          <w:color w:val="auto"/>
        </w:rPr>
        <w:t>Auditor</w:t>
      </w:r>
      <w:r>
        <w:rPr>
          <w:rFonts w:ascii="Arial" w:cs="Arial" w:eastAsia="Arial" w:hAnsi="Arial"/>
          <w:sz w:val="17"/>
          <w:szCs w:val="17"/>
          <w:color w:val="auto"/>
        </w:rPr>
        <w:t>”) paid by the</w:t>
      </w:r>
    </w:p>
    <w:p>
      <w:pPr>
        <w:spacing w:after="0" w:line="329" w:lineRule="exact"/>
        <w:rPr>
          <w:sz w:val="20"/>
          <w:szCs w:val="20"/>
          <w:color w:val="auto"/>
        </w:rPr>
      </w:pPr>
    </w:p>
    <w:p>
      <w:pPr>
        <w:ind w:left="3620"/>
        <w:spacing w:after="0"/>
        <w:rPr>
          <w:sz w:val="20"/>
          <w:szCs w:val="20"/>
          <w:color w:val="auto"/>
        </w:rPr>
      </w:pPr>
      <w:r>
        <w:rPr>
          <w:rFonts w:ascii="Arial" w:cs="Arial" w:eastAsia="Arial" w:hAnsi="Arial"/>
          <w:sz w:val="19"/>
          <w:szCs w:val="19"/>
          <w:color w:val="auto"/>
        </w:rPr>
        <w:t>14</w:t>
      </w:r>
    </w:p>
    <w:p>
      <w:pPr>
        <w:sectPr>
          <w:pgSz w:w="11900" w:h="16838" w:orient="portrait"/>
          <w:cols w:equalWidth="0" w:num="1">
            <w:col w:w="11260"/>
          </w:cols>
          <w:pgMar w:left="320" w:top="318" w:right="319" w:bottom="1440" w:gutter="0" w:footer="0" w:header="0"/>
        </w:sectPr>
      </w:pPr>
    </w:p>
    <w:bookmarkStart w:id="104" w:name="page105"/>
    <w:bookmarkEnd w:id="104"/>
    <w:p>
      <w:pPr>
        <w:jc w:val="both"/>
        <w:spacing w:after="0" w:line="274" w:lineRule="auto"/>
        <w:rPr>
          <w:sz w:val="20"/>
          <w:szCs w:val="20"/>
          <w:color w:val="auto"/>
        </w:rPr>
      </w:pPr>
      <w:r>
        <w:rPr>
          <w:rFonts w:ascii="Arial" w:cs="Arial" w:eastAsia="Arial" w:hAnsi="Arial"/>
          <w:sz w:val="18"/>
          <w:szCs w:val="18"/>
          <w:color w:val="auto"/>
        </w:rPr>
        <w:t>Company. The Auditor shall be a nationally recognized certified public accounting firm or other professional organization that is a certified public accounting firm recognized as an expert in determinations and calculations for purposes of Section 280G of the Code that is selected by the Parent or the Company for purposes of making the applicable determinations hereunder.</w:t>
      </w:r>
    </w:p>
    <w:p>
      <w:pPr>
        <w:spacing w:after="0" w:line="140" w:lineRule="exact"/>
        <w:rPr>
          <w:sz w:val="20"/>
          <w:szCs w:val="20"/>
          <w:color w:val="auto"/>
        </w:rPr>
      </w:pPr>
    </w:p>
    <w:p>
      <w:pPr>
        <w:jc w:val="both"/>
        <w:ind w:firstLine="548"/>
        <w:spacing w:after="0" w:line="261" w:lineRule="auto"/>
        <w:tabs>
          <w:tab w:leader="none" w:pos="1018" w:val="left"/>
        </w:tabs>
        <w:numPr>
          <w:ilvl w:val="0"/>
          <w:numId w:val="98"/>
        </w:numPr>
        <w:rPr>
          <w:rFonts w:ascii="Arial" w:cs="Arial" w:eastAsia="Arial" w:hAnsi="Arial"/>
          <w:sz w:val="18"/>
          <w:szCs w:val="18"/>
          <w:color w:val="010000"/>
        </w:rPr>
      </w:pPr>
      <w:r>
        <w:rPr>
          <w:rFonts w:ascii="Arial" w:cs="Arial" w:eastAsia="Arial" w:hAnsi="Arial"/>
          <w:sz w:val="18"/>
          <w:szCs w:val="18"/>
          <w:color w:val="auto"/>
        </w:rPr>
        <w:t xml:space="preserve">If the Auditor determines that payments or benefits included in the Total Payments shall be reduced or eliminated, such reduction or elimination shall be accomplished by applying the following principles, in order: (1) the payment or benefit with the higher ratio of the parachute payment value to present economic value (determined using reasonable actuarial assumptions) shall be reduced or eliminated before a payment or benefit with a lower ratio; (2) the payment or benefit with the later possible payment date shall be reduced or eliminated before a payment or benefit with an earlier payment date; and (3) cash payments shall be reduced prior to non-cash benefits;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foregoing order of reduction or elimination would violate Section 409</w:t>
      </w:r>
      <w:r>
        <w:rPr>
          <w:rFonts w:ascii="Arial" w:cs="Arial" w:eastAsia="Arial" w:hAnsi="Arial"/>
          <w:sz w:val="18"/>
          <w:szCs w:val="18"/>
          <w:color w:val="auto"/>
        </w:rPr>
        <w:t>А</w:t>
      </w:r>
      <w:r>
        <w:rPr>
          <w:rFonts w:ascii="Arial" w:cs="Arial" w:eastAsia="Arial" w:hAnsi="Arial"/>
          <w:sz w:val="18"/>
          <w:szCs w:val="18"/>
          <w:color w:val="auto"/>
        </w:rPr>
        <w:t xml:space="preserve"> of the Code, then the reduction shall be made pro rata among the payments or benefits included in the Total Payments (on the basis of the relative present value of the parachute payments).</w:t>
      </w:r>
    </w:p>
    <w:p>
      <w:pPr>
        <w:spacing w:after="0" w:line="153" w:lineRule="exact"/>
        <w:rPr>
          <w:rFonts w:ascii="Arial" w:cs="Arial" w:eastAsia="Arial" w:hAnsi="Arial"/>
          <w:sz w:val="18"/>
          <w:szCs w:val="18"/>
          <w:color w:val="010000"/>
        </w:rPr>
      </w:pPr>
    </w:p>
    <w:p>
      <w:pPr>
        <w:jc w:val="both"/>
        <w:ind w:firstLine="548"/>
        <w:spacing w:after="0" w:line="277" w:lineRule="auto"/>
        <w:tabs>
          <w:tab w:leader="none" w:pos="1093" w:val="left"/>
        </w:tabs>
        <w:numPr>
          <w:ilvl w:val="0"/>
          <w:numId w:val="98"/>
        </w:numPr>
        <w:rPr>
          <w:rFonts w:ascii="Arial" w:cs="Arial" w:eastAsia="Arial" w:hAnsi="Arial"/>
          <w:sz w:val="17"/>
          <w:szCs w:val="17"/>
          <w:color w:val="010000"/>
        </w:rPr>
      </w:pPr>
      <w:r>
        <w:rPr>
          <w:rFonts w:ascii="Arial" w:cs="Arial" w:eastAsia="Arial" w:hAnsi="Arial"/>
          <w:sz w:val="17"/>
          <w:szCs w:val="17"/>
          <w:color w:val="auto"/>
        </w:rPr>
        <w:t>It is possible that after the determinations and selections made pursuant to this Section 7.2, the Executive will receive Total Payments that are, in the aggregate, either more or less than the amount provided under this Section 7.2 (hereafter referred to as an “</w:t>
      </w:r>
      <w:r>
        <w:rPr>
          <w:rFonts w:ascii="Arial" w:cs="Arial" w:eastAsia="Arial" w:hAnsi="Arial"/>
          <w:sz w:val="17"/>
          <w:szCs w:val="17"/>
          <w:u w:val="single" w:color="auto"/>
          <w:color w:val="auto"/>
        </w:rPr>
        <w:t>Excess Payment</w:t>
      </w:r>
      <w:r>
        <w:rPr>
          <w:rFonts w:ascii="Arial" w:cs="Arial" w:eastAsia="Arial" w:hAnsi="Arial"/>
          <w:sz w:val="17"/>
          <w:szCs w:val="17"/>
          <w:color w:val="auto"/>
        </w:rPr>
        <w:t>” or “</w:t>
      </w:r>
      <w:r>
        <w:rPr>
          <w:rFonts w:ascii="Arial" w:cs="Arial" w:eastAsia="Arial" w:hAnsi="Arial"/>
          <w:sz w:val="17"/>
          <w:szCs w:val="17"/>
          <w:u w:val="single" w:color="auto"/>
          <w:color w:val="auto"/>
        </w:rPr>
        <w:t>Underpayment</w:t>
      </w:r>
      <w:r>
        <w:rPr>
          <w:rFonts w:ascii="Arial" w:cs="Arial" w:eastAsia="Arial" w:hAnsi="Arial"/>
          <w:sz w:val="17"/>
          <w:szCs w:val="17"/>
          <w:color w:val="auto"/>
        </w:rPr>
        <w:t>,” respectively). If it is established, pursuant to a final determination of a court or an Internal Revenue Service proceeding that has been finally and conclusively resolved, that an Excess Payment has been made, then the Executive shall promptly pay an amount equal to the Excess Payment to the Company (or the Parent), together with interest on such amount at the applicable federal rate (as defined in and under Section 1274(d) of the Code) from the date of the Executive’s receipt of such Excess Payment until the date of such payment. In the event that it is determined by the Auditor upon request by a Party that an Underpayment has occurred, the Company shall promptly pay an amount equal to the Underpayment to the Executive, together with interest on such amount at the applicable federal rate from the date such amount would have been paid to the Executive had the provisions of this Section 7.2 not been applied until the date of such payment.</w:t>
      </w:r>
    </w:p>
    <w:p>
      <w:pPr>
        <w:spacing w:after="0" w:line="140" w:lineRule="exact"/>
        <w:rPr>
          <w:rFonts w:ascii="Arial" w:cs="Arial" w:eastAsia="Arial" w:hAnsi="Arial"/>
          <w:sz w:val="17"/>
          <w:szCs w:val="17"/>
          <w:color w:val="010000"/>
        </w:rPr>
      </w:pPr>
    </w:p>
    <w:p>
      <w:pPr>
        <w:jc w:val="both"/>
        <w:ind w:firstLine="548"/>
        <w:spacing w:after="0" w:line="224" w:lineRule="exact"/>
        <w:tabs>
          <w:tab w:leader="none" w:pos="1013" w:val="left"/>
        </w:tabs>
        <w:numPr>
          <w:ilvl w:val="0"/>
          <w:numId w:val="98"/>
        </w:numPr>
        <w:rPr>
          <w:rFonts w:ascii="Arial" w:cs="Arial" w:eastAsia="Arial" w:hAnsi="Arial"/>
          <w:sz w:val="17"/>
          <w:szCs w:val="17"/>
          <w:color w:val="010000"/>
        </w:rPr>
      </w:pPr>
      <w:r>
        <w:rPr>
          <w:rFonts w:ascii="Arial" w:cs="Arial" w:eastAsia="Arial" w:hAnsi="Arial"/>
          <w:sz w:val="17"/>
          <w:szCs w:val="17"/>
          <w:color w:val="auto"/>
        </w:rPr>
        <w:t>The Company agrees that, in connection with making determinations under this Section 7.2, it shall instruct the Auditor to take into account the value of any reasonable compensation for services to be rendered by the Executive in connection with making determinations with respect to Section 280G and/or Section 4999 of the Code, including the non</w:t>
      </w:r>
      <w:r>
        <w:rPr>
          <w:rFonts w:ascii="MS PGothic" w:cs="MS PGothic" w:eastAsia="MS PGothic" w:hAnsi="MS PGothic"/>
          <w:sz w:val="17"/>
          <w:szCs w:val="17"/>
          <w:color w:val="auto"/>
        </w:rPr>
        <w:t>‑</w:t>
      </w:r>
      <w:r>
        <w:rPr>
          <w:rFonts w:ascii="Arial" w:cs="Arial" w:eastAsia="Arial" w:hAnsi="Arial"/>
          <w:sz w:val="17"/>
          <w:szCs w:val="17"/>
          <w:color w:val="auto"/>
        </w:rPr>
        <w:t>competition provisions applicable to the Executive under Article VI of this Agreement and any other non</w:t>
      </w:r>
      <w:r>
        <w:rPr>
          <w:rFonts w:ascii="MS PGothic" w:cs="MS PGothic" w:eastAsia="MS PGothic" w:hAnsi="MS PGothic"/>
          <w:sz w:val="17"/>
          <w:szCs w:val="17"/>
          <w:color w:val="auto"/>
        </w:rPr>
        <w:t>‑</w:t>
      </w:r>
      <w:r>
        <w:rPr>
          <w:rFonts w:ascii="Arial" w:cs="Arial" w:eastAsia="Arial" w:hAnsi="Arial"/>
          <w:sz w:val="17"/>
          <w:szCs w:val="17"/>
          <w:color w:val="auto"/>
        </w:rPr>
        <w:t>competition provisions that may apply to the Executive, and the Company and the Parent agree to fully cooperate in the valuation of any such services, including any non</w:t>
      </w:r>
      <w:r>
        <w:rPr>
          <w:rFonts w:ascii="MS PGothic" w:cs="MS PGothic" w:eastAsia="MS PGothic" w:hAnsi="MS PGothic"/>
          <w:sz w:val="17"/>
          <w:szCs w:val="17"/>
          <w:color w:val="auto"/>
        </w:rPr>
        <w:t>‑</w:t>
      </w:r>
      <w:r>
        <w:rPr>
          <w:rFonts w:ascii="Arial" w:cs="Arial" w:eastAsia="Arial" w:hAnsi="Arial"/>
          <w:sz w:val="17"/>
          <w:szCs w:val="17"/>
          <w:color w:val="auto"/>
        </w:rPr>
        <w:t>competition provisions.</w:t>
      </w:r>
    </w:p>
    <w:p>
      <w:pPr>
        <w:spacing w:after="0" w:line="358" w:lineRule="exact"/>
        <w:rPr>
          <w:sz w:val="20"/>
          <w:szCs w:val="20"/>
          <w:color w:val="auto"/>
        </w:rPr>
      </w:pPr>
    </w:p>
    <w:p>
      <w:pPr>
        <w:ind w:left="2500"/>
        <w:spacing w:after="0"/>
        <w:rPr>
          <w:sz w:val="20"/>
          <w:szCs w:val="20"/>
          <w:color w:val="auto"/>
        </w:rPr>
      </w:pPr>
      <w:r>
        <w:rPr>
          <w:rFonts w:ascii="Arial" w:cs="Arial" w:eastAsia="Arial" w:hAnsi="Arial"/>
          <w:sz w:val="19"/>
          <w:szCs w:val="19"/>
          <w:color w:val="auto"/>
        </w:rPr>
        <w:t>15</w:t>
      </w:r>
    </w:p>
    <w:p>
      <w:pPr>
        <w:sectPr>
          <w:pgSz w:w="11900" w:h="16838" w:orient="portrait"/>
          <w:cols w:equalWidth="0" w:num="1">
            <w:col w:w="10140"/>
          </w:cols>
          <w:pgMar w:left="1440" w:top="318" w:right="319" w:bottom="1440" w:gutter="0" w:footer="0" w:header="0"/>
        </w:sectPr>
      </w:pPr>
    </w:p>
    <w:bookmarkStart w:id="105" w:name="page106"/>
    <w:bookmarkEnd w:id="105"/>
    <w:p>
      <w:pPr>
        <w:jc w:val="both"/>
        <w:ind w:firstLine="559"/>
        <w:spacing w:after="0" w:line="253" w:lineRule="auto"/>
        <w:rPr>
          <w:sz w:val="20"/>
          <w:szCs w:val="20"/>
          <w:color w:val="auto"/>
        </w:rPr>
      </w:pPr>
      <w:r>
        <w:rPr>
          <w:rFonts w:ascii="Arial" w:cs="Arial" w:eastAsia="Arial" w:hAnsi="Arial"/>
          <w:sz w:val="19"/>
          <w:szCs w:val="19"/>
          <w:color w:val="010000"/>
        </w:rPr>
        <w:t xml:space="preserve">Section 7.3 </w:t>
      </w:r>
      <w:r>
        <w:rPr>
          <w:rFonts w:ascii="Arial" w:cs="Arial" w:eastAsia="Arial" w:hAnsi="Arial"/>
          <w:sz w:val="19"/>
          <w:szCs w:val="19"/>
          <w:u w:val="single" w:color="auto"/>
          <w:color w:val="000000"/>
        </w:rPr>
        <w:t>Legal Fees</w:t>
      </w:r>
      <w:r>
        <w:rPr>
          <w:rFonts w:ascii="Arial" w:cs="Arial" w:eastAsia="Arial" w:hAnsi="Arial"/>
          <w:sz w:val="19"/>
          <w:szCs w:val="19"/>
          <w:color w:val="000000"/>
        </w:rPr>
        <w:t>. The Company agrees to pay as incurred (within thirty (30) business days following the Company’s receipt of an</w:t>
      </w:r>
      <w:r>
        <w:rPr>
          <w:rFonts w:ascii="Arial" w:cs="Arial" w:eastAsia="Arial" w:hAnsi="Arial"/>
          <w:sz w:val="19"/>
          <w:szCs w:val="19"/>
          <w:color w:val="010000"/>
        </w:rPr>
        <w:t xml:space="preserve"> </w:t>
      </w:r>
      <w:r>
        <w:rPr>
          <w:rFonts w:ascii="Arial" w:cs="Arial" w:eastAsia="Arial" w:hAnsi="Arial"/>
          <w:sz w:val="19"/>
          <w:szCs w:val="19"/>
          <w:color w:val="000000"/>
        </w:rPr>
        <w:t>invoice from counsel), all reasonable legal fees and expenses that the Executive incurs in connection with the negotiation and execution of this Agreement, but only up to a maximum amount of $20,000.</w:t>
      </w:r>
    </w:p>
    <w:p>
      <w:pPr>
        <w:spacing w:after="0" w:line="154"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010000"/>
        </w:rPr>
        <w:t>ARTICLE VIII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MISCELLANEOUS</w:t>
      </w:r>
    </w:p>
    <w:p>
      <w:pPr>
        <w:spacing w:after="0" w:line="370" w:lineRule="exact"/>
        <w:rPr>
          <w:sz w:val="20"/>
          <w:szCs w:val="20"/>
          <w:color w:val="auto"/>
        </w:rPr>
      </w:pPr>
    </w:p>
    <w:p>
      <w:pPr>
        <w:ind w:left="3620"/>
        <w:spacing w:after="0"/>
        <w:rPr>
          <w:sz w:val="20"/>
          <w:szCs w:val="20"/>
          <w:color w:val="auto"/>
        </w:rPr>
      </w:pPr>
      <w:r>
        <w:rPr>
          <w:rFonts w:ascii="Arial" w:cs="Arial" w:eastAsia="Arial" w:hAnsi="Arial"/>
          <w:sz w:val="19"/>
          <w:szCs w:val="19"/>
          <w:color w:val="auto"/>
        </w:rPr>
        <w:t>16</w:t>
      </w:r>
    </w:p>
    <w:p>
      <w:pPr>
        <w:sectPr>
          <w:pgSz w:w="11900" w:h="16838" w:orient="portrait"/>
          <w:cols w:equalWidth="0" w:num="1">
            <w:col w:w="11260"/>
          </w:cols>
          <w:pgMar w:left="320" w:top="318" w:right="319" w:bottom="1440" w:gutter="0" w:footer="0" w:header="0"/>
        </w:sectPr>
      </w:pPr>
    </w:p>
    <w:bookmarkStart w:id="106" w:name="page107"/>
    <w:bookmarkEnd w:id="106"/>
    <w:p>
      <w:pPr>
        <w:jc w:val="both"/>
        <w:ind w:right="20" w:firstLine="559"/>
        <w:spacing w:after="0" w:line="265" w:lineRule="auto"/>
        <w:rPr>
          <w:sz w:val="20"/>
          <w:szCs w:val="20"/>
          <w:color w:val="auto"/>
        </w:rPr>
      </w:pPr>
      <w:r>
        <w:rPr>
          <w:rFonts w:ascii="Arial" w:cs="Arial" w:eastAsia="Arial" w:hAnsi="Arial"/>
          <w:sz w:val="18"/>
          <w:szCs w:val="18"/>
          <w:color w:val="010000"/>
        </w:rPr>
        <w:t xml:space="preserve">Section 8.1 </w:t>
      </w:r>
      <w:r>
        <w:rPr>
          <w:rFonts w:ascii="Arial" w:cs="Arial" w:eastAsia="Arial" w:hAnsi="Arial"/>
          <w:sz w:val="18"/>
          <w:szCs w:val="18"/>
          <w:u w:val="single" w:color="auto"/>
          <w:color w:val="000000"/>
        </w:rPr>
        <w:t>Waiver or Modification</w:t>
      </w:r>
      <w:r>
        <w:rPr>
          <w:rFonts w:ascii="Arial" w:cs="Arial" w:eastAsia="Arial" w:hAnsi="Arial"/>
          <w:sz w:val="18"/>
          <w:szCs w:val="18"/>
          <w:color w:val="000000"/>
        </w:rPr>
        <w:t>. Any waiver by either Party of a breach of any provision of this Agreement shall not operate as, or to be,</w:t>
      </w:r>
      <w:r>
        <w:rPr>
          <w:rFonts w:ascii="Arial" w:cs="Arial" w:eastAsia="Arial" w:hAnsi="Arial"/>
          <w:sz w:val="18"/>
          <w:szCs w:val="18"/>
          <w:color w:val="010000"/>
        </w:rPr>
        <w:t xml:space="preserve"> </w:t>
      </w:r>
      <w:r>
        <w:rPr>
          <w:rFonts w:ascii="Arial" w:cs="Arial" w:eastAsia="Arial" w:hAnsi="Arial"/>
          <w:sz w:val="18"/>
          <w:szCs w:val="18"/>
          <w:color w:val="000000"/>
        </w:rPr>
        <w:t>construed to be a waiver of any other breach of such provision of this Agreement. The failure of a Party to insist upon strict adherence to any term of this Agreement on one or more occasions shall not be considered a waiver or deprive that Party of the right thereafter to insist upon strict adherence to that term or any other term of this Agreement. Neither this Agreement nor any part of it may be waived, changed or terminated orally, and any waiver, amendment or modification must be in writing and signed by each of the Parties.</w:t>
      </w:r>
    </w:p>
    <w:p>
      <w:pPr>
        <w:spacing w:after="0" w:line="149" w:lineRule="exact"/>
        <w:rPr>
          <w:sz w:val="20"/>
          <w:szCs w:val="20"/>
          <w:color w:val="auto"/>
        </w:rPr>
      </w:pPr>
    </w:p>
    <w:p>
      <w:pPr>
        <w:jc w:val="both"/>
        <w:ind w:firstLine="559"/>
        <w:spacing w:after="0" w:line="247" w:lineRule="auto"/>
        <w:rPr>
          <w:sz w:val="20"/>
          <w:szCs w:val="20"/>
          <w:color w:val="auto"/>
        </w:rPr>
      </w:pPr>
      <w:r>
        <w:rPr>
          <w:rFonts w:ascii="Arial" w:cs="Arial" w:eastAsia="Arial" w:hAnsi="Arial"/>
          <w:sz w:val="19"/>
          <w:szCs w:val="19"/>
          <w:color w:val="010000"/>
        </w:rPr>
        <w:t xml:space="preserve">Section 8.2 </w:t>
      </w:r>
      <w:r>
        <w:rPr>
          <w:rFonts w:ascii="Arial" w:cs="Arial" w:eastAsia="Arial" w:hAnsi="Arial"/>
          <w:sz w:val="19"/>
          <w:szCs w:val="19"/>
          <w:u w:val="single" w:color="auto"/>
          <w:color w:val="000000"/>
        </w:rPr>
        <w:t>Successors and Assigns</w:t>
      </w:r>
      <w:r>
        <w:rPr>
          <w:rFonts w:ascii="Arial" w:cs="Arial" w:eastAsia="Arial" w:hAnsi="Arial"/>
          <w:sz w:val="19"/>
          <w:szCs w:val="19"/>
          <w:color w:val="000000"/>
        </w:rPr>
        <w:t>. The rights and obligations of the Company under this Agreement shall be binding on and inure to the</w:t>
      </w:r>
      <w:r>
        <w:rPr>
          <w:rFonts w:ascii="Arial" w:cs="Arial" w:eastAsia="Arial" w:hAnsi="Arial"/>
          <w:sz w:val="19"/>
          <w:szCs w:val="19"/>
          <w:color w:val="010000"/>
        </w:rPr>
        <w:t xml:space="preserve"> </w:t>
      </w:r>
      <w:r>
        <w:rPr>
          <w:rFonts w:ascii="Arial" w:cs="Arial" w:eastAsia="Arial" w:hAnsi="Arial"/>
          <w:sz w:val="19"/>
          <w:szCs w:val="19"/>
          <w:color w:val="000000"/>
        </w:rPr>
        <w:t xml:space="preserve">benefit of the Company, its successors and permitted assigns. The rights and obligations of the Executive under this Agreement shall be binding on and inure to the benefit of the heirs and legal representatives of the Executive. The Company may assign this Agreement to a successor in interest, including the purchaser of all or substantially all of the assets of the Company,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that the Company shall remain liable hereunder unless the assignee purchased all or substantially all of the assets of the Company. The Executive may not assign any of the Executive’s duties under this Agreement.</w:t>
      </w:r>
    </w:p>
    <w:p>
      <w:pPr>
        <w:spacing w:after="0" w:line="163" w:lineRule="exact"/>
        <w:rPr>
          <w:sz w:val="20"/>
          <w:szCs w:val="20"/>
          <w:color w:val="auto"/>
        </w:rPr>
      </w:pPr>
    </w:p>
    <w:p>
      <w:pPr>
        <w:jc w:val="both"/>
        <w:ind w:firstLine="559"/>
        <w:spacing w:after="0" w:line="249" w:lineRule="auto"/>
        <w:rPr>
          <w:sz w:val="20"/>
          <w:szCs w:val="20"/>
          <w:color w:val="auto"/>
        </w:rPr>
      </w:pPr>
      <w:r>
        <w:rPr>
          <w:rFonts w:ascii="Arial" w:cs="Arial" w:eastAsia="Arial" w:hAnsi="Arial"/>
          <w:sz w:val="19"/>
          <w:szCs w:val="19"/>
          <w:color w:val="010000"/>
        </w:rPr>
        <w:t xml:space="preserve">Section 8.3 </w:t>
      </w:r>
      <w:r>
        <w:rPr>
          <w:rFonts w:ascii="Arial" w:cs="Arial" w:eastAsia="Arial" w:hAnsi="Arial"/>
          <w:sz w:val="19"/>
          <w:szCs w:val="19"/>
          <w:u w:val="single" w:color="auto"/>
          <w:color w:val="000000"/>
        </w:rPr>
        <w:t>Mitigation/Offset</w:t>
      </w:r>
      <w:r>
        <w:rPr>
          <w:rFonts w:ascii="Arial" w:cs="Arial" w:eastAsia="Arial" w:hAnsi="Arial"/>
          <w:sz w:val="19"/>
          <w:szCs w:val="19"/>
          <w:color w:val="000000"/>
        </w:rPr>
        <w:t>. The Executive shall be under no obligation to seek other employment or to otherwise mitigate the obligations</w:t>
      </w:r>
      <w:r>
        <w:rPr>
          <w:rFonts w:ascii="Arial" w:cs="Arial" w:eastAsia="Arial" w:hAnsi="Arial"/>
          <w:sz w:val="19"/>
          <w:szCs w:val="19"/>
          <w:color w:val="010000"/>
        </w:rPr>
        <w:t xml:space="preserve"> </w:t>
      </w:r>
      <w:r>
        <w:rPr>
          <w:rFonts w:ascii="Arial" w:cs="Arial" w:eastAsia="Arial" w:hAnsi="Arial"/>
          <w:sz w:val="19"/>
          <w:szCs w:val="19"/>
          <w:color w:val="000000"/>
        </w:rPr>
        <w:t>of the Company under this Agreement, and there shall be no offset against amounts or benefits due to the Executive under this Agreement or otherwise on account of any claim the Company or its affiliates may have against the Executive or any remuneration or other benefit earned or received by the Executive after such termination.</w:t>
      </w:r>
    </w:p>
    <w:p>
      <w:pPr>
        <w:spacing w:after="0" w:line="164" w:lineRule="exact"/>
        <w:rPr>
          <w:sz w:val="20"/>
          <w:szCs w:val="20"/>
          <w:color w:val="auto"/>
        </w:rPr>
      </w:pPr>
    </w:p>
    <w:p>
      <w:pPr>
        <w:jc w:val="both"/>
        <w:ind w:right="20" w:firstLine="559"/>
        <w:spacing w:after="0" w:line="323" w:lineRule="auto"/>
        <w:rPr>
          <w:sz w:val="20"/>
          <w:szCs w:val="20"/>
          <w:color w:val="auto"/>
        </w:rPr>
      </w:pPr>
      <w:r>
        <w:rPr>
          <w:rFonts w:ascii="Arial" w:cs="Arial" w:eastAsia="Arial" w:hAnsi="Arial"/>
          <w:sz w:val="17"/>
          <w:szCs w:val="17"/>
          <w:color w:val="010000"/>
        </w:rPr>
        <w:t xml:space="preserve">Section 8.4 </w:t>
      </w:r>
      <w:r>
        <w:rPr>
          <w:rFonts w:ascii="Arial" w:cs="Arial" w:eastAsia="Arial" w:hAnsi="Arial"/>
          <w:sz w:val="17"/>
          <w:szCs w:val="17"/>
          <w:u w:val="single" w:color="auto"/>
          <w:color w:val="000000"/>
        </w:rPr>
        <w:t>Counterparts</w:t>
      </w:r>
      <w:r>
        <w:rPr>
          <w:rFonts w:ascii="Arial" w:cs="Arial" w:eastAsia="Arial" w:hAnsi="Arial"/>
          <w:sz w:val="17"/>
          <w:szCs w:val="17"/>
          <w:color w:val="000000"/>
        </w:rPr>
        <w:t>. This Agreement may be executed in any number of counterparts, each of which shall, when executed, be deemed to</w:t>
      </w:r>
      <w:r>
        <w:rPr>
          <w:rFonts w:ascii="Arial" w:cs="Arial" w:eastAsia="Arial" w:hAnsi="Arial"/>
          <w:sz w:val="17"/>
          <w:szCs w:val="17"/>
          <w:color w:val="010000"/>
        </w:rPr>
        <w:t xml:space="preserve"> </w:t>
      </w:r>
      <w:r>
        <w:rPr>
          <w:rFonts w:ascii="Arial" w:cs="Arial" w:eastAsia="Arial" w:hAnsi="Arial"/>
          <w:sz w:val="17"/>
          <w:szCs w:val="17"/>
          <w:color w:val="000000"/>
        </w:rPr>
        <w:t>be an original and all of which shall be deemed to be one and the same instrument; and all signatures need not appear on any one Counterpart.</w:t>
      </w:r>
    </w:p>
    <w:p>
      <w:pPr>
        <w:spacing w:after="0" w:line="102" w:lineRule="exact"/>
        <w:rPr>
          <w:sz w:val="20"/>
          <w:szCs w:val="20"/>
          <w:color w:val="auto"/>
        </w:rPr>
      </w:pPr>
    </w:p>
    <w:p>
      <w:pPr>
        <w:jc w:val="both"/>
        <w:ind w:firstLine="559"/>
        <w:spacing w:after="0" w:line="280" w:lineRule="auto"/>
        <w:rPr>
          <w:sz w:val="20"/>
          <w:szCs w:val="20"/>
          <w:color w:val="auto"/>
        </w:rPr>
      </w:pPr>
      <w:r>
        <w:rPr>
          <w:rFonts w:ascii="Arial" w:cs="Arial" w:eastAsia="Arial" w:hAnsi="Arial"/>
          <w:sz w:val="17"/>
          <w:szCs w:val="17"/>
          <w:color w:val="010000"/>
        </w:rPr>
        <w:t xml:space="preserve">Section 8.5 </w:t>
      </w:r>
      <w:r>
        <w:rPr>
          <w:rFonts w:ascii="Arial" w:cs="Arial" w:eastAsia="Arial" w:hAnsi="Arial"/>
          <w:sz w:val="17"/>
          <w:szCs w:val="17"/>
          <w:u w:val="single" w:color="auto"/>
          <w:color w:val="000000"/>
        </w:rPr>
        <w:t>Governing Law; Dispute Resolution</w:t>
      </w:r>
      <w:r>
        <w:rPr>
          <w:rFonts w:ascii="Arial" w:cs="Arial" w:eastAsia="Arial" w:hAnsi="Arial"/>
          <w:sz w:val="17"/>
          <w:szCs w:val="17"/>
          <w:color w:val="000000"/>
        </w:rPr>
        <w:t>. This Agreement will be governed and construed and enforced in accordance with the laws</w:t>
      </w:r>
      <w:r>
        <w:rPr>
          <w:rFonts w:ascii="Arial" w:cs="Arial" w:eastAsia="Arial" w:hAnsi="Arial"/>
          <w:sz w:val="17"/>
          <w:szCs w:val="17"/>
          <w:color w:val="010000"/>
        </w:rPr>
        <w:t xml:space="preserve"> </w:t>
      </w:r>
      <w:r>
        <w:rPr>
          <w:rFonts w:ascii="Arial" w:cs="Arial" w:eastAsia="Arial" w:hAnsi="Arial"/>
          <w:sz w:val="17"/>
          <w:szCs w:val="17"/>
          <w:color w:val="000000"/>
        </w:rPr>
        <w:t>of the State of Colorado, without regard to its conflicts of law rules, which might result in the application of laws of any other jurisdiction. Any dispute, controversy or claim, whether based on contract, tort or statute, between the Parties arising out of or relating to or in connection with this Agreement, or in any amendment, modification hereof (including, without limitation, any dispute, controversy or claim as to the validity, interpretation, enforceability or breach of this Agreement or any amendment or modification hereof) will be resolved in the state or federal courts located in the State of Colorado. The parties acknowledge that venue in such courts is proper and that those courts possess personal jurisdiction over them, to which the Parties’ consent. It is agreed that service of process may be effectuated pursuant to Section 8.8 of this Agreement.</w:t>
      </w:r>
    </w:p>
    <w:p>
      <w:pPr>
        <w:spacing w:after="0" w:line="137" w:lineRule="exact"/>
        <w:rPr>
          <w:sz w:val="20"/>
          <w:szCs w:val="20"/>
          <w:color w:val="auto"/>
        </w:rPr>
      </w:pPr>
    </w:p>
    <w:p>
      <w:pPr>
        <w:jc w:val="both"/>
        <w:ind w:firstLine="559"/>
        <w:spacing w:after="0" w:line="288" w:lineRule="auto"/>
        <w:rPr>
          <w:sz w:val="20"/>
          <w:szCs w:val="20"/>
          <w:color w:val="auto"/>
        </w:rPr>
      </w:pPr>
      <w:r>
        <w:rPr>
          <w:rFonts w:ascii="Arial" w:cs="Arial" w:eastAsia="Arial" w:hAnsi="Arial"/>
          <w:sz w:val="17"/>
          <w:szCs w:val="17"/>
          <w:color w:val="010000"/>
        </w:rPr>
        <w:t xml:space="preserve">Section 8.6 </w:t>
      </w:r>
      <w:r>
        <w:rPr>
          <w:rFonts w:ascii="Arial" w:cs="Arial" w:eastAsia="Arial" w:hAnsi="Arial"/>
          <w:sz w:val="17"/>
          <w:szCs w:val="17"/>
          <w:u w:val="single" w:color="auto"/>
          <w:color w:val="000000"/>
        </w:rPr>
        <w:t>Dispute Resolution</w:t>
      </w:r>
      <w:r>
        <w:rPr>
          <w:rFonts w:ascii="Arial" w:cs="Arial" w:eastAsia="Arial" w:hAnsi="Arial"/>
          <w:sz w:val="17"/>
          <w:szCs w:val="17"/>
          <w:color w:val="000000"/>
        </w:rPr>
        <w:t>. Any controversy or claim arising out of or relating to this Agreement, other than claims entitling the claimant</w:t>
      </w:r>
      <w:r>
        <w:rPr>
          <w:rFonts w:ascii="Arial" w:cs="Arial" w:eastAsia="Arial" w:hAnsi="Arial"/>
          <w:sz w:val="17"/>
          <w:szCs w:val="17"/>
          <w:color w:val="010000"/>
        </w:rPr>
        <w:t xml:space="preserve"> </w:t>
      </w:r>
      <w:r>
        <w:rPr>
          <w:rFonts w:ascii="Arial" w:cs="Arial" w:eastAsia="Arial" w:hAnsi="Arial"/>
          <w:sz w:val="17"/>
          <w:szCs w:val="17"/>
          <w:color w:val="000000"/>
        </w:rPr>
        <w:t>to injunctive relief or claims or disputes arising from a violation or alleged violation by the Executive of the provisions of Article VI shall be settled exclusively by final and binding arbitration in Denver, Colorado in accordance with the Employment Arbitration Rules of the American Arbitration Association (the “AAA”), and judgment on the award rendered by the arbitrator may be entered in any court having jurisdiction. The arbitrator</w:t>
      </w:r>
    </w:p>
    <w:p>
      <w:pPr>
        <w:spacing w:after="0" w:line="318" w:lineRule="exact"/>
        <w:rPr>
          <w:sz w:val="20"/>
          <w:szCs w:val="20"/>
          <w:color w:val="auto"/>
        </w:rPr>
      </w:pPr>
    </w:p>
    <w:p>
      <w:pPr>
        <w:ind w:left="3620"/>
        <w:spacing w:after="0"/>
        <w:rPr>
          <w:sz w:val="20"/>
          <w:szCs w:val="20"/>
          <w:color w:val="auto"/>
        </w:rPr>
      </w:pPr>
      <w:r>
        <w:rPr>
          <w:rFonts w:ascii="Arial" w:cs="Arial" w:eastAsia="Arial" w:hAnsi="Arial"/>
          <w:sz w:val="19"/>
          <w:szCs w:val="19"/>
          <w:color w:val="auto"/>
        </w:rPr>
        <w:t>17</w:t>
      </w:r>
    </w:p>
    <w:p>
      <w:pPr>
        <w:sectPr>
          <w:pgSz w:w="11900" w:h="16838" w:orient="portrait"/>
          <w:cols w:equalWidth="0" w:num="1">
            <w:col w:w="11260"/>
          </w:cols>
          <w:pgMar w:left="320" w:top="318" w:right="319" w:bottom="1440" w:gutter="0" w:footer="0" w:header="0"/>
        </w:sectPr>
      </w:pPr>
    </w:p>
    <w:bookmarkStart w:id="107" w:name="page108"/>
    <w:bookmarkEnd w:id="107"/>
    <w:p>
      <w:pPr>
        <w:ind w:left="7"/>
        <w:spacing w:after="0"/>
        <w:rPr>
          <w:sz w:val="20"/>
          <w:szCs w:val="20"/>
          <w:color w:val="auto"/>
        </w:rPr>
      </w:pPr>
      <w:r>
        <w:rPr>
          <w:rFonts w:ascii="Arial" w:cs="Arial" w:eastAsia="Arial" w:hAnsi="Arial"/>
          <w:sz w:val="17"/>
          <w:szCs w:val="17"/>
          <w:color w:val="auto"/>
        </w:rPr>
        <w:t>shall be selected by mutual agreement of the parties, if possible. If the parties fail to reach agreement upon appointment of an arbitrator within thirty</w:t>
      </w:r>
    </w:p>
    <w:p>
      <w:pPr>
        <w:spacing w:after="0" w:line="42" w:lineRule="exact"/>
        <w:rPr>
          <w:sz w:val="20"/>
          <w:szCs w:val="20"/>
          <w:color w:val="auto"/>
        </w:rPr>
      </w:pPr>
    </w:p>
    <w:p>
      <w:pPr>
        <w:jc w:val="both"/>
        <w:ind w:left="7" w:hanging="7"/>
        <w:spacing w:after="0" w:line="277" w:lineRule="auto"/>
        <w:tabs>
          <w:tab w:leader="none" w:pos="383" w:val="left"/>
        </w:tabs>
        <w:numPr>
          <w:ilvl w:val="0"/>
          <w:numId w:val="99"/>
        </w:numPr>
        <w:rPr>
          <w:rFonts w:ascii="Arial" w:cs="Arial" w:eastAsia="Arial" w:hAnsi="Arial"/>
          <w:sz w:val="17"/>
          <w:szCs w:val="17"/>
          <w:color w:val="auto"/>
        </w:rPr>
      </w:pPr>
      <w:r>
        <w:rPr>
          <w:rFonts w:ascii="Arial" w:cs="Arial" w:eastAsia="Arial" w:hAnsi="Arial"/>
          <w:sz w:val="17"/>
          <w:szCs w:val="17"/>
          <w:color w:val="auto"/>
        </w:rPr>
        <w:t>days following receipt by one party of the other party’s notice of desire to arbitrate, the arbitrator shall be selected from a panel or panels of persons submitted by the AAA. The selection process shall be that which is set forth in the AAA Employment Arbitration Rules then prevailing. The costs of the arbitrator shall be borne by both parties equally; provided that each party will pay its own attorneys’ fees. Either party may appeal the arbitration award and judgment thereon and, in actions seeking to vacate an award, the standard of review to be applied to the arbitrator’s findings of fact and conclusions of law will be the same as that applied by an appellate court reviewing a decision of a trial court sitting without a jury. This agreement to arbitrate shall not preclude the parties from engaging in voluntary, non-binding settlement efforts including mediation.</w:t>
      </w:r>
    </w:p>
    <w:p>
      <w:pPr>
        <w:spacing w:after="0" w:line="143" w:lineRule="exact"/>
        <w:rPr>
          <w:sz w:val="20"/>
          <w:szCs w:val="20"/>
          <w:color w:val="auto"/>
        </w:rPr>
      </w:pPr>
    </w:p>
    <w:p>
      <w:pPr>
        <w:jc w:val="both"/>
        <w:ind w:left="7" w:right="20" w:firstLine="559"/>
        <w:spacing w:after="0" w:line="288" w:lineRule="auto"/>
        <w:rPr>
          <w:sz w:val="20"/>
          <w:szCs w:val="20"/>
          <w:color w:val="auto"/>
        </w:rPr>
      </w:pPr>
      <w:r>
        <w:rPr>
          <w:rFonts w:ascii="Arial" w:cs="Arial" w:eastAsia="Arial" w:hAnsi="Arial"/>
          <w:sz w:val="17"/>
          <w:szCs w:val="17"/>
          <w:color w:val="010000"/>
        </w:rPr>
        <w:t xml:space="preserve">Section 8.7 </w:t>
      </w:r>
      <w:r>
        <w:rPr>
          <w:rFonts w:ascii="Arial" w:cs="Arial" w:eastAsia="Arial" w:hAnsi="Arial"/>
          <w:sz w:val="17"/>
          <w:szCs w:val="17"/>
          <w:u w:val="single" w:color="auto"/>
          <w:color w:val="000000"/>
        </w:rPr>
        <w:t>Entire Agreement</w:t>
      </w:r>
      <w:r>
        <w:rPr>
          <w:rFonts w:ascii="Arial" w:cs="Arial" w:eastAsia="Arial" w:hAnsi="Arial"/>
          <w:sz w:val="17"/>
          <w:szCs w:val="17"/>
          <w:color w:val="000000"/>
        </w:rPr>
        <w:t>. This Agreement (together with the Grant Award Agreements with respect to equity awards) contains the entire</w:t>
      </w:r>
      <w:r>
        <w:rPr>
          <w:rFonts w:ascii="Arial" w:cs="Arial" w:eastAsia="Arial" w:hAnsi="Arial"/>
          <w:sz w:val="17"/>
          <w:szCs w:val="17"/>
          <w:color w:val="010000"/>
        </w:rPr>
        <w:t xml:space="preserve"> </w:t>
      </w:r>
      <w:r>
        <w:rPr>
          <w:rFonts w:ascii="Arial" w:cs="Arial" w:eastAsia="Arial" w:hAnsi="Arial"/>
          <w:sz w:val="17"/>
          <w:szCs w:val="17"/>
          <w:color w:val="000000"/>
        </w:rPr>
        <w:t>understanding of the Parties relating to the subject matter of this Agreement and supersedes all other prior written or oral agreements, understandings or arrangements regarding the subject matter hereof. The Parties each acknowledge that, in entering into this Agreement, such Party does not rely on any statements or representations not contained in this Agreement or in the Grant Award Agreements.</w:t>
      </w:r>
    </w:p>
    <w:p>
      <w:pPr>
        <w:spacing w:after="0" w:line="132" w:lineRule="exact"/>
        <w:rPr>
          <w:sz w:val="20"/>
          <w:szCs w:val="20"/>
          <w:color w:val="auto"/>
        </w:rPr>
      </w:pPr>
    </w:p>
    <w:p>
      <w:pPr>
        <w:jc w:val="both"/>
        <w:ind w:left="7" w:right="20" w:firstLine="559"/>
        <w:spacing w:after="0" w:line="248" w:lineRule="auto"/>
        <w:rPr>
          <w:sz w:val="20"/>
          <w:szCs w:val="20"/>
          <w:color w:val="auto"/>
        </w:rPr>
      </w:pPr>
      <w:r>
        <w:rPr>
          <w:rFonts w:ascii="Arial" w:cs="Arial" w:eastAsia="Arial" w:hAnsi="Arial"/>
          <w:sz w:val="19"/>
          <w:szCs w:val="19"/>
          <w:color w:val="010000"/>
        </w:rPr>
        <w:t xml:space="preserve">Section 8.8 </w:t>
      </w:r>
      <w:r>
        <w:rPr>
          <w:rFonts w:ascii="Arial" w:cs="Arial" w:eastAsia="Arial" w:hAnsi="Arial"/>
          <w:sz w:val="19"/>
          <w:szCs w:val="19"/>
          <w:u w:val="single" w:color="auto"/>
          <w:color w:val="000000"/>
        </w:rPr>
        <w:t>Severability</w:t>
      </w:r>
      <w:r>
        <w:rPr>
          <w:rFonts w:ascii="Arial" w:cs="Arial" w:eastAsia="Arial" w:hAnsi="Arial"/>
          <w:sz w:val="19"/>
          <w:szCs w:val="19"/>
          <w:color w:val="000000"/>
        </w:rPr>
        <w:t>. Any term or provision of this Agreement which is determined to be invalid or unenforceable by any court of</w:t>
      </w:r>
      <w:r>
        <w:rPr>
          <w:rFonts w:ascii="Arial" w:cs="Arial" w:eastAsia="Arial" w:hAnsi="Arial"/>
          <w:sz w:val="19"/>
          <w:szCs w:val="19"/>
          <w:color w:val="010000"/>
        </w:rPr>
        <w:t xml:space="preserve"> </w:t>
      </w:r>
      <w:r>
        <w:rPr>
          <w:rFonts w:ascii="Arial" w:cs="Arial" w:eastAsia="Arial" w:hAnsi="Arial"/>
          <w:sz w:val="19"/>
          <w:szCs w:val="19"/>
          <w:color w:val="000000"/>
        </w:rPr>
        <w:t>competent jurisdiction in any jurisdiction shall, as to such jurisdiction, be ineffective to the extent of such invalidity or unenforceability without rendering invalid or unenforceable the remaining terms and provisions of this Agreement or affecting the validity or enforceability of any of the terms or provisions of this Agreement in any other jurisdiction and such invalid or unenforceable provision shall be modified by such court so that it is enforceable to the extent permitted by applicable law.</w:t>
      </w:r>
    </w:p>
    <w:p>
      <w:pPr>
        <w:spacing w:after="0" w:line="163" w:lineRule="exact"/>
        <w:rPr>
          <w:sz w:val="20"/>
          <w:szCs w:val="20"/>
          <w:color w:val="auto"/>
        </w:rPr>
      </w:pPr>
    </w:p>
    <w:p>
      <w:pPr>
        <w:jc w:val="both"/>
        <w:ind w:left="7" w:firstLine="559"/>
        <w:spacing w:after="0" w:line="284" w:lineRule="auto"/>
        <w:rPr>
          <w:sz w:val="20"/>
          <w:szCs w:val="20"/>
          <w:color w:val="auto"/>
        </w:rPr>
      </w:pPr>
      <w:r>
        <w:rPr>
          <w:rFonts w:ascii="Arial" w:cs="Arial" w:eastAsia="Arial" w:hAnsi="Arial"/>
          <w:sz w:val="17"/>
          <w:szCs w:val="17"/>
          <w:color w:val="010000"/>
        </w:rPr>
        <w:t xml:space="preserve">Section 8.9 </w:t>
      </w:r>
      <w:r>
        <w:rPr>
          <w:rFonts w:ascii="Arial" w:cs="Arial" w:eastAsia="Arial" w:hAnsi="Arial"/>
          <w:sz w:val="17"/>
          <w:szCs w:val="17"/>
          <w:u w:val="single" w:color="auto"/>
          <w:color w:val="000000"/>
        </w:rPr>
        <w:t>Notices</w:t>
      </w:r>
      <w:r>
        <w:rPr>
          <w:rFonts w:ascii="Arial" w:cs="Arial" w:eastAsia="Arial" w:hAnsi="Arial"/>
          <w:sz w:val="17"/>
          <w:szCs w:val="17"/>
          <w:color w:val="000000"/>
        </w:rPr>
        <w:t>. Except as otherwise specifically provided in this Agreement, all notices and other communications required or permitted</w:t>
      </w:r>
      <w:r>
        <w:rPr>
          <w:rFonts w:ascii="Arial" w:cs="Arial" w:eastAsia="Arial" w:hAnsi="Arial"/>
          <w:sz w:val="17"/>
          <w:szCs w:val="17"/>
          <w:color w:val="010000"/>
        </w:rPr>
        <w:t xml:space="preserve"> </w:t>
      </w:r>
      <w:r>
        <w:rPr>
          <w:rFonts w:ascii="Arial" w:cs="Arial" w:eastAsia="Arial" w:hAnsi="Arial"/>
          <w:sz w:val="17"/>
          <w:szCs w:val="17"/>
          <w:color w:val="000000"/>
        </w:rPr>
        <w:t>to be given under this Agreement shall be in writing and delivery thereof shall be deemed to have been made (i) three (3) business days following the date when such notice shall have been deposited in first class mail, postage prepaid, return receipt requested, or any comparable or superior postal or air courier service then in effect, or (ii) on the date transmitted by hand delivery to the Party entitled to receive the same, at the address indicated below or at such other address as such Party shall have specified by written notice to the other Parties given in accordance with this Section 8.9:</w:t>
      </w:r>
    </w:p>
    <w:p>
      <w:pPr>
        <w:spacing w:after="0" w:line="135" w:lineRule="exact"/>
        <w:rPr>
          <w:sz w:val="20"/>
          <w:szCs w:val="20"/>
          <w:color w:val="auto"/>
        </w:rPr>
      </w:pPr>
    </w:p>
    <w:p>
      <w:pPr>
        <w:ind w:left="567"/>
        <w:spacing w:after="0"/>
        <w:rPr>
          <w:sz w:val="20"/>
          <w:szCs w:val="20"/>
          <w:color w:val="auto"/>
        </w:rPr>
      </w:pPr>
      <w:r>
        <w:rPr>
          <w:rFonts w:ascii="Arial" w:cs="Arial" w:eastAsia="Arial" w:hAnsi="Arial"/>
          <w:sz w:val="19"/>
          <w:szCs w:val="19"/>
          <w:color w:val="auto"/>
        </w:rPr>
        <w:t>If to the Company:</w:t>
      </w:r>
    </w:p>
    <w:p>
      <w:pPr>
        <w:spacing w:after="0" w:line="189" w:lineRule="exact"/>
        <w:rPr>
          <w:sz w:val="20"/>
          <w:szCs w:val="20"/>
          <w:color w:val="auto"/>
        </w:rPr>
      </w:pPr>
    </w:p>
    <w:p>
      <w:pPr>
        <w:ind w:left="1127"/>
        <w:spacing w:after="0"/>
        <w:rPr>
          <w:sz w:val="20"/>
          <w:szCs w:val="20"/>
          <w:color w:val="auto"/>
        </w:rPr>
      </w:pPr>
      <w:r>
        <w:rPr>
          <w:rFonts w:ascii="Arial" w:cs="Arial" w:eastAsia="Arial" w:hAnsi="Arial"/>
          <w:sz w:val="19"/>
          <w:szCs w:val="19"/>
          <w:color w:val="auto"/>
        </w:rPr>
        <w:t>Liberty Global, Inc.</w:t>
      </w:r>
    </w:p>
    <w:p>
      <w:pPr>
        <w:spacing w:after="0" w:line="19" w:lineRule="exact"/>
        <w:rPr>
          <w:sz w:val="20"/>
          <w:szCs w:val="20"/>
          <w:color w:val="auto"/>
        </w:rPr>
      </w:pPr>
    </w:p>
    <w:p>
      <w:pPr>
        <w:ind w:left="1127"/>
        <w:spacing w:after="0"/>
        <w:rPr>
          <w:sz w:val="20"/>
          <w:szCs w:val="20"/>
          <w:color w:val="auto"/>
        </w:rPr>
      </w:pPr>
      <w:r>
        <w:rPr>
          <w:rFonts w:ascii="Arial" w:cs="Arial" w:eastAsia="Arial" w:hAnsi="Arial"/>
          <w:sz w:val="19"/>
          <w:szCs w:val="19"/>
          <w:color w:val="auto"/>
        </w:rPr>
        <w:t>Attn: General Counsel/Chief People Officer</w:t>
      </w:r>
    </w:p>
    <w:p>
      <w:pPr>
        <w:spacing w:after="0" w:line="3" w:lineRule="exact"/>
        <w:rPr>
          <w:sz w:val="20"/>
          <w:szCs w:val="20"/>
          <w:color w:val="auto"/>
        </w:rPr>
      </w:pPr>
    </w:p>
    <w:p>
      <w:pPr>
        <w:ind w:left="1127"/>
        <w:spacing w:after="0"/>
        <w:rPr>
          <w:sz w:val="20"/>
          <w:szCs w:val="20"/>
          <w:color w:val="auto"/>
        </w:rPr>
      </w:pPr>
      <w:r>
        <w:rPr>
          <w:rFonts w:ascii="Arial" w:cs="Arial" w:eastAsia="Arial" w:hAnsi="Arial"/>
          <w:sz w:val="19"/>
          <w:szCs w:val="19"/>
          <w:color w:val="auto"/>
        </w:rPr>
        <w:t>1550 Wewatta Street, Suite 1000</w:t>
      </w:r>
    </w:p>
    <w:p>
      <w:pPr>
        <w:spacing w:after="0" w:line="3" w:lineRule="exact"/>
        <w:rPr>
          <w:sz w:val="20"/>
          <w:szCs w:val="20"/>
          <w:color w:val="auto"/>
        </w:rPr>
      </w:pPr>
    </w:p>
    <w:p>
      <w:pPr>
        <w:ind w:left="1127"/>
        <w:spacing w:after="0"/>
        <w:rPr>
          <w:sz w:val="20"/>
          <w:szCs w:val="20"/>
          <w:color w:val="auto"/>
        </w:rPr>
      </w:pPr>
      <w:r>
        <w:rPr>
          <w:rFonts w:ascii="Arial" w:cs="Arial" w:eastAsia="Arial" w:hAnsi="Arial"/>
          <w:sz w:val="19"/>
          <w:szCs w:val="19"/>
          <w:color w:val="auto"/>
        </w:rPr>
        <w:t>Denver, CO 80202</w:t>
      </w:r>
    </w:p>
    <w:p>
      <w:pPr>
        <w:spacing w:after="0" w:line="3" w:lineRule="exact"/>
        <w:rPr>
          <w:sz w:val="20"/>
          <w:szCs w:val="20"/>
          <w:color w:val="auto"/>
        </w:rPr>
      </w:pPr>
    </w:p>
    <w:p>
      <w:pPr>
        <w:ind w:left="1127"/>
        <w:spacing w:after="0"/>
        <w:rPr>
          <w:sz w:val="20"/>
          <w:szCs w:val="20"/>
          <w:color w:val="auto"/>
        </w:rPr>
      </w:pPr>
      <w:r>
        <w:rPr>
          <w:rFonts w:ascii="Arial" w:cs="Arial" w:eastAsia="Arial" w:hAnsi="Arial"/>
          <w:sz w:val="19"/>
          <w:szCs w:val="19"/>
          <w:color w:val="auto"/>
        </w:rPr>
        <w:t>Tel: 303-220-6600</w:t>
      </w:r>
    </w:p>
    <w:p>
      <w:pPr>
        <w:spacing w:after="0" w:line="173" w:lineRule="exact"/>
        <w:rPr>
          <w:sz w:val="20"/>
          <w:szCs w:val="20"/>
          <w:color w:val="auto"/>
        </w:rPr>
      </w:pPr>
    </w:p>
    <w:p>
      <w:pPr>
        <w:ind w:left="567"/>
        <w:spacing w:after="0"/>
        <w:tabs>
          <w:tab w:leader="none" w:pos="2147" w:val="left"/>
        </w:tabs>
        <w:rPr>
          <w:sz w:val="20"/>
          <w:szCs w:val="20"/>
          <w:color w:val="auto"/>
        </w:rPr>
      </w:pPr>
      <w:r>
        <w:rPr>
          <w:rFonts w:ascii="Arial" w:cs="Arial" w:eastAsia="Arial" w:hAnsi="Arial"/>
          <w:sz w:val="19"/>
          <w:szCs w:val="19"/>
          <w:color w:val="auto"/>
        </w:rPr>
        <w:t>If to the Executive:</w:t>
      </w:r>
      <w:r>
        <w:rPr>
          <w:sz w:val="20"/>
          <w:szCs w:val="20"/>
          <w:color w:val="auto"/>
        </w:rPr>
        <w:tab/>
      </w:r>
      <w:r>
        <w:rPr>
          <w:rFonts w:ascii="Arial" w:cs="Arial" w:eastAsia="Arial" w:hAnsi="Arial"/>
          <w:sz w:val="16"/>
          <w:szCs w:val="16"/>
          <w:color w:val="auto"/>
        </w:rPr>
        <w:t>At the address then on file with the Company.</w:t>
      </w:r>
    </w:p>
    <w:p>
      <w:pPr>
        <w:spacing w:after="0" w:line="375" w:lineRule="exact"/>
        <w:rPr>
          <w:sz w:val="20"/>
          <w:szCs w:val="20"/>
          <w:color w:val="auto"/>
        </w:rPr>
      </w:pPr>
    </w:p>
    <w:p>
      <w:pPr>
        <w:ind w:left="3627"/>
        <w:spacing w:after="0"/>
        <w:rPr>
          <w:sz w:val="20"/>
          <w:szCs w:val="20"/>
          <w:color w:val="auto"/>
        </w:rPr>
      </w:pPr>
      <w:r>
        <w:rPr>
          <w:rFonts w:ascii="Arial" w:cs="Arial" w:eastAsia="Arial" w:hAnsi="Arial"/>
          <w:sz w:val="19"/>
          <w:szCs w:val="19"/>
          <w:color w:val="auto"/>
        </w:rPr>
        <w:t>18</w:t>
      </w:r>
    </w:p>
    <w:p>
      <w:pPr>
        <w:sectPr>
          <w:pgSz w:w="11900" w:h="16838" w:orient="portrait"/>
          <w:cols w:equalWidth="0" w:num="1">
            <w:col w:w="11267"/>
          </w:cols>
          <w:pgMar w:left="313" w:top="318" w:right="319" w:bottom="1440" w:gutter="0" w:footer="0" w:header="0"/>
        </w:sectPr>
      </w:pPr>
    </w:p>
    <w:bookmarkStart w:id="108" w:name="page109"/>
    <w:bookmarkEnd w:id="108"/>
    <w:p>
      <w:pPr>
        <w:ind w:firstLine="559"/>
        <w:spacing w:after="0" w:line="292" w:lineRule="auto"/>
        <w:rPr>
          <w:sz w:val="20"/>
          <w:szCs w:val="20"/>
          <w:color w:val="auto"/>
        </w:rPr>
      </w:pPr>
      <w:r>
        <w:rPr>
          <w:rFonts w:ascii="Arial" w:cs="Arial" w:eastAsia="Arial" w:hAnsi="Arial"/>
          <w:sz w:val="18"/>
          <w:szCs w:val="18"/>
          <w:color w:val="010000"/>
        </w:rPr>
        <w:t xml:space="preserve">Section 8.10 </w:t>
      </w:r>
      <w:r>
        <w:rPr>
          <w:rFonts w:ascii="Arial" w:cs="Arial" w:eastAsia="Arial" w:hAnsi="Arial"/>
          <w:sz w:val="18"/>
          <w:szCs w:val="18"/>
          <w:u w:val="single" w:color="auto"/>
          <w:color w:val="000000"/>
        </w:rPr>
        <w:t>No Third Party Beneficiaries</w:t>
      </w:r>
      <w:r>
        <w:rPr>
          <w:rFonts w:ascii="Arial" w:cs="Arial" w:eastAsia="Arial" w:hAnsi="Arial"/>
          <w:sz w:val="18"/>
          <w:szCs w:val="18"/>
          <w:color w:val="000000"/>
        </w:rPr>
        <w:t>. Except as provided in Section 5.1(c) in the event of the Executive’s death or Disability, this</w:t>
      </w:r>
      <w:r>
        <w:rPr>
          <w:rFonts w:ascii="Arial" w:cs="Arial" w:eastAsia="Arial" w:hAnsi="Arial"/>
          <w:sz w:val="18"/>
          <w:szCs w:val="18"/>
          <w:color w:val="010000"/>
        </w:rPr>
        <w:t xml:space="preserve"> </w:t>
      </w:r>
      <w:r>
        <w:rPr>
          <w:rFonts w:ascii="Arial" w:cs="Arial" w:eastAsia="Arial" w:hAnsi="Arial"/>
          <w:sz w:val="18"/>
          <w:szCs w:val="18"/>
          <w:color w:val="000000"/>
        </w:rPr>
        <w:t>Agreement does not create, and shall not be construed as creating, any rights enforceable by any person not a party to this Agreement.</w:t>
      </w:r>
    </w:p>
    <w:p>
      <w:pPr>
        <w:spacing w:after="0" w:line="125" w:lineRule="exact"/>
        <w:rPr>
          <w:sz w:val="20"/>
          <w:szCs w:val="20"/>
          <w:color w:val="auto"/>
        </w:rPr>
      </w:pPr>
    </w:p>
    <w:p>
      <w:pPr>
        <w:ind w:firstLine="559"/>
        <w:spacing w:after="0" w:line="264" w:lineRule="auto"/>
        <w:rPr>
          <w:sz w:val="20"/>
          <w:szCs w:val="20"/>
          <w:color w:val="auto"/>
        </w:rPr>
      </w:pPr>
      <w:r>
        <w:rPr>
          <w:rFonts w:ascii="Arial" w:cs="Arial" w:eastAsia="Arial" w:hAnsi="Arial"/>
          <w:sz w:val="19"/>
          <w:szCs w:val="19"/>
          <w:color w:val="010000"/>
        </w:rPr>
        <w:t xml:space="preserve">Section 8.11 </w:t>
      </w:r>
      <w:r>
        <w:rPr>
          <w:rFonts w:ascii="Arial" w:cs="Arial" w:eastAsia="Arial" w:hAnsi="Arial"/>
          <w:sz w:val="19"/>
          <w:szCs w:val="19"/>
          <w:u w:val="single" w:color="auto"/>
          <w:color w:val="000000"/>
        </w:rPr>
        <w:t>Survival</w:t>
      </w:r>
      <w:r>
        <w:rPr>
          <w:rFonts w:ascii="Arial" w:cs="Arial" w:eastAsia="Arial" w:hAnsi="Arial"/>
          <w:sz w:val="19"/>
          <w:szCs w:val="19"/>
          <w:color w:val="000000"/>
        </w:rPr>
        <w:t>. The covenants, agreements, representations and warranties contained in this Agreement shall survive the termination</w:t>
      </w:r>
      <w:r>
        <w:rPr>
          <w:rFonts w:ascii="Arial" w:cs="Arial" w:eastAsia="Arial" w:hAnsi="Arial"/>
          <w:sz w:val="19"/>
          <w:szCs w:val="19"/>
          <w:color w:val="010000"/>
        </w:rPr>
        <w:t xml:space="preserve"> </w:t>
      </w:r>
      <w:r>
        <w:rPr>
          <w:rFonts w:ascii="Arial" w:cs="Arial" w:eastAsia="Arial" w:hAnsi="Arial"/>
          <w:sz w:val="19"/>
          <w:szCs w:val="19"/>
          <w:color w:val="000000"/>
        </w:rPr>
        <w:t>of the Employment Period and the Executive’s termination of employment with the Company for any reason.</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[Remainder of page blank; Signature page follows]</w:t>
      </w:r>
    </w:p>
    <w:p>
      <w:pPr>
        <w:spacing w:after="0" w:line="375" w:lineRule="exact"/>
        <w:rPr>
          <w:sz w:val="20"/>
          <w:szCs w:val="20"/>
          <w:color w:val="auto"/>
        </w:rPr>
      </w:pPr>
    </w:p>
    <w:p>
      <w:pPr>
        <w:ind w:left="3620"/>
        <w:spacing w:after="0"/>
        <w:rPr>
          <w:sz w:val="20"/>
          <w:szCs w:val="20"/>
          <w:color w:val="auto"/>
        </w:rPr>
      </w:pPr>
      <w:r>
        <w:rPr>
          <w:rFonts w:ascii="Arial" w:cs="Arial" w:eastAsia="Arial" w:hAnsi="Arial"/>
          <w:sz w:val="19"/>
          <w:szCs w:val="19"/>
          <w:color w:val="auto"/>
        </w:rPr>
        <w:t>19</w:t>
      </w:r>
    </w:p>
    <w:p>
      <w:pPr>
        <w:sectPr>
          <w:pgSz w:w="11900" w:h="16838" w:orient="portrait"/>
          <w:cols w:equalWidth="0" w:num="1">
            <w:col w:w="11240"/>
          </w:cols>
          <w:pgMar w:left="320" w:top="318" w:right="339" w:bottom="1440" w:gutter="0" w:footer="0" w:header="0"/>
        </w:sectPr>
      </w:pPr>
    </w:p>
    <w:bookmarkStart w:id="109" w:name="page110"/>
    <w:bookmarkEnd w:id="109"/>
    <w:p>
      <w:pPr>
        <w:ind w:firstLine="1117"/>
        <w:spacing w:after="0" w:line="264" w:lineRule="auto"/>
        <w:rPr>
          <w:sz w:val="20"/>
          <w:szCs w:val="20"/>
          <w:color w:val="auto"/>
        </w:rPr>
      </w:pPr>
      <w:r>
        <w:rPr>
          <w:rFonts w:ascii="Arial" w:cs="Arial" w:eastAsia="Arial" w:hAnsi="Arial"/>
          <w:sz w:val="19"/>
          <w:szCs w:val="19"/>
          <w:color w:val="auto"/>
        </w:rPr>
        <w:t>IN WITNESS WHEREOF, this Agreement has been executed and delivered by the Parties as of the first date written above, but effective as of the Effective Date.</w:t>
      </w:r>
    </w:p>
    <w:p>
      <w:pPr>
        <w:spacing w:after="0" w:line="148"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LIBERTY GLOBAL, INC.</w:t>
      </w:r>
    </w:p>
    <w:p>
      <w:pPr>
        <w:spacing w:after="0" w:line="200" w:lineRule="exact"/>
        <w:rPr>
          <w:sz w:val="20"/>
          <w:szCs w:val="20"/>
          <w:color w:val="auto"/>
        </w:rPr>
      </w:pPr>
    </w:p>
    <w:p>
      <w:pPr>
        <w:spacing w:after="0" w:line="245"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By: /s/ Michael T. Fries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2678430</wp:posOffset>
            </wp:positionH>
            <wp:positionV relativeFrom="paragraph">
              <wp:posOffset>-15240</wp:posOffset>
            </wp:positionV>
            <wp:extent cx="103505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1035050" cy="762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19"/>
          <w:szCs w:val="19"/>
          <w:color w:val="auto"/>
        </w:rPr>
        <w:t>Michael T. Fries</w:t>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Chief Executive Officer &amp; President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EXECUTIVE</w:t>
      </w:r>
    </w:p>
    <w:p>
      <w:pPr>
        <w:spacing w:after="0" w:line="200" w:lineRule="exact"/>
        <w:rPr>
          <w:sz w:val="20"/>
          <w:szCs w:val="20"/>
          <w:color w:val="auto"/>
        </w:rPr>
      </w:pPr>
    </w:p>
    <w:p>
      <w:pPr>
        <w:spacing w:after="0" w:line="245"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/s/ Bryan H.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2477770</wp:posOffset>
            </wp:positionH>
            <wp:positionV relativeFrom="paragraph">
              <wp:posOffset>-15240</wp:posOffset>
            </wp:positionV>
            <wp:extent cx="92583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925830" cy="762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19"/>
          <w:szCs w:val="19"/>
          <w:color w:val="auto"/>
        </w:rPr>
        <w:t>Bryan H. 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3620"/>
        <w:spacing w:after="0"/>
        <w:rPr>
          <w:sz w:val="20"/>
          <w:szCs w:val="20"/>
          <w:color w:val="auto"/>
        </w:rPr>
      </w:pPr>
      <w:r>
        <w:rPr>
          <w:rFonts w:ascii="Arial" w:cs="Arial" w:eastAsia="Arial" w:hAnsi="Arial"/>
          <w:sz w:val="19"/>
          <w:szCs w:val="19"/>
          <w:color w:val="auto"/>
        </w:rPr>
        <w:t>20</w:t>
      </w:r>
    </w:p>
    <w:p>
      <w:pPr>
        <w:sectPr>
          <w:pgSz w:w="11900" w:h="16838" w:orient="portrait"/>
          <w:cols w:equalWidth="0" w:num="1">
            <w:col w:w="11240"/>
          </w:cols>
          <w:pgMar w:left="320" w:top="318" w:right="339" w:bottom="1440" w:gutter="0" w:footer="0" w:header="0"/>
        </w:sectPr>
      </w:pPr>
    </w:p>
    <w:bookmarkStart w:id="110" w:name="page111"/>
    <w:bookmarkEnd w:id="110"/>
    <w:p>
      <w:pPr>
        <w:jc w:val="center"/>
        <w:ind w:right="19"/>
        <w:spacing w:after="0"/>
        <w:rPr>
          <w:sz w:val="20"/>
          <w:szCs w:val="20"/>
          <w:color w:val="auto"/>
        </w:rPr>
      </w:pPr>
      <w:r>
        <w:rPr>
          <w:rFonts w:ascii="Arial" w:cs="Arial" w:eastAsia="Arial" w:hAnsi="Arial"/>
          <w:sz w:val="16"/>
          <w:szCs w:val="16"/>
          <w:b w:val="1"/>
          <w:bCs w:val="1"/>
          <w:color w:val="auto"/>
        </w:rPr>
        <w:t>[Signature Page to Employment Agreement]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500"/>
        <w:spacing w:after="0"/>
        <w:rPr>
          <w:sz w:val="20"/>
          <w:szCs w:val="20"/>
          <w:color w:val="auto"/>
        </w:rPr>
      </w:pPr>
      <w:r>
        <w:rPr>
          <w:rFonts w:ascii="Arial" w:cs="Arial" w:eastAsia="Arial" w:hAnsi="Arial"/>
          <w:sz w:val="19"/>
          <w:szCs w:val="19"/>
          <w:color w:val="auto"/>
        </w:rPr>
        <w:t>21</w:t>
      </w:r>
    </w:p>
    <w:p>
      <w:pPr>
        <w:sectPr>
          <w:pgSz w:w="11900" w:h="16838" w:orient="portrait"/>
          <w:cols w:equalWidth="0" w:num="1">
            <w:col w:w="9019"/>
          </w:cols>
          <w:pgMar w:left="1440" w:top="314" w:right="1440" w:bottom="1440" w:gutter="0" w:footer="0" w:header="0"/>
        </w:sectPr>
      </w:pPr>
    </w:p>
    <w:bookmarkStart w:id="111" w:name="page112"/>
    <w:bookmarkEnd w:id="111"/>
    <w:p>
      <w:pPr>
        <w:jc w:val="center"/>
        <w:ind w:right="-6"/>
        <w:spacing w:after="0"/>
        <w:rPr>
          <w:sz w:val="20"/>
          <w:szCs w:val="20"/>
          <w:color w:val="auto"/>
        </w:rPr>
      </w:pPr>
      <w:r>
        <w:rPr>
          <w:rFonts w:ascii="Arial" w:cs="Arial" w:eastAsia="Arial" w:hAnsi="Arial"/>
          <w:sz w:val="19"/>
          <w:szCs w:val="19"/>
          <w:b w:val="1"/>
          <w:bCs w:val="1"/>
          <w:u w:val="single" w:color="auto"/>
          <w:color w:val="auto"/>
        </w:rPr>
        <w:t>EXHIBIT A</w:t>
      </w:r>
    </w:p>
    <w:p>
      <w:pPr>
        <w:spacing w:after="0" w:line="189" w:lineRule="exact"/>
        <w:rPr>
          <w:sz w:val="20"/>
          <w:szCs w:val="20"/>
          <w:color w:val="auto"/>
        </w:rPr>
      </w:pPr>
    </w:p>
    <w:p>
      <w:pPr>
        <w:jc w:val="center"/>
        <w:ind w:right="-6"/>
        <w:spacing w:after="0"/>
        <w:rPr>
          <w:sz w:val="20"/>
          <w:szCs w:val="20"/>
          <w:color w:val="auto"/>
        </w:rPr>
      </w:pPr>
      <w:r>
        <w:rPr>
          <w:rFonts w:ascii="Arial" w:cs="Arial" w:eastAsia="Arial" w:hAnsi="Arial"/>
          <w:sz w:val="19"/>
          <w:szCs w:val="19"/>
          <w:b w:val="1"/>
          <w:bCs w:val="1"/>
          <w:color w:val="auto"/>
        </w:rPr>
        <w:t>WAIVER AND RELEASE AGREEMENT</w:t>
      </w:r>
    </w:p>
    <w:p>
      <w:pPr>
        <w:spacing w:after="0" w:line="282" w:lineRule="exact"/>
        <w:rPr>
          <w:sz w:val="20"/>
          <w:szCs w:val="20"/>
          <w:color w:val="auto"/>
        </w:rPr>
      </w:pPr>
    </w:p>
    <w:p>
      <w:pPr>
        <w:jc w:val="both"/>
        <w:ind w:left="7"/>
        <w:spacing w:after="0" w:line="283" w:lineRule="auto"/>
        <w:rPr>
          <w:sz w:val="20"/>
          <w:szCs w:val="20"/>
          <w:color w:val="auto"/>
        </w:rPr>
      </w:pPr>
      <w:r>
        <w:rPr>
          <w:rFonts w:ascii="Arial" w:cs="Arial" w:eastAsia="Arial" w:hAnsi="Arial"/>
          <w:sz w:val="17"/>
          <w:szCs w:val="17"/>
          <w:color w:val="auto"/>
        </w:rPr>
        <w:t xml:space="preserve">I, </w:t>
      </w:r>
      <w:r>
        <w:rPr>
          <w:rFonts w:ascii="Arial" w:cs="Arial" w:eastAsia="Arial" w:hAnsi="Arial"/>
          <w:sz w:val="17"/>
          <w:szCs w:val="17"/>
          <w:b w:val="1"/>
          <w:bCs w:val="1"/>
          <w:color w:val="auto"/>
        </w:rPr>
        <w:t>[NAME]</w:t>
      </w:r>
      <w:r>
        <w:rPr>
          <w:rFonts w:ascii="Arial" w:cs="Arial" w:eastAsia="Arial" w:hAnsi="Arial"/>
          <w:sz w:val="17"/>
          <w:szCs w:val="17"/>
          <w:color w:val="auto"/>
        </w:rPr>
        <w:t>, do freely and voluntarily enter into this WAIVER AND RELEASE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xml:space="preserve">”), intending to be legally bound, according to the terms set forth below. I acknowledge that my employment with any and all of </w:t>
      </w:r>
      <w:r>
        <w:rPr>
          <w:rFonts w:ascii="Arial" w:cs="Arial" w:eastAsia="Arial" w:hAnsi="Arial"/>
          <w:sz w:val="17"/>
          <w:szCs w:val="17"/>
          <w:b w:val="1"/>
          <w:bCs w:val="1"/>
          <w:color w:val="auto"/>
        </w:rPr>
        <w:t>[__________________]</w:t>
      </w:r>
      <w:r>
        <w:rPr>
          <w:rFonts w:ascii="Arial" w:cs="Arial" w:eastAsia="Arial" w:hAnsi="Arial"/>
          <w:sz w:val="17"/>
          <w:szCs w:val="17"/>
          <w:color w:val="auto"/>
        </w:rPr>
        <w:t xml:space="preserve"> (collectively, the “</w:t>
      </w:r>
      <w:r>
        <w:rPr>
          <w:rFonts w:ascii="Arial" w:cs="Arial" w:eastAsia="Arial" w:hAnsi="Arial"/>
          <w:sz w:val="17"/>
          <w:szCs w:val="17"/>
          <w:u w:val="single" w:color="auto"/>
          <w:color w:val="auto"/>
        </w:rPr>
        <w:t>Company</w:t>
      </w:r>
      <w:r>
        <w:rPr>
          <w:rFonts w:ascii="Arial" w:cs="Arial" w:eastAsia="Arial" w:hAnsi="Arial"/>
          <w:sz w:val="17"/>
          <w:szCs w:val="17"/>
          <w:color w:val="auto"/>
        </w:rPr>
        <w:t>”),</w:t>
      </w:r>
    </w:p>
    <w:p>
      <w:pPr>
        <w:spacing w:after="0" w:line="1" w:lineRule="exact"/>
        <w:rPr>
          <w:sz w:val="20"/>
          <w:szCs w:val="20"/>
          <w:color w:val="auto"/>
        </w:rPr>
      </w:pPr>
    </w:p>
    <w:p>
      <w:pPr>
        <w:ind w:left="7"/>
        <w:spacing w:after="0"/>
        <w:rPr>
          <w:sz w:val="20"/>
          <w:szCs w:val="20"/>
          <w:color w:val="auto"/>
        </w:rPr>
      </w:pPr>
      <w:r>
        <w:rPr>
          <w:rFonts w:ascii="Arial" w:cs="Arial" w:eastAsia="Arial" w:hAnsi="Arial"/>
          <w:sz w:val="18"/>
          <w:szCs w:val="18"/>
          <w:color w:val="auto"/>
        </w:rPr>
        <w:t>and their affiliates (together with the Company, the “</w:t>
      </w:r>
      <w:r>
        <w:rPr>
          <w:rFonts w:ascii="Arial" w:cs="Arial" w:eastAsia="Arial" w:hAnsi="Arial"/>
          <w:sz w:val="18"/>
          <w:szCs w:val="18"/>
          <w:u w:val="single" w:color="auto"/>
          <w:color w:val="auto"/>
        </w:rPr>
        <w:t>Employer</w:t>
      </w:r>
      <w:r>
        <w:rPr>
          <w:rFonts w:ascii="Arial" w:cs="Arial" w:eastAsia="Arial" w:hAnsi="Arial"/>
          <w:sz w:val="18"/>
          <w:szCs w:val="18"/>
          <w:color w:val="auto"/>
        </w:rPr>
        <w:t>”) has been terminated as of ____________________ (the “</w:t>
      </w:r>
      <w:r>
        <w:rPr>
          <w:rFonts w:ascii="Arial" w:cs="Arial" w:eastAsia="Arial" w:hAnsi="Arial"/>
          <w:sz w:val="18"/>
          <w:szCs w:val="18"/>
          <w:u w:val="single" w:color="auto"/>
          <w:color w:val="auto"/>
        </w:rPr>
        <w:t>Termination Date</w:t>
      </w:r>
      <w:r>
        <w:rPr>
          <w:rFonts w:ascii="Arial" w:cs="Arial" w:eastAsia="Arial" w:hAnsi="Arial"/>
          <w:sz w:val="18"/>
          <w:szCs w:val="18"/>
          <w:color w:val="auto"/>
        </w:rPr>
        <w:t>”).</w:t>
      </w:r>
    </w:p>
    <w:p>
      <w:pPr>
        <w:spacing w:after="0" w:line="184" w:lineRule="exact"/>
        <w:rPr>
          <w:sz w:val="20"/>
          <w:szCs w:val="20"/>
          <w:color w:val="auto"/>
        </w:rPr>
      </w:pPr>
    </w:p>
    <w:p>
      <w:pPr>
        <w:jc w:val="both"/>
        <w:ind w:left="7"/>
        <w:spacing w:after="0" w:line="253" w:lineRule="auto"/>
        <w:rPr>
          <w:sz w:val="20"/>
          <w:szCs w:val="20"/>
          <w:color w:val="auto"/>
        </w:rPr>
      </w:pPr>
      <w:r>
        <w:rPr>
          <w:rFonts w:ascii="Arial" w:cs="Arial" w:eastAsia="Arial" w:hAnsi="Arial"/>
          <w:sz w:val="19"/>
          <w:szCs w:val="19"/>
          <w:color w:val="auto"/>
        </w:rPr>
        <w:t>I acknowledge that my Employer has agreed to provide me certain benefits (the “</w:t>
      </w:r>
      <w:r>
        <w:rPr>
          <w:rFonts w:ascii="Arial" w:cs="Arial" w:eastAsia="Arial" w:hAnsi="Arial"/>
          <w:sz w:val="19"/>
          <w:szCs w:val="19"/>
          <w:u w:val="single" w:color="auto"/>
          <w:color w:val="auto"/>
        </w:rPr>
        <w:t>Benefits</w:t>
      </w:r>
      <w:r>
        <w:rPr>
          <w:rFonts w:ascii="Arial" w:cs="Arial" w:eastAsia="Arial" w:hAnsi="Arial"/>
          <w:sz w:val="19"/>
          <w:szCs w:val="19"/>
          <w:color w:val="auto"/>
        </w:rPr>
        <w:t>”) pursuant to Section (__) of that certain Employment Agreement between _________, and me effective as of ________ (the “</w:t>
      </w:r>
      <w:r>
        <w:rPr>
          <w:rFonts w:ascii="Arial" w:cs="Arial" w:eastAsia="Arial" w:hAnsi="Arial"/>
          <w:sz w:val="19"/>
          <w:szCs w:val="19"/>
          <w:u w:val="single" w:color="auto"/>
          <w:color w:val="auto"/>
        </w:rPr>
        <w:t>Employment Agreement</w:t>
      </w:r>
      <w:r>
        <w:rPr>
          <w:rFonts w:ascii="Arial" w:cs="Arial" w:eastAsia="Arial" w:hAnsi="Arial"/>
          <w:sz w:val="19"/>
          <w:szCs w:val="19"/>
          <w:color w:val="auto"/>
        </w:rPr>
        <w:t>”). Such Benefits shall be provided in accordance with the terms and conditions of the Employment Agreement.</w:t>
      </w:r>
    </w:p>
    <w:p>
      <w:pPr>
        <w:spacing w:after="0" w:line="158" w:lineRule="exact"/>
        <w:rPr>
          <w:sz w:val="20"/>
          <w:szCs w:val="20"/>
          <w:color w:val="auto"/>
        </w:rPr>
      </w:pPr>
    </w:p>
    <w:p>
      <w:pPr>
        <w:ind w:left="7"/>
        <w:spacing w:after="0" w:line="264" w:lineRule="auto"/>
        <w:rPr>
          <w:sz w:val="20"/>
          <w:szCs w:val="20"/>
          <w:color w:val="auto"/>
        </w:rPr>
      </w:pPr>
      <w:r>
        <w:rPr>
          <w:rFonts w:ascii="Arial" w:cs="Arial" w:eastAsia="Arial" w:hAnsi="Arial"/>
          <w:sz w:val="19"/>
          <w:szCs w:val="19"/>
          <w:color w:val="auto"/>
        </w:rPr>
        <w:t>I understand that the Company will not deduct from the Benefits any employee contributions to the [Liberty Global 401(k) Savings and Stock Ownership Plan] (the “</w:t>
      </w:r>
      <w:r>
        <w:rPr>
          <w:rFonts w:ascii="Arial" w:cs="Arial" w:eastAsia="Arial" w:hAnsi="Arial"/>
          <w:sz w:val="19"/>
          <w:szCs w:val="19"/>
          <w:u w:val="single" w:color="auto"/>
          <w:color w:val="auto"/>
        </w:rPr>
        <w:t>Plan</w:t>
      </w:r>
      <w:r>
        <w:rPr>
          <w:rFonts w:ascii="Arial" w:cs="Arial" w:eastAsia="Arial" w:hAnsi="Arial"/>
          <w:sz w:val="19"/>
          <w:szCs w:val="19"/>
          <w:color w:val="auto"/>
        </w:rPr>
        <w:t>”).</w:t>
      </w:r>
    </w:p>
    <w:p>
      <w:pPr>
        <w:spacing w:after="0" w:line="148" w:lineRule="exact"/>
        <w:rPr>
          <w:sz w:val="20"/>
          <w:szCs w:val="20"/>
          <w:color w:val="auto"/>
        </w:rPr>
      </w:pPr>
    </w:p>
    <w:p>
      <w:pPr>
        <w:ind w:left="7"/>
        <w:spacing w:after="0"/>
        <w:rPr>
          <w:sz w:val="20"/>
          <w:szCs w:val="20"/>
          <w:color w:val="auto"/>
        </w:rPr>
      </w:pPr>
      <w:r>
        <w:rPr>
          <w:rFonts w:ascii="Arial" w:cs="Arial" w:eastAsia="Arial" w:hAnsi="Arial"/>
          <w:sz w:val="19"/>
          <w:szCs w:val="19"/>
          <w:color w:val="auto"/>
        </w:rPr>
        <w:t>For this valuable consideration, I hereby agree and state as follows:</w:t>
      </w:r>
    </w:p>
    <w:p>
      <w:pPr>
        <w:spacing w:after="0" w:line="189" w:lineRule="exact"/>
        <w:rPr>
          <w:sz w:val="20"/>
          <w:szCs w:val="20"/>
          <w:color w:val="auto"/>
        </w:rPr>
      </w:pPr>
    </w:p>
    <w:p>
      <w:pPr>
        <w:jc w:val="both"/>
        <w:ind w:left="567" w:hanging="567"/>
        <w:spacing w:after="0" w:line="291" w:lineRule="auto"/>
        <w:tabs>
          <w:tab w:leader="none" w:pos="567" w:val="left"/>
        </w:tabs>
        <w:numPr>
          <w:ilvl w:val="0"/>
          <w:numId w:val="100"/>
        </w:numPr>
        <w:rPr>
          <w:rFonts w:ascii="Arial" w:cs="Arial" w:eastAsia="Arial" w:hAnsi="Arial"/>
          <w:sz w:val="16"/>
          <w:szCs w:val="16"/>
          <w:color w:val="auto"/>
        </w:rPr>
      </w:pPr>
      <w:r>
        <w:rPr>
          <w:rFonts w:ascii="Arial" w:cs="Arial" w:eastAsia="Arial" w:hAnsi="Arial"/>
          <w:sz w:val="16"/>
          <w:szCs w:val="16"/>
          <w:color w:val="auto"/>
        </w:rPr>
        <w:t>I, individually and on behalf of my successors, heirs and assigns, release, waive and discharge Employer, and any of its parents, subsidiaries, or otherwise affiliated corporations, partnerships or business enterprises, and their respective present and former directors, officers, shareholders, employees, and assigns (hereinafter, “</w:t>
      </w:r>
      <w:r>
        <w:rPr>
          <w:rFonts w:ascii="Arial" w:cs="Arial" w:eastAsia="Arial" w:hAnsi="Arial"/>
          <w:sz w:val="16"/>
          <w:szCs w:val="16"/>
          <w:u w:val="single" w:color="auto"/>
          <w:color w:val="auto"/>
        </w:rPr>
        <w:t>Released Parties</w:t>
      </w:r>
      <w:r>
        <w:rPr>
          <w:rFonts w:ascii="Arial" w:cs="Arial" w:eastAsia="Arial" w:hAnsi="Arial"/>
          <w:sz w:val="16"/>
          <w:szCs w:val="16"/>
          <w:color w:val="auto"/>
        </w:rPr>
        <w:t xml:space="preserve">”), from any and all causes of action, claims, charges, demands, losses, damages, costs, attorneys’ fees and liabilities of any kind that I may have or claim to have relating to my employment relationship with the Employer, including my service as a director of the Company, or the termination thereof, relating to or arising out of any act of commission or omission from the beginning of time through the date of my execution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nothing contained herein shall release any claim I may have: (i) for indemnification under Employer’s constituent documents or any other agreement that I have with any of the Released Parties;</w:t>
      </w:r>
    </w:p>
    <w:p>
      <w:pPr>
        <w:spacing w:after="0" w:line="1" w:lineRule="exact"/>
        <w:rPr>
          <w:rFonts w:ascii="Arial" w:cs="Arial" w:eastAsia="Arial" w:hAnsi="Arial"/>
          <w:sz w:val="16"/>
          <w:szCs w:val="16"/>
          <w:color w:val="auto"/>
        </w:rPr>
      </w:pPr>
    </w:p>
    <w:p>
      <w:pPr>
        <w:jc w:val="both"/>
        <w:ind w:left="567" w:hanging="8"/>
        <w:spacing w:after="0" w:line="259" w:lineRule="auto"/>
        <w:tabs>
          <w:tab w:leader="none" w:pos="865" w:val="left"/>
        </w:tabs>
        <w:numPr>
          <w:ilvl w:val="1"/>
          <w:numId w:val="100"/>
        </w:numPr>
        <w:rPr>
          <w:rFonts w:ascii="Arial" w:cs="Arial" w:eastAsia="Arial" w:hAnsi="Arial"/>
          <w:sz w:val="18"/>
          <w:szCs w:val="18"/>
          <w:color w:val="auto"/>
        </w:rPr>
      </w:pPr>
      <w:r>
        <w:rPr>
          <w:rFonts w:ascii="Arial" w:cs="Arial" w:eastAsia="Arial" w:hAnsi="Arial"/>
          <w:sz w:val="18"/>
          <w:szCs w:val="18"/>
          <w:color w:val="auto"/>
        </w:rPr>
        <w:t>for unemployment compensation benefits; (iii) to enforce the obligations of Employer set forth in the Employment Agreement; (iv) to vested amounts held in my name in accordance with the conditions and terms of any plan, program or arrangement sponsored or maintained by any of the Released Parties, including, without limitation the Plan and any nonqualified deferred compensation plan; (v) to outstanding equity awards granted to me (collectively, the “</w:t>
      </w:r>
      <w:r>
        <w:rPr>
          <w:rFonts w:ascii="Arial" w:cs="Arial" w:eastAsia="Arial" w:hAnsi="Arial"/>
          <w:sz w:val="18"/>
          <w:szCs w:val="18"/>
          <w:u w:val="single" w:color="auto"/>
          <w:color w:val="auto"/>
        </w:rPr>
        <w:t>Grants</w:t>
      </w:r>
      <w:r>
        <w:rPr>
          <w:rFonts w:ascii="Arial" w:cs="Arial" w:eastAsia="Arial" w:hAnsi="Arial"/>
          <w:sz w:val="18"/>
          <w:szCs w:val="18"/>
          <w:color w:val="auto"/>
        </w:rPr>
        <w:t>”), which shall be subject to the terms and conditions of the applicable incentive plan and the agreement evidencing the respective Grant, as modified by the Employment Agreement; (vi) to benefits under any employee benefit plan maintained or sponsored by any of the Released Parties, including health care continuation under COBRA; or (vii) to rights as a shareholder of the Company.</w:t>
      </w:r>
    </w:p>
    <w:p>
      <w:pPr>
        <w:spacing w:after="0" w:line="153" w:lineRule="exact"/>
        <w:rPr>
          <w:rFonts w:ascii="Arial" w:cs="Arial" w:eastAsia="Arial" w:hAnsi="Arial"/>
          <w:sz w:val="18"/>
          <w:szCs w:val="18"/>
          <w:color w:val="auto"/>
        </w:rPr>
      </w:pPr>
    </w:p>
    <w:p>
      <w:pPr>
        <w:ind w:left="567" w:right="20" w:hanging="567"/>
        <w:spacing w:after="0" w:line="264" w:lineRule="auto"/>
        <w:tabs>
          <w:tab w:leader="none" w:pos="567" w:val="left"/>
        </w:tabs>
        <w:numPr>
          <w:ilvl w:val="0"/>
          <w:numId w:val="100"/>
        </w:numPr>
        <w:rPr>
          <w:rFonts w:ascii="Arial" w:cs="Arial" w:eastAsia="Arial" w:hAnsi="Arial"/>
          <w:sz w:val="19"/>
          <w:szCs w:val="19"/>
          <w:color w:val="auto"/>
        </w:rPr>
      </w:pPr>
      <w:r>
        <w:rPr>
          <w:rFonts w:ascii="Arial" w:cs="Arial" w:eastAsia="Arial" w:hAnsi="Arial"/>
          <w:sz w:val="19"/>
          <w:szCs w:val="19"/>
          <w:color w:val="auto"/>
        </w:rPr>
        <w:t>This release includes, but is not limited to, the following claims, and shall apply to claims made in the United States, the United Kingdom, and/or any country or territory where such a claim can be made:</w:t>
      </w:r>
    </w:p>
    <w:p>
      <w:pPr>
        <w:spacing w:after="0" w:line="334" w:lineRule="exact"/>
        <w:rPr>
          <w:sz w:val="20"/>
          <w:szCs w:val="20"/>
          <w:color w:val="auto"/>
        </w:rPr>
      </w:pPr>
    </w:p>
    <w:p>
      <w:pPr>
        <w:ind w:left="3627"/>
        <w:spacing w:after="0"/>
        <w:rPr>
          <w:sz w:val="20"/>
          <w:szCs w:val="20"/>
          <w:color w:val="auto"/>
        </w:rPr>
      </w:pPr>
      <w:r>
        <w:rPr>
          <w:rFonts w:ascii="Arial" w:cs="Arial" w:eastAsia="Arial" w:hAnsi="Arial"/>
          <w:sz w:val="19"/>
          <w:szCs w:val="19"/>
          <w:color w:val="auto"/>
        </w:rPr>
        <w:t>B-1</w:t>
      </w:r>
    </w:p>
    <w:p>
      <w:pPr>
        <w:sectPr>
          <w:pgSz w:w="11900" w:h="16838" w:orient="portrait"/>
          <w:cols w:equalWidth="0" w:num="1">
            <w:col w:w="11267"/>
          </w:cols>
          <w:pgMar w:left="313" w:top="314" w:right="319" w:bottom="1440" w:gutter="0" w:footer="0" w:header="0"/>
        </w:sectPr>
      </w:pPr>
    </w:p>
    <w:bookmarkStart w:id="112" w:name="page113"/>
    <w:bookmarkEnd w:id="112"/>
    <w:p>
      <w:pPr>
        <w:jc w:val="both"/>
        <w:ind w:left="568" w:hanging="568"/>
        <w:spacing w:after="0" w:line="288" w:lineRule="auto"/>
        <w:tabs>
          <w:tab w:leader="none" w:pos="568" w:val="left"/>
        </w:tabs>
        <w:numPr>
          <w:ilvl w:val="0"/>
          <w:numId w:val="101"/>
        </w:numPr>
        <w:rPr>
          <w:rFonts w:ascii="Arial" w:cs="Arial" w:eastAsia="Arial" w:hAnsi="Arial"/>
          <w:sz w:val="17"/>
          <w:szCs w:val="17"/>
          <w:color w:val="auto"/>
        </w:rPr>
      </w:pPr>
      <w:r>
        <w:rPr>
          <w:rFonts w:ascii="Arial" w:cs="Arial" w:eastAsia="Arial" w:hAnsi="Arial"/>
          <w:sz w:val="17"/>
          <w:szCs w:val="17"/>
          <w:color w:val="auto"/>
        </w:rPr>
        <w:t xml:space="preserve">Claims under federal, state, local or foreign laws prohibiting age, sex, race, national origin, disability, religion, sexual orientation, marital status, retaliation, or any other form of discrimination, or mistreatment, such as, but not limited to, the Age Discrimination in Employment Act, (29 U.S.C. §621 </w:t>
      </w:r>
      <w:r>
        <w:rPr>
          <w:rFonts w:ascii="Arial" w:cs="Arial" w:eastAsia="Arial" w:hAnsi="Arial"/>
          <w:sz w:val="17"/>
          <w:szCs w:val="17"/>
          <w:u w:val="single" w:color="auto"/>
          <w:color w:val="auto"/>
        </w:rPr>
        <w:t>et seq</w:t>
      </w:r>
      <w:r>
        <w:rPr>
          <w:rFonts w:ascii="Arial" w:cs="Arial" w:eastAsia="Arial" w:hAnsi="Arial"/>
          <w:sz w:val="17"/>
          <w:szCs w:val="17"/>
          <w:color w:val="auto"/>
        </w:rPr>
        <w:t>), Title VII of the Civil Rights Act of 1964, the Civil Rights Act of 1991, 42 U.S.C. §1981, §1985, §1986, the Americans with Disabilities Act, and the National Labor Relations Act, as amended, 29 U.S.C. §151, et seq;</w:t>
      </w:r>
    </w:p>
    <w:p>
      <w:pPr>
        <w:spacing w:after="0" w:line="132" w:lineRule="exact"/>
        <w:rPr>
          <w:rFonts w:ascii="Arial" w:cs="Arial" w:eastAsia="Arial" w:hAnsi="Arial"/>
          <w:sz w:val="17"/>
          <w:szCs w:val="17"/>
          <w:color w:val="auto"/>
        </w:rPr>
      </w:pPr>
    </w:p>
    <w:p>
      <w:pPr>
        <w:ind w:left="568" w:hanging="568"/>
        <w:spacing w:after="0"/>
        <w:tabs>
          <w:tab w:leader="none" w:pos="568" w:val="left"/>
        </w:tabs>
        <w:numPr>
          <w:ilvl w:val="0"/>
          <w:numId w:val="101"/>
        </w:numPr>
        <w:rPr>
          <w:rFonts w:ascii="Arial" w:cs="Arial" w:eastAsia="Arial" w:hAnsi="Arial"/>
          <w:sz w:val="19"/>
          <w:szCs w:val="19"/>
          <w:color w:val="auto"/>
        </w:rPr>
      </w:pPr>
      <w:r>
        <w:rPr>
          <w:rFonts w:ascii="Arial" w:cs="Arial" w:eastAsia="Arial" w:hAnsi="Arial"/>
          <w:sz w:val="19"/>
          <w:szCs w:val="19"/>
          <w:color w:val="auto"/>
        </w:rPr>
        <w:t>Intentional or negligent infliction of emotional distress, defamation, invasion of privacy, and other tort claims;</w:t>
      </w:r>
    </w:p>
    <w:p>
      <w:pPr>
        <w:spacing w:after="0" w:line="188" w:lineRule="exact"/>
        <w:rPr>
          <w:rFonts w:ascii="Arial" w:cs="Arial" w:eastAsia="Arial" w:hAnsi="Arial"/>
          <w:sz w:val="19"/>
          <w:szCs w:val="19"/>
          <w:color w:val="auto"/>
        </w:rPr>
      </w:pPr>
    </w:p>
    <w:p>
      <w:pPr>
        <w:ind w:left="568" w:hanging="568"/>
        <w:spacing w:after="0"/>
        <w:tabs>
          <w:tab w:leader="none" w:pos="568" w:val="left"/>
        </w:tabs>
        <w:numPr>
          <w:ilvl w:val="0"/>
          <w:numId w:val="101"/>
        </w:numPr>
        <w:rPr>
          <w:rFonts w:ascii="Arial" w:cs="Arial" w:eastAsia="Arial" w:hAnsi="Arial"/>
          <w:sz w:val="19"/>
          <w:szCs w:val="19"/>
          <w:color w:val="auto"/>
        </w:rPr>
      </w:pPr>
      <w:r>
        <w:rPr>
          <w:rFonts w:ascii="Arial" w:cs="Arial" w:eastAsia="Arial" w:hAnsi="Arial"/>
          <w:sz w:val="19"/>
          <w:szCs w:val="19"/>
          <w:color w:val="auto"/>
        </w:rPr>
        <w:t>Breach of express or implied contract claims;</w:t>
      </w:r>
    </w:p>
    <w:p>
      <w:pPr>
        <w:spacing w:after="0" w:line="188" w:lineRule="exact"/>
        <w:rPr>
          <w:rFonts w:ascii="Arial" w:cs="Arial" w:eastAsia="Arial" w:hAnsi="Arial"/>
          <w:sz w:val="19"/>
          <w:szCs w:val="19"/>
          <w:color w:val="auto"/>
        </w:rPr>
      </w:pPr>
    </w:p>
    <w:p>
      <w:pPr>
        <w:ind w:left="568" w:hanging="568"/>
        <w:spacing w:after="0"/>
        <w:tabs>
          <w:tab w:leader="none" w:pos="568" w:val="left"/>
        </w:tabs>
        <w:numPr>
          <w:ilvl w:val="0"/>
          <w:numId w:val="101"/>
        </w:numPr>
        <w:rPr>
          <w:rFonts w:ascii="Arial" w:cs="Arial" w:eastAsia="Arial" w:hAnsi="Arial"/>
          <w:sz w:val="19"/>
          <w:szCs w:val="19"/>
          <w:color w:val="auto"/>
        </w:rPr>
      </w:pPr>
      <w:r>
        <w:rPr>
          <w:rFonts w:ascii="Arial" w:cs="Arial" w:eastAsia="Arial" w:hAnsi="Arial"/>
          <w:sz w:val="19"/>
          <w:szCs w:val="19"/>
          <w:color w:val="auto"/>
        </w:rPr>
        <w:t>Promissory estoppel claims;</w:t>
      </w:r>
    </w:p>
    <w:p>
      <w:pPr>
        <w:spacing w:after="0" w:line="188" w:lineRule="exact"/>
        <w:rPr>
          <w:rFonts w:ascii="Arial" w:cs="Arial" w:eastAsia="Arial" w:hAnsi="Arial"/>
          <w:sz w:val="19"/>
          <w:szCs w:val="19"/>
          <w:color w:val="auto"/>
        </w:rPr>
      </w:pPr>
    </w:p>
    <w:p>
      <w:pPr>
        <w:ind w:left="568" w:hanging="568"/>
        <w:spacing w:after="0"/>
        <w:tabs>
          <w:tab w:leader="none" w:pos="568" w:val="left"/>
        </w:tabs>
        <w:numPr>
          <w:ilvl w:val="0"/>
          <w:numId w:val="101"/>
        </w:numPr>
        <w:rPr>
          <w:rFonts w:ascii="Arial" w:cs="Arial" w:eastAsia="Arial" w:hAnsi="Arial"/>
          <w:sz w:val="19"/>
          <w:szCs w:val="19"/>
          <w:color w:val="auto"/>
        </w:rPr>
      </w:pPr>
      <w:r>
        <w:rPr>
          <w:rFonts w:ascii="Arial" w:cs="Arial" w:eastAsia="Arial" w:hAnsi="Arial"/>
          <w:sz w:val="19"/>
          <w:szCs w:val="19"/>
          <w:color w:val="auto"/>
        </w:rPr>
        <w:t>Retaliatory discharge claims;</w:t>
      </w:r>
    </w:p>
    <w:p>
      <w:pPr>
        <w:spacing w:after="0" w:line="188" w:lineRule="exact"/>
        <w:rPr>
          <w:rFonts w:ascii="Arial" w:cs="Arial" w:eastAsia="Arial" w:hAnsi="Arial"/>
          <w:sz w:val="19"/>
          <w:szCs w:val="19"/>
          <w:color w:val="auto"/>
        </w:rPr>
      </w:pPr>
    </w:p>
    <w:p>
      <w:pPr>
        <w:ind w:left="568" w:hanging="568"/>
        <w:spacing w:after="0"/>
        <w:tabs>
          <w:tab w:leader="none" w:pos="568" w:val="left"/>
        </w:tabs>
        <w:numPr>
          <w:ilvl w:val="0"/>
          <w:numId w:val="101"/>
        </w:numPr>
        <w:rPr>
          <w:rFonts w:ascii="Arial" w:cs="Arial" w:eastAsia="Arial" w:hAnsi="Arial"/>
          <w:sz w:val="19"/>
          <w:szCs w:val="19"/>
          <w:color w:val="auto"/>
        </w:rPr>
      </w:pPr>
      <w:r>
        <w:rPr>
          <w:rFonts w:ascii="Arial" w:cs="Arial" w:eastAsia="Arial" w:hAnsi="Arial"/>
          <w:sz w:val="19"/>
          <w:szCs w:val="19"/>
          <w:color w:val="auto"/>
        </w:rPr>
        <w:t>Wrongful discharge claims;</w:t>
      </w:r>
    </w:p>
    <w:p>
      <w:pPr>
        <w:spacing w:after="0" w:line="188" w:lineRule="exact"/>
        <w:rPr>
          <w:rFonts w:ascii="Arial" w:cs="Arial" w:eastAsia="Arial" w:hAnsi="Arial"/>
          <w:sz w:val="19"/>
          <w:szCs w:val="19"/>
          <w:color w:val="auto"/>
        </w:rPr>
      </w:pPr>
    </w:p>
    <w:p>
      <w:pPr>
        <w:ind w:left="568" w:hanging="568"/>
        <w:spacing w:after="0"/>
        <w:tabs>
          <w:tab w:leader="none" w:pos="568" w:val="left"/>
        </w:tabs>
        <w:numPr>
          <w:ilvl w:val="0"/>
          <w:numId w:val="101"/>
        </w:numPr>
        <w:rPr>
          <w:rFonts w:ascii="Arial" w:cs="Arial" w:eastAsia="Arial" w:hAnsi="Arial"/>
          <w:sz w:val="19"/>
          <w:szCs w:val="19"/>
          <w:color w:val="auto"/>
        </w:rPr>
      </w:pPr>
      <w:r>
        <w:rPr>
          <w:rFonts w:ascii="Arial" w:cs="Arial" w:eastAsia="Arial" w:hAnsi="Arial"/>
          <w:sz w:val="19"/>
          <w:szCs w:val="19"/>
          <w:color w:val="auto"/>
        </w:rPr>
        <w:t>Breach of any express or implied covenant of good faith and fair dealing;</w:t>
      </w:r>
    </w:p>
    <w:p>
      <w:pPr>
        <w:spacing w:after="0" w:line="188" w:lineRule="exact"/>
        <w:rPr>
          <w:rFonts w:ascii="Arial" w:cs="Arial" w:eastAsia="Arial" w:hAnsi="Arial"/>
          <w:sz w:val="19"/>
          <w:szCs w:val="19"/>
          <w:color w:val="auto"/>
        </w:rPr>
      </w:pPr>
    </w:p>
    <w:p>
      <w:pPr>
        <w:ind w:left="568" w:hanging="568"/>
        <w:spacing w:after="0"/>
        <w:tabs>
          <w:tab w:leader="none" w:pos="568" w:val="left"/>
        </w:tabs>
        <w:numPr>
          <w:ilvl w:val="0"/>
          <w:numId w:val="101"/>
        </w:numPr>
        <w:rPr>
          <w:rFonts w:ascii="Arial" w:cs="Arial" w:eastAsia="Arial" w:hAnsi="Arial"/>
          <w:sz w:val="19"/>
          <w:szCs w:val="19"/>
          <w:color w:val="auto"/>
        </w:rPr>
      </w:pPr>
      <w:r>
        <w:rPr>
          <w:rFonts w:ascii="Arial" w:cs="Arial" w:eastAsia="Arial" w:hAnsi="Arial"/>
          <w:sz w:val="19"/>
          <w:szCs w:val="19"/>
          <w:color w:val="auto"/>
        </w:rPr>
        <w:t>Constructive discharge;</w:t>
      </w:r>
    </w:p>
    <w:p>
      <w:pPr>
        <w:spacing w:after="0" w:line="188" w:lineRule="exact"/>
        <w:rPr>
          <w:rFonts w:ascii="Arial" w:cs="Arial" w:eastAsia="Arial" w:hAnsi="Arial"/>
          <w:sz w:val="19"/>
          <w:szCs w:val="19"/>
          <w:color w:val="auto"/>
        </w:rPr>
      </w:pPr>
    </w:p>
    <w:p>
      <w:pPr>
        <w:ind w:left="568" w:hanging="568"/>
        <w:spacing w:after="0"/>
        <w:tabs>
          <w:tab w:leader="none" w:pos="568" w:val="left"/>
        </w:tabs>
        <w:numPr>
          <w:ilvl w:val="0"/>
          <w:numId w:val="101"/>
        </w:numPr>
        <w:rPr>
          <w:rFonts w:ascii="Arial" w:cs="Arial" w:eastAsia="Arial" w:hAnsi="Arial"/>
          <w:sz w:val="19"/>
          <w:szCs w:val="19"/>
          <w:color w:val="auto"/>
        </w:rPr>
      </w:pPr>
      <w:r>
        <w:rPr>
          <w:rFonts w:ascii="Arial" w:cs="Arial" w:eastAsia="Arial" w:hAnsi="Arial"/>
          <w:sz w:val="19"/>
          <w:szCs w:val="19"/>
          <w:color w:val="auto"/>
        </w:rPr>
        <w:t>Claims arising out of or related to any applicable federal, state or foreign constitutions;</w:t>
      </w:r>
    </w:p>
    <w:p>
      <w:pPr>
        <w:spacing w:after="0" w:line="188" w:lineRule="exact"/>
        <w:rPr>
          <w:rFonts w:ascii="Arial" w:cs="Arial" w:eastAsia="Arial" w:hAnsi="Arial"/>
          <w:sz w:val="19"/>
          <w:szCs w:val="19"/>
          <w:color w:val="auto"/>
        </w:rPr>
      </w:pPr>
    </w:p>
    <w:p>
      <w:pPr>
        <w:jc w:val="both"/>
        <w:ind w:left="568" w:hanging="568"/>
        <w:spacing w:after="0" w:line="249" w:lineRule="auto"/>
        <w:tabs>
          <w:tab w:leader="none" w:pos="568" w:val="left"/>
        </w:tabs>
        <w:numPr>
          <w:ilvl w:val="0"/>
          <w:numId w:val="101"/>
        </w:numPr>
        <w:rPr>
          <w:rFonts w:ascii="Arial" w:cs="Arial" w:eastAsia="Arial" w:hAnsi="Arial"/>
          <w:sz w:val="19"/>
          <w:szCs w:val="19"/>
          <w:color w:val="auto"/>
        </w:rPr>
      </w:pPr>
      <w:r>
        <w:rPr>
          <w:rFonts w:ascii="Arial" w:cs="Arial" w:eastAsia="Arial" w:hAnsi="Arial"/>
          <w:sz w:val="19"/>
          <w:szCs w:val="19"/>
          <w:color w:val="auto"/>
        </w:rPr>
        <w:t xml:space="preserve">Claims for compensation, including without limitation, any wages, bonus payments, on call pay, overtime pay, commissions, and any other claim pertaining to local, state, federal or foreign wage and hour or other compensation laws, such as, but not limited to, the Worker Adjustment and Retraining Notification Act, 29 U.S.C. §2101,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and the Fair Labor Standards Act, as amended, 29 U.S.C. §201, </w:t>
      </w:r>
      <w:r>
        <w:rPr>
          <w:rFonts w:ascii="Arial" w:cs="Arial" w:eastAsia="Arial" w:hAnsi="Arial"/>
          <w:sz w:val="19"/>
          <w:szCs w:val="19"/>
          <w:u w:val="single" w:color="auto"/>
          <w:color w:val="auto"/>
        </w:rPr>
        <w:t>et seq</w:t>
      </w:r>
      <w:r>
        <w:rPr>
          <w:rFonts w:ascii="Arial" w:cs="Arial" w:eastAsia="Arial" w:hAnsi="Arial"/>
          <w:sz w:val="19"/>
          <w:szCs w:val="19"/>
          <w:color w:val="auto"/>
        </w:rPr>
        <w:t>.;</w:t>
      </w:r>
    </w:p>
    <w:p>
      <w:pPr>
        <w:spacing w:after="0" w:line="163" w:lineRule="exact"/>
        <w:rPr>
          <w:rFonts w:ascii="Arial" w:cs="Arial" w:eastAsia="Arial" w:hAnsi="Arial"/>
          <w:sz w:val="19"/>
          <w:szCs w:val="19"/>
          <w:color w:val="auto"/>
        </w:rPr>
      </w:pPr>
    </w:p>
    <w:p>
      <w:pPr>
        <w:ind w:left="568" w:hanging="568"/>
        <w:spacing w:after="0"/>
        <w:tabs>
          <w:tab w:leader="none" w:pos="568" w:val="left"/>
        </w:tabs>
        <w:numPr>
          <w:ilvl w:val="0"/>
          <w:numId w:val="101"/>
        </w:numPr>
        <w:rPr>
          <w:rFonts w:ascii="Arial" w:cs="Arial" w:eastAsia="Arial" w:hAnsi="Arial"/>
          <w:sz w:val="19"/>
          <w:szCs w:val="19"/>
          <w:color w:val="auto"/>
        </w:rPr>
      </w:pPr>
      <w:r>
        <w:rPr>
          <w:rFonts w:ascii="Arial" w:cs="Arial" w:eastAsia="Arial" w:hAnsi="Arial"/>
          <w:sz w:val="19"/>
          <w:szCs w:val="19"/>
          <w:color w:val="auto"/>
        </w:rPr>
        <w:t>Fraud, misrepresentation, and/or fraudulent inducement;</w:t>
      </w:r>
    </w:p>
    <w:p>
      <w:pPr>
        <w:spacing w:after="0" w:line="188" w:lineRule="exact"/>
        <w:rPr>
          <w:rFonts w:ascii="Arial" w:cs="Arial" w:eastAsia="Arial" w:hAnsi="Arial"/>
          <w:sz w:val="19"/>
          <w:szCs w:val="19"/>
          <w:color w:val="auto"/>
        </w:rPr>
      </w:pPr>
    </w:p>
    <w:p>
      <w:pPr>
        <w:ind w:left="568" w:hanging="568"/>
        <w:spacing w:after="0"/>
        <w:tabs>
          <w:tab w:leader="none" w:pos="568" w:val="left"/>
        </w:tabs>
        <w:numPr>
          <w:ilvl w:val="0"/>
          <w:numId w:val="101"/>
        </w:numPr>
        <w:rPr>
          <w:rFonts w:ascii="Arial" w:cs="Arial" w:eastAsia="Arial" w:hAnsi="Arial"/>
          <w:sz w:val="19"/>
          <w:szCs w:val="19"/>
          <w:color w:val="auto"/>
        </w:rPr>
      </w:pPr>
      <w:r>
        <w:rPr>
          <w:rFonts w:ascii="Arial" w:cs="Arial" w:eastAsia="Arial" w:hAnsi="Arial"/>
          <w:sz w:val="19"/>
          <w:szCs w:val="19"/>
          <w:color w:val="auto"/>
        </w:rPr>
        <w:t>Claims made under or pursuant to any severance plan or program maintained by any of the Released Parties;</w:t>
      </w:r>
    </w:p>
    <w:p>
      <w:pPr>
        <w:spacing w:after="0" w:line="188" w:lineRule="exact"/>
        <w:rPr>
          <w:rFonts w:ascii="Arial" w:cs="Arial" w:eastAsia="Arial" w:hAnsi="Arial"/>
          <w:sz w:val="19"/>
          <w:szCs w:val="19"/>
          <w:color w:val="auto"/>
        </w:rPr>
      </w:pPr>
    </w:p>
    <w:p>
      <w:pPr>
        <w:ind w:left="568" w:right="20" w:hanging="568"/>
        <w:spacing w:after="0" w:line="264" w:lineRule="auto"/>
        <w:tabs>
          <w:tab w:leader="none" w:pos="568" w:val="left"/>
        </w:tabs>
        <w:numPr>
          <w:ilvl w:val="0"/>
          <w:numId w:val="101"/>
        </w:numPr>
        <w:rPr>
          <w:rFonts w:ascii="Arial" w:cs="Arial" w:eastAsia="Arial" w:hAnsi="Arial"/>
          <w:sz w:val="19"/>
          <w:szCs w:val="19"/>
          <w:color w:val="auto"/>
        </w:rPr>
      </w:pPr>
      <w:r>
        <w:rPr>
          <w:rFonts w:ascii="Arial" w:cs="Arial" w:eastAsia="Arial" w:hAnsi="Arial"/>
          <w:sz w:val="19"/>
          <w:szCs w:val="19"/>
          <w:color w:val="auto"/>
        </w:rPr>
        <w:t>Claims of breach of any data privacy or similar laws in connection with the handling or investigation of any whistleblower complaints or any other investigation by Employer or its representatives; and</w:t>
      </w:r>
    </w:p>
    <w:p>
      <w:pPr>
        <w:spacing w:after="0" w:line="147" w:lineRule="exact"/>
        <w:rPr>
          <w:rFonts w:ascii="Arial" w:cs="Arial" w:eastAsia="Arial" w:hAnsi="Arial"/>
          <w:sz w:val="19"/>
          <w:szCs w:val="19"/>
          <w:color w:val="auto"/>
        </w:rPr>
      </w:pPr>
    </w:p>
    <w:p>
      <w:pPr>
        <w:ind w:left="568" w:hanging="568"/>
        <w:spacing w:after="0"/>
        <w:tabs>
          <w:tab w:leader="none" w:pos="56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Other legal and equitable claims regarding my employment or the termination of my employment, other than as set forth herein.</w:t>
      </w:r>
    </w:p>
    <w:p>
      <w:pPr>
        <w:spacing w:after="0" w:line="386" w:lineRule="exact"/>
        <w:rPr>
          <w:sz w:val="20"/>
          <w:szCs w:val="20"/>
          <w:color w:val="auto"/>
        </w:rPr>
      </w:pPr>
    </w:p>
    <w:p>
      <w:pPr>
        <w:ind w:left="3068"/>
        <w:spacing w:after="0"/>
        <w:rPr>
          <w:sz w:val="20"/>
          <w:szCs w:val="20"/>
          <w:color w:val="auto"/>
        </w:rPr>
      </w:pPr>
      <w:r>
        <w:rPr>
          <w:rFonts w:ascii="Arial" w:cs="Arial" w:eastAsia="Arial" w:hAnsi="Arial"/>
          <w:sz w:val="19"/>
          <w:szCs w:val="19"/>
          <w:color w:val="auto"/>
        </w:rPr>
        <w:t>A-2</w:t>
      </w:r>
    </w:p>
    <w:p>
      <w:pPr>
        <w:sectPr>
          <w:pgSz w:w="11900" w:h="16838" w:orient="portrait"/>
          <w:cols w:equalWidth="0" w:num="1">
            <w:col w:w="10708"/>
          </w:cols>
          <w:pgMar w:left="872" w:top="318" w:right="319" w:bottom="1440" w:gutter="0" w:footer="0" w:header="0"/>
        </w:sectPr>
      </w:pPr>
    </w:p>
    <w:bookmarkStart w:id="113" w:name="page114"/>
    <w:bookmarkEnd w:id="113"/>
    <w:p>
      <w:pPr>
        <w:jc w:val="both"/>
        <w:ind w:left="567" w:hanging="567"/>
        <w:spacing w:after="0" w:line="253" w:lineRule="auto"/>
        <w:tabs>
          <w:tab w:leader="none" w:pos="567" w:val="left"/>
        </w:tabs>
        <w:numPr>
          <w:ilvl w:val="0"/>
          <w:numId w:val="102"/>
        </w:numPr>
        <w:rPr>
          <w:rFonts w:ascii="Arial" w:cs="Arial" w:eastAsia="Arial" w:hAnsi="Arial"/>
          <w:sz w:val="19"/>
          <w:szCs w:val="19"/>
          <w:color w:val="auto"/>
        </w:rPr>
      </w:pPr>
      <w:r>
        <w:rPr>
          <w:rFonts w:ascii="Arial" w:cs="Arial" w:eastAsia="Arial" w:hAnsi="Arial"/>
          <w:sz w:val="19"/>
          <w:szCs w:val="19"/>
          <w:color w:val="auto"/>
        </w:rPr>
        <w:t>I hereby warrant and represent that I have not filed or caused to be filed any charge or claim against any Released Party with any administrative agency, court of law or other tribunal. I agree that I am not entitled to any remedy or relief if I were to pursue any such claim, complaint or charge.</w:t>
      </w:r>
    </w:p>
    <w:p>
      <w:pPr>
        <w:spacing w:after="0" w:line="158" w:lineRule="exact"/>
        <w:rPr>
          <w:rFonts w:ascii="Arial" w:cs="Arial" w:eastAsia="Arial" w:hAnsi="Arial"/>
          <w:sz w:val="19"/>
          <w:szCs w:val="19"/>
          <w:color w:val="auto"/>
        </w:rPr>
      </w:pPr>
    </w:p>
    <w:p>
      <w:pPr>
        <w:ind w:left="567" w:hanging="567"/>
        <w:spacing w:after="0"/>
        <w:tabs>
          <w:tab w:leader="none" w:pos="567" w:val="left"/>
        </w:tabs>
        <w:numPr>
          <w:ilvl w:val="0"/>
          <w:numId w:val="102"/>
        </w:numPr>
        <w:rPr>
          <w:rFonts w:ascii="Arial" w:cs="Arial" w:eastAsia="Arial" w:hAnsi="Arial"/>
          <w:sz w:val="19"/>
          <w:szCs w:val="19"/>
          <w:color w:val="auto"/>
        </w:rPr>
      </w:pPr>
      <w:r>
        <w:rPr>
          <w:rFonts w:ascii="Arial" w:cs="Arial" w:eastAsia="Arial" w:hAnsi="Arial"/>
          <w:sz w:val="19"/>
          <w:szCs w:val="19"/>
          <w:color w:val="auto"/>
        </w:rPr>
        <w:t>I hereby acknowledge that I am age forty (40) or older.</w:t>
      </w:r>
    </w:p>
    <w:p>
      <w:pPr>
        <w:spacing w:after="0" w:line="188" w:lineRule="exact"/>
        <w:rPr>
          <w:rFonts w:ascii="Arial" w:cs="Arial" w:eastAsia="Arial" w:hAnsi="Arial"/>
          <w:sz w:val="19"/>
          <w:szCs w:val="19"/>
          <w:color w:val="auto"/>
        </w:rPr>
      </w:pPr>
    </w:p>
    <w:p>
      <w:pPr>
        <w:jc w:val="both"/>
        <w:ind w:left="567" w:hanging="567"/>
        <w:spacing w:after="0" w:line="249" w:lineRule="auto"/>
        <w:tabs>
          <w:tab w:leader="none" w:pos="567" w:val="left"/>
        </w:tabs>
        <w:numPr>
          <w:ilvl w:val="0"/>
          <w:numId w:val="102"/>
        </w:numPr>
        <w:rPr>
          <w:rFonts w:ascii="Arial" w:cs="Arial" w:eastAsia="Arial" w:hAnsi="Arial"/>
          <w:sz w:val="19"/>
          <w:szCs w:val="19"/>
          <w:color w:val="auto"/>
        </w:rPr>
      </w:pPr>
      <w:r>
        <w:rPr>
          <w:rFonts w:ascii="Arial" w:cs="Arial" w:eastAsia="Arial" w:hAnsi="Arial"/>
          <w:sz w:val="19"/>
          <w:szCs w:val="19"/>
          <w:color w:val="auto"/>
        </w:rPr>
        <w:t>BY SIGNING THIS AGREEMENT, I ACKNOWLEDGE THAT EMPLOYER HAS ADVISED ME TO DISCUSS THIS WAIVER AND RELEASE AGREEMENT WITH AN ATTORNEY BEFORE SIGNING THIS AGREEMENT. I acknowledge and agree that the Released Parties are not responsible for any of my costs, expenses, and attorney’s fees, if any, incurred in connection with any claim or the review and signing of this Agreement.</w:t>
      </w:r>
    </w:p>
    <w:p>
      <w:pPr>
        <w:spacing w:after="0" w:line="163" w:lineRule="exact"/>
        <w:rPr>
          <w:rFonts w:ascii="Arial" w:cs="Arial" w:eastAsia="Arial" w:hAnsi="Arial"/>
          <w:sz w:val="19"/>
          <w:szCs w:val="19"/>
          <w:color w:val="auto"/>
        </w:rPr>
      </w:pPr>
    </w:p>
    <w:p>
      <w:pPr>
        <w:ind w:left="567" w:hanging="567"/>
        <w:spacing w:after="0" w:line="196" w:lineRule="exact"/>
        <w:tabs>
          <w:tab w:leader="none" w:pos="567" w:val="left"/>
        </w:tabs>
        <w:numPr>
          <w:ilvl w:val="0"/>
          <w:numId w:val="102"/>
        </w:numPr>
        <w:rPr>
          <w:rFonts w:ascii="Arial" w:cs="Arial" w:eastAsia="Arial" w:hAnsi="Arial"/>
          <w:sz w:val="17"/>
          <w:szCs w:val="17"/>
          <w:color w:val="auto"/>
        </w:rPr>
      </w:pPr>
      <w:r>
        <w:rPr>
          <w:rFonts w:ascii="Arial" w:cs="Arial" w:eastAsia="Arial" w:hAnsi="Arial"/>
          <w:sz w:val="17"/>
          <w:szCs w:val="17"/>
          <w:color w:val="auto"/>
        </w:rPr>
        <w:t>I acknowledge and state that I have been given a period of at least twenty</w:t>
      </w:r>
      <w:r>
        <w:rPr>
          <w:rFonts w:ascii="MS PGothic" w:cs="MS PGothic" w:eastAsia="MS PGothic" w:hAnsi="MS PGothic"/>
          <w:sz w:val="17"/>
          <w:szCs w:val="17"/>
          <w:color w:val="auto"/>
        </w:rPr>
        <w:t>‑</w:t>
      </w:r>
      <w:r>
        <w:rPr>
          <w:rFonts w:ascii="Arial" w:cs="Arial" w:eastAsia="Arial" w:hAnsi="Arial"/>
          <w:sz w:val="17"/>
          <w:szCs w:val="17"/>
          <w:color w:val="auto"/>
        </w:rPr>
        <w:t>one (21) days in which to consider the terms of this Agreement.</w:t>
      </w:r>
    </w:p>
    <w:p>
      <w:pPr>
        <w:spacing w:after="0" w:line="207" w:lineRule="exact"/>
        <w:rPr>
          <w:rFonts w:ascii="Arial" w:cs="Arial" w:eastAsia="Arial" w:hAnsi="Arial"/>
          <w:sz w:val="17"/>
          <w:szCs w:val="17"/>
          <w:color w:val="auto"/>
        </w:rPr>
      </w:pPr>
    </w:p>
    <w:p>
      <w:pPr>
        <w:jc w:val="both"/>
        <w:ind w:left="567" w:hanging="567"/>
        <w:spacing w:after="0" w:line="290" w:lineRule="auto"/>
        <w:tabs>
          <w:tab w:leader="none" w:pos="567" w:val="left"/>
        </w:tabs>
        <w:numPr>
          <w:ilvl w:val="0"/>
          <w:numId w:val="102"/>
        </w:numPr>
        <w:rPr>
          <w:rFonts w:ascii="Arial" w:cs="Arial" w:eastAsia="Arial" w:hAnsi="Arial"/>
          <w:sz w:val="17"/>
          <w:szCs w:val="17"/>
          <w:color w:val="auto"/>
        </w:rPr>
      </w:pPr>
      <w:r>
        <w:rPr>
          <w:rFonts w:ascii="Arial" w:cs="Arial" w:eastAsia="Arial" w:hAnsi="Arial"/>
          <w:sz w:val="17"/>
          <w:szCs w:val="17"/>
          <w:color w:val="auto"/>
        </w:rPr>
        <w:t xml:space="preserve">I understand that I have the right to revoke this Agreement at any time within </w:t>
      </w:r>
      <w:r>
        <w:rPr>
          <w:rFonts w:ascii="Arial" w:cs="Arial" w:eastAsia="Arial" w:hAnsi="Arial"/>
          <w:sz w:val="17"/>
          <w:szCs w:val="17"/>
          <w:b w:val="1"/>
          <w:bCs w:val="1"/>
          <w:color w:val="auto"/>
        </w:rPr>
        <w:t>seven (7) days</w:t>
      </w:r>
      <w:r>
        <w:rPr>
          <w:rFonts w:ascii="Arial" w:cs="Arial" w:eastAsia="Arial" w:hAnsi="Arial"/>
          <w:sz w:val="17"/>
          <w:szCs w:val="17"/>
          <w:color w:val="auto"/>
        </w:rPr>
        <w:t xml:space="preserve"> after signing it, by providing </w:t>
      </w:r>
      <w:r>
        <w:rPr>
          <w:rFonts w:ascii="Arial" w:cs="Arial" w:eastAsia="Arial" w:hAnsi="Arial"/>
          <w:sz w:val="17"/>
          <w:szCs w:val="17"/>
          <w:b w:val="1"/>
          <w:bCs w:val="1"/>
          <w:color w:val="auto"/>
        </w:rPr>
        <w:t>written notice</w:t>
      </w:r>
      <w:r>
        <w:rPr>
          <w:rFonts w:ascii="Arial" w:cs="Arial" w:eastAsia="Arial" w:hAnsi="Arial"/>
          <w:sz w:val="17"/>
          <w:szCs w:val="17"/>
          <w:color w:val="auto"/>
        </w:rPr>
        <w:t xml:space="preserve"> to the Company, Attn. General Counsel at 1550 Wewatta Street, Denver, CO 80202, and this Agreement is not effective or enforceable until the seven (7) day revocation period has expired. In the event I revoke this Agreement, the Company shall have no obligation to provide me the Benefits. I understand that failure to revoke my acceptance of this Agreement will result in this Agreement being permanent and irrevocable.</w:t>
      </w:r>
    </w:p>
    <w:p>
      <w:pPr>
        <w:spacing w:after="0" w:line="129" w:lineRule="exact"/>
        <w:rPr>
          <w:rFonts w:ascii="Arial" w:cs="Arial" w:eastAsia="Arial" w:hAnsi="Arial"/>
          <w:sz w:val="17"/>
          <w:szCs w:val="17"/>
          <w:color w:val="auto"/>
        </w:rPr>
      </w:pPr>
    </w:p>
    <w:p>
      <w:pPr>
        <w:ind w:left="567" w:right="20" w:hanging="567"/>
        <w:spacing w:after="0" w:line="292" w:lineRule="auto"/>
        <w:tabs>
          <w:tab w:leader="none" w:pos="567"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 agree that this Agreement is a compromise of claims and charges and/or potential claims and charges which are or may be in dispute, and that this Agreement does not constitute an admission of liability or an admission against interest of any Released Party.</w:t>
      </w:r>
    </w:p>
    <w:p>
      <w:pPr>
        <w:spacing w:after="0" w:line="124" w:lineRule="exact"/>
        <w:rPr>
          <w:rFonts w:ascii="Arial" w:cs="Arial" w:eastAsia="Arial" w:hAnsi="Arial"/>
          <w:sz w:val="18"/>
          <w:szCs w:val="18"/>
          <w:color w:val="auto"/>
        </w:rPr>
      </w:pPr>
    </w:p>
    <w:p>
      <w:pPr>
        <w:jc w:val="both"/>
        <w:ind w:left="567" w:hanging="567"/>
        <w:spacing w:after="0" w:line="261" w:lineRule="auto"/>
        <w:tabs>
          <w:tab w:leader="none" w:pos="567" w:val="left"/>
        </w:tabs>
        <w:numPr>
          <w:ilvl w:val="0"/>
          <w:numId w:val="102"/>
        </w:numPr>
        <w:rPr>
          <w:rFonts w:ascii="Arial" w:cs="Arial" w:eastAsia="Arial" w:hAnsi="Arial"/>
          <w:sz w:val="18"/>
          <w:szCs w:val="18"/>
          <w:color w:val="auto"/>
        </w:rPr>
      </w:pPr>
      <w:r>
        <w:rPr>
          <w:rFonts w:ascii="Arial" w:cs="Arial" w:eastAsia="Arial" w:hAnsi="Arial"/>
          <w:sz w:val="18"/>
          <w:szCs w:val="18"/>
          <w:color w:val="auto"/>
        </w:rPr>
        <w:t>Nothing herein prohibits or prevents me from filing a charge with or participating, testifying or assisting in any investigation, hearing, whistleblower action or other proceeding before any federal, state or local government agency, nor does anything herein preclude, prohibit or otherwise limit, in any way, my rights and abilities to contact, communicate with, report matters to or otherwise participate in any whistleblower program administered by any such agencies. Pursuant to the Defend Trade Secrets Act of 2016, I understand that I shall not be held criminally or civilly liable under any federal or state trade secret law for the disclosure of any confidential information of the Company that (i) is made (A) in confidence to a federal, state or local government official, either directly or indirectly, or to an attorney and (B) solely for the purpose of reporting or investigating a suspected violation of law or (ii) is made in a complaint or other document filed in a lawsuit or other proceeding, if such filing is made under seal.</w:t>
      </w:r>
    </w:p>
    <w:p>
      <w:pPr>
        <w:spacing w:after="0" w:line="153" w:lineRule="exact"/>
        <w:rPr>
          <w:rFonts w:ascii="Arial" w:cs="Arial" w:eastAsia="Arial" w:hAnsi="Arial"/>
          <w:sz w:val="18"/>
          <w:szCs w:val="18"/>
          <w:color w:val="auto"/>
        </w:rPr>
      </w:pPr>
    </w:p>
    <w:p>
      <w:pPr>
        <w:ind w:left="567" w:hanging="567"/>
        <w:spacing w:after="0"/>
        <w:tabs>
          <w:tab w:leader="none" w:pos="567" w:val="left"/>
        </w:tabs>
        <w:numPr>
          <w:ilvl w:val="0"/>
          <w:numId w:val="102"/>
        </w:numPr>
        <w:rPr>
          <w:rFonts w:ascii="Arial" w:cs="Arial" w:eastAsia="Arial" w:hAnsi="Arial"/>
          <w:sz w:val="19"/>
          <w:szCs w:val="19"/>
          <w:color w:val="auto"/>
        </w:rPr>
      </w:pPr>
      <w:r>
        <w:rPr>
          <w:rFonts w:ascii="Arial" w:cs="Arial" w:eastAsia="Arial" w:hAnsi="Arial"/>
          <w:sz w:val="19"/>
          <w:szCs w:val="19"/>
          <w:color w:val="auto"/>
        </w:rPr>
        <w:t>This Agreement is made and is effective as of the date first written below.</w:t>
      </w:r>
    </w:p>
    <w:p>
      <w:pPr>
        <w:spacing w:after="0" w:line="188" w:lineRule="exact"/>
        <w:rPr>
          <w:rFonts w:ascii="Arial" w:cs="Arial" w:eastAsia="Arial" w:hAnsi="Arial"/>
          <w:sz w:val="19"/>
          <w:szCs w:val="19"/>
          <w:color w:val="auto"/>
        </w:rPr>
      </w:pPr>
    </w:p>
    <w:p>
      <w:pPr>
        <w:ind w:left="567" w:right="20" w:hanging="567"/>
        <w:spacing w:after="0" w:line="264" w:lineRule="auto"/>
        <w:tabs>
          <w:tab w:leader="none" w:pos="567" w:val="left"/>
        </w:tabs>
        <w:numPr>
          <w:ilvl w:val="0"/>
          <w:numId w:val="102"/>
        </w:numPr>
        <w:rPr>
          <w:rFonts w:ascii="Arial" w:cs="Arial" w:eastAsia="Arial" w:hAnsi="Arial"/>
          <w:sz w:val="19"/>
          <w:szCs w:val="19"/>
          <w:color w:val="auto"/>
        </w:rPr>
      </w:pPr>
      <w:r>
        <w:rPr>
          <w:rFonts w:ascii="Arial" w:cs="Arial" w:eastAsia="Arial" w:hAnsi="Arial"/>
          <w:sz w:val="19"/>
          <w:szCs w:val="19"/>
          <w:color w:val="auto"/>
        </w:rPr>
        <w:t>This Agreement becomes null and void and has no further force or effect if Employer does not receive the executed Agreement by 5:00 p.m., Mountain Time, __________, 20___.</w:t>
      </w:r>
    </w:p>
    <w:p>
      <w:pPr>
        <w:spacing w:after="0" w:line="334" w:lineRule="exact"/>
        <w:rPr>
          <w:sz w:val="20"/>
          <w:szCs w:val="20"/>
          <w:color w:val="auto"/>
        </w:rPr>
      </w:pPr>
    </w:p>
    <w:p>
      <w:pPr>
        <w:ind w:left="3627"/>
        <w:spacing w:after="0"/>
        <w:rPr>
          <w:sz w:val="20"/>
          <w:szCs w:val="20"/>
          <w:color w:val="auto"/>
        </w:rPr>
      </w:pPr>
      <w:r>
        <w:rPr>
          <w:rFonts w:ascii="Arial" w:cs="Arial" w:eastAsia="Arial" w:hAnsi="Arial"/>
          <w:sz w:val="19"/>
          <w:szCs w:val="19"/>
          <w:color w:val="auto"/>
        </w:rPr>
        <w:t>A-3</w:t>
      </w:r>
    </w:p>
    <w:p>
      <w:pPr>
        <w:sectPr>
          <w:pgSz w:w="11900" w:h="16838" w:orient="portrait"/>
          <w:cols w:equalWidth="0" w:num="1">
            <w:col w:w="11267"/>
          </w:cols>
          <w:pgMar w:left="313" w:top="318" w:right="319" w:bottom="1440" w:gutter="0" w:footer="0" w:header="0"/>
        </w:sectPr>
      </w:pPr>
    </w:p>
    <w:bookmarkStart w:id="114" w:name="page115"/>
    <w:bookmarkEnd w:id="114"/>
    <w:p>
      <w:pPr>
        <w:spacing w:after="0"/>
        <w:rPr>
          <w:sz w:val="20"/>
          <w:szCs w:val="20"/>
          <w:color w:val="auto"/>
        </w:rPr>
      </w:pPr>
      <w:r>
        <w:rPr>
          <w:rFonts w:ascii="Arial" w:cs="Arial" w:eastAsia="Arial" w:hAnsi="Arial"/>
          <w:sz w:val="17"/>
          <w:szCs w:val="17"/>
          <w:color w:val="auto"/>
        </w:rPr>
        <w:t>IN WITNESS WHEREOF, I have placed my signature this ____ day of _________, 20___.</w:t>
      </w:r>
    </w:p>
    <w:p>
      <w:pPr>
        <w:spacing w:after="0" w:line="208" w:lineRule="exact"/>
        <w:rPr>
          <w:sz w:val="20"/>
          <w:szCs w:val="20"/>
          <w:color w:val="auto"/>
        </w:rPr>
      </w:pPr>
    </w:p>
    <w:p>
      <w:pPr>
        <w:ind w:left="2780"/>
        <w:spacing w:after="0"/>
        <w:rPr>
          <w:sz w:val="20"/>
          <w:szCs w:val="20"/>
          <w:color w:val="auto"/>
        </w:rPr>
      </w:pPr>
      <w:r>
        <w:rPr>
          <w:rFonts w:ascii="Arial" w:cs="Arial" w:eastAsia="Arial" w:hAnsi="Arial"/>
          <w:sz w:val="19"/>
          <w:szCs w:val="19"/>
          <w:b w:val="1"/>
          <w:bCs w:val="1"/>
          <w:color w:val="auto"/>
        </w:rPr>
        <w:t>EXECUTIVE</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6376670</wp:posOffset>
            </wp:positionH>
            <wp:positionV relativeFrom="paragraph">
              <wp:posOffset>503555</wp:posOffset>
            </wp:positionV>
            <wp:extent cx="11303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11303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780"/>
        <w:spacing w:after="0"/>
        <w:rPr>
          <w:sz w:val="20"/>
          <w:szCs w:val="20"/>
          <w:color w:val="auto"/>
        </w:rPr>
      </w:pPr>
      <w:r>
        <w:rPr>
          <w:rFonts w:ascii="Arial" w:cs="Arial" w:eastAsia="Arial" w:hAnsi="Arial"/>
          <w:sz w:val="19"/>
          <w:szCs w:val="19"/>
          <w:b w:val="1"/>
          <w:bCs w:val="1"/>
          <w:color w:val="auto"/>
        </w:rPr>
        <w:t>[NAME]</w:t>
      </w:r>
    </w:p>
    <w:p>
      <w:pPr>
        <w:spacing w:after="0" w:line="379" w:lineRule="exact"/>
        <w:rPr>
          <w:sz w:val="20"/>
          <w:szCs w:val="20"/>
          <w:color w:val="auto"/>
        </w:rPr>
      </w:pPr>
    </w:p>
    <w:p>
      <w:pPr>
        <w:ind w:left="2500"/>
        <w:spacing w:after="0"/>
        <w:rPr>
          <w:sz w:val="20"/>
          <w:szCs w:val="20"/>
          <w:color w:val="auto"/>
        </w:rPr>
      </w:pPr>
      <w:r>
        <w:rPr>
          <w:rFonts w:ascii="Arial" w:cs="Arial" w:eastAsia="Arial" w:hAnsi="Arial"/>
          <w:sz w:val="19"/>
          <w:szCs w:val="19"/>
          <w:color w:val="auto"/>
        </w:rPr>
        <w:t>A-4</w:t>
      </w:r>
    </w:p>
    <w:p>
      <w:pPr>
        <w:sectPr>
          <w:pgSz w:w="11900" w:h="16838" w:orient="portrait"/>
          <w:cols w:equalWidth="0" w:num="1">
            <w:col w:w="9019"/>
          </w:cols>
          <w:pgMar w:left="1440" w:top="318" w:right="1440" w:bottom="1440" w:gutter="0" w:footer="0" w:header="0"/>
        </w:sectPr>
      </w:pPr>
    </w:p>
    <w:bookmarkStart w:id="115" w:name="page116"/>
    <w:bookmarkEnd w:id="115"/>
    <w:p>
      <w:pPr>
        <w:jc w:val="right"/>
        <w:spacing w:after="0"/>
        <w:rPr>
          <w:sz w:val="20"/>
          <w:szCs w:val="20"/>
          <w:color w:val="auto"/>
        </w:rPr>
      </w:pPr>
      <w:r>
        <w:rPr>
          <w:rFonts w:ascii="Arial" w:cs="Arial" w:eastAsia="Arial" w:hAnsi="Arial"/>
          <w:sz w:val="16"/>
          <w:szCs w:val="16"/>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Dated 19</w:t>
      </w:r>
      <w:r>
        <w:rPr>
          <w:rFonts w:ascii="Arial" w:cs="Arial" w:eastAsia="Arial" w:hAnsi="Arial"/>
          <w:sz w:val="14"/>
          <w:szCs w:val="14"/>
          <w:b w:val="1"/>
          <w:bCs w:val="1"/>
          <w:color w:val="auto"/>
        </w:rPr>
        <w:t>th</w:t>
      </w:r>
      <w:r>
        <w:rPr>
          <w:rFonts w:ascii="Arial" w:cs="Arial" w:eastAsia="Arial" w:hAnsi="Arial"/>
          <w:sz w:val="17"/>
          <w:szCs w:val="17"/>
          <w:b w:val="1"/>
          <w:bCs w:val="1"/>
          <w:color w:val="auto"/>
        </w:rPr>
        <w:t xml:space="preserve"> May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left="580"/>
        <w:spacing w:after="0"/>
        <w:rPr>
          <w:sz w:val="20"/>
          <w:szCs w:val="20"/>
          <w:color w:val="auto"/>
        </w:rPr>
      </w:pPr>
      <w:r>
        <w:rPr>
          <w:rFonts w:ascii="Arial" w:cs="Arial" w:eastAsia="Arial" w:hAnsi="Arial"/>
          <w:sz w:val="17"/>
          <w:szCs w:val="17"/>
          <w:b w:val="1"/>
          <w:bCs w:val="1"/>
          <w:color w:val="auto"/>
        </w:rPr>
        <w:t>UGC EUROPE SERVICES LTD</w:t>
      </w:r>
    </w:p>
    <w:p>
      <w:pPr>
        <w:spacing w:after="0" w:line="177" w:lineRule="exact"/>
        <w:rPr>
          <w:sz w:val="20"/>
          <w:szCs w:val="20"/>
          <w:color w:val="auto"/>
        </w:rPr>
      </w:pPr>
    </w:p>
    <w:p>
      <w:pPr>
        <w:jc w:val="center"/>
        <w:ind w:left="580"/>
        <w:spacing w:after="0"/>
        <w:rPr>
          <w:sz w:val="20"/>
          <w:szCs w:val="20"/>
          <w:color w:val="auto"/>
        </w:rPr>
      </w:pPr>
      <w:r>
        <w:rPr>
          <w:rFonts w:ascii="Arial" w:cs="Arial" w:eastAsia="Arial" w:hAnsi="Arial"/>
          <w:sz w:val="17"/>
          <w:szCs w:val="17"/>
          <w:b w:val="1"/>
          <w:bCs w:val="1"/>
          <w:color w:val="auto"/>
        </w:rPr>
        <w:t>and</w:t>
      </w:r>
    </w:p>
    <w:p>
      <w:pPr>
        <w:spacing w:after="0" w:line="177" w:lineRule="exact"/>
        <w:rPr>
          <w:sz w:val="20"/>
          <w:szCs w:val="20"/>
          <w:color w:val="auto"/>
        </w:rPr>
      </w:pPr>
    </w:p>
    <w:p>
      <w:pPr>
        <w:jc w:val="center"/>
        <w:ind w:left="580"/>
        <w:spacing w:after="0"/>
        <w:rPr>
          <w:sz w:val="20"/>
          <w:szCs w:val="20"/>
          <w:color w:val="auto"/>
        </w:rPr>
      </w:pPr>
      <w:r>
        <w:rPr>
          <w:rFonts w:ascii="Arial" w:cs="Arial" w:eastAsia="Arial" w:hAnsi="Arial"/>
          <w:sz w:val="17"/>
          <w:szCs w:val="17"/>
          <w:b w:val="1"/>
          <w:bCs w:val="1"/>
          <w:color w:val="auto"/>
        </w:rPr>
        <w:t>ANDREA SALVATO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1938655</wp:posOffset>
            </wp:positionH>
            <wp:positionV relativeFrom="paragraph">
              <wp:posOffset>1205865</wp:posOffset>
            </wp:positionV>
            <wp:extent cx="364236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364236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480"/>
        <w:spacing w:after="0"/>
        <w:rPr>
          <w:sz w:val="20"/>
          <w:szCs w:val="20"/>
          <w:color w:val="auto"/>
        </w:rPr>
      </w:pPr>
      <w:r>
        <w:rPr>
          <w:rFonts w:ascii="Arial" w:cs="Arial" w:eastAsia="Arial" w:hAnsi="Arial"/>
          <w:sz w:val="17"/>
          <w:szCs w:val="17"/>
          <w:b w:val="1"/>
          <w:bCs w:val="1"/>
          <w:color w:val="auto"/>
        </w:rPr>
        <w:t>EXECUTIVE SERVICE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1938655</wp:posOffset>
            </wp:positionH>
            <wp:positionV relativeFrom="paragraph">
              <wp:posOffset>245110</wp:posOffset>
            </wp:positionV>
            <wp:extent cx="364236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364236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color w:val="auto"/>
        </w:rPr>
        <w:t>322520-1</w:t>
      </w:r>
    </w:p>
    <w:p>
      <w:pPr>
        <w:sectPr>
          <w:pgSz w:w="11900" w:h="16838" w:orient="portrait"/>
          <w:cols w:equalWidth="0" w:num="1">
            <w:col w:w="11260"/>
          </w:cols>
          <w:pgMar w:left="320" w:top="123" w:right="319" w:bottom="1440" w:gutter="0" w:footer="0" w:header="0"/>
        </w:sectPr>
      </w:pPr>
    </w:p>
    <w:bookmarkStart w:id="116" w:name="page117"/>
    <w:bookmarkEnd w:id="116"/>
    <w:p>
      <w:pPr>
        <w:ind w:left="7"/>
        <w:spacing w:after="0"/>
        <w:rPr>
          <w:sz w:val="20"/>
          <w:szCs w:val="20"/>
          <w:color w:val="auto"/>
        </w:rPr>
      </w:pPr>
      <w:r>
        <w:rPr>
          <w:rFonts w:ascii="Arial" w:cs="Arial" w:eastAsia="Arial" w:hAnsi="Arial"/>
          <w:sz w:val="17"/>
          <w:szCs w:val="17"/>
          <w:b w:val="1"/>
          <w:bCs w:val="1"/>
          <w:color w:val="auto"/>
        </w:rPr>
        <w:t xml:space="preserve">THIS AGREEMENT </w:t>
      </w:r>
      <w:r>
        <w:rPr>
          <w:rFonts w:ascii="Arial" w:cs="Arial" w:eastAsia="Arial" w:hAnsi="Arial"/>
          <w:sz w:val="17"/>
          <w:szCs w:val="17"/>
          <w:color w:val="auto"/>
        </w:rPr>
        <w:t>is made on / / 2005</w:t>
      </w:r>
    </w:p>
    <w:p>
      <w:pPr>
        <w:spacing w:after="0" w:line="247" w:lineRule="exact"/>
        <w:rPr>
          <w:sz w:val="20"/>
          <w:szCs w:val="20"/>
          <w:color w:val="auto"/>
        </w:rPr>
      </w:pPr>
    </w:p>
    <w:p>
      <w:pPr>
        <w:ind w:left="7"/>
        <w:spacing w:after="0"/>
        <w:rPr>
          <w:sz w:val="20"/>
          <w:szCs w:val="20"/>
          <w:color w:val="auto"/>
        </w:rPr>
      </w:pPr>
      <w:r>
        <w:rPr>
          <w:rFonts w:ascii="Arial" w:cs="Arial" w:eastAsia="Arial" w:hAnsi="Arial"/>
          <w:sz w:val="17"/>
          <w:szCs w:val="17"/>
          <w:b w:val="1"/>
          <w:bCs w:val="1"/>
          <w:color w:val="auto"/>
        </w:rPr>
        <w:t>BETWEEN:</w:t>
      </w:r>
    </w:p>
    <w:p>
      <w:pPr>
        <w:spacing w:after="0" w:line="247" w:lineRule="exact"/>
        <w:rPr>
          <w:sz w:val="20"/>
          <w:szCs w:val="20"/>
          <w:color w:val="auto"/>
        </w:rPr>
      </w:pPr>
    </w:p>
    <w:p>
      <w:pPr>
        <w:ind w:left="607" w:right="20" w:hanging="607"/>
        <w:spacing w:after="0" w:line="306" w:lineRule="auto"/>
        <w:tabs>
          <w:tab w:leader="none" w:pos="607" w:val="left"/>
        </w:tabs>
        <w:numPr>
          <w:ilvl w:val="0"/>
          <w:numId w:val="103"/>
        </w:numPr>
        <w:rPr>
          <w:rFonts w:ascii="Arial" w:cs="Arial" w:eastAsia="Arial" w:hAnsi="Arial"/>
          <w:sz w:val="17"/>
          <w:szCs w:val="17"/>
          <w:color w:val="auto"/>
        </w:rPr>
      </w:pPr>
      <w:r>
        <w:rPr>
          <w:rFonts w:ascii="Arial" w:cs="Arial" w:eastAsia="Arial" w:hAnsi="Arial"/>
          <w:sz w:val="17"/>
          <w:szCs w:val="17"/>
          <w:b w:val="1"/>
          <w:bCs w:val="1"/>
          <w:color w:val="auto"/>
        </w:rPr>
        <w:t>UGC Europe Services Ltd</w:t>
      </w:r>
      <w:r>
        <w:rPr>
          <w:rFonts w:ascii="Arial" w:cs="Arial" w:eastAsia="Arial" w:hAnsi="Arial"/>
          <w:sz w:val="17"/>
          <w:szCs w:val="17"/>
          <w:color w:val="auto"/>
        </w:rPr>
        <w:t>, a limited liability company duly organised and existing under the laws of England and Wales, whose registered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office is at Michelin House, 81 Fulham Road, London, SW3 6RD. United Kingdom (the </w:t>
      </w:r>
      <w:r>
        <w:rPr>
          <w:rFonts w:ascii="Arial" w:cs="Arial" w:eastAsia="Arial" w:hAnsi="Arial"/>
          <w:sz w:val="17"/>
          <w:szCs w:val="17"/>
          <w:b w:val="1"/>
          <w:bCs w:val="1"/>
          <w:color w:val="auto"/>
        </w:rPr>
        <w:t>“Company”</w:t>
      </w:r>
      <w:r>
        <w:rPr>
          <w:rFonts w:ascii="Arial" w:cs="Arial" w:eastAsia="Arial" w:hAnsi="Arial"/>
          <w:sz w:val="17"/>
          <w:szCs w:val="17"/>
          <w:color w:val="auto"/>
        </w:rPr>
        <w:t>); and</w:t>
      </w:r>
    </w:p>
    <w:p>
      <w:pPr>
        <w:spacing w:after="0" w:line="164" w:lineRule="exact"/>
        <w:rPr>
          <w:rFonts w:ascii="Arial" w:cs="Arial" w:eastAsia="Arial" w:hAnsi="Arial"/>
          <w:sz w:val="17"/>
          <w:szCs w:val="17"/>
          <w:color w:val="auto"/>
        </w:rPr>
      </w:pPr>
    </w:p>
    <w:p>
      <w:pPr>
        <w:ind w:left="607" w:hanging="607"/>
        <w:spacing w:after="0"/>
        <w:tabs>
          <w:tab w:leader="none" w:pos="607" w:val="left"/>
        </w:tabs>
        <w:numPr>
          <w:ilvl w:val="0"/>
          <w:numId w:val="103"/>
        </w:numPr>
        <w:rPr>
          <w:rFonts w:ascii="Arial" w:cs="Arial" w:eastAsia="Arial" w:hAnsi="Arial"/>
          <w:sz w:val="17"/>
          <w:szCs w:val="17"/>
          <w:color w:val="auto"/>
        </w:rPr>
      </w:pPr>
      <w:r>
        <w:rPr>
          <w:rFonts w:ascii="Arial" w:cs="Arial" w:eastAsia="Arial" w:hAnsi="Arial"/>
          <w:sz w:val="17"/>
          <w:szCs w:val="17"/>
          <w:b w:val="1"/>
          <w:bCs w:val="1"/>
          <w:color w:val="auto"/>
        </w:rPr>
        <w:t xml:space="preserve">Andrea Salvato, </w:t>
      </w:r>
      <w:r>
        <w:rPr>
          <w:rFonts w:ascii="Arial" w:cs="Arial" w:eastAsia="Arial" w:hAnsi="Arial"/>
          <w:sz w:val="17"/>
          <w:szCs w:val="17"/>
          <w:color w:val="auto"/>
        </w:rPr>
        <w:t>of (the</w:t>
      </w:r>
      <w:r>
        <w:rPr>
          <w:rFonts w:ascii="Arial" w:cs="Arial" w:eastAsia="Arial" w:hAnsi="Arial"/>
          <w:sz w:val="17"/>
          <w:szCs w:val="17"/>
          <w:b w:val="1"/>
          <w:bCs w:val="1"/>
          <w:color w:val="auto"/>
        </w:rPr>
        <w:t xml:space="preserve"> “Executive”</w:t>
      </w:r>
      <w:r>
        <w:rPr>
          <w:rFonts w:ascii="Arial" w:cs="Arial" w:eastAsia="Arial" w:hAnsi="Arial"/>
          <w:sz w:val="17"/>
          <w:szCs w:val="17"/>
          <w:color w:val="auto"/>
        </w:rPr>
        <w:t>).</w:t>
      </w:r>
    </w:p>
    <w:p>
      <w:pPr>
        <w:spacing w:after="0" w:line="247" w:lineRule="exact"/>
        <w:rPr>
          <w:sz w:val="20"/>
          <w:szCs w:val="20"/>
          <w:color w:val="auto"/>
        </w:rPr>
      </w:pPr>
    </w:p>
    <w:p>
      <w:pPr>
        <w:ind w:left="7"/>
        <w:spacing w:after="0"/>
        <w:rPr>
          <w:sz w:val="20"/>
          <w:szCs w:val="20"/>
          <w:color w:val="auto"/>
        </w:rPr>
      </w:pPr>
      <w:r>
        <w:rPr>
          <w:rFonts w:ascii="Arial" w:cs="Arial" w:eastAsia="Arial" w:hAnsi="Arial"/>
          <w:sz w:val="17"/>
          <w:szCs w:val="17"/>
          <w:b w:val="1"/>
          <w:bCs w:val="1"/>
          <w:color w:val="auto"/>
        </w:rPr>
        <w:t>THE PARTIES AGREE AS FOLLOWS:</w:t>
      </w:r>
    </w:p>
    <w:p>
      <w:pPr>
        <w:spacing w:after="0" w:line="242" w:lineRule="exact"/>
        <w:rPr>
          <w:sz w:val="20"/>
          <w:szCs w:val="20"/>
          <w:color w:val="auto"/>
        </w:rPr>
      </w:pPr>
    </w:p>
    <w:p>
      <w:pPr>
        <w:ind w:left="527" w:hanging="527"/>
        <w:spacing w:after="0"/>
        <w:tabs>
          <w:tab w:leader="none" w:pos="527" w:val="left"/>
        </w:tabs>
        <w:numPr>
          <w:ilvl w:val="0"/>
          <w:numId w:val="104"/>
        </w:numPr>
        <w:rPr>
          <w:rFonts w:ascii="Arial" w:cs="Arial" w:eastAsia="Arial" w:hAnsi="Arial"/>
          <w:sz w:val="19"/>
          <w:szCs w:val="19"/>
          <w:b w:val="1"/>
          <w:bCs w:val="1"/>
          <w:color w:val="auto"/>
        </w:rPr>
      </w:pPr>
      <w:r>
        <w:rPr>
          <w:rFonts w:ascii="Arial" w:cs="Arial" w:eastAsia="Arial" w:hAnsi="Arial"/>
          <w:sz w:val="19"/>
          <w:szCs w:val="19"/>
          <w:b w:val="1"/>
          <w:bCs w:val="1"/>
          <w:color w:val="auto"/>
        </w:rPr>
        <w:t>DEFINITIONS</w:t>
      </w:r>
    </w:p>
    <w:p>
      <w:pPr>
        <w:spacing w:after="0" w:line="202" w:lineRule="exact"/>
        <w:rPr>
          <w:sz w:val="20"/>
          <w:szCs w:val="20"/>
          <w:color w:val="auto"/>
        </w:rPr>
      </w:pPr>
    </w:p>
    <w:p>
      <w:pPr>
        <w:ind w:left="527"/>
        <w:spacing w:after="0" w:line="196" w:lineRule="exact"/>
        <w:rPr>
          <w:sz w:val="20"/>
          <w:szCs w:val="20"/>
          <w:color w:val="auto"/>
        </w:rPr>
      </w:pPr>
      <w:r>
        <w:rPr>
          <w:rFonts w:ascii="Arial" w:cs="Arial" w:eastAsia="Arial" w:hAnsi="Arial"/>
          <w:sz w:val="17"/>
          <w:szCs w:val="17"/>
          <w:color w:val="auto"/>
        </w:rPr>
        <w:t>In this agreement unless the context otherwise requires:</w:t>
      </w:r>
      <w:r>
        <w:rPr>
          <w:rFonts w:ascii="MS PGothic" w:cs="MS PGothic" w:eastAsia="MS PGothic" w:hAnsi="MS PGothic"/>
          <w:sz w:val="17"/>
          <w:szCs w:val="17"/>
          <w:color w:val="auto"/>
        </w:rPr>
        <w:t>‑</w:t>
      </w:r>
    </w:p>
    <w:p>
      <w:pPr>
        <w:spacing w:after="0" w:line="168" w:lineRule="exact"/>
        <w:rPr>
          <w:sz w:val="20"/>
          <w:szCs w:val="20"/>
          <w:color w:val="auto"/>
        </w:rPr>
      </w:pPr>
    </w:p>
    <w:p>
      <w:pPr>
        <w:jc w:val="both"/>
        <w:ind w:left="527" w:hanging="534"/>
        <w:spacing w:after="0" w:line="260" w:lineRule="auto"/>
        <w:tabs>
          <w:tab w:leader="none" w:pos="507" w:val="left"/>
        </w:tabs>
        <w:rPr>
          <w:sz w:val="20"/>
          <w:szCs w:val="20"/>
          <w:color w:val="auto"/>
        </w:rPr>
      </w:pPr>
      <w:r>
        <w:rPr>
          <w:rFonts w:ascii="Arial" w:cs="Arial" w:eastAsia="Arial" w:hAnsi="Arial"/>
          <w:sz w:val="17"/>
          <w:szCs w:val="17"/>
          <w:color w:val="auto"/>
        </w:rPr>
        <w:t>1.1</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Group Company</w:t>
      </w:r>
      <w:r>
        <w:rPr>
          <w:rFonts w:ascii="Arial" w:cs="Arial" w:eastAsia="Arial" w:hAnsi="Arial"/>
          <w:sz w:val="17"/>
          <w:szCs w:val="17"/>
          <w:color w:val="auto"/>
        </w:rPr>
        <w:t>” means any holding company from time to time of the Company or any subsidiary from time to time of the Company or of any such holding company (other than the Company) (for which purpose “subsidiary” and “holding company” shall have the meanings given to them in Section 736 of the Companies Act 1985).</w:t>
      </w:r>
    </w:p>
    <w:p>
      <w:pPr>
        <w:spacing w:after="0" w:line="144" w:lineRule="exact"/>
        <w:rPr>
          <w:sz w:val="20"/>
          <w:szCs w:val="20"/>
          <w:color w:val="auto"/>
        </w:rPr>
      </w:pPr>
    </w:p>
    <w:p>
      <w:pPr>
        <w:ind w:left="7"/>
        <w:spacing w:after="0"/>
        <w:tabs>
          <w:tab w:leader="none" w:pos="507" w:val="left"/>
        </w:tabs>
        <w:rPr>
          <w:sz w:val="20"/>
          <w:szCs w:val="20"/>
          <w:color w:val="auto"/>
        </w:rPr>
      </w:pPr>
      <w:r>
        <w:rPr>
          <w:rFonts w:ascii="Arial" w:cs="Arial" w:eastAsia="Arial" w:hAnsi="Arial"/>
          <w:sz w:val="17"/>
          <w:szCs w:val="17"/>
          <w:color w:val="auto"/>
        </w:rPr>
        <w:t>1.2</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Group</w:t>
      </w:r>
      <w:r>
        <w:rPr>
          <w:rFonts w:ascii="Arial" w:cs="Arial" w:eastAsia="Arial" w:hAnsi="Arial"/>
          <w:sz w:val="17"/>
          <w:szCs w:val="17"/>
          <w:color w:val="auto"/>
        </w:rPr>
        <w:t>” means the Company and the Group Companies.</w:t>
      </w:r>
    </w:p>
    <w:p>
      <w:pPr>
        <w:spacing w:after="0" w:line="188" w:lineRule="exact"/>
        <w:rPr>
          <w:sz w:val="20"/>
          <w:szCs w:val="20"/>
          <w:color w:val="auto"/>
        </w:rPr>
      </w:pPr>
    </w:p>
    <w:p>
      <w:pPr>
        <w:ind w:left="7"/>
        <w:spacing w:after="0"/>
        <w:tabs>
          <w:tab w:leader="none" w:pos="507" w:val="left"/>
        </w:tabs>
        <w:rPr>
          <w:sz w:val="20"/>
          <w:szCs w:val="20"/>
          <w:color w:val="auto"/>
        </w:rPr>
      </w:pPr>
      <w:r>
        <w:rPr>
          <w:rFonts w:ascii="Arial" w:cs="Arial" w:eastAsia="Arial" w:hAnsi="Arial"/>
          <w:sz w:val="17"/>
          <w:szCs w:val="17"/>
          <w:color w:val="auto"/>
        </w:rPr>
        <w:t>1.3</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Supervisor</w:t>
      </w:r>
      <w:r>
        <w:rPr>
          <w:rFonts w:ascii="Arial" w:cs="Arial" w:eastAsia="Arial" w:hAnsi="Arial"/>
          <w:sz w:val="17"/>
          <w:szCs w:val="17"/>
          <w:color w:val="auto"/>
        </w:rPr>
        <w:t>" means the line manager notified to the Executive by the Company, or such other Supervisor as designated by the Company.</w:t>
      </w:r>
    </w:p>
    <w:p>
      <w:pPr>
        <w:spacing w:after="0" w:line="196" w:lineRule="exact"/>
        <w:rPr>
          <w:sz w:val="20"/>
          <w:szCs w:val="20"/>
          <w:color w:val="auto"/>
        </w:rPr>
      </w:pPr>
    </w:p>
    <w:p>
      <w:pPr>
        <w:ind w:left="527" w:hanging="527"/>
        <w:spacing w:after="0"/>
        <w:tabs>
          <w:tab w:leader="none" w:pos="527" w:val="left"/>
        </w:tabs>
        <w:numPr>
          <w:ilvl w:val="0"/>
          <w:numId w:val="105"/>
        </w:numPr>
        <w:rPr>
          <w:rFonts w:ascii="Arial" w:cs="Arial" w:eastAsia="Arial" w:hAnsi="Arial"/>
          <w:sz w:val="19"/>
          <w:szCs w:val="19"/>
          <w:b w:val="1"/>
          <w:bCs w:val="1"/>
          <w:color w:val="auto"/>
        </w:rPr>
      </w:pPr>
      <w:r>
        <w:rPr>
          <w:rFonts w:ascii="Arial" w:cs="Arial" w:eastAsia="Arial" w:hAnsi="Arial"/>
          <w:sz w:val="19"/>
          <w:szCs w:val="19"/>
          <w:b w:val="1"/>
          <w:bCs w:val="1"/>
          <w:color w:val="auto"/>
        </w:rPr>
        <w:t>APPOINTMENT AND NOTICE PERIOD</w:t>
      </w:r>
    </w:p>
    <w:p>
      <w:pPr>
        <w:spacing w:after="0" w:line="182" w:lineRule="exact"/>
        <w:rPr>
          <w:sz w:val="20"/>
          <w:szCs w:val="20"/>
          <w:color w:val="auto"/>
        </w:rPr>
      </w:pPr>
    </w:p>
    <w:p>
      <w:pPr>
        <w:jc w:val="both"/>
        <w:ind w:left="527" w:hanging="534"/>
        <w:spacing w:after="0" w:line="260" w:lineRule="auto"/>
        <w:tabs>
          <w:tab w:leader="none" w:pos="507" w:val="left"/>
        </w:tabs>
        <w:rPr>
          <w:sz w:val="20"/>
          <w:szCs w:val="20"/>
          <w:color w:val="auto"/>
        </w:rPr>
      </w:pPr>
      <w:r>
        <w:rPr>
          <w:rFonts w:ascii="Arial" w:cs="Arial" w:eastAsia="Arial" w:hAnsi="Arial"/>
          <w:sz w:val="17"/>
          <w:szCs w:val="17"/>
          <w:color w:val="auto"/>
        </w:rPr>
        <w:t>2.1</w:t>
      </w:r>
      <w:r>
        <w:rPr>
          <w:sz w:val="20"/>
          <w:szCs w:val="20"/>
          <w:color w:val="auto"/>
        </w:rPr>
        <w:tab/>
      </w:r>
      <w:r>
        <w:rPr>
          <w:rFonts w:ascii="Arial" w:cs="Arial" w:eastAsia="Arial" w:hAnsi="Arial"/>
          <w:sz w:val="17"/>
          <w:szCs w:val="17"/>
          <w:color w:val="auto"/>
        </w:rPr>
        <w:t xml:space="preserve">The Company shall engage the Executive and the Executive shall serve the Company as hereinafter provided (the </w:t>
      </w:r>
      <w:r>
        <w:rPr>
          <w:rFonts w:ascii="Arial" w:cs="Arial" w:eastAsia="Arial" w:hAnsi="Arial"/>
          <w:sz w:val="17"/>
          <w:szCs w:val="17"/>
          <w:b w:val="1"/>
          <w:bCs w:val="1"/>
          <w:color w:val="auto"/>
        </w:rPr>
        <w:t>“Appointment”</w:t>
      </w:r>
      <w:r>
        <w:rPr>
          <w:rFonts w:ascii="Arial" w:cs="Arial" w:eastAsia="Arial" w:hAnsi="Arial"/>
          <w:sz w:val="17"/>
          <w:szCs w:val="17"/>
          <w:color w:val="auto"/>
        </w:rPr>
        <w:t>). The Appointment shall commence on 4</w:t>
      </w:r>
      <w:r>
        <w:rPr>
          <w:rFonts w:ascii="Arial" w:cs="Arial" w:eastAsia="Arial" w:hAnsi="Arial"/>
          <w:sz w:val="14"/>
          <w:szCs w:val="14"/>
          <w:color w:val="auto"/>
        </w:rPr>
        <w:t>th</w:t>
      </w:r>
      <w:r>
        <w:rPr>
          <w:rFonts w:ascii="Arial" w:cs="Arial" w:eastAsia="Arial" w:hAnsi="Arial"/>
          <w:sz w:val="17"/>
          <w:szCs w:val="17"/>
          <w:color w:val="auto"/>
        </w:rPr>
        <w:t xml:space="preserve"> July 2005 and shall, subject to clause 12, continue unless and until terminated by either party giving to the other not less than six months notice in writing.</w:t>
      </w:r>
    </w:p>
    <w:p>
      <w:pPr>
        <w:spacing w:after="0" w:line="164" w:lineRule="exact"/>
        <w:rPr>
          <w:sz w:val="20"/>
          <w:szCs w:val="20"/>
          <w:color w:val="auto"/>
        </w:rPr>
      </w:pPr>
    </w:p>
    <w:p>
      <w:pPr>
        <w:ind w:left="7"/>
        <w:spacing w:after="0"/>
        <w:tabs>
          <w:tab w:leader="none" w:pos="507" w:val="left"/>
        </w:tabs>
        <w:rPr>
          <w:sz w:val="20"/>
          <w:szCs w:val="20"/>
          <w:color w:val="auto"/>
        </w:rPr>
      </w:pPr>
      <w:r>
        <w:rPr>
          <w:rFonts w:ascii="Arial" w:cs="Arial" w:eastAsia="Arial" w:hAnsi="Arial"/>
          <w:sz w:val="17"/>
          <w:szCs w:val="17"/>
          <w:color w:val="auto"/>
        </w:rPr>
        <w:t>2.2</w:t>
      </w:r>
      <w:r>
        <w:rPr>
          <w:sz w:val="20"/>
          <w:szCs w:val="20"/>
          <w:color w:val="auto"/>
        </w:rPr>
        <w:tab/>
      </w:r>
      <w:r>
        <w:rPr>
          <w:rFonts w:ascii="Arial" w:cs="Arial" w:eastAsia="Arial" w:hAnsi="Arial"/>
          <w:sz w:val="17"/>
          <w:szCs w:val="17"/>
          <w:color w:val="auto"/>
        </w:rPr>
        <w:t>The Executive’s period of continuous employment with the Company began 4</w:t>
      </w:r>
      <w:r>
        <w:rPr>
          <w:rFonts w:ascii="Arial" w:cs="Arial" w:eastAsia="Arial" w:hAnsi="Arial"/>
          <w:sz w:val="14"/>
          <w:szCs w:val="14"/>
          <w:color w:val="auto"/>
        </w:rPr>
        <w:t>th</w:t>
      </w:r>
      <w:r>
        <w:rPr>
          <w:rFonts w:ascii="Arial" w:cs="Arial" w:eastAsia="Arial" w:hAnsi="Arial"/>
          <w:sz w:val="17"/>
          <w:szCs w:val="17"/>
          <w:color w:val="auto"/>
        </w:rPr>
        <w:t xml:space="preserve"> July 2005.</w:t>
      </w:r>
    </w:p>
    <w:p>
      <w:pPr>
        <w:spacing w:after="0" w:line="176" w:lineRule="exact"/>
        <w:rPr>
          <w:sz w:val="20"/>
          <w:szCs w:val="20"/>
          <w:color w:val="auto"/>
        </w:rPr>
      </w:pPr>
    </w:p>
    <w:p>
      <w:pPr>
        <w:ind w:left="527" w:hanging="527"/>
        <w:spacing w:after="0"/>
        <w:tabs>
          <w:tab w:leader="none" w:pos="527" w:val="left"/>
        </w:tabs>
        <w:numPr>
          <w:ilvl w:val="0"/>
          <w:numId w:val="106"/>
        </w:numPr>
        <w:rPr>
          <w:rFonts w:ascii="Arial" w:cs="Arial" w:eastAsia="Arial" w:hAnsi="Arial"/>
          <w:sz w:val="19"/>
          <w:szCs w:val="19"/>
          <w:b w:val="1"/>
          <w:bCs w:val="1"/>
          <w:color w:val="auto"/>
        </w:rPr>
      </w:pPr>
      <w:r>
        <w:rPr>
          <w:rFonts w:ascii="Arial" w:cs="Arial" w:eastAsia="Arial" w:hAnsi="Arial"/>
          <w:sz w:val="19"/>
          <w:szCs w:val="19"/>
          <w:b w:val="1"/>
          <w:bCs w:val="1"/>
          <w:color w:val="auto"/>
        </w:rPr>
        <w:t>DUTIES</w:t>
      </w:r>
    </w:p>
    <w:p>
      <w:pPr>
        <w:spacing w:after="0" w:line="202" w:lineRule="exact"/>
        <w:rPr>
          <w:sz w:val="20"/>
          <w:szCs w:val="20"/>
          <w:color w:val="auto"/>
        </w:rPr>
      </w:pPr>
    </w:p>
    <w:p>
      <w:pPr>
        <w:jc w:val="both"/>
        <w:ind w:left="527" w:hanging="534"/>
        <w:spacing w:after="0" w:line="246" w:lineRule="auto"/>
        <w:tabs>
          <w:tab w:leader="none" w:pos="507"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7"/>
          <w:szCs w:val="17"/>
          <w:color w:val="auto"/>
        </w:rPr>
        <w:t>The Executive shall perform the duties of Managing Director, Mergers and Acquisitions – Europe, reporting directly to the Supervisor, on and subject to the terms and conditions specified in this agreement. During the Appointment the Executive shall devote the whole of his professional time and attention to the duties assigned to him and shall well and faithfully serve the Company and use his best endeavours to promote the interests of the Company.</w:t>
      </w:r>
    </w:p>
    <w:p>
      <w:pPr>
        <w:spacing w:after="0" w:line="176" w:lineRule="exact"/>
        <w:rPr>
          <w:sz w:val="20"/>
          <w:szCs w:val="20"/>
          <w:color w:val="auto"/>
        </w:rPr>
      </w:pPr>
    </w:p>
    <w:p>
      <w:pPr>
        <w:jc w:val="both"/>
        <w:ind w:left="527" w:hanging="534"/>
        <w:spacing w:after="0" w:line="253" w:lineRule="auto"/>
        <w:tabs>
          <w:tab w:leader="none" w:pos="507"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7"/>
          <w:szCs w:val="17"/>
          <w:color w:val="auto"/>
        </w:rPr>
        <w:t>The Executive will be required to work from 9.00 am to 6.00 pm Monday to Friday inclusive. The Executive shall also work, without additional remuneration, such additional hours as may be necessary for the proper performance of the Executive’s duties.</w:t>
      </w:r>
    </w:p>
    <w:p>
      <w:pPr>
        <w:spacing w:after="0" w:line="170" w:lineRule="exact"/>
        <w:rPr>
          <w:sz w:val="20"/>
          <w:szCs w:val="20"/>
          <w:color w:val="auto"/>
        </w:rPr>
      </w:pPr>
    </w:p>
    <w:p>
      <w:pPr>
        <w:ind w:left="7"/>
        <w:spacing w:after="0"/>
        <w:tabs>
          <w:tab w:leader="none" w:pos="507" w:val="left"/>
        </w:tabs>
        <w:rPr>
          <w:sz w:val="20"/>
          <w:szCs w:val="20"/>
          <w:color w:val="auto"/>
        </w:rPr>
      </w:pPr>
      <w:r>
        <w:rPr>
          <w:rFonts w:ascii="Arial" w:cs="Arial" w:eastAsia="Arial" w:hAnsi="Arial"/>
          <w:sz w:val="17"/>
          <w:szCs w:val="17"/>
          <w:color w:val="auto"/>
        </w:rPr>
        <w:t>3.3</w:t>
      </w:r>
      <w:r>
        <w:rPr>
          <w:sz w:val="20"/>
          <w:szCs w:val="20"/>
          <w:color w:val="auto"/>
        </w:rPr>
        <w:tab/>
      </w:r>
      <w:r>
        <w:rPr>
          <w:rFonts w:ascii="Arial" w:cs="Arial" w:eastAsia="Arial" w:hAnsi="Arial"/>
          <w:sz w:val="17"/>
          <w:szCs w:val="17"/>
          <w:color w:val="auto"/>
        </w:rPr>
        <w:t>The Executive’s normal place of work shall London.</w:t>
      </w:r>
    </w:p>
    <w:p>
      <w:pPr>
        <w:spacing w:after="0" w:line="188" w:lineRule="exact"/>
        <w:rPr>
          <w:sz w:val="20"/>
          <w:szCs w:val="20"/>
          <w:color w:val="auto"/>
        </w:rPr>
      </w:pPr>
    </w:p>
    <w:p>
      <w:pPr>
        <w:ind w:left="7"/>
        <w:spacing w:after="0" w:line="196" w:lineRule="exact"/>
        <w:tabs>
          <w:tab w:leader="none" w:pos="507" w:val="left"/>
        </w:tabs>
        <w:rPr>
          <w:sz w:val="20"/>
          <w:szCs w:val="20"/>
          <w:color w:val="auto"/>
        </w:rPr>
      </w:pPr>
      <w:r>
        <w:rPr>
          <w:rFonts w:ascii="Arial" w:cs="Arial" w:eastAsia="Arial" w:hAnsi="Arial"/>
          <w:sz w:val="17"/>
          <w:szCs w:val="17"/>
          <w:color w:val="auto"/>
        </w:rPr>
        <w:t>3.4</w:t>
      </w:r>
      <w:r>
        <w:rPr>
          <w:sz w:val="20"/>
          <w:szCs w:val="20"/>
          <w:color w:val="auto"/>
        </w:rPr>
        <w:tab/>
      </w:r>
      <w:r>
        <w:rPr>
          <w:rFonts w:ascii="Arial" w:cs="Arial" w:eastAsia="Arial" w:hAnsi="Arial"/>
          <w:sz w:val="17"/>
          <w:szCs w:val="17"/>
          <w:color w:val="auto"/>
        </w:rPr>
        <w:t>The Executive may be required in pursuance of his duties hereunder:</w:t>
      </w:r>
      <w:r>
        <w:rPr>
          <w:rFonts w:ascii="MS PGothic" w:cs="MS PGothic" w:eastAsia="MS PGothic" w:hAnsi="MS PGothic"/>
          <w:sz w:val="17"/>
          <w:szCs w:val="17"/>
          <w:color w:val="auto"/>
        </w:rPr>
        <w:t>‑</w:t>
      </w:r>
    </w:p>
    <w:p>
      <w:pPr>
        <w:spacing w:after="0" w:line="367" w:lineRule="exact"/>
        <w:rPr>
          <w:sz w:val="20"/>
          <w:szCs w:val="20"/>
          <w:color w:val="auto"/>
        </w:rPr>
      </w:pPr>
    </w:p>
    <w:p>
      <w:pPr>
        <w:ind w:left="7"/>
        <w:spacing w:after="0"/>
        <w:rPr>
          <w:sz w:val="20"/>
          <w:szCs w:val="20"/>
          <w:color w:val="auto"/>
        </w:rPr>
      </w:pPr>
      <w:r>
        <w:rPr>
          <w:rFonts w:ascii="Arial" w:cs="Arial" w:eastAsia="Arial" w:hAnsi="Arial"/>
          <w:sz w:val="16"/>
          <w:szCs w:val="16"/>
          <w:color w:val="auto"/>
        </w:rPr>
        <w:t>322520-1</w:t>
      </w:r>
    </w:p>
    <w:p>
      <w:pPr>
        <w:sectPr>
          <w:pgSz w:w="11900" w:h="16838" w:orient="portrait"/>
          <w:cols w:equalWidth="0" w:num="1">
            <w:col w:w="11267"/>
          </w:cols>
          <w:pgMar w:left="313" w:top="314" w:right="319" w:bottom="1440" w:gutter="0" w:footer="0" w:header="0"/>
        </w:sectPr>
      </w:pPr>
    </w:p>
    <w:bookmarkStart w:id="117" w:name="page118"/>
    <w:bookmarkEnd w:id="117"/>
    <w:p>
      <w:pPr>
        <w:ind w:left="1307" w:hanging="705"/>
        <w:spacing w:after="0" w:line="253" w:lineRule="auto"/>
        <w:rPr>
          <w:sz w:val="20"/>
          <w:szCs w:val="20"/>
          <w:color w:val="auto"/>
        </w:rPr>
      </w:pPr>
      <w:r>
        <w:rPr>
          <w:rFonts w:ascii="Arial" w:cs="Arial" w:eastAsia="Arial" w:hAnsi="Arial"/>
          <w:sz w:val="17"/>
          <w:szCs w:val="17"/>
          <w:color w:val="auto"/>
        </w:rPr>
        <w:t>(a)to perform services not only for the Company but also for any Group Company (including acting as a director of such companies as his Supervisor shall direct);</w:t>
      </w:r>
    </w:p>
    <w:p>
      <w:pPr>
        <w:spacing w:after="0" w:line="170" w:lineRule="exact"/>
        <w:rPr>
          <w:sz w:val="20"/>
          <w:szCs w:val="20"/>
          <w:color w:val="auto"/>
        </w:rPr>
      </w:pPr>
    </w:p>
    <w:p>
      <w:pPr>
        <w:ind w:left="1307" w:hanging="705"/>
        <w:spacing w:after="0" w:line="253" w:lineRule="auto"/>
        <w:rPr>
          <w:sz w:val="20"/>
          <w:szCs w:val="20"/>
          <w:color w:val="auto"/>
        </w:rPr>
      </w:pPr>
      <w:r>
        <w:rPr>
          <w:rFonts w:ascii="Arial" w:cs="Arial" w:eastAsia="Arial" w:hAnsi="Arial"/>
          <w:sz w:val="17"/>
          <w:szCs w:val="17"/>
          <w:color w:val="auto"/>
        </w:rPr>
        <w:t>(b)to travel to such places whether in or outside the United Kingdom by such means and on such occasions as the Company may require and in particular to the Netherlands.</w:t>
      </w:r>
    </w:p>
    <w:p>
      <w:pPr>
        <w:spacing w:after="0" w:line="170" w:lineRule="exact"/>
        <w:rPr>
          <w:sz w:val="20"/>
          <w:szCs w:val="20"/>
          <w:color w:val="auto"/>
        </w:rPr>
      </w:pPr>
    </w:p>
    <w:p>
      <w:pPr>
        <w:ind w:left="527" w:right="20" w:hanging="534"/>
        <w:spacing w:after="0" w:line="201" w:lineRule="exact"/>
        <w:tabs>
          <w:tab w:leader="none" w:pos="507" w:val="left"/>
        </w:tabs>
        <w:rPr>
          <w:sz w:val="20"/>
          <w:szCs w:val="20"/>
          <w:color w:val="auto"/>
        </w:rPr>
      </w:pPr>
      <w:r>
        <w:rPr>
          <w:rFonts w:ascii="Arial" w:cs="Arial" w:eastAsia="Arial" w:hAnsi="Arial"/>
          <w:sz w:val="17"/>
          <w:szCs w:val="17"/>
          <w:color w:val="auto"/>
        </w:rPr>
        <w:t>3.5</w:t>
      </w:r>
      <w:r>
        <w:rPr>
          <w:sz w:val="20"/>
          <w:szCs w:val="20"/>
          <w:color w:val="auto"/>
        </w:rPr>
        <w:tab/>
      </w:r>
      <w:r>
        <w:rPr>
          <w:rFonts w:ascii="Arial" w:cs="Arial" w:eastAsia="Arial" w:hAnsi="Arial"/>
          <w:sz w:val="17"/>
          <w:szCs w:val="17"/>
          <w:color w:val="auto"/>
        </w:rPr>
        <w:t>Notwithstanding the foregoing or any other provision of this agreement the Company shall not be under any obligation to vest in or assign to the Executive any powers or duties and may at any time require the Executive to perform:</w:t>
      </w:r>
      <w:r>
        <w:rPr>
          <w:rFonts w:ascii="MS PGothic" w:cs="MS PGothic" w:eastAsia="MS PGothic" w:hAnsi="MS PGothic"/>
          <w:sz w:val="17"/>
          <w:szCs w:val="17"/>
          <w:color w:val="auto"/>
        </w:rPr>
        <w:t>‑</w:t>
      </w:r>
    </w:p>
    <w:p>
      <w:pPr>
        <w:spacing w:after="0" w:line="181" w:lineRule="exact"/>
        <w:rPr>
          <w:sz w:val="20"/>
          <w:szCs w:val="20"/>
          <w:color w:val="auto"/>
        </w:rPr>
      </w:pPr>
    </w:p>
    <w:p>
      <w:pPr>
        <w:ind w:left="607"/>
        <w:spacing w:after="0"/>
        <w:rPr>
          <w:sz w:val="20"/>
          <w:szCs w:val="20"/>
          <w:color w:val="auto"/>
        </w:rPr>
      </w:pPr>
      <w:r>
        <w:rPr>
          <w:rFonts w:ascii="Arial" w:cs="Arial" w:eastAsia="Arial" w:hAnsi="Arial"/>
          <w:sz w:val="17"/>
          <w:szCs w:val="17"/>
          <w:color w:val="auto"/>
        </w:rPr>
        <w:t>(a)all his normal duties;</w:t>
      </w:r>
    </w:p>
    <w:p>
      <w:pPr>
        <w:spacing w:after="0" w:line="188" w:lineRule="exact"/>
        <w:rPr>
          <w:sz w:val="20"/>
          <w:szCs w:val="20"/>
          <w:color w:val="auto"/>
        </w:rPr>
      </w:pPr>
    </w:p>
    <w:p>
      <w:pPr>
        <w:ind w:left="607"/>
        <w:spacing w:after="0"/>
        <w:rPr>
          <w:sz w:val="20"/>
          <w:szCs w:val="20"/>
          <w:color w:val="auto"/>
        </w:rPr>
      </w:pPr>
      <w:r>
        <w:rPr>
          <w:rFonts w:ascii="Arial" w:cs="Arial" w:eastAsia="Arial" w:hAnsi="Arial"/>
          <w:sz w:val="17"/>
          <w:szCs w:val="17"/>
          <w:color w:val="auto"/>
        </w:rPr>
        <w:t>(b)a part only of his normal duties and no other duties;</w:t>
      </w:r>
    </w:p>
    <w:p>
      <w:pPr>
        <w:spacing w:after="0" w:line="188" w:lineRule="exact"/>
        <w:rPr>
          <w:sz w:val="20"/>
          <w:szCs w:val="20"/>
          <w:color w:val="auto"/>
        </w:rPr>
      </w:pPr>
    </w:p>
    <w:p>
      <w:pPr>
        <w:ind w:left="607"/>
        <w:spacing w:after="0"/>
        <w:rPr>
          <w:sz w:val="20"/>
          <w:szCs w:val="20"/>
          <w:color w:val="auto"/>
        </w:rPr>
      </w:pPr>
      <w:r>
        <w:rPr>
          <w:rFonts w:ascii="Arial" w:cs="Arial" w:eastAsia="Arial" w:hAnsi="Arial"/>
          <w:sz w:val="17"/>
          <w:szCs w:val="17"/>
          <w:color w:val="auto"/>
        </w:rPr>
        <w:t>(c)such duties as it may reasonably require and no others;</w:t>
      </w:r>
    </w:p>
    <w:p>
      <w:pPr>
        <w:spacing w:after="0" w:line="188" w:lineRule="exact"/>
        <w:rPr>
          <w:sz w:val="20"/>
          <w:szCs w:val="20"/>
          <w:color w:val="auto"/>
        </w:rPr>
      </w:pPr>
    </w:p>
    <w:p>
      <w:pPr>
        <w:ind w:left="607"/>
        <w:spacing w:after="0"/>
        <w:rPr>
          <w:sz w:val="20"/>
          <w:szCs w:val="20"/>
          <w:color w:val="auto"/>
        </w:rPr>
      </w:pPr>
      <w:r>
        <w:rPr>
          <w:rFonts w:ascii="Arial" w:cs="Arial" w:eastAsia="Arial" w:hAnsi="Arial"/>
          <w:sz w:val="17"/>
          <w:szCs w:val="17"/>
          <w:color w:val="auto"/>
        </w:rPr>
        <w:t>(d)no duties whatever;</w:t>
      </w:r>
    </w:p>
    <w:p>
      <w:pPr>
        <w:spacing w:after="0" w:line="200" w:lineRule="exact"/>
        <w:rPr>
          <w:sz w:val="20"/>
          <w:szCs w:val="20"/>
          <w:color w:val="auto"/>
        </w:rPr>
      </w:pPr>
    </w:p>
    <w:p>
      <w:pPr>
        <w:jc w:val="both"/>
        <w:ind w:left="567" w:hanging="46"/>
        <w:spacing w:after="0" w:line="275" w:lineRule="auto"/>
        <w:rPr>
          <w:sz w:val="20"/>
          <w:szCs w:val="20"/>
          <w:color w:val="auto"/>
        </w:rPr>
      </w:pPr>
      <w:r>
        <w:rPr>
          <w:rFonts w:ascii="Arial" w:cs="Arial" w:eastAsia="Arial" w:hAnsi="Arial"/>
          <w:sz w:val="17"/>
          <w:szCs w:val="17"/>
          <w:color w:val="auto"/>
        </w:rPr>
        <w:t>and may from time to time suspend or exclude the Executive from the performance of his duties and/or from all or any premises of the Company without the need to give any reason for so doing but his salary will not cease to be payable (in whole or in part) nor will he cease to be entitled to any other benefits hereunder by reason only of such requirement as mentioned in paragraphs 3.5(b) to 3.5(d) of this clause or such suspension or exclusion (unless or until his employment under this agreement shall be terminated).</w:t>
      </w:r>
    </w:p>
    <w:p>
      <w:pPr>
        <w:spacing w:after="0" w:line="162" w:lineRule="exact"/>
        <w:rPr>
          <w:sz w:val="20"/>
          <w:szCs w:val="20"/>
          <w:color w:val="auto"/>
        </w:rPr>
      </w:pPr>
    </w:p>
    <w:p>
      <w:pPr>
        <w:ind w:left="527" w:hanging="527"/>
        <w:spacing w:after="0"/>
        <w:tabs>
          <w:tab w:leader="none" w:pos="527" w:val="left"/>
        </w:tabs>
        <w:numPr>
          <w:ilvl w:val="0"/>
          <w:numId w:val="107"/>
        </w:numPr>
        <w:rPr>
          <w:rFonts w:ascii="Arial" w:cs="Arial" w:eastAsia="Arial" w:hAnsi="Arial"/>
          <w:sz w:val="19"/>
          <w:szCs w:val="19"/>
          <w:b w:val="1"/>
          <w:bCs w:val="1"/>
          <w:color w:val="auto"/>
        </w:rPr>
      </w:pPr>
      <w:r>
        <w:rPr>
          <w:rFonts w:ascii="Arial" w:cs="Arial" w:eastAsia="Arial" w:hAnsi="Arial"/>
          <w:sz w:val="19"/>
          <w:szCs w:val="19"/>
          <w:b w:val="1"/>
          <w:bCs w:val="1"/>
          <w:color w:val="auto"/>
        </w:rPr>
        <w:t>HOLIDAY ENTITLEMENT</w:t>
      </w:r>
    </w:p>
    <w:p>
      <w:pPr>
        <w:spacing w:after="0" w:line="201" w:lineRule="exact"/>
        <w:rPr>
          <w:rFonts w:ascii="Arial" w:cs="Arial" w:eastAsia="Arial" w:hAnsi="Arial"/>
          <w:sz w:val="19"/>
          <w:szCs w:val="19"/>
          <w:b w:val="1"/>
          <w:bCs w:val="1"/>
          <w:color w:val="auto"/>
        </w:rPr>
      </w:pPr>
    </w:p>
    <w:p>
      <w:pPr>
        <w:jc w:val="both"/>
        <w:ind w:left="527"/>
        <w:spacing w:after="0" w:line="245" w:lineRule="auto"/>
        <w:rPr>
          <w:rFonts w:ascii="Arial" w:cs="Arial" w:eastAsia="Arial" w:hAnsi="Arial"/>
          <w:sz w:val="19"/>
          <w:szCs w:val="19"/>
          <w:b w:val="1"/>
          <w:bCs w:val="1"/>
          <w:color w:val="auto"/>
        </w:rPr>
      </w:pPr>
      <w:r>
        <w:rPr>
          <w:rFonts w:ascii="Arial" w:cs="Arial" w:eastAsia="Arial" w:hAnsi="Arial"/>
          <w:sz w:val="17"/>
          <w:szCs w:val="17"/>
          <w:color w:val="auto"/>
        </w:rPr>
        <w:t>During the Appointment the Executive shall be entitled to 25 working days' holiday (in addition to public holidays in England) in each calendar year January to December at full salary to be taken at such time or times as may be approved by his Supervisor. Holidays can only be carried over to the subsequent year with the prior approval of his Supervisor (and such carry-over shall not exceed 5 days). Upon the termination of the Appointment either the Executive shall be entitled to receive payment in lieu of accrued holidays not taken at that date (provided that such termination is not pursuant to clause 12) or the Company shall be entitled to make a deduction from the Executive's remuneration in respect of holidays taken in excess of the accrued entitlement.</w:t>
      </w:r>
    </w:p>
    <w:p>
      <w:pPr>
        <w:spacing w:after="0" w:line="163" w:lineRule="exact"/>
        <w:rPr>
          <w:sz w:val="20"/>
          <w:szCs w:val="20"/>
          <w:color w:val="auto"/>
        </w:rPr>
      </w:pPr>
    </w:p>
    <w:p>
      <w:pPr>
        <w:ind w:left="527" w:hanging="527"/>
        <w:spacing w:after="0"/>
        <w:tabs>
          <w:tab w:leader="none" w:pos="527" w:val="left"/>
        </w:tabs>
        <w:numPr>
          <w:ilvl w:val="0"/>
          <w:numId w:val="108"/>
        </w:numPr>
        <w:rPr>
          <w:rFonts w:ascii="Arial" w:cs="Arial" w:eastAsia="Arial" w:hAnsi="Arial"/>
          <w:sz w:val="19"/>
          <w:szCs w:val="19"/>
          <w:b w:val="1"/>
          <w:bCs w:val="1"/>
          <w:color w:val="auto"/>
        </w:rPr>
      </w:pPr>
      <w:r>
        <w:rPr>
          <w:rFonts w:ascii="Arial" w:cs="Arial" w:eastAsia="Arial" w:hAnsi="Arial"/>
          <w:sz w:val="19"/>
          <w:szCs w:val="19"/>
          <w:b w:val="1"/>
          <w:bCs w:val="1"/>
          <w:color w:val="auto"/>
        </w:rPr>
        <w:t>REMUNERATION</w:t>
      </w:r>
    </w:p>
    <w:p>
      <w:pPr>
        <w:spacing w:after="0" w:line="202" w:lineRule="exact"/>
        <w:rPr>
          <w:sz w:val="20"/>
          <w:szCs w:val="20"/>
          <w:color w:val="auto"/>
        </w:rPr>
      </w:pPr>
    </w:p>
    <w:p>
      <w:pPr>
        <w:ind w:left="527" w:right="20" w:hanging="534"/>
        <w:spacing w:after="0" w:line="253" w:lineRule="auto"/>
        <w:tabs>
          <w:tab w:leader="none" w:pos="507" w:val="left"/>
        </w:tabs>
        <w:rPr>
          <w:sz w:val="20"/>
          <w:szCs w:val="20"/>
          <w:color w:val="auto"/>
        </w:rPr>
      </w:pPr>
      <w:r>
        <w:rPr>
          <w:rFonts w:ascii="Arial" w:cs="Arial" w:eastAsia="Arial" w:hAnsi="Arial"/>
          <w:sz w:val="17"/>
          <w:szCs w:val="17"/>
          <w:color w:val="auto"/>
        </w:rPr>
        <w:t>5.1</w:t>
      </w:r>
      <w:r>
        <w:rPr>
          <w:sz w:val="20"/>
          <w:szCs w:val="20"/>
          <w:color w:val="auto"/>
        </w:rPr>
        <w:tab/>
      </w:r>
      <w:r>
        <w:rPr>
          <w:rFonts w:ascii="Arial" w:cs="Arial" w:eastAsia="Arial" w:hAnsi="Arial"/>
          <w:sz w:val="17"/>
          <w:szCs w:val="17"/>
          <w:color w:val="auto"/>
        </w:rPr>
        <w:t>During the Appointment, as remuneration for his services hereunder, the Executive shall be paid a fixed salary at the rate of £225,000 gross per annum payable in equal monthly instalments in arrears on or before the last working day of each calendar month.</w:t>
      </w:r>
    </w:p>
    <w:p>
      <w:pPr>
        <w:spacing w:after="0" w:line="170" w:lineRule="exact"/>
        <w:rPr>
          <w:sz w:val="20"/>
          <w:szCs w:val="20"/>
          <w:color w:val="auto"/>
        </w:rPr>
      </w:pPr>
    </w:p>
    <w:p>
      <w:pPr>
        <w:ind w:left="7"/>
        <w:spacing w:after="0"/>
        <w:tabs>
          <w:tab w:leader="none" w:pos="507" w:val="left"/>
        </w:tabs>
        <w:rPr>
          <w:sz w:val="20"/>
          <w:szCs w:val="20"/>
          <w:color w:val="auto"/>
        </w:rPr>
      </w:pPr>
      <w:r>
        <w:rPr>
          <w:rFonts w:ascii="Arial" w:cs="Arial" w:eastAsia="Arial" w:hAnsi="Arial"/>
          <w:sz w:val="17"/>
          <w:szCs w:val="17"/>
          <w:color w:val="auto"/>
        </w:rPr>
        <w:t>5.2</w:t>
      </w:r>
      <w:r>
        <w:rPr>
          <w:sz w:val="20"/>
          <w:szCs w:val="20"/>
          <w:color w:val="auto"/>
        </w:rPr>
        <w:tab/>
      </w:r>
      <w:r>
        <w:rPr>
          <w:rFonts w:ascii="Arial" w:cs="Arial" w:eastAsia="Arial" w:hAnsi="Arial"/>
          <w:sz w:val="17"/>
          <w:szCs w:val="17"/>
          <w:color w:val="auto"/>
        </w:rPr>
        <w:t>The salary shall be reviewed along with the Executive’s performance in January of each year. The first review will be in January 2006.</w:t>
      </w:r>
    </w:p>
    <w:p>
      <w:pPr>
        <w:spacing w:after="0" w:line="188" w:lineRule="exact"/>
        <w:rPr>
          <w:sz w:val="20"/>
          <w:szCs w:val="20"/>
          <w:color w:val="auto"/>
        </w:rPr>
      </w:pPr>
    </w:p>
    <w:p>
      <w:pPr>
        <w:ind w:left="527" w:hanging="534"/>
        <w:spacing w:after="0" w:line="253" w:lineRule="auto"/>
        <w:tabs>
          <w:tab w:leader="none" w:pos="507" w:val="left"/>
        </w:tabs>
        <w:rPr>
          <w:sz w:val="20"/>
          <w:szCs w:val="20"/>
          <w:color w:val="auto"/>
        </w:rPr>
      </w:pPr>
      <w:r>
        <w:rPr>
          <w:rFonts w:ascii="Arial" w:cs="Arial" w:eastAsia="Arial" w:hAnsi="Arial"/>
          <w:sz w:val="17"/>
          <w:szCs w:val="17"/>
          <w:color w:val="auto"/>
        </w:rPr>
        <w:t>5.3</w:t>
      </w:r>
      <w:r>
        <w:rPr>
          <w:sz w:val="20"/>
          <w:szCs w:val="20"/>
          <w:color w:val="auto"/>
        </w:rPr>
        <w:tab/>
      </w:r>
      <w:r>
        <w:rPr>
          <w:rFonts w:ascii="Arial" w:cs="Arial" w:eastAsia="Arial" w:hAnsi="Arial"/>
          <w:sz w:val="17"/>
          <w:szCs w:val="17"/>
          <w:color w:val="auto"/>
        </w:rPr>
        <w:t>The Executive’s salary and/or any other sums due to him under this agreement shall be subject to such deductions as may be required by law to be made (including, without limitation, tax and national insurance deductions).</w:t>
      </w:r>
    </w:p>
    <w:p>
      <w:pPr>
        <w:spacing w:after="0" w:line="170" w:lineRule="exact"/>
        <w:rPr>
          <w:sz w:val="20"/>
          <w:szCs w:val="20"/>
          <w:color w:val="auto"/>
        </w:rPr>
      </w:pPr>
    </w:p>
    <w:p>
      <w:pPr>
        <w:ind w:left="527" w:right="20" w:hanging="534"/>
        <w:spacing w:after="0" w:line="253" w:lineRule="auto"/>
        <w:tabs>
          <w:tab w:leader="none" w:pos="507" w:val="left"/>
        </w:tabs>
        <w:rPr>
          <w:sz w:val="20"/>
          <w:szCs w:val="20"/>
          <w:color w:val="auto"/>
        </w:rPr>
      </w:pPr>
      <w:r>
        <w:rPr>
          <w:rFonts w:ascii="Arial" w:cs="Arial" w:eastAsia="Arial" w:hAnsi="Arial"/>
          <w:sz w:val="17"/>
          <w:szCs w:val="17"/>
          <w:color w:val="auto"/>
        </w:rPr>
        <w:t>5.4</w:t>
      </w:r>
      <w:r>
        <w:rPr>
          <w:sz w:val="20"/>
          <w:szCs w:val="20"/>
          <w:color w:val="auto"/>
        </w:rPr>
        <w:tab/>
      </w:r>
      <w:r>
        <w:rPr>
          <w:rFonts w:ascii="Arial" w:cs="Arial" w:eastAsia="Arial" w:hAnsi="Arial"/>
          <w:sz w:val="17"/>
          <w:szCs w:val="17"/>
          <w:color w:val="auto"/>
        </w:rPr>
        <w:t>The Executive shall receive an initial enhanced grant of 250,000 UGC Stock Appreciation Rights (“SARs”) at the closing price on the Executive’s date of joining the Company, or</w:t>
      </w:r>
    </w:p>
    <w:p>
      <w:pPr>
        <w:spacing w:after="0" w:line="348" w:lineRule="exact"/>
        <w:rPr>
          <w:sz w:val="20"/>
          <w:szCs w:val="20"/>
          <w:color w:val="auto"/>
        </w:rPr>
      </w:pPr>
    </w:p>
    <w:p>
      <w:pPr>
        <w:ind w:left="7"/>
        <w:spacing w:after="0"/>
        <w:rPr>
          <w:sz w:val="20"/>
          <w:szCs w:val="20"/>
          <w:color w:val="auto"/>
        </w:rPr>
      </w:pPr>
      <w:r>
        <w:rPr>
          <w:rFonts w:ascii="Arial" w:cs="Arial" w:eastAsia="Arial" w:hAnsi="Arial"/>
          <w:sz w:val="16"/>
          <w:szCs w:val="16"/>
          <w:color w:val="auto"/>
        </w:rPr>
        <w:t>322520-1</w:t>
      </w:r>
    </w:p>
    <w:p>
      <w:pPr>
        <w:sectPr>
          <w:pgSz w:w="11900" w:h="16838" w:orient="portrait"/>
          <w:cols w:equalWidth="0" w:num="1">
            <w:col w:w="11267"/>
          </w:cols>
          <w:pgMar w:left="313" w:top="322" w:right="319" w:bottom="1440" w:gutter="0" w:footer="0" w:header="0"/>
        </w:sectPr>
      </w:pPr>
    </w:p>
    <w:bookmarkStart w:id="118" w:name="page119"/>
    <w:bookmarkEnd w:id="118"/>
    <w:p>
      <w:pPr>
        <w:jc w:val="both"/>
        <w:ind w:left="527"/>
        <w:spacing w:after="0" w:line="235" w:lineRule="auto"/>
        <w:rPr>
          <w:sz w:val="20"/>
          <w:szCs w:val="20"/>
          <w:color w:val="auto"/>
        </w:rPr>
      </w:pPr>
      <w:r>
        <w:rPr>
          <w:rFonts w:ascii="Arial" w:cs="Arial" w:eastAsia="Arial" w:hAnsi="Arial"/>
          <w:sz w:val="17"/>
          <w:szCs w:val="17"/>
          <w:color w:val="auto"/>
        </w:rPr>
        <w:t>in the event that the market is closed, the first trading day after the Executive’s date of joining the Company. The Executive’s participation in the UGC Equity Incentive Plan is at the sole discretion of the Company and shall be subject to the rules of the Plan, details of which will be given to the Executive in due course.</w:t>
      </w:r>
    </w:p>
    <w:p>
      <w:pPr>
        <w:spacing w:after="0" w:line="158" w:lineRule="exact"/>
        <w:rPr>
          <w:sz w:val="20"/>
          <w:szCs w:val="20"/>
          <w:color w:val="auto"/>
        </w:rPr>
      </w:pPr>
    </w:p>
    <w:p>
      <w:pPr>
        <w:ind w:left="527" w:hanging="527"/>
        <w:spacing w:after="0"/>
        <w:tabs>
          <w:tab w:leader="none" w:pos="527" w:val="left"/>
        </w:tabs>
        <w:numPr>
          <w:ilvl w:val="0"/>
          <w:numId w:val="109"/>
        </w:numPr>
        <w:rPr>
          <w:rFonts w:ascii="Arial" w:cs="Arial" w:eastAsia="Arial" w:hAnsi="Arial"/>
          <w:sz w:val="19"/>
          <w:szCs w:val="19"/>
          <w:b w:val="1"/>
          <w:bCs w:val="1"/>
          <w:color w:val="auto"/>
        </w:rPr>
      </w:pPr>
      <w:r>
        <w:rPr>
          <w:rFonts w:ascii="Arial" w:cs="Arial" w:eastAsia="Arial" w:hAnsi="Arial"/>
          <w:sz w:val="19"/>
          <w:szCs w:val="19"/>
          <w:b w:val="1"/>
          <w:bCs w:val="1"/>
          <w:color w:val="auto"/>
        </w:rPr>
        <w:t>EXPENSES/COMPANY EQUIPMENT</w:t>
      </w:r>
    </w:p>
    <w:p>
      <w:pPr>
        <w:spacing w:after="0" w:line="202" w:lineRule="exact"/>
        <w:rPr>
          <w:sz w:val="20"/>
          <w:szCs w:val="20"/>
          <w:color w:val="auto"/>
        </w:rPr>
      </w:pPr>
    </w:p>
    <w:p>
      <w:pPr>
        <w:jc w:val="both"/>
        <w:ind w:left="527" w:hanging="534"/>
        <w:spacing w:after="0" w:line="246" w:lineRule="auto"/>
        <w:tabs>
          <w:tab w:leader="none" w:pos="507" w:val="left"/>
        </w:tabs>
        <w:rPr>
          <w:sz w:val="20"/>
          <w:szCs w:val="20"/>
          <w:color w:val="auto"/>
        </w:rPr>
      </w:pPr>
      <w:r>
        <w:rPr>
          <w:rFonts w:ascii="Arial" w:cs="Arial" w:eastAsia="Arial" w:hAnsi="Arial"/>
          <w:sz w:val="17"/>
          <w:szCs w:val="17"/>
          <w:color w:val="auto"/>
        </w:rPr>
        <w:t>6.1</w:t>
      </w:r>
      <w:r>
        <w:rPr>
          <w:sz w:val="20"/>
          <w:szCs w:val="20"/>
          <w:color w:val="auto"/>
        </w:rPr>
        <w:tab/>
      </w:r>
      <w:r>
        <w:rPr>
          <w:rFonts w:ascii="Arial" w:cs="Arial" w:eastAsia="Arial" w:hAnsi="Arial"/>
          <w:sz w:val="17"/>
          <w:szCs w:val="17"/>
          <w:color w:val="auto"/>
        </w:rPr>
        <w:t>The Executive shall be entitled to recover all reasonable travelling, hotel and other expenses incurred in connection with the performance of the duties hereunder, which expenses shall be evidenced in such manner as the Company may specify from time to time and are subject to compliance with the Company’s business expense policy. The Executive agrees to repay to the Company any expenses he owes the Company.</w:t>
      </w:r>
    </w:p>
    <w:p>
      <w:pPr>
        <w:spacing w:after="0" w:line="176" w:lineRule="exact"/>
        <w:rPr>
          <w:sz w:val="20"/>
          <w:szCs w:val="20"/>
          <w:color w:val="auto"/>
        </w:rPr>
      </w:pPr>
    </w:p>
    <w:p>
      <w:pPr>
        <w:jc w:val="both"/>
        <w:ind w:left="527" w:hanging="534"/>
        <w:spacing w:after="0" w:line="245" w:lineRule="auto"/>
        <w:tabs>
          <w:tab w:leader="none" w:pos="507" w:val="left"/>
        </w:tabs>
        <w:rPr>
          <w:sz w:val="20"/>
          <w:szCs w:val="20"/>
          <w:color w:val="auto"/>
        </w:rPr>
      </w:pPr>
      <w:r>
        <w:rPr>
          <w:rFonts w:ascii="Arial" w:cs="Arial" w:eastAsia="Arial" w:hAnsi="Arial"/>
          <w:sz w:val="17"/>
          <w:szCs w:val="17"/>
          <w:color w:val="auto"/>
        </w:rPr>
        <w:t>6.2</w:t>
      </w:r>
      <w:r>
        <w:rPr>
          <w:sz w:val="20"/>
          <w:szCs w:val="20"/>
          <w:color w:val="auto"/>
        </w:rPr>
        <w:tab/>
      </w:r>
      <w:r>
        <w:rPr>
          <w:rFonts w:ascii="Arial" w:cs="Arial" w:eastAsia="Arial" w:hAnsi="Arial"/>
          <w:sz w:val="17"/>
          <w:szCs w:val="17"/>
          <w:color w:val="auto"/>
        </w:rPr>
        <w:t>The Executive may be provided equipment to utilise during his employment with the Company and agrees to return such equipment to the Company as and when demanded. The Executive agrees to repay to the Company any charges for damage done to any equipment (excluding normal wear and tear). In the event any equipment is not returned it will be given a fair market value, which the Executive agrees to repay to the Company on demand. These repayment obligations are without prejudice to any other legal remedies that the Company may have.</w:t>
      </w:r>
    </w:p>
    <w:p>
      <w:pPr>
        <w:spacing w:after="0" w:line="377" w:lineRule="exact"/>
        <w:rPr>
          <w:sz w:val="20"/>
          <w:szCs w:val="20"/>
          <w:color w:val="auto"/>
        </w:rPr>
      </w:pPr>
    </w:p>
    <w:p>
      <w:pPr>
        <w:jc w:val="both"/>
        <w:ind w:left="527" w:hanging="534"/>
        <w:spacing w:after="0" w:line="253" w:lineRule="auto"/>
        <w:tabs>
          <w:tab w:leader="none" w:pos="507" w:val="left"/>
        </w:tabs>
        <w:rPr>
          <w:sz w:val="20"/>
          <w:szCs w:val="20"/>
          <w:color w:val="auto"/>
        </w:rPr>
      </w:pPr>
      <w:r>
        <w:rPr>
          <w:rFonts w:ascii="Arial" w:cs="Arial" w:eastAsia="Arial" w:hAnsi="Arial"/>
          <w:sz w:val="17"/>
          <w:szCs w:val="17"/>
          <w:color w:val="auto"/>
        </w:rPr>
        <w:t>6.3</w:t>
      </w:r>
      <w:r>
        <w:rPr>
          <w:sz w:val="20"/>
          <w:szCs w:val="20"/>
          <w:color w:val="auto"/>
        </w:rPr>
        <w:tab/>
      </w:r>
      <w:r>
        <w:rPr>
          <w:rFonts w:ascii="Arial" w:cs="Arial" w:eastAsia="Arial" w:hAnsi="Arial"/>
          <w:sz w:val="17"/>
          <w:szCs w:val="17"/>
          <w:color w:val="auto"/>
        </w:rPr>
        <w:t>The Company reserves the right to make deductions from the Executive’s salary and/or any other sums due to him under this agreement in respect of any sums due to be repaid by him under clauses 6.1 and 6.2.</w:t>
      </w:r>
    </w:p>
    <w:p>
      <w:pPr>
        <w:spacing w:after="0" w:line="157" w:lineRule="exact"/>
        <w:rPr>
          <w:sz w:val="20"/>
          <w:szCs w:val="20"/>
          <w:color w:val="auto"/>
        </w:rPr>
      </w:pPr>
    </w:p>
    <w:p>
      <w:pPr>
        <w:ind w:left="527" w:hanging="527"/>
        <w:spacing w:after="0"/>
        <w:tabs>
          <w:tab w:leader="none" w:pos="527" w:val="left"/>
        </w:tabs>
        <w:numPr>
          <w:ilvl w:val="0"/>
          <w:numId w:val="110"/>
        </w:numPr>
        <w:rPr>
          <w:rFonts w:ascii="Arial" w:cs="Arial" w:eastAsia="Arial" w:hAnsi="Arial"/>
          <w:sz w:val="19"/>
          <w:szCs w:val="19"/>
          <w:b w:val="1"/>
          <w:bCs w:val="1"/>
          <w:color w:val="auto"/>
        </w:rPr>
      </w:pPr>
      <w:r>
        <w:rPr>
          <w:rFonts w:ascii="Arial" w:cs="Arial" w:eastAsia="Arial" w:hAnsi="Arial"/>
          <w:sz w:val="19"/>
          <w:szCs w:val="19"/>
          <w:b w:val="1"/>
          <w:bCs w:val="1"/>
          <w:color w:val="auto"/>
        </w:rPr>
        <w:t>PENSIONS</w:t>
      </w:r>
    </w:p>
    <w:p>
      <w:pPr>
        <w:spacing w:after="0" w:line="202" w:lineRule="exact"/>
        <w:rPr>
          <w:sz w:val="20"/>
          <w:szCs w:val="20"/>
          <w:color w:val="auto"/>
        </w:rPr>
      </w:pPr>
    </w:p>
    <w:p>
      <w:pPr>
        <w:ind w:left="527" w:right="20" w:hanging="534"/>
        <w:spacing w:after="0" w:line="253" w:lineRule="auto"/>
        <w:tabs>
          <w:tab w:leader="none" w:pos="507" w:val="left"/>
        </w:tabs>
        <w:rPr>
          <w:sz w:val="20"/>
          <w:szCs w:val="20"/>
          <w:color w:val="auto"/>
        </w:rPr>
      </w:pPr>
      <w:r>
        <w:rPr>
          <w:rFonts w:ascii="Arial" w:cs="Arial" w:eastAsia="Arial" w:hAnsi="Arial"/>
          <w:sz w:val="17"/>
          <w:szCs w:val="17"/>
          <w:color w:val="auto"/>
        </w:rPr>
        <w:t>7.1</w:t>
      </w:r>
      <w:r>
        <w:rPr>
          <w:sz w:val="20"/>
          <w:szCs w:val="20"/>
          <w:color w:val="auto"/>
        </w:rPr>
        <w:tab/>
      </w:r>
      <w:r>
        <w:rPr>
          <w:rFonts w:ascii="Arial" w:cs="Arial" w:eastAsia="Arial" w:hAnsi="Arial"/>
          <w:sz w:val="17"/>
          <w:szCs w:val="17"/>
          <w:color w:val="auto"/>
        </w:rPr>
        <w:t>Subject to 7.2 the Executive will be eligible to participate in the UGC Europe Services Limited Group Personal Pension Plan, as exists from time to time, in the calendar month following three months continuous employment with the Company.</w:t>
      </w:r>
    </w:p>
    <w:p>
      <w:pPr>
        <w:spacing w:after="0" w:line="170" w:lineRule="exact"/>
        <w:rPr>
          <w:sz w:val="20"/>
          <w:szCs w:val="20"/>
          <w:color w:val="auto"/>
        </w:rPr>
      </w:pPr>
    </w:p>
    <w:p>
      <w:pPr>
        <w:ind w:left="7"/>
        <w:spacing w:after="0"/>
        <w:tabs>
          <w:tab w:leader="none" w:pos="507" w:val="left"/>
        </w:tabs>
        <w:rPr>
          <w:sz w:val="20"/>
          <w:szCs w:val="20"/>
          <w:color w:val="auto"/>
        </w:rPr>
      </w:pPr>
      <w:r>
        <w:rPr>
          <w:rFonts w:ascii="Arial" w:cs="Arial" w:eastAsia="Arial" w:hAnsi="Arial"/>
          <w:sz w:val="17"/>
          <w:szCs w:val="17"/>
          <w:color w:val="auto"/>
        </w:rPr>
        <w:t>7.2</w:t>
      </w:r>
      <w:r>
        <w:rPr>
          <w:sz w:val="20"/>
          <w:szCs w:val="20"/>
          <w:color w:val="auto"/>
        </w:rPr>
        <w:tab/>
      </w:r>
      <w:r>
        <w:rPr>
          <w:rFonts w:ascii="Arial" w:cs="Arial" w:eastAsia="Arial" w:hAnsi="Arial"/>
          <w:sz w:val="17"/>
          <w:szCs w:val="17"/>
          <w:color w:val="auto"/>
        </w:rPr>
        <w:t>Contributions by the Company will be in compliance with the Company's policy on pensions contributions as amended from time to time.</w:t>
      </w:r>
    </w:p>
    <w:p>
      <w:pPr>
        <w:spacing w:after="0" w:line="176" w:lineRule="exact"/>
        <w:rPr>
          <w:sz w:val="20"/>
          <w:szCs w:val="20"/>
          <w:color w:val="auto"/>
        </w:rPr>
      </w:pPr>
    </w:p>
    <w:p>
      <w:pPr>
        <w:ind w:left="527" w:hanging="527"/>
        <w:spacing w:after="0"/>
        <w:tabs>
          <w:tab w:leader="none" w:pos="527" w:val="left"/>
        </w:tabs>
        <w:numPr>
          <w:ilvl w:val="0"/>
          <w:numId w:val="111"/>
        </w:numPr>
        <w:rPr>
          <w:rFonts w:ascii="Arial" w:cs="Arial" w:eastAsia="Arial" w:hAnsi="Arial"/>
          <w:sz w:val="19"/>
          <w:szCs w:val="19"/>
          <w:b w:val="1"/>
          <w:bCs w:val="1"/>
          <w:color w:val="auto"/>
        </w:rPr>
      </w:pPr>
      <w:r>
        <w:rPr>
          <w:rFonts w:ascii="Arial" w:cs="Arial" w:eastAsia="Arial" w:hAnsi="Arial"/>
          <w:sz w:val="19"/>
          <w:szCs w:val="19"/>
          <w:b w:val="1"/>
          <w:bCs w:val="1"/>
          <w:color w:val="auto"/>
        </w:rPr>
        <w:t>BENEFITS</w:t>
      </w:r>
    </w:p>
    <w:p>
      <w:pPr>
        <w:spacing w:after="0" w:line="202" w:lineRule="exact"/>
        <w:rPr>
          <w:sz w:val="20"/>
          <w:szCs w:val="20"/>
          <w:color w:val="auto"/>
        </w:rPr>
      </w:pPr>
    </w:p>
    <w:p>
      <w:pPr>
        <w:jc w:val="both"/>
        <w:ind w:left="527" w:hanging="534"/>
        <w:spacing w:after="0" w:line="246" w:lineRule="auto"/>
        <w:tabs>
          <w:tab w:leader="none" w:pos="507" w:val="left"/>
        </w:tabs>
        <w:rPr>
          <w:sz w:val="20"/>
          <w:szCs w:val="20"/>
          <w:color w:val="auto"/>
        </w:rPr>
      </w:pPr>
      <w:r>
        <w:rPr>
          <w:rFonts w:ascii="Arial" w:cs="Arial" w:eastAsia="Arial" w:hAnsi="Arial"/>
          <w:sz w:val="17"/>
          <w:szCs w:val="17"/>
          <w:color w:val="auto"/>
        </w:rPr>
        <w:t>8.1</w:t>
      </w:r>
      <w:r>
        <w:rPr>
          <w:sz w:val="20"/>
          <w:szCs w:val="20"/>
          <w:color w:val="auto"/>
        </w:rPr>
        <w:tab/>
      </w:r>
      <w:r>
        <w:rPr>
          <w:rFonts w:ascii="Arial" w:cs="Arial" w:eastAsia="Arial" w:hAnsi="Arial"/>
          <w:sz w:val="17"/>
          <w:szCs w:val="17"/>
          <w:color w:val="auto"/>
        </w:rPr>
        <w:t>The Executive and his family are entitled to become members of the Company’s Private Medical Insurance scheme and Dental Insurance Scheme subject to the rules of the schemes as amended from time to time. For the Medical Insurance Scheme, all monthly premiums will be borne by the Company. With regards to the Dental Insurance Scheme, only the monthly premiums for the Executive will be borne by the Company. Full details of the schemes are available from Human Resources.</w:t>
      </w:r>
    </w:p>
    <w:p>
      <w:pPr>
        <w:spacing w:after="0" w:line="176" w:lineRule="exact"/>
        <w:rPr>
          <w:sz w:val="20"/>
          <w:szCs w:val="20"/>
          <w:color w:val="auto"/>
        </w:rPr>
      </w:pPr>
    </w:p>
    <w:p>
      <w:pPr>
        <w:jc w:val="both"/>
        <w:ind w:left="527" w:hanging="534"/>
        <w:spacing w:after="0" w:line="253" w:lineRule="auto"/>
        <w:tabs>
          <w:tab w:leader="none" w:pos="507" w:val="left"/>
        </w:tabs>
        <w:rPr>
          <w:sz w:val="20"/>
          <w:szCs w:val="20"/>
          <w:color w:val="auto"/>
        </w:rPr>
      </w:pPr>
      <w:r>
        <w:rPr>
          <w:rFonts w:ascii="Arial" w:cs="Arial" w:eastAsia="Arial" w:hAnsi="Arial"/>
          <w:sz w:val="17"/>
          <w:szCs w:val="17"/>
          <w:color w:val="auto"/>
        </w:rPr>
        <w:t>8.2</w:t>
      </w:r>
      <w:r>
        <w:rPr>
          <w:sz w:val="20"/>
          <w:szCs w:val="20"/>
          <w:color w:val="auto"/>
        </w:rPr>
        <w:tab/>
      </w:r>
      <w:r>
        <w:rPr>
          <w:rFonts w:ascii="Arial" w:cs="Arial" w:eastAsia="Arial" w:hAnsi="Arial"/>
          <w:sz w:val="17"/>
          <w:szCs w:val="17"/>
          <w:color w:val="auto"/>
        </w:rPr>
        <w:t>The Executive may participate in the Company’s Permanent Health Insurance scheme subject to the rules of the scheme as amended from time to time. Full details of the scheme are available from Human Resources.</w:t>
      </w:r>
    </w:p>
    <w:p>
      <w:pPr>
        <w:spacing w:after="0" w:line="170" w:lineRule="exact"/>
        <w:rPr>
          <w:sz w:val="20"/>
          <w:szCs w:val="20"/>
          <w:color w:val="auto"/>
        </w:rPr>
      </w:pPr>
    </w:p>
    <w:p>
      <w:pPr>
        <w:ind w:left="7"/>
        <w:spacing w:after="0"/>
        <w:tabs>
          <w:tab w:leader="none" w:pos="507" w:val="left"/>
        </w:tabs>
        <w:rPr>
          <w:sz w:val="20"/>
          <w:szCs w:val="20"/>
          <w:color w:val="auto"/>
        </w:rPr>
      </w:pPr>
      <w:r>
        <w:rPr>
          <w:rFonts w:ascii="Arial" w:cs="Arial" w:eastAsia="Arial" w:hAnsi="Arial"/>
          <w:sz w:val="17"/>
          <w:szCs w:val="17"/>
          <w:color w:val="auto"/>
        </w:rPr>
        <w:t>8.3</w:t>
      </w:r>
      <w:r>
        <w:rPr>
          <w:sz w:val="20"/>
          <w:szCs w:val="20"/>
          <w:color w:val="auto"/>
        </w:rPr>
        <w:tab/>
      </w:r>
      <w:r>
        <w:rPr>
          <w:rFonts w:ascii="Arial" w:cs="Arial" w:eastAsia="Arial" w:hAnsi="Arial"/>
          <w:sz w:val="17"/>
          <w:szCs w:val="17"/>
          <w:color w:val="auto"/>
        </w:rPr>
        <w:t>The Company will provide the Executive with group life assurance cover, subject to the rules of the scheme as amended from time to time.</w:t>
      </w:r>
    </w:p>
    <w:p>
      <w:pPr>
        <w:spacing w:after="0" w:line="2" w:lineRule="exact"/>
        <w:rPr>
          <w:sz w:val="20"/>
          <w:szCs w:val="20"/>
          <w:color w:val="auto"/>
        </w:rPr>
      </w:pPr>
    </w:p>
    <w:p>
      <w:pPr>
        <w:ind w:left="527"/>
        <w:spacing w:after="0"/>
        <w:rPr>
          <w:sz w:val="20"/>
          <w:szCs w:val="20"/>
          <w:color w:val="auto"/>
        </w:rPr>
      </w:pPr>
      <w:r>
        <w:rPr>
          <w:rFonts w:ascii="Arial" w:cs="Arial" w:eastAsia="Arial" w:hAnsi="Arial"/>
          <w:sz w:val="17"/>
          <w:szCs w:val="17"/>
          <w:color w:val="auto"/>
        </w:rPr>
        <w:t>Full details of the scheme are available from Human Resources.</w:t>
      </w:r>
    </w:p>
    <w:p>
      <w:pPr>
        <w:spacing w:after="0" w:line="188" w:lineRule="exact"/>
        <w:rPr>
          <w:sz w:val="20"/>
          <w:szCs w:val="20"/>
          <w:color w:val="auto"/>
        </w:rPr>
      </w:pPr>
    </w:p>
    <w:p>
      <w:pPr>
        <w:jc w:val="both"/>
        <w:ind w:left="527" w:hanging="534"/>
        <w:spacing w:after="0" w:line="253" w:lineRule="auto"/>
        <w:tabs>
          <w:tab w:leader="none" w:pos="507" w:val="left"/>
        </w:tabs>
        <w:rPr>
          <w:sz w:val="20"/>
          <w:szCs w:val="20"/>
          <w:color w:val="auto"/>
        </w:rPr>
      </w:pPr>
      <w:r>
        <w:rPr>
          <w:rFonts w:ascii="Arial" w:cs="Arial" w:eastAsia="Arial" w:hAnsi="Arial"/>
          <w:sz w:val="17"/>
          <w:szCs w:val="17"/>
          <w:color w:val="auto"/>
        </w:rPr>
        <w:t>8.4</w:t>
      </w:r>
      <w:r>
        <w:rPr>
          <w:sz w:val="20"/>
          <w:szCs w:val="20"/>
          <w:color w:val="auto"/>
        </w:rPr>
        <w:tab/>
      </w:r>
      <w:r>
        <w:rPr>
          <w:rFonts w:ascii="Arial" w:cs="Arial" w:eastAsia="Arial" w:hAnsi="Arial"/>
          <w:sz w:val="17"/>
          <w:szCs w:val="17"/>
          <w:color w:val="auto"/>
        </w:rPr>
        <w:t>To assist in the performance of the duties hereunder the Company shall during the Appointment provide the Executive with a car allowance of £1,208 gross per month.</w:t>
      </w:r>
    </w:p>
    <w:p>
      <w:pPr>
        <w:spacing w:after="0" w:line="348" w:lineRule="exact"/>
        <w:rPr>
          <w:sz w:val="20"/>
          <w:szCs w:val="20"/>
          <w:color w:val="auto"/>
        </w:rPr>
      </w:pPr>
    </w:p>
    <w:p>
      <w:pPr>
        <w:ind w:left="7"/>
        <w:spacing w:after="0"/>
        <w:rPr>
          <w:sz w:val="20"/>
          <w:szCs w:val="20"/>
          <w:color w:val="auto"/>
        </w:rPr>
      </w:pPr>
      <w:r>
        <w:rPr>
          <w:rFonts w:ascii="Arial" w:cs="Arial" w:eastAsia="Arial" w:hAnsi="Arial"/>
          <w:sz w:val="16"/>
          <w:szCs w:val="16"/>
          <w:color w:val="auto"/>
        </w:rPr>
        <w:t>322520-1</w:t>
      </w:r>
    </w:p>
    <w:p>
      <w:pPr>
        <w:sectPr>
          <w:pgSz w:w="11900" w:h="16838" w:orient="portrait"/>
          <w:cols w:equalWidth="0" w:num="1">
            <w:col w:w="11267"/>
          </w:cols>
          <w:pgMar w:left="313" w:top="322" w:right="319" w:bottom="1440" w:gutter="0" w:footer="0" w:header="0"/>
        </w:sectPr>
      </w:pPr>
    </w:p>
    <w:bookmarkStart w:id="119" w:name="page120"/>
    <w:bookmarkEnd w:id="119"/>
    <w:p>
      <w:pPr>
        <w:ind w:left="527" w:hanging="527"/>
        <w:spacing w:after="0"/>
        <w:tabs>
          <w:tab w:leader="none" w:pos="527" w:val="left"/>
        </w:tabs>
        <w:numPr>
          <w:ilvl w:val="0"/>
          <w:numId w:val="112"/>
        </w:numPr>
        <w:rPr>
          <w:rFonts w:ascii="Arial" w:cs="Arial" w:eastAsia="Arial" w:hAnsi="Arial"/>
          <w:sz w:val="19"/>
          <w:szCs w:val="19"/>
          <w:b w:val="1"/>
          <w:bCs w:val="1"/>
          <w:color w:val="auto"/>
        </w:rPr>
      </w:pPr>
      <w:r>
        <w:rPr>
          <w:rFonts w:ascii="Arial" w:cs="Arial" w:eastAsia="Arial" w:hAnsi="Arial"/>
          <w:sz w:val="19"/>
          <w:szCs w:val="19"/>
          <w:b w:val="1"/>
          <w:bCs w:val="1"/>
          <w:color w:val="auto"/>
        </w:rPr>
        <w:t>CONFIDENTIAL INFORMATION/TRADE SECRETS/NON-COMPETITION</w:t>
      </w:r>
    </w:p>
    <w:p>
      <w:pPr>
        <w:spacing w:after="0" w:line="201" w:lineRule="exact"/>
        <w:rPr>
          <w:rFonts w:ascii="Arial" w:cs="Arial" w:eastAsia="Arial" w:hAnsi="Arial"/>
          <w:sz w:val="19"/>
          <w:szCs w:val="19"/>
          <w:b w:val="1"/>
          <w:bCs w:val="1"/>
          <w:color w:val="auto"/>
        </w:rPr>
      </w:pPr>
    </w:p>
    <w:p>
      <w:pPr>
        <w:ind w:left="527"/>
        <w:spacing w:after="0" w:line="253" w:lineRule="auto"/>
        <w:rPr>
          <w:rFonts w:ascii="Arial" w:cs="Arial" w:eastAsia="Arial" w:hAnsi="Arial"/>
          <w:sz w:val="19"/>
          <w:szCs w:val="19"/>
          <w:b w:val="1"/>
          <w:bCs w:val="1"/>
          <w:color w:val="auto"/>
        </w:rPr>
      </w:pPr>
      <w:r>
        <w:rPr>
          <w:rFonts w:ascii="Arial" w:cs="Arial" w:eastAsia="Arial" w:hAnsi="Arial"/>
          <w:sz w:val="17"/>
          <w:szCs w:val="17"/>
          <w:color w:val="auto"/>
        </w:rPr>
        <w:t>The Executive shall be subject to the Company’s policy in respect of confidential information and trade secrets and non-competition as set out in Schedule 1 attached.</w:t>
      </w:r>
    </w:p>
    <w:p>
      <w:pPr>
        <w:spacing w:after="0" w:line="157" w:lineRule="exact"/>
        <w:rPr>
          <w:sz w:val="20"/>
          <w:szCs w:val="20"/>
          <w:color w:val="auto"/>
        </w:rPr>
      </w:pPr>
    </w:p>
    <w:p>
      <w:pPr>
        <w:ind w:left="7"/>
        <w:spacing w:after="0"/>
        <w:tabs>
          <w:tab w:leader="none" w:pos="507" w:val="left"/>
        </w:tabs>
        <w:rPr>
          <w:sz w:val="20"/>
          <w:szCs w:val="20"/>
          <w:color w:val="auto"/>
        </w:rPr>
      </w:pPr>
      <w:r>
        <w:rPr>
          <w:rFonts w:ascii="Arial" w:cs="Arial" w:eastAsia="Arial" w:hAnsi="Arial"/>
          <w:sz w:val="19"/>
          <w:szCs w:val="19"/>
          <w:b w:val="1"/>
          <w:bCs w:val="1"/>
          <w:color w:val="auto"/>
        </w:rPr>
        <w:t>10</w:t>
      </w:r>
      <w:r>
        <w:rPr>
          <w:sz w:val="20"/>
          <w:szCs w:val="20"/>
          <w:color w:val="auto"/>
        </w:rPr>
        <w:tab/>
      </w:r>
      <w:r>
        <w:rPr>
          <w:rFonts w:ascii="Arial" w:cs="Arial" w:eastAsia="Arial" w:hAnsi="Arial"/>
          <w:sz w:val="19"/>
          <w:szCs w:val="19"/>
          <w:b w:val="1"/>
          <w:bCs w:val="1"/>
          <w:color w:val="auto"/>
        </w:rPr>
        <w:t>INVENTIONS AND CREATIVE WORKS</w:t>
      </w:r>
    </w:p>
    <w:p>
      <w:pPr>
        <w:spacing w:after="0" w:line="202" w:lineRule="exact"/>
        <w:rPr>
          <w:sz w:val="20"/>
          <w:szCs w:val="20"/>
          <w:color w:val="auto"/>
        </w:rPr>
      </w:pPr>
    </w:p>
    <w:p>
      <w:pPr>
        <w:jc w:val="both"/>
        <w:ind w:left="527" w:hanging="534"/>
        <w:spacing w:after="0" w:line="246" w:lineRule="auto"/>
        <w:tabs>
          <w:tab w:leader="none" w:pos="507" w:val="left"/>
        </w:tabs>
        <w:rPr>
          <w:sz w:val="20"/>
          <w:szCs w:val="20"/>
          <w:color w:val="auto"/>
        </w:rPr>
      </w:pPr>
      <w:r>
        <w:rPr>
          <w:rFonts w:ascii="Arial" w:cs="Arial" w:eastAsia="Arial" w:hAnsi="Arial"/>
          <w:sz w:val="17"/>
          <w:szCs w:val="17"/>
          <w:color w:val="auto"/>
        </w:rPr>
        <w:t>10.1</w:t>
        <w:tab/>
        <w:t>The Executive acknowledges that because of the nature of his duties and the particular responsibilities arising as a result of such duties which he owes to the Company and the Group Companies he has a special obligation to further the interests of the Company and the Group Companies. In particular the duties of the Executive may include reviewing the products and services of the Company and Group Companies with a view to improving them by new and/or original ideas and inventions and implementing such improvements.</w:t>
      </w:r>
    </w:p>
    <w:p>
      <w:pPr>
        <w:spacing w:after="0" w:line="176" w:lineRule="exact"/>
        <w:rPr>
          <w:sz w:val="20"/>
          <w:szCs w:val="20"/>
          <w:color w:val="auto"/>
        </w:rPr>
      </w:pPr>
    </w:p>
    <w:p>
      <w:pPr>
        <w:jc w:val="both"/>
        <w:ind w:left="527" w:hanging="534"/>
        <w:spacing w:after="0" w:line="244" w:lineRule="auto"/>
        <w:tabs>
          <w:tab w:leader="none" w:pos="507" w:val="left"/>
        </w:tabs>
        <w:rPr>
          <w:sz w:val="20"/>
          <w:szCs w:val="20"/>
          <w:color w:val="auto"/>
        </w:rPr>
      </w:pPr>
      <w:r>
        <w:rPr>
          <w:rFonts w:ascii="Arial" w:cs="Arial" w:eastAsia="Arial" w:hAnsi="Arial"/>
          <w:sz w:val="17"/>
          <w:szCs w:val="17"/>
          <w:color w:val="auto"/>
        </w:rPr>
        <w:t>10.2</w:t>
        <w:tab/>
        <w:t>The Executive shall promptly disclose to the Company any idea, invention or work which is relevant to or capable of use in the business of the Company or any of the Group Companies made by the Executive in the course of his employment whether or not in the course of his duties. The Executive acknowledges that the intellectual property rights subsisting or which may in the future subsist in any such ideas, inventions or works created by him in the course of his employment will, on creation, vest in and be the exclusive property of the Company and where the same does not automatically vest as aforesaid, the Executive shall assign the same to the Company (upon the request and at the cost of the Company). The Executive hereby irrevocably waives any rights which he may have in any such ideas, inventions or works which are or have been conferred upon him by chapter IV of part I of the Copyright, Designs and Patents Act 1988 headed “Moral Rights”.</w:t>
      </w:r>
    </w:p>
    <w:p>
      <w:pPr>
        <w:spacing w:after="0" w:line="179" w:lineRule="exact"/>
        <w:rPr>
          <w:sz w:val="20"/>
          <w:szCs w:val="20"/>
          <w:color w:val="auto"/>
        </w:rPr>
      </w:pPr>
    </w:p>
    <w:p>
      <w:pPr>
        <w:jc w:val="both"/>
        <w:ind w:left="527" w:hanging="534"/>
        <w:spacing w:after="0" w:line="246" w:lineRule="auto"/>
        <w:tabs>
          <w:tab w:leader="none" w:pos="507" w:val="left"/>
        </w:tabs>
        <w:rPr>
          <w:sz w:val="20"/>
          <w:szCs w:val="20"/>
          <w:color w:val="auto"/>
        </w:rPr>
      </w:pPr>
      <w:r>
        <w:rPr>
          <w:rFonts w:ascii="Arial" w:cs="Arial" w:eastAsia="Arial" w:hAnsi="Arial"/>
          <w:sz w:val="17"/>
          <w:szCs w:val="17"/>
          <w:color w:val="auto"/>
        </w:rPr>
        <w:t>10.3</w:t>
        <w:tab/>
        <w:t>The Executive hereby irrevocably appoints the Company to be his attorney in his name and on his behalf to execute and do any such instrument or thing and generally to use his name for the purpose of giving to the Company or its nominee the full benefit of the provisions of this clause 10 and acknowledges in favour of any third party that a certificate in writing signed by any Director or Secretary of the Company that any instrument or act falls within the authority hereby conferred shall be conclusive evidence that such is the case.</w:t>
      </w:r>
    </w:p>
    <w:p>
      <w:pPr>
        <w:spacing w:after="0" w:line="163" w:lineRule="exact"/>
        <w:rPr>
          <w:sz w:val="20"/>
          <w:szCs w:val="20"/>
          <w:color w:val="auto"/>
        </w:rPr>
      </w:pPr>
    </w:p>
    <w:p>
      <w:pPr>
        <w:ind w:left="527" w:hanging="527"/>
        <w:spacing w:after="0"/>
        <w:tabs>
          <w:tab w:leader="none" w:pos="527" w:val="left"/>
        </w:tabs>
        <w:numPr>
          <w:ilvl w:val="0"/>
          <w:numId w:val="113"/>
        </w:numPr>
        <w:rPr>
          <w:rFonts w:ascii="Arial" w:cs="Arial" w:eastAsia="Arial" w:hAnsi="Arial"/>
          <w:sz w:val="19"/>
          <w:szCs w:val="19"/>
          <w:b w:val="1"/>
          <w:bCs w:val="1"/>
          <w:color w:val="auto"/>
        </w:rPr>
      </w:pPr>
      <w:r>
        <w:rPr>
          <w:rFonts w:ascii="Arial" w:cs="Arial" w:eastAsia="Arial" w:hAnsi="Arial"/>
          <w:sz w:val="19"/>
          <w:szCs w:val="19"/>
          <w:b w:val="1"/>
          <w:bCs w:val="1"/>
          <w:color w:val="auto"/>
        </w:rPr>
        <w:t>CODE OF BUSINESS CONDUCT</w:t>
      </w:r>
    </w:p>
    <w:p>
      <w:pPr>
        <w:spacing w:after="0" w:line="201" w:lineRule="exact"/>
        <w:rPr>
          <w:rFonts w:ascii="Arial" w:cs="Arial" w:eastAsia="Arial" w:hAnsi="Arial"/>
          <w:sz w:val="19"/>
          <w:szCs w:val="19"/>
          <w:b w:val="1"/>
          <w:bCs w:val="1"/>
          <w:color w:val="auto"/>
        </w:rPr>
      </w:pPr>
    </w:p>
    <w:p>
      <w:pPr>
        <w:ind w:left="527" w:right="20"/>
        <w:spacing w:after="0" w:line="253" w:lineRule="auto"/>
        <w:rPr>
          <w:rFonts w:ascii="Arial" w:cs="Arial" w:eastAsia="Arial" w:hAnsi="Arial"/>
          <w:sz w:val="19"/>
          <w:szCs w:val="19"/>
          <w:b w:val="1"/>
          <w:bCs w:val="1"/>
          <w:color w:val="auto"/>
        </w:rPr>
      </w:pPr>
      <w:r>
        <w:rPr>
          <w:rFonts w:ascii="Arial" w:cs="Arial" w:eastAsia="Arial" w:hAnsi="Arial"/>
          <w:sz w:val="17"/>
          <w:szCs w:val="17"/>
          <w:color w:val="auto"/>
        </w:rPr>
        <w:t>The Executive shall be subject to the Company’s Code of Business Conduct issued by the Company to him from time to time, the current version of which is set out in Schedule 2.</w:t>
      </w:r>
    </w:p>
    <w:p>
      <w:pPr>
        <w:spacing w:after="0" w:line="156" w:lineRule="exact"/>
        <w:rPr>
          <w:rFonts w:ascii="Arial" w:cs="Arial" w:eastAsia="Arial" w:hAnsi="Arial"/>
          <w:sz w:val="19"/>
          <w:szCs w:val="19"/>
          <w:b w:val="1"/>
          <w:bCs w:val="1"/>
          <w:color w:val="auto"/>
        </w:rPr>
      </w:pPr>
    </w:p>
    <w:p>
      <w:pPr>
        <w:ind w:left="527" w:hanging="527"/>
        <w:spacing w:after="0"/>
        <w:tabs>
          <w:tab w:leader="none" w:pos="527" w:val="left"/>
        </w:tabs>
        <w:numPr>
          <w:ilvl w:val="0"/>
          <w:numId w:val="113"/>
        </w:numPr>
        <w:rPr>
          <w:rFonts w:ascii="Arial" w:cs="Arial" w:eastAsia="Arial" w:hAnsi="Arial"/>
          <w:sz w:val="19"/>
          <w:szCs w:val="19"/>
          <w:b w:val="1"/>
          <w:bCs w:val="1"/>
          <w:color w:val="auto"/>
        </w:rPr>
      </w:pPr>
      <w:r>
        <w:rPr>
          <w:rFonts w:ascii="Arial" w:cs="Arial" w:eastAsia="Arial" w:hAnsi="Arial"/>
          <w:sz w:val="19"/>
          <w:szCs w:val="19"/>
          <w:b w:val="1"/>
          <w:bCs w:val="1"/>
          <w:color w:val="auto"/>
        </w:rPr>
        <w:t>TERMINATION BY EVENTS OF DEFAULT</w:t>
      </w:r>
    </w:p>
    <w:p>
      <w:pPr>
        <w:spacing w:after="0" w:line="202" w:lineRule="exact"/>
        <w:rPr>
          <w:sz w:val="20"/>
          <w:szCs w:val="20"/>
          <w:color w:val="auto"/>
        </w:rPr>
      </w:pPr>
    </w:p>
    <w:p>
      <w:pPr>
        <w:ind w:left="7"/>
        <w:spacing w:after="0"/>
        <w:tabs>
          <w:tab w:leader="none" w:pos="507" w:val="left"/>
        </w:tabs>
        <w:rPr>
          <w:sz w:val="20"/>
          <w:szCs w:val="20"/>
          <w:color w:val="auto"/>
        </w:rPr>
      </w:pPr>
      <w:r>
        <w:rPr>
          <w:rFonts w:ascii="Arial" w:cs="Arial" w:eastAsia="Arial" w:hAnsi="Arial"/>
          <w:sz w:val="17"/>
          <w:szCs w:val="17"/>
          <w:color w:val="auto"/>
        </w:rPr>
        <w:t>12.1</w:t>
        <w:tab/>
        <w:t>The Appointment shall be subject to summary termination at any time by the Company by notice in writing if the Executive shall:-</w:t>
      </w:r>
    </w:p>
    <w:p>
      <w:pPr>
        <w:spacing w:after="0" w:line="188" w:lineRule="exact"/>
        <w:rPr>
          <w:sz w:val="20"/>
          <w:szCs w:val="20"/>
          <w:color w:val="auto"/>
        </w:rPr>
      </w:pPr>
    </w:p>
    <w:p>
      <w:pPr>
        <w:ind w:left="567"/>
        <w:spacing w:after="0"/>
        <w:rPr>
          <w:sz w:val="20"/>
          <w:szCs w:val="20"/>
          <w:color w:val="auto"/>
        </w:rPr>
      </w:pPr>
      <w:r>
        <w:rPr>
          <w:rFonts w:ascii="Arial" w:cs="Arial" w:eastAsia="Arial" w:hAnsi="Arial"/>
          <w:sz w:val="17"/>
          <w:szCs w:val="17"/>
          <w:color w:val="auto"/>
        </w:rPr>
        <w:t>(a)have committed any serious breach or (after warning in writing) any repeated or continued material breach of the obligations hereunder; or</w:t>
      </w:r>
    </w:p>
    <w:p>
      <w:pPr>
        <w:spacing w:after="0" w:line="188" w:lineRule="exact"/>
        <w:rPr>
          <w:sz w:val="20"/>
          <w:szCs w:val="20"/>
          <w:color w:val="auto"/>
        </w:rPr>
      </w:pPr>
    </w:p>
    <w:p>
      <w:pPr>
        <w:ind w:left="1227" w:right="20" w:hanging="658"/>
        <w:spacing w:after="0" w:line="253" w:lineRule="auto"/>
        <w:rPr>
          <w:sz w:val="20"/>
          <w:szCs w:val="20"/>
          <w:color w:val="auto"/>
        </w:rPr>
      </w:pPr>
      <w:r>
        <w:rPr>
          <w:rFonts w:ascii="Arial" w:cs="Arial" w:eastAsia="Arial" w:hAnsi="Arial"/>
          <w:sz w:val="17"/>
          <w:szCs w:val="17"/>
          <w:color w:val="auto"/>
        </w:rPr>
        <w:t>(b)shall have been guilty of any act of dishonesty or serious misconduct or any conduct which in the reasonable opinion of the Board of Directors of the Company tends to bring the Executive, the Company or any of the Group Companies into</w:t>
      </w:r>
    </w:p>
    <w:p>
      <w:pPr>
        <w:spacing w:after="0" w:line="348" w:lineRule="exact"/>
        <w:rPr>
          <w:sz w:val="20"/>
          <w:szCs w:val="20"/>
          <w:color w:val="auto"/>
        </w:rPr>
      </w:pPr>
    </w:p>
    <w:p>
      <w:pPr>
        <w:ind w:left="7"/>
        <w:spacing w:after="0"/>
        <w:rPr>
          <w:sz w:val="20"/>
          <w:szCs w:val="20"/>
          <w:color w:val="auto"/>
        </w:rPr>
      </w:pPr>
      <w:r>
        <w:rPr>
          <w:rFonts w:ascii="Arial" w:cs="Arial" w:eastAsia="Arial" w:hAnsi="Arial"/>
          <w:sz w:val="16"/>
          <w:szCs w:val="16"/>
          <w:color w:val="auto"/>
        </w:rPr>
        <w:t>322520-1</w:t>
      </w:r>
    </w:p>
    <w:p>
      <w:pPr>
        <w:sectPr>
          <w:pgSz w:w="11900" w:h="16838" w:orient="portrait"/>
          <w:cols w:equalWidth="0" w:num="1">
            <w:col w:w="11267"/>
          </w:cols>
          <w:pgMar w:left="313" w:top="310" w:right="319" w:bottom="1440" w:gutter="0" w:footer="0" w:header="0"/>
        </w:sectPr>
      </w:pPr>
    </w:p>
    <w:bookmarkStart w:id="120" w:name="page121"/>
    <w:bookmarkEnd w:id="120"/>
    <w:p>
      <w:pPr>
        <w:ind w:left="560" w:right="1120" w:firstLine="430"/>
        <w:spacing w:after="0" w:line="464" w:lineRule="auto"/>
        <w:rPr>
          <w:sz w:val="20"/>
          <w:szCs w:val="20"/>
          <w:color w:val="auto"/>
        </w:rPr>
      </w:pPr>
      <w:r>
        <w:rPr>
          <w:rFonts w:ascii="Arial" w:cs="Arial" w:eastAsia="Arial" w:hAnsi="Arial"/>
          <w:sz w:val="17"/>
          <w:szCs w:val="17"/>
          <w:color w:val="auto"/>
        </w:rPr>
        <w:t>disrepute including but not limited to any breach of the Company's Code of Business Conduct as set out in Schedule 2; or (c)shall be declared bankrupt or shall compound with his creditors;</w:t>
      </w:r>
    </w:p>
    <w:p>
      <w:pPr>
        <w:jc w:val="both"/>
        <w:ind w:left="1220" w:right="20" w:hanging="658"/>
        <w:spacing w:after="0" w:line="253" w:lineRule="auto"/>
        <w:rPr>
          <w:sz w:val="20"/>
          <w:szCs w:val="20"/>
          <w:color w:val="auto"/>
        </w:rPr>
      </w:pPr>
      <w:r>
        <w:rPr>
          <w:rFonts w:ascii="Arial" w:cs="Arial" w:eastAsia="Arial" w:hAnsi="Arial"/>
          <w:sz w:val="17"/>
          <w:szCs w:val="17"/>
          <w:color w:val="auto"/>
        </w:rPr>
        <w:t>(d)be convicted of any criminal offence (excluding an offence under the road traffic legislation in the United Kingdom or elsewhere for which the Executive is not sentenced to any term of imprisonment, whether suspended or not );</w:t>
      </w:r>
    </w:p>
    <w:p>
      <w:pPr>
        <w:spacing w:after="0" w:line="170" w:lineRule="exact"/>
        <w:rPr>
          <w:sz w:val="20"/>
          <w:szCs w:val="20"/>
          <w:color w:val="auto"/>
        </w:rPr>
      </w:pPr>
    </w:p>
    <w:p>
      <w:pPr>
        <w:jc w:val="both"/>
        <w:ind w:left="1220" w:hanging="658"/>
        <w:spacing w:after="0" w:line="248" w:lineRule="auto"/>
        <w:rPr>
          <w:sz w:val="20"/>
          <w:szCs w:val="20"/>
          <w:color w:val="auto"/>
        </w:rPr>
      </w:pPr>
      <w:r>
        <w:rPr>
          <w:rFonts w:ascii="Arial" w:cs="Arial" w:eastAsia="Arial" w:hAnsi="Arial"/>
          <w:sz w:val="17"/>
          <w:szCs w:val="17"/>
          <w:color w:val="auto"/>
        </w:rPr>
        <w:t>(e)be incapacitated during the Appointment by ill-health or accident from performing his duties hereunder for an aggregate of 130 working days or more in any period of 12 months provided that this clause 12.1(f) shall not apply if using it would deprive the Executive of any permanent health insurance benefits under Clause 8.2.</w:t>
      </w:r>
    </w:p>
    <w:p>
      <w:pPr>
        <w:spacing w:after="0" w:line="174"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color w:val="auto"/>
        </w:rPr>
        <w:t>12.2</w:t>
        <w:tab/>
        <w:t>Any delay by the Company in exercising such right to termination shall not constitute a waiver thereof.</w:t>
      </w:r>
    </w:p>
    <w:p>
      <w:pPr>
        <w:spacing w:after="0" w:line="176"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b w:val="1"/>
          <w:bCs w:val="1"/>
          <w:color w:val="auto"/>
        </w:rPr>
        <w:t>13</w:t>
      </w:r>
      <w:r>
        <w:rPr>
          <w:sz w:val="20"/>
          <w:szCs w:val="20"/>
          <w:color w:val="auto"/>
        </w:rPr>
        <w:tab/>
      </w:r>
      <w:r>
        <w:rPr>
          <w:rFonts w:ascii="Arial" w:cs="Arial" w:eastAsia="Arial" w:hAnsi="Arial"/>
          <w:sz w:val="19"/>
          <w:szCs w:val="19"/>
          <w:b w:val="1"/>
          <w:bCs w:val="1"/>
          <w:color w:val="auto"/>
        </w:rPr>
        <w:t>INCAPACITY</w:t>
      </w:r>
    </w:p>
    <w:p>
      <w:pPr>
        <w:spacing w:after="0" w:line="202" w:lineRule="exact"/>
        <w:rPr>
          <w:sz w:val="20"/>
          <w:szCs w:val="20"/>
          <w:color w:val="auto"/>
        </w:rPr>
      </w:pPr>
    </w:p>
    <w:p>
      <w:pPr>
        <w:jc w:val="both"/>
        <w:ind w:left="520" w:hanging="534"/>
        <w:spacing w:after="0" w:line="198" w:lineRule="exact"/>
        <w:tabs>
          <w:tab w:leader="none" w:pos="500" w:val="left"/>
        </w:tabs>
        <w:rPr>
          <w:sz w:val="20"/>
          <w:szCs w:val="20"/>
          <w:color w:val="auto"/>
        </w:rPr>
      </w:pPr>
      <w:r>
        <w:rPr>
          <w:rFonts w:ascii="Arial" w:cs="Arial" w:eastAsia="Arial" w:hAnsi="Arial"/>
          <w:sz w:val="17"/>
          <w:szCs w:val="17"/>
          <w:color w:val="auto"/>
        </w:rPr>
        <w:t>13.1</w:t>
        <w:tab/>
        <w:t>If the Executive shall be incapacitated during the Appointment by ill</w:t>
      </w:r>
      <w:r>
        <w:rPr>
          <w:rFonts w:ascii="MS PGothic" w:cs="MS PGothic" w:eastAsia="MS PGothic" w:hAnsi="MS PGothic"/>
          <w:sz w:val="17"/>
          <w:szCs w:val="17"/>
          <w:color w:val="auto"/>
        </w:rPr>
        <w:t>‑</w:t>
      </w:r>
      <w:r>
        <w:rPr>
          <w:rFonts w:ascii="Arial" w:cs="Arial" w:eastAsia="Arial" w:hAnsi="Arial"/>
          <w:sz w:val="17"/>
          <w:szCs w:val="17"/>
          <w:color w:val="auto"/>
        </w:rPr>
        <w:t>health or accident from performing his duties hereunder for an aggregate of 130 working days or more in any period of 12 months the Company may by written notice to the Executive forthwith (or as from a future date specified in the notice) discontinue payment in whole or part of the remuneration and benefits under this Agreement until such incapacity shall cease or (whether or not his remuneration and benefits shall have been discontinued as aforesaid) terminate pursuant to Clause 12.1(e) the Appointment provided that the Company shall, except where the Appointment has been terminated, take all reasonable steps to ensure that the Executive receives benefits pursuant to clauses 8.1, 8.2 and 8.3. Subject as aforesaid the said remuneration and benefits shall continue to be payable to the Executive notwithstanding such incapacity, but the Company shall be entitled to set off or deduct therefrom the amount of any sickness or other benefit to which the Executive is entitled under Social Security legislation for the time being in force. If requested by the Company, doctor’s certificates must be obtained for any period of incapacity due to sickness or injury of more than 7 days (including weekends). This clause 13.1 is without prejudice to the Company's rights to terminate the Appointment pursuant to Clause 2.1 and clause 12.1.</w:t>
      </w:r>
    </w:p>
    <w:p>
      <w:pPr>
        <w:spacing w:after="0" w:line="185" w:lineRule="exact"/>
        <w:rPr>
          <w:sz w:val="20"/>
          <w:szCs w:val="20"/>
          <w:color w:val="auto"/>
        </w:rPr>
      </w:pPr>
    </w:p>
    <w:p>
      <w:pPr>
        <w:jc w:val="both"/>
        <w:ind w:left="520" w:hanging="534"/>
        <w:spacing w:after="0" w:line="253" w:lineRule="auto"/>
        <w:tabs>
          <w:tab w:leader="none" w:pos="500" w:val="left"/>
        </w:tabs>
        <w:rPr>
          <w:sz w:val="20"/>
          <w:szCs w:val="20"/>
          <w:color w:val="auto"/>
        </w:rPr>
      </w:pPr>
      <w:r>
        <w:rPr>
          <w:rFonts w:ascii="Arial" w:cs="Arial" w:eastAsia="Arial" w:hAnsi="Arial"/>
          <w:sz w:val="17"/>
          <w:szCs w:val="17"/>
          <w:color w:val="auto"/>
        </w:rPr>
        <w:t>13.2</w:t>
        <w:tab/>
        <w:t>It is a condition of the Executive’s employment that the Executive consents to an examination by a doctor nominated by the Company should the Company so require.</w:t>
      </w:r>
    </w:p>
    <w:p>
      <w:pPr>
        <w:spacing w:after="0" w:line="170" w:lineRule="exact"/>
        <w:rPr>
          <w:sz w:val="20"/>
          <w:szCs w:val="20"/>
          <w:color w:val="auto"/>
        </w:rPr>
      </w:pPr>
    </w:p>
    <w:p>
      <w:pPr>
        <w:jc w:val="both"/>
        <w:ind w:left="520" w:right="20" w:hanging="534"/>
        <w:spacing w:after="0" w:line="253" w:lineRule="auto"/>
        <w:tabs>
          <w:tab w:leader="none" w:pos="500" w:val="left"/>
        </w:tabs>
        <w:rPr>
          <w:sz w:val="20"/>
          <w:szCs w:val="20"/>
          <w:color w:val="auto"/>
        </w:rPr>
      </w:pPr>
      <w:r>
        <w:rPr>
          <w:rFonts w:ascii="Arial" w:cs="Arial" w:eastAsia="Arial" w:hAnsi="Arial"/>
          <w:sz w:val="17"/>
          <w:szCs w:val="17"/>
          <w:color w:val="auto"/>
        </w:rPr>
        <w:t>13.3</w:t>
        <w:tab/>
        <w:t>If the Executive’s absence shall be occasioned by the actionable negligence of a third party in respect of which damages are recoverable, then all sums paid by the Company to the Executive under this clause 13 shall constitute loans to the Executive, who shall:</w:t>
      </w:r>
    </w:p>
    <w:p>
      <w:pPr>
        <w:spacing w:after="0" w:line="170" w:lineRule="exact"/>
        <w:rPr>
          <w:sz w:val="20"/>
          <w:szCs w:val="20"/>
          <w:color w:val="auto"/>
        </w:rPr>
      </w:pPr>
    </w:p>
    <w:p>
      <w:pPr>
        <w:ind w:left="1220" w:right="20" w:hanging="658"/>
        <w:spacing w:after="0" w:line="253" w:lineRule="auto"/>
        <w:rPr>
          <w:sz w:val="20"/>
          <w:szCs w:val="20"/>
          <w:color w:val="auto"/>
        </w:rPr>
      </w:pPr>
      <w:r>
        <w:rPr>
          <w:rFonts w:ascii="Arial" w:cs="Arial" w:eastAsia="Arial" w:hAnsi="Arial"/>
          <w:sz w:val="17"/>
          <w:szCs w:val="17"/>
          <w:color w:val="auto"/>
        </w:rPr>
        <w:t>(a)immediately notify the Company of all the relevant circumstances and of any claim, compromise, settlement or judgment made or awarded in connection therewith;</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(b)if the Company so requires, refund to the Company such sum as the Company may determine, not exceeding the lesser of:</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7"/>
          <w:szCs w:val="17"/>
          <w:color w:val="auto"/>
        </w:rPr>
        <w:t>(i)the amount of damages recovered by the Executive under any compromise settlement or judgment; and</w:t>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color w:val="auto"/>
        </w:rPr>
        <w:t>322520-1</w:t>
      </w:r>
    </w:p>
    <w:p>
      <w:pPr>
        <w:sectPr>
          <w:pgSz w:w="11900" w:h="16838" w:orient="portrait"/>
          <w:cols w:equalWidth="0" w:num="1">
            <w:col w:w="11260"/>
          </w:cols>
          <w:pgMar w:left="320" w:top="322" w:right="319" w:bottom="1440" w:gutter="0" w:footer="0" w:header="0"/>
        </w:sectPr>
      </w:pPr>
    </w:p>
    <w:bookmarkStart w:id="121" w:name="page122"/>
    <w:bookmarkEnd w:id="121"/>
    <w:p>
      <w:pPr>
        <w:ind w:left="987"/>
        <w:spacing w:after="0"/>
        <w:rPr>
          <w:sz w:val="20"/>
          <w:szCs w:val="20"/>
          <w:color w:val="auto"/>
        </w:rPr>
      </w:pPr>
      <w:r>
        <w:rPr>
          <w:rFonts w:ascii="Arial" w:cs="Arial" w:eastAsia="Arial" w:hAnsi="Arial"/>
          <w:sz w:val="17"/>
          <w:szCs w:val="17"/>
          <w:color w:val="auto"/>
        </w:rPr>
        <w:t>(ii)the sums advanced to the Executive by the Company in respect of the period of incapacity.</w:t>
      </w:r>
    </w:p>
    <w:p>
      <w:pPr>
        <w:spacing w:after="0" w:line="176" w:lineRule="exact"/>
        <w:rPr>
          <w:sz w:val="20"/>
          <w:szCs w:val="20"/>
          <w:color w:val="auto"/>
        </w:rPr>
      </w:pPr>
    </w:p>
    <w:p>
      <w:pPr>
        <w:ind w:left="527" w:hanging="527"/>
        <w:spacing w:after="0"/>
        <w:tabs>
          <w:tab w:leader="none" w:pos="527" w:val="left"/>
        </w:tabs>
        <w:numPr>
          <w:ilvl w:val="0"/>
          <w:numId w:val="114"/>
        </w:numPr>
        <w:rPr>
          <w:rFonts w:ascii="Arial" w:cs="Arial" w:eastAsia="Arial" w:hAnsi="Arial"/>
          <w:sz w:val="19"/>
          <w:szCs w:val="19"/>
          <w:b w:val="1"/>
          <w:bCs w:val="1"/>
          <w:color w:val="auto"/>
        </w:rPr>
      </w:pPr>
      <w:r>
        <w:rPr>
          <w:rFonts w:ascii="Arial" w:cs="Arial" w:eastAsia="Arial" w:hAnsi="Arial"/>
          <w:sz w:val="19"/>
          <w:szCs w:val="19"/>
          <w:b w:val="1"/>
          <w:bCs w:val="1"/>
          <w:color w:val="auto"/>
        </w:rPr>
        <w:t>OBLIGATIONS UPON TERMINATION</w:t>
      </w:r>
    </w:p>
    <w:p>
      <w:pPr>
        <w:spacing w:after="0" w:line="201" w:lineRule="exact"/>
        <w:rPr>
          <w:rFonts w:ascii="Arial" w:cs="Arial" w:eastAsia="Arial" w:hAnsi="Arial"/>
          <w:sz w:val="19"/>
          <w:szCs w:val="19"/>
          <w:b w:val="1"/>
          <w:bCs w:val="1"/>
          <w:color w:val="auto"/>
        </w:rPr>
      </w:pPr>
    </w:p>
    <w:p>
      <w:pPr>
        <w:ind w:left="527"/>
        <w:spacing w:after="0" w:line="196" w:lineRule="exact"/>
        <w:rPr>
          <w:rFonts w:ascii="Arial" w:cs="Arial" w:eastAsia="Arial" w:hAnsi="Arial"/>
          <w:sz w:val="19"/>
          <w:szCs w:val="19"/>
          <w:b w:val="1"/>
          <w:bCs w:val="1"/>
          <w:color w:val="auto"/>
        </w:rPr>
      </w:pPr>
      <w:r>
        <w:rPr>
          <w:rFonts w:ascii="Arial" w:cs="Arial" w:eastAsia="Arial" w:hAnsi="Arial"/>
          <w:sz w:val="17"/>
          <w:szCs w:val="17"/>
          <w:color w:val="auto"/>
        </w:rPr>
        <w:t>Upon the termination of the Appointment howsoever arising the Executive shall:</w:t>
      </w:r>
      <w:r>
        <w:rPr>
          <w:rFonts w:ascii="MS PGothic" w:cs="MS PGothic" w:eastAsia="MS PGothic" w:hAnsi="MS PGothic"/>
          <w:sz w:val="17"/>
          <w:szCs w:val="17"/>
          <w:color w:val="auto"/>
        </w:rPr>
        <w:t>‑</w:t>
      </w:r>
    </w:p>
    <w:p>
      <w:pPr>
        <w:spacing w:after="0" w:line="188" w:lineRule="exact"/>
        <w:rPr>
          <w:sz w:val="20"/>
          <w:szCs w:val="20"/>
          <w:color w:val="auto"/>
        </w:rPr>
      </w:pPr>
    </w:p>
    <w:p>
      <w:pPr>
        <w:ind w:left="7"/>
        <w:spacing w:after="0"/>
        <w:tabs>
          <w:tab w:leader="none" w:pos="507" w:val="left"/>
        </w:tabs>
        <w:rPr>
          <w:sz w:val="20"/>
          <w:szCs w:val="20"/>
          <w:color w:val="auto"/>
        </w:rPr>
      </w:pPr>
      <w:r>
        <w:rPr>
          <w:rFonts w:ascii="Arial" w:cs="Arial" w:eastAsia="Arial" w:hAnsi="Arial"/>
          <w:sz w:val="17"/>
          <w:szCs w:val="17"/>
          <w:color w:val="auto"/>
        </w:rPr>
        <w:t>14.1</w:t>
        <w:tab/>
        <w:t>at any time or from time to time thereafter upon the request of the Company, resign without claim for compensation from:-</w:t>
      </w:r>
    </w:p>
    <w:p>
      <w:pPr>
        <w:spacing w:after="0" w:line="188" w:lineRule="exact"/>
        <w:rPr>
          <w:sz w:val="20"/>
          <w:szCs w:val="20"/>
          <w:color w:val="auto"/>
        </w:rPr>
      </w:pPr>
    </w:p>
    <w:p>
      <w:pPr>
        <w:ind w:left="567"/>
        <w:spacing w:after="0"/>
        <w:rPr>
          <w:sz w:val="20"/>
          <w:szCs w:val="20"/>
          <w:color w:val="auto"/>
        </w:rPr>
      </w:pPr>
      <w:r>
        <w:rPr>
          <w:rFonts w:ascii="Arial" w:cs="Arial" w:eastAsia="Arial" w:hAnsi="Arial"/>
          <w:sz w:val="17"/>
          <w:szCs w:val="17"/>
          <w:color w:val="auto"/>
        </w:rPr>
        <w:t>(a)all offices held in the Company or any of the Group Companies; and</w:t>
      </w:r>
    </w:p>
    <w:p>
      <w:pPr>
        <w:spacing w:after="0" w:line="188" w:lineRule="exact"/>
        <w:rPr>
          <w:sz w:val="20"/>
          <w:szCs w:val="20"/>
          <w:color w:val="auto"/>
        </w:rPr>
      </w:pPr>
    </w:p>
    <w:p>
      <w:pPr>
        <w:ind w:left="567"/>
        <w:spacing w:after="0"/>
        <w:rPr>
          <w:sz w:val="20"/>
          <w:szCs w:val="20"/>
          <w:color w:val="auto"/>
        </w:rPr>
      </w:pPr>
      <w:r>
        <w:rPr>
          <w:rFonts w:ascii="Arial" w:cs="Arial" w:eastAsia="Arial" w:hAnsi="Arial"/>
          <w:sz w:val="17"/>
          <w:szCs w:val="17"/>
          <w:color w:val="auto"/>
        </w:rPr>
        <w:t>(b)membership of any organisation and any office in any other company acquired by reason of or in connection with the Appointment;</w:t>
      </w:r>
    </w:p>
    <w:p>
      <w:pPr>
        <w:spacing w:after="0" w:line="200" w:lineRule="exact"/>
        <w:rPr>
          <w:sz w:val="20"/>
          <w:szCs w:val="20"/>
          <w:color w:val="auto"/>
        </w:rPr>
      </w:pPr>
    </w:p>
    <w:p>
      <w:pPr>
        <w:ind w:left="567" w:hanging="46"/>
        <w:spacing w:after="0" w:line="282" w:lineRule="auto"/>
        <w:rPr>
          <w:sz w:val="20"/>
          <w:szCs w:val="20"/>
          <w:color w:val="auto"/>
        </w:rPr>
      </w:pPr>
      <w:r>
        <w:rPr>
          <w:rFonts w:ascii="Arial" w:cs="Arial" w:eastAsia="Arial" w:hAnsi="Arial"/>
          <w:sz w:val="17"/>
          <w:szCs w:val="17"/>
          <w:color w:val="auto"/>
        </w:rPr>
        <w:t>and should he fail to do so the Company is hereby irrevocably appointed to be the Executive's Attorney in his name and on his behalf to execute any documents and to do any things necessary or requisite to give effect to this clause; and</w:t>
      </w:r>
    </w:p>
    <w:p>
      <w:pPr>
        <w:spacing w:after="0" w:line="157" w:lineRule="exact"/>
        <w:rPr>
          <w:sz w:val="20"/>
          <w:szCs w:val="20"/>
          <w:color w:val="auto"/>
        </w:rPr>
      </w:pPr>
    </w:p>
    <w:p>
      <w:pPr>
        <w:jc w:val="both"/>
        <w:ind w:left="527" w:hanging="534"/>
        <w:spacing w:after="0" w:line="245" w:lineRule="auto"/>
        <w:tabs>
          <w:tab w:leader="none" w:pos="507" w:val="left"/>
        </w:tabs>
        <w:rPr>
          <w:sz w:val="20"/>
          <w:szCs w:val="20"/>
          <w:color w:val="auto"/>
        </w:rPr>
      </w:pPr>
      <w:r>
        <w:rPr>
          <w:rFonts w:ascii="Arial" w:cs="Arial" w:eastAsia="Arial" w:hAnsi="Arial"/>
          <w:sz w:val="17"/>
          <w:szCs w:val="17"/>
          <w:color w:val="auto"/>
        </w:rPr>
        <w:t>14.2</w:t>
        <w:tab/>
        <w:t>deliver to the Company all documents (including, but not limited to, correspondence, lists of clients or customers, notes, memoranda, plans, drawings and other documents of whatsoever nature and all copies thereof) made or compiled or acquired by the Executive during the Appointment and concerning the business, finances or affairs of the Company or any of the Group Companies or customers together with all other property of or relating to the business of the Company or any of the Group Companies which may be in the Executive’s possession or under the Executive’s power or control.</w:t>
      </w:r>
    </w:p>
    <w:p>
      <w:pPr>
        <w:spacing w:after="0" w:line="164" w:lineRule="exact"/>
        <w:rPr>
          <w:sz w:val="20"/>
          <w:szCs w:val="20"/>
          <w:color w:val="auto"/>
        </w:rPr>
      </w:pPr>
    </w:p>
    <w:p>
      <w:pPr>
        <w:ind w:left="527" w:hanging="527"/>
        <w:spacing w:after="0"/>
        <w:tabs>
          <w:tab w:leader="none" w:pos="527" w:val="left"/>
        </w:tabs>
        <w:numPr>
          <w:ilvl w:val="0"/>
          <w:numId w:val="115"/>
        </w:numPr>
        <w:rPr>
          <w:rFonts w:ascii="Arial" w:cs="Arial" w:eastAsia="Arial" w:hAnsi="Arial"/>
          <w:sz w:val="19"/>
          <w:szCs w:val="19"/>
          <w:b w:val="1"/>
          <w:bCs w:val="1"/>
          <w:color w:val="auto"/>
        </w:rPr>
      </w:pPr>
      <w:r>
        <w:rPr>
          <w:rFonts w:ascii="Arial" w:cs="Arial" w:eastAsia="Arial" w:hAnsi="Arial"/>
          <w:sz w:val="19"/>
          <w:szCs w:val="19"/>
          <w:b w:val="1"/>
          <w:bCs w:val="1"/>
          <w:color w:val="auto"/>
        </w:rPr>
        <w:t>RECONSTRUCTION AND AMALGAMATION</w:t>
      </w:r>
    </w:p>
    <w:p>
      <w:pPr>
        <w:spacing w:after="0" w:line="201" w:lineRule="exact"/>
        <w:rPr>
          <w:rFonts w:ascii="Arial" w:cs="Arial" w:eastAsia="Arial" w:hAnsi="Arial"/>
          <w:sz w:val="19"/>
          <w:szCs w:val="19"/>
          <w:b w:val="1"/>
          <w:bCs w:val="1"/>
          <w:color w:val="auto"/>
        </w:rPr>
      </w:pPr>
    </w:p>
    <w:p>
      <w:pPr>
        <w:jc w:val="both"/>
        <w:ind w:left="527"/>
        <w:spacing w:after="0" w:line="245" w:lineRule="auto"/>
        <w:rPr>
          <w:rFonts w:ascii="Arial" w:cs="Arial" w:eastAsia="Arial" w:hAnsi="Arial"/>
          <w:sz w:val="19"/>
          <w:szCs w:val="19"/>
          <w:b w:val="1"/>
          <w:bCs w:val="1"/>
          <w:color w:val="auto"/>
        </w:rPr>
      </w:pPr>
      <w:r>
        <w:rPr>
          <w:rFonts w:ascii="Arial" w:cs="Arial" w:eastAsia="Arial" w:hAnsi="Arial"/>
          <w:sz w:val="17"/>
          <w:szCs w:val="17"/>
          <w:color w:val="auto"/>
        </w:rPr>
        <w:t>If at any time the Executive's employment is terminated in connection with any reconstruction or amalgamation of the Company or any of the Group Companies whether by winding up or otherwise and the Executive receives an offer on terms which (considered in their entirety) are not less favourable to any material extent than the terms of this agreement from a company involved in or resulting from such reconstruction or amalgamation the Executive shall have no claim whatsoever against the Company or any such company arising out of or connected with such termination.</w:t>
      </w:r>
    </w:p>
    <w:p>
      <w:pPr>
        <w:spacing w:after="0" w:line="164" w:lineRule="exact"/>
        <w:rPr>
          <w:rFonts w:ascii="Arial" w:cs="Arial" w:eastAsia="Arial" w:hAnsi="Arial"/>
          <w:sz w:val="19"/>
          <w:szCs w:val="19"/>
          <w:b w:val="1"/>
          <w:bCs w:val="1"/>
          <w:color w:val="auto"/>
        </w:rPr>
      </w:pPr>
    </w:p>
    <w:p>
      <w:pPr>
        <w:ind w:left="527" w:hanging="527"/>
        <w:spacing w:after="0"/>
        <w:tabs>
          <w:tab w:leader="none" w:pos="527" w:val="left"/>
        </w:tabs>
        <w:numPr>
          <w:ilvl w:val="0"/>
          <w:numId w:val="115"/>
        </w:numPr>
        <w:rPr>
          <w:rFonts w:ascii="Arial" w:cs="Arial" w:eastAsia="Arial" w:hAnsi="Arial"/>
          <w:sz w:val="19"/>
          <w:szCs w:val="19"/>
          <w:b w:val="1"/>
          <w:bCs w:val="1"/>
          <w:color w:val="auto"/>
        </w:rPr>
      </w:pPr>
      <w:r>
        <w:rPr>
          <w:rFonts w:ascii="Arial" w:cs="Arial" w:eastAsia="Arial" w:hAnsi="Arial"/>
          <w:sz w:val="19"/>
          <w:szCs w:val="19"/>
          <w:b w:val="1"/>
          <w:bCs w:val="1"/>
          <w:color w:val="auto"/>
        </w:rPr>
        <w:t>NOTICES</w:t>
      </w:r>
    </w:p>
    <w:p>
      <w:pPr>
        <w:spacing w:after="0" w:line="201" w:lineRule="exact"/>
        <w:rPr>
          <w:rFonts w:ascii="Arial" w:cs="Arial" w:eastAsia="Arial" w:hAnsi="Arial"/>
          <w:sz w:val="19"/>
          <w:szCs w:val="19"/>
          <w:b w:val="1"/>
          <w:bCs w:val="1"/>
          <w:color w:val="auto"/>
        </w:rPr>
      </w:pPr>
    </w:p>
    <w:p>
      <w:pPr>
        <w:jc w:val="both"/>
        <w:ind w:left="527" w:right="20"/>
        <w:spacing w:after="0" w:line="246" w:lineRule="auto"/>
        <w:rPr>
          <w:rFonts w:ascii="Arial" w:cs="Arial" w:eastAsia="Arial" w:hAnsi="Arial"/>
          <w:sz w:val="19"/>
          <w:szCs w:val="19"/>
          <w:b w:val="1"/>
          <w:bCs w:val="1"/>
          <w:color w:val="auto"/>
        </w:rPr>
      </w:pPr>
      <w:r>
        <w:rPr>
          <w:rFonts w:ascii="Arial" w:cs="Arial" w:eastAsia="Arial" w:hAnsi="Arial"/>
          <w:sz w:val="17"/>
          <w:szCs w:val="17"/>
          <w:color w:val="auto"/>
        </w:rPr>
        <w:t>Any notice to be given hereunder shall be in writing. Notices may be given by either party by personal delivery or post or by fax addressed to the other party at (in the case of the Company) its registered office for the time being and (in the case of the Executive) his last known address and any such notice given by letter or fax shall be deemed to have been served at the time at which the letter was delivered personally or transmitted or if sent by post would be delivered in the ordinary course of first class post.</w:t>
      </w:r>
    </w:p>
    <w:p>
      <w:pPr>
        <w:spacing w:after="0" w:line="162" w:lineRule="exact"/>
        <w:rPr>
          <w:rFonts w:ascii="Arial" w:cs="Arial" w:eastAsia="Arial" w:hAnsi="Arial"/>
          <w:sz w:val="19"/>
          <w:szCs w:val="19"/>
          <w:b w:val="1"/>
          <w:bCs w:val="1"/>
          <w:color w:val="auto"/>
        </w:rPr>
      </w:pPr>
    </w:p>
    <w:p>
      <w:pPr>
        <w:ind w:left="527" w:hanging="527"/>
        <w:spacing w:after="0"/>
        <w:tabs>
          <w:tab w:leader="none" w:pos="527" w:val="left"/>
        </w:tabs>
        <w:numPr>
          <w:ilvl w:val="0"/>
          <w:numId w:val="115"/>
        </w:numPr>
        <w:rPr>
          <w:rFonts w:ascii="Arial" w:cs="Arial" w:eastAsia="Arial" w:hAnsi="Arial"/>
          <w:sz w:val="19"/>
          <w:szCs w:val="19"/>
          <w:b w:val="1"/>
          <w:bCs w:val="1"/>
          <w:color w:val="auto"/>
        </w:rPr>
      </w:pPr>
      <w:r>
        <w:rPr>
          <w:rFonts w:ascii="Arial" w:cs="Arial" w:eastAsia="Arial" w:hAnsi="Arial"/>
          <w:sz w:val="19"/>
          <w:szCs w:val="19"/>
          <w:b w:val="1"/>
          <w:bCs w:val="1"/>
          <w:color w:val="auto"/>
        </w:rPr>
        <w:t>PREVIOUS CONTRACTS</w:t>
      </w:r>
    </w:p>
    <w:p>
      <w:pPr>
        <w:spacing w:after="0" w:line="202" w:lineRule="exact"/>
        <w:rPr>
          <w:sz w:val="20"/>
          <w:szCs w:val="20"/>
          <w:color w:val="auto"/>
        </w:rPr>
      </w:pPr>
    </w:p>
    <w:p>
      <w:pPr>
        <w:ind w:left="527" w:right="20" w:hanging="534"/>
        <w:spacing w:after="0" w:line="253" w:lineRule="auto"/>
        <w:tabs>
          <w:tab w:leader="none" w:pos="507" w:val="left"/>
        </w:tabs>
        <w:rPr>
          <w:sz w:val="20"/>
          <w:szCs w:val="20"/>
          <w:color w:val="auto"/>
        </w:rPr>
      </w:pPr>
      <w:r>
        <w:rPr>
          <w:rFonts w:ascii="Arial" w:cs="Arial" w:eastAsia="Arial" w:hAnsi="Arial"/>
          <w:sz w:val="17"/>
          <w:szCs w:val="17"/>
          <w:color w:val="auto"/>
        </w:rPr>
        <w:t>17.1</w:t>
        <w:tab/>
        <w:t>This agreement is in substitution for any previous contract of service between the Company or any of the Group Companies and the Executive which shall be deemed to have been terminated by mutual consent as from the commencement of the Appointment.</w:t>
      </w:r>
    </w:p>
    <w:p>
      <w:pPr>
        <w:spacing w:after="0" w:line="348" w:lineRule="exact"/>
        <w:rPr>
          <w:sz w:val="20"/>
          <w:szCs w:val="20"/>
          <w:color w:val="auto"/>
        </w:rPr>
      </w:pPr>
    </w:p>
    <w:p>
      <w:pPr>
        <w:ind w:left="7"/>
        <w:spacing w:after="0"/>
        <w:rPr>
          <w:sz w:val="20"/>
          <w:szCs w:val="20"/>
          <w:color w:val="auto"/>
        </w:rPr>
      </w:pPr>
      <w:r>
        <w:rPr>
          <w:rFonts w:ascii="Arial" w:cs="Arial" w:eastAsia="Arial" w:hAnsi="Arial"/>
          <w:sz w:val="16"/>
          <w:szCs w:val="16"/>
          <w:color w:val="auto"/>
        </w:rPr>
        <w:t>322520-1</w:t>
      </w:r>
    </w:p>
    <w:p>
      <w:pPr>
        <w:sectPr>
          <w:pgSz w:w="11900" w:h="16838" w:orient="portrait"/>
          <w:cols w:equalWidth="0" w:num="1">
            <w:col w:w="11267"/>
          </w:cols>
          <w:pgMar w:left="313" w:top="322" w:right="319" w:bottom="1440" w:gutter="0" w:footer="0" w:header="0"/>
        </w:sectPr>
      </w:pPr>
    </w:p>
    <w:bookmarkStart w:id="122" w:name="page123"/>
    <w:bookmarkEnd w:id="122"/>
    <w:p>
      <w:pPr>
        <w:ind w:left="527" w:right="20" w:hanging="534"/>
        <w:spacing w:after="0" w:line="253" w:lineRule="auto"/>
        <w:tabs>
          <w:tab w:leader="none" w:pos="507" w:val="left"/>
        </w:tabs>
        <w:rPr>
          <w:sz w:val="20"/>
          <w:szCs w:val="20"/>
          <w:color w:val="auto"/>
        </w:rPr>
      </w:pPr>
      <w:r>
        <w:rPr>
          <w:rFonts w:ascii="Arial" w:cs="Arial" w:eastAsia="Arial" w:hAnsi="Arial"/>
          <w:sz w:val="17"/>
          <w:szCs w:val="17"/>
          <w:color w:val="auto"/>
        </w:rPr>
        <w:t>17.2</w:t>
        <w:tab/>
        <w:t>The Executive hereby warrants and represents to the Company that he will not, in entering into this agreement or carrying out his duties hereunder, be in breach of any terms of employment whether express or implied or any other obligation binding upon him.</w:t>
      </w:r>
    </w:p>
    <w:p>
      <w:pPr>
        <w:spacing w:after="0" w:line="157" w:lineRule="exact"/>
        <w:rPr>
          <w:sz w:val="20"/>
          <w:szCs w:val="20"/>
          <w:color w:val="auto"/>
        </w:rPr>
      </w:pPr>
    </w:p>
    <w:p>
      <w:pPr>
        <w:ind w:left="527" w:hanging="527"/>
        <w:spacing w:after="0"/>
        <w:tabs>
          <w:tab w:leader="none" w:pos="527" w:val="left"/>
        </w:tabs>
        <w:numPr>
          <w:ilvl w:val="0"/>
          <w:numId w:val="116"/>
        </w:numPr>
        <w:rPr>
          <w:rFonts w:ascii="Arial" w:cs="Arial" w:eastAsia="Arial" w:hAnsi="Arial"/>
          <w:sz w:val="19"/>
          <w:szCs w:val="19"/>
          <w:b w:val="1"/>
          <w:bCs w:val="1"/>
          <w:color w:val="auto"/>
        </w:rPr>
      </w:pPr>
      <w:r>
        <w:rPr>
          <w:rFonts w:ascii="Arial" w:cs="Arial" w:eastAsia="Arial" w:hAnsi="Arial"/>
          <w:sz w:val="19"/>
          <w:szCs w:val="19"/>
          <w:b w:val="1"/>
          <w:bCs w:val="1"/>
          <w:color w:val="auto"/>
        </w:rPr>
        <w:t>PROPER LAW</w:t>
      </w:r>
    </w:p>
    <w:p>
      <w:pPr>
        <w:spacing w:after="0" w:line="201" w:lineRule="exact"/>
        <w:rPr>
          <w:rFonts w:ascii="Arial" w:cs="Arial" w:eastAsia="Arial" w:hAnsi="Arial"/>
          <w:sz w:val="19"/>
          <w:szCs w:val="19"/>
          <w:b w:val="1"/>
          <w:bCs w:val="1"/>
          <w:color w:val="auto"/>
        </w:rPr>
      </w:pPr>
    </w:p>
    <w:p>
      <w:pPr>
        <w:ind w:left="527"/>
        <w:spacing w:after="0"/>
        <w:rPr>
          <w:rFonts w:ascii="Arial" w:cs="Arial" w:eastAsia="Arial" w:hAnsi="Arial"/>
          <w:sz w:val="19"/>
          <w:szCs w:val="19"/>
          <w:b w:val="1"/>
          <w:bCs w:val="1"/>
          <w:color w:val="auto"/>
        </w:rPr>
      </w:pPr>
      <w:r>
        <w:rPr>
          <w:rFonts w:ascii="Arial" w:cs="Arial" w:eastAsia="Arial" w:hAnsi="Arial"/>
          <w:sz w:val="17"/>
          <w:szCs w:val="17"/>
          <w:color w:val="auto"/>
        </w:rPr>
        <w:t>This agreement shall be governed and construed in all respects in accordance with English law.</w:t>
      </w:r>
    </w:p>
    <w:p>
      <w:pPr>
        <w:spacing w:after="0" w:line="175" w:lineRule="exact"/>
        <w:rPr>
          <w:rFonts w:ascii="Arial" w:cs="Arial" w:eastAsia="Arial" w:hAnsi="Arial"/>
          <w:sz w:val="19"/>
          <w:szCs w:val="19"/>
          <w:b w:val="1"/>
          <w:bCs w:val="1"/>
          <w:color w:val="auto"/>
        </w:rPr>
      </w:pPr>
    </w:p>
    <w:p>
      <w:pPr>
        <w:ind w:left="527" w:hanging="527"/>
        <w:spacing w:after="0"/>
        <w:tabs>
          <w:tab w:leader="none" w:pos="527" w:val="left"/>
        </w:tabs>
        <w:numPr>
          <w:ilvl w:val="0"/>
          <w:numId w:val="116"/>
        </w:numPr>
        <w:rPr>
          <w:rFonts w:ascii="Arial" w:cs="Arial" w:eastAsia="Arial" w:hAnsi="Arial"/>
          <w:sz w:val="19"/>
          <w:szCs w:val="19"/>
          <w:b w:val="1"/>
          <w:bCs w:val="1"/>
          <w:color w:val="auto"/>
        </w:rPr>
      </w:pPr>
      <w:r>
        <w:rPr>
          <w:rFonts w:ascii="Arial" w:cs="Arial" w:eastAsia="Arial" w:hAnsi="Arial"/>
          <w:sz w:val="19"/>
          <w:szCs w:val="19"/>
          <w:b w:val="1"/>
          <w:bCs w:val="1"/>
          <w:color w:val="auto"/>
        </w:rPr>
        <w:t>CONSTRUCTION</w:t>
      </w:r>
    </w:p>
    <w:p>
      <w:pPr>
        <w:spacing w:after="0" w:line="202" w:lineRule="exact"/>
        <w:rPr>
          <w:sz w:val="20"/>
          <w:szCs w:val="20"/>
          <w:color w:val="auto"/>
        </w:rPr>
      </w:pPr>
    </w:p>
    <w:p>
      <w:pPr>
        <w:ind w:left="7"/>
        <w:spacing w:after="0"/>
        <w:tabs>
          <w:tab w:leader="none" w:pos="507" w:val="left"/>
        </w:tabs>
        <w:rPr>
          <w:sz w:val="20"/>
          <w:szCs w:val="20"/>
          <w:color w:val="auto"/>
        </w:rPr>
      </w:pPr>
      <w:r>
        <w:rPr>
          <w:rFonts w:ascii="Arial" w:cs="Arial" w:eastAsia="Arial" w:hAnsi="Arial"/>
          <w:sz w:val="17"/>
          <w:szCs w:val="17"/>
          <w:color w:val="auto"/>
        </w:rPr>
        <w:t>19.1</w:t>
        <w:tab/>
        <w:t>The headings in this agreement are inserted for convenience only and shall not affect its construction.</w:t>
      </w:r>
    </w:p>
    <w:p>
      <w:pPr>
        <w:spacing w:after="0" w:line="188" w:lineRule="exact"/>
        <w:rPr>
          <w:sz w:val="20"/>
          <w:szCs w:val="20"/>
          <w:color w:val="auto"/>
        </w:rPr>
      </w:pPr>
    </w:p>
    <w:p>
      <w:pPr>
        <w:jc w:val="both"/>
        <w:ind w:left="527" w:right="20" w:hanging="534"/>
        <w:spacing w:after="0" w:line="201" w:lineRule="exact"/>
        <w:tabs>
          <w:tab w:leader="none" w:pos="507" w:val="left"/>
        </w:tabs>
        <w:rPr>
          <w:sz w:val="20"/>
          <w:szCs w:val="20"/>
          <w:color w:val="auto"/>
        </w:rPr>
      </w:pPr>
      <w:r>
        <w:rPr>
          <w:rFonts w:ascii="Arial" w:cs="Arial" w:eastAsia="Arial" w:hAnsi="Arial"/>
          <w:sz w:val="17"/>
          <w:szCs w:val="17"/>
          <w:color w:val="auto"/>
        </w:rPr>
        <w:t>19.2</w:t>
        <w:tab/>
        <w:t>Any reference to a statutory provision shall be construed as a reference to any statutory modification or re</w:t>
      </w:r>
      <w:r>
        <w:rPr>
          <w:rFonts w:ascii="MS PGothic" w:cs="MS PGothic" w:eastAsia="MS PGothic" w:hAnsi="MS PGothic"/>
          <w:sz w:val="17"/>
          <w:szCs w:val="17"/>
          <w:color w:val="auto"/>
        </w:rPr>
        <w:t>‑</w:t>
      </w:r>
      <w:r>
        <w:rPr>
          <w:rFonts w:ascii="Arial" w:cs="Arial" w:eastAsia="Arial" w:hAnsi="Arial"/>
          <w:sz w:val="17"/>
          <w:szCs w:val="17"/>
          <w:color w:val="auto"/>
        </w:rPr>
        <w:t>enactment thereof (whether before or after the date hereof) for the time being in force.</w:t>
      </w:r>
    </w:p>
    <w:p>
      <w:pPr>
        <w:spacing w:after="0" w:line="168" w:lineRule="exact"/>
        <w:rPr>
          <w:sz w:val="20"/>
          <w:szCs w:val="20"/>
          <w:color w:val="auto"/>
        </w:rPr>
      </w:pPr>
    </w:p>
    <w:p>
      <w:pPr>
        <w:ind w:left="7"/>
        <w:spacing w:after="0"/>
        <w:tabs>
          <w:tab w:leader="none" w:pos="507" w:val="left"/>
        </w:tabs>
        <w:rPr>
          <w:sz w:val="20"/>
          <w:szCs w:val="20"/>
          <w:color w:val="auto"/>
        </w:rPr>
      </w:pPr>
      <w:r>
        <w:rPr>
          <w:rFonts w:ascii="Arial" w:cs="Arial" w:eastAsia="Arial" w:hAnsi="Arial"/>
          <w:sz w:val="19"/>
          <w:szCs w:val="19"/>
          <w:b w:val="1"/>
          <w:bCs w:val="1"/>
          <w:color w:val="auto"/>
        </w:rPr>
        <w:t>20</w:t>
      </w:r>
      <w:r>
        <w:rPr>
          <w:sz w:val="20"/>
          <w:szCs w:val="20"/>
          <w:color w:val="auto"/>
        </w:rPr>
        <w:tab/>
      </w:r>
      <w:r>
        <w:rPr>
          <w:rFonts w:ascii="Arial" w:cs="Arial" w:eastAsia="Arial" w:hAnsi="Arial"/>
          <w:sz w:val="19"/>
          <w:szCs w:val="19"/>
          <w:b w:val="1"/>
          <w:bCs w:val="1"/>
          <w:color w:val="auto"/>
        </w:rPr>
        <w:t>STATUTORY INFORMATION, POLICIES AND SCHEDULES</w:t>
      </w:r>
    </w:p>
    <w:p>
      <w:pPr>
        <w:spacing w:after="0" w:line="202" w:lineRule="exact"/>
        <w:rPr>
          <w:sz w:val="20"/>
          <w:szCs w:val="20"/>
          <w:color w:val="auto"/>
        </w:rPr>
      </w:pPr>
    </w:p>
    <w:p>
      <w:pPr>
        <w:jc w:val="both"/>
        <w:ind w:left="527" w:hanging="534"/>
        <w:spacing w:after="0" w:line="253" w:lineRule="auto"/>
        <w:tabs>
          <w:tab w:leader="none" w:pos="507" w:val="left"/>
        </w:tabs>
        <w:rPr>
          <w:sz w:val="20"/>
          <w:szCs w:val="20"/>
          <w:color w:val="auto"/>
        </w:rPr>
      </w:pPr>
      <w:r>
        <w:rPr>
          <w:rFonts w:ascii="Arial" w:cs="Arial" w:eastAsia="Arial" w:hAnsi="Arial"/>
          <w:sz w:val="17"/>
          <w:szCs w:val="17"/>
          <w:color w:val="auto"/>
        </w:rPr>
        <w:t>20.1</w:t>
        <w:tab/>
        <w:t>This agreement constitutes a written statement as at the date hereof of the terms of employment of the Executive in compliance with the provisions of the Employment Rights Act 1996.</w:t>
      </w:r>
    </w:p>
    <w:p>
      <w:pPr>
        <w:spacing w:after="0" w:line="170" w:lineRule="exact"/>
        <w:rPr>
          <w:sz w:val="20"/>
          <w:szCs w:val="20"/>
          <w:color w:val="auto"/>
        </w:rPr>
      </w:pPr>
    </w:p>
    <w:p>
      <w:pPr>
        <w:ind w:left="7"/>
        <w:spacing w:after="0"/>
        <w:tabs>
          <w:tab w:leader="none" w:pos="507" w:val="left"/>
        </w:tabs>
        <w:rPr>
          <w:sz w:val="20"/>
          <w:szCs w:val="20"/>
          <w:color w:val="auto"/>
        </w:rPr>
      </w:pPr>
      <w:r>
        <w:rPr>
          <w:rFonts w:ascii="Arial" w:cs="Arial" w:eastAsia="Arial" w:hAnsi="Arial"/>
          <w:sz w:val="17"/>
          <w:szCs w:val="17"/>
          <w:color w:val="auto"/>
        </w:rPr>
        <w:t>20.2</w:t>
        <w:tab/>
        <w:t>There are no collective agreements applicable to the Executive.</w:t>
      </w:r>
    </w:p>
    <w:p>
      <w:pPr>
        <w:spacing w:after="0" w:line="188" w:lineRule="exact"/>
        <w:rPr>
          <w:sz w:val="20"/>
          <w:szCs w:val="20"/>
          <w:color w:val="auto"/>
        </w:rPr>
      </w:pPr>
    </w:p>
    <w:p>
      <w:pPr>
        <w:jc w:val="both"/>
        <w:ind w:left="527" w:right="20" w:hanging="534"/>
        <w:spacing w:after="0" w:line="253" w:lineRule="auto"/>
        <w:tabs>
          <w:tab w:leader="none" w:pos="507" w:val="left"/>
        </w:tabs>
        <w:rPr>
          <w:sz w:val="20"/>
          <w:szCs w:val="20"/>
          <w:color w:val="auto"/>
        </w:rPr>
      </w:pPr>
      <w:r>
        <w:rPr>
          <w:rFonts w:ascii="Arial" w:cs="Arial" w:eastAsia="Arial" w:hAnsi="Arial"/>
          <w:sz w:val="17"/>
          <w:szCs w:val="17"/>
          <w:color w:val="auto"/>
        </w:rPr>
        <w:t>20.3</w:t>
        <w:tab/>
        <w:t>The Executive will observe such rules, regulations and policies relating to the grievance and disciplinary procedure as the Company may from time to time notify to the Executive.</w:t>
      </w:r>
    </w:p>
    <w:p>
      <w:pPr>
        <w:spacing w:after="0" w:line="170" w:lineRule="exact"/>
        <w:rPr>
          <w:sz w:val="20"/>
          <w:szCs w:val="20"/>
          <w:color w:val="auto"/>
        </w:rPr>
      </w:pPr>
    </w:p>
    <w:p>
      <w:pPr>
        <w:jc w:val="both"/>
        <w:ind w:left="527" w:hanging="534"/>
        <w:spacing w:after="0" w:line="248" w:lineRule="auto"/>
        <w:tabs>
          <w:tab w:leader="none" w:pos="507" w:val="left"/>
        </w:tabs>
        <w:rPr>
          <w:sz w:val="20"/>
          <w:szCs w:val="20"/>
          <w:color w:val="auto"/>
        </w:rPr>
      </w:pPr>
      <w:r>
        <w:rPr>
          <w:rFonts w:ascii="Arial" w:cs="Arial" w:eastAsia="Arial" w:hAnsi="Arial"/>
          <w:sz w:val="17"/>
          <w:szCs w:val="17"/>
          <w:color w:val="auto"/>
        </w:rPr>
        <w:t>20.4</w:t>
        <w:tab/>
        <w:t>If the Executive is dissatisfied with any disciplinary decision relating to him he should apply orally or in writing to his Supervisor. Any application for the purpose of seeking redress of any grievance relating to the Executive’s employment should be made either orally or in writing to his Supervisor.</w:t>
      </w:r>
    </w:p>
    <w:p>
      <w:pPr>
        <w:spacing w:after="0" w:line="174" w:lineRule="exact"/>
        <w:rPr>
          <w:sz w:val="20"/>
          <w:szCs w:val="20"/>
          <w:color w:val="auto"/>
        </w:rPr>
      </w:pPr>
    </w:p>
    <w:p>
      <w:pPr>
        <w:ind w:left="7"/>
        <w:spacing w:after="0"/>
        <w:tabs>
          <w:tab w:leader="none" w:pos="507" w:val="left"/>
        </w:tabs>
        <w:rPr>
          <w:sz w:val="20"/>
          <w:szCs w:val="20"/>
          <w:color w:val="auto"/>
        </w:rPr>
      </w:pPr>
      <w:r>
        <w:rPr>
          <w:rFonts w:ascii="Arial" w:cs="Arial" w:eastAsia="Arial" w:hAnsi="Arial"/>
          <w:sz w:val="17"/>
          <w:szCs w:val="17"/>
          <w:color w:val="auto"/>
        </w:rPr>
        <w:t>20.5</w:t>
        <w:tab/>
        <w:t>The Executive shall comply with all of the Company’s rules, regulations and policies in force from time to time.</w:t>
      </w:r>
    </w:p>
    <w:p>
      <w:pPr>
        <w:spacing w:after="0" w:line="188" w:lineRule="exact"/>
        <w:rPr>
          <w:sz w:val="20"/>
          <w:szCs w:val="20"/>
          <w:color w:val="auto"/>
        </w:rPr>
      </w:pPr>
    </w:p>
    <w:p>
      <w:pPr>
        <w:ind w:left="7"/>
        <w:spacing w:after="0"/>
        <w:tabs>
          <w:tab w:leader="none" w:pos="507" w:val="left"/>
        </w:tabs>
        <w:rPr>
          <w:sz w:val="20"/>
          <w:szCs w:val="20"/>
          <w:color w:val="auto"/>
        </w:rPr>
      </w:pPr>
      <w:r>
        <w:rPr>
          <w:rFonts w:ascii="Arial" w:cs="Arial" w:eastAsia="Arial" w:hAnsi="Arial"/>
          <w:sz w:val="17"/>
          <w:szCs w:val="17"/>
          <w:color w:val="auto"/>
        </w:rPr>
        <w:t>20.6</w:t>
        <w:tab/>
        <w:t>This agreement together with Schedules 1 and 2 constitute the entire agreement between the Executive and the Company.</w:t>
      </w:r>
    </w:p>
    <w:p>
      <w:pPr>
        <w:spacing w:after="0" w:line="176" w:lineRule="exact"/>
        <w:rPr>
          <w:sz w:val="20"/>
          <w:szCs w:val="20"/>
          <w:color w:val="auto"/>
        </w:rPr>
      </w:pPr>
    </w:p>
    <w:p>
      <w:pPr>
        <w:ind w:left="527" w:hanging="527"/>
        <w:spacing w:after="0"/>
        <w:tabs>
          <w:tab w:leader="none" w:pos="527" w:val="left"/>
        </w:tabs>
        <w:numPr>
          <w:ilvl w:val="0"/>
          <w:numId w:val="117"/>
        </w:numPr>
        <w:rPr>
          <w:rFonts w:ascii="Arial" w:cs="Arial" w:eastAsia="Arial" w:hAnsi="Arial"/>
          <w:sz w:val="19"/>
          <w:szCs w:val="19"/>
          <w:b w:val="1"/>
          <w:bCs w:val="1"/>
          <w:color w:val="auto"/>
        </w:rPr>
      </w:pPr>
      <w:r>
        <w:rPr>
          <w:rFonts w:ascii="Arial" w:cs="Arial" w:eastAsia="Arial" w:hAnsi="Arial"/>
          <w:sz w:val="19"/>
          <w:szCs w:val="19"/>
          <w:b w:val="1"/>
          <w:bCs w:val="1"/>
          <w:color w:val="auto"/>
        </w:rPr>
        <w:t>DATA PROTECTION</w:t>
      </w:r>
    </w:p>
    <w:p>
      <w:pPr>
        <w:spacing w:after="0" w:line="201" w:lineRule="exact"/>
        <w:rPr>
          <w:rFonts w:ascii="Arial" w:cs="Arial" w:eastAsia="Arial" w:hAnsi="Arial"/>
          <w:sz w:val="19"/>
          <w:szCs w:val="19"/>
          <w:b w:val="1"/>
          <w:bCs w:val="1"/>
          <w:color w:val="auto"/>
        </w:rPr>
      </w:pPr>
    </w:p>
    <w:p>
      <w:pPr>
        <w:jc w:val="both"/>
        <w:ind w:left="527"/>
        <w:spacing w:after="0" w:line="244" w:lineRule="auto"/>
        <w:rPr>
          <w:rFonts w:ascii="Arial" w:cs="Arial" w:eastAsia="Arial" w:hAnsi="Arial"/>
          <w:sz w:val="19"/>
          <w:szCs w:val="19"/>
          <w:b w:val="1"/>
          <w:bCs w:val="1"/>
          <w:color w:val="auto"/>
        </w:rPr>
      </w:pPr>
      <w:r>
        <w:rPr>
          <w:rFonts w:ascii="Arial" w:cs="Arial" w:eastAsia="Arial" w:hAnsi="Arial"/>
          <w:sz w:val="17"/>
          <w:szCs w:val="17"/>
          <w:color w:val="auto"/>
        </w:rPr>
        <w:t>The Executive consents to the Company or any Group Company holding and processing both electronically and in hard copy form any personal and sensitive data relating to the Executive for the purposes of employee-related administration, processing the Executive’s file and management of its business, for compliance with applicable procedures, laws and regulations and for providing data to external suppliers who administer the Executive’s benefits solely for the purpose of providing the Executive with those benefits. It may also be necessary for the Company to forward such personal and sensitive information to other offices it may have or to another Group Company outside the European Economic Area where such a company has offices for storage and processing for administrative purposes and the Executive consents to the Company doing so as may be necessary from time to time.</w:t>
      </w:r>
    </w:p>
    <w:p>
      <w:pPr>
        <w:spacing w:after="0" w:line="358" w:lineRule="exact"/>
        <w:rPr>
          <w:sz w:val="20"/>
          <w:szCs w:val="20"/>
          <w:color w:val="auto"/>
        </w:rPr>
      </w:pPr>
    </w:p>
    <w:p>
      <w:pPr>
        <w:ind w:left="7"/>
        <w:spacing w:after="0"/>
        <w:rPr>
          <w:sz w:val="20"/>
          <w:szCs w:val="20"/>
          <w:color w:val="auto"/>
        </w:rPr>
      </w:pPr>
      <w:r>
        <w:rPr>
          <w:rFonts w:ascii="Arial" w:cs="Arial" w:eastAsia="Arial" w:hAnsi="Arial"/>
          <w:sz w:val="16"/>
          <w:szCs w:val="16"/>
          <w:color w:val="auto"/>
        </w:rPr>
        <w:t>322520-1</w:t>
      </w:r>
    </w:p>
    <w:p>
      <w:pPr>
        <w:sectPr>
          <w:pgSz w:w="11900" w:h="16838" w:orient="portrait"/>
          <w:cols w:equalWidth="0" w:num="1">
            <w:col w:w="11267"/>
          </w:cols>
          <w:pgMar w:left="313" w:top="322" w:right="319" w:bottom="1440" w:gutter="0" w:footer="0" w:header="0"/>
        </w:sectPr>
      </w:pPr>
    </w:p>
    <w:bookmarkStart w:id="123" w:name="page124"/>
    <w:bookmarkEnd w:id="123"/>
    <w:p>
      <w:pPr>
        <w:spacing w:after="0"/>
        <w:rPr>
          <w:sz w:val="20"/>
          <w:szCs w:val="20"/>
          <w:color w:val="auto"/>
        </w:rPr>
      </w:pPr>
      <w:r>
        <w:rPr>
          <w:rFonts w:ascii="Arial" w:cs="Arial" w:eastAsia="Arial" w:hAnsi="Arial"/>
          <w:sz w:val="17"/>
          <w:szCs w:val="17"/>
          <w:b w:val="1"/>
          <w:bCs w:val="1"/>
          <w:color w:val="auto"/>
        </w:rPr>
        <w:t xml:space="preserve">IN WITNESS </w:t>
      </w:r>
      <w:r>
        <w:rPr>
          <w:rFonts w:ascii="Arial" w:cs="Arial" w:eastAsia="Arial" w:hAnsi="Arial"/>
          <w:sz w:val="17"/>
          <w:szCs w:val="17"/>
          <w:color w:val="auto"/>
        </w:rPr>
        <w:t>whereof this agreement has been executed on the date stated on the first page of this agreement.</w:t>
      </w:r>
    </w:p>
    <w:p>
      <w:pPr>
        <w:sectPr>
          <w:pgSz w:w="11900" w:h="16838" w:orient="portrait"/>
          <w:cols w:equalWidth="0" w:num="1">
            <w:col w:w="10139"/>
          </w:cols>
          <w:pgMar w:left="320" w:top="3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0"/>
        <w:spacing w:after="0"/>
        <w:rPr>
          <w:sz w:val="20"/>
          <w:szCs w:val="20"/>
          <w:color w:val="auto"/>
        </w:rPr>
      </w:pPr>
      <w:r>
        <w:rPr>
          <w:rFonts w:ascii="Arial" w:cs="Arial" w:eastAsia="Arial" w:hAnsi="Arial"/>
          <w:sz w:val="17"/>
          <w:szCs w:val="17"/>
          <w:color w:val="auto"/>
        </w:rPr>
        <w:t>Signed as a deed by the said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2" w:lineRule="exact"/>
        <w:rPr>
          <w:sz w:val="20"/>
          <w:szCs w:val="20"/>
          <w:color w:val="auto"/>
        </w:rPr>
      </w:pPr>
    </w:p>
    <w:p>
      <w:pPr>
        <w:sectPr>
          <w:pgSz w:w="11900" w:h="16838" w:orient="portrait"/>
          <w:cols w:equalWidth="0" w:num="2">
            <w:col w:w="5860" w:space="720"/>
            <w:col w:w="3559"/>
          </w:cols>
          <w:pgMar w:left="320" w:top="314" w:right="1440" w:bottom="1440" w:gutter="0" w:footer="0" w:header="0"/>
          <w:type w:val="continuous"/>
        </w:sectPr>
      </w:pPr>
    </w:p>
    <w:p>
      <w:pPr>
        <w:spacing w:after="0" w:line="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ANDREA SALVATO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1" w:lineRule="exact"/>
        <w:rPr>
          <w:sz w:val="20"/>
          <w:szCs w:val="20"/>
          <w:color w:val="auto"/>
        </w:rPr>
      </w:pPr>
    </w:p>
    <w:p>
      <w:pPr>
        <w:sectPr>
          <w:pgSz w:w="11900" w:h="16838" w:orient="portrait"/>
          <w:cols w:equalWidth="0" w:num="2">
            <w:col w:w="6160" w:space="720"/>
            <w:col w:w="3259"/>
          </w:cols>
          <w:pgMar w:left="320" w:top="314" w:right="1440" w:bottom="1440" w:gutter="0" w:footer="0" w:header="0"/>
          <w:type w:val="continuous"/>
        </w:sectPr>
      </w:pPr>
    </w:p>
    <w:p>
      <w:pPr>
        <w:ind w:left="20"/>
        <w:spacing w:after="0" w:line="228" w:lineRule="auto"/>
        <w:rPr>
          <w:sz w:val="20"/>
          <w:szCs w:val="20"/>
          <w:color w:val="auto"/>
        </w:rPr>
      </w:pPr>
      <w:r>
        <w:rPr>
          <w:rFonts w:ascii="Arial" w:cs="Arial" w:eastAsia="Arial" w:hAnsi="Arial"/>
          <w:sz w:val="17"/>
          <w:szCs w:val="17"/>
          <w:color w:val="auto"/>
        </w:rPr>
        <w:t>in the presence of:-</w:t>
      </w:r>
    </w:p>
    <w:p>
      <w:pPr>
        <w:sectPr>
          <w:pgSz w:w="11900" w:h="16838" w:orient="portrait"/>
          <w:cols w:equalWidth="0" w:num="1">
            <w:col w:w="10139"/>
          </w:cols>
          <w:pgMar w:left="320" w:top="31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Signed by </w:t>
      </w:r>
      <w:r>
        <w:rPr>
          <w:rFonts w:ascii="Arial" w:cs="Arial" w:eastAsia="Arial" w:hAnsi="Arial"/>
          <w:sz w:val="16"/>
          <w:szCs w:val="16"/>
          <w:b w:val="1"/>
          <w:bCs w:val="1"/>
          <w:color w:val="auto"/>
        </w:rPr>
        <w:t>AUTHORIZED SIGNATORY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339"/>
        <w:spacing w:after="0"/>
        <w:rPr>
          <w:sz w:val="20"/>
          <w:szCs w:val="20"/>
          <w:color w:val="auto"/>
        </w:rPr>
      </w:pPr>
      <w:r>
        <w:rPr>
          <w:rFonts w:ascii="Arial" w:cs="Arial" w:eastAsia="Arial" w:hAnsi="Arial"/>
          <w:sz w:val="16"/>
          <w:szCs w:val="16"/>
          <w:color w:val="auto"/>
        </w:rPr>
        <w:t>))))</w:t>
      </w:r>
    </w:p>
    <w:p>
      <w:pPr>
        <w:spacing w:after="0" w:line="11" w:lineRule="exact"/>
        <w:rPr>
          <w:sz w:val="20"/>
          <w:szCs w:val="20"/>
          <w:color w:val="auto"/>
        </w:rPr>
      </w:pPr>
    </w:p>
    <w:p>
      <w:pPr>
        <w:sectPr>
          <w:pgSz w:w="11900" w:h="16838" w:orient="portrait"/>
          <w:cols w:equalWidth="0" w:num="2">
            <w:col w:w="5860" w:space="720"/>
            <w:col w:w="3559"/>
          </w:cols>
          <w:pgMar w:left="320" w:top="314" w:right="1440"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Duly authorised for and on behalf of</w:t>
      </w:r>
    </w:p>
    <w:p>
      <w:pPr>
        <w:sectPr>
          <w:pgSz w:w="11900" w:h="16838" w:orient="portrait"/>
          <w:cols w:equalWidth="0" w:num="1">
            <w:col w:w="10139"/>
          </w:cols>
          <w:pgMar w:left="320" w:top="314" w:right="1440" w:bottom="1440" w:gutter="0" w:footer="0" w:header="0"/>
          <w:type w:val="continuous"/>
        </w:sectPr>
      </w:pPr>
    </w:p>
    <w:p>
      <w:pPr>
        <w:ind w:left="20"/>
        <w:spacing w:after="0" w:line="228" w:lineRule="auto"/>
        <w:rPr>
          <w:sz w:val="20"/>
          <w:szCs w:val="20"/>
          <w:color w:val="auto"/>
        </w:rPr>
      </w:pPr>
      <w:r>
        <w:rPr>
          <w:rFonts w:ascii="Arial" w:cs="Arial" w:eastAsia="Arial" w:hAnsi="Arial"/>
          <w:sz w:val="17"/>
          <w:szCs w:val="17"/>
          <w:b w:val="1"/>
          <w:bCs w:val="1"/>
          <w:color w:val="auto"/>
        </w:rPr>
        <w:t>UGC EUROPE SERVICES LIMITED</w:t>
      </w:r>
    </w:p>
    <w:p>
      <w:pPr>
        <w:spacing w:after="0" w:line="20" w:lineRule="exact"/>
        <w:rPr>
          <w:sz w:val="20"/>
          <w:szCs w:val="20"/>
          <w:color w:val="auto"/>
        </w:rPr>
      </w:pPr>
      <w:r>
        <w:rPr>
          <w:sz w:val="20"/>
          <w:szCs w:val="20"/>
          <w:color w:val="auto"/>
        </w:rPr>
        <w:br w:type="column"/>
      </w:r>
    </w:p>
    <w:p>
      <w:pPr>
        <w:spacing w:after="0" w:line="228" w:lineRule="auto"/>
        <w:rPr>
          <w:sz w:val="20"/>
          <w:szCs w:val="20"/>
          <w:color w:val="auto"/>
        </w:rPr>
      </w:pPr>
      <w:r>
        <w:rPr>
          <w:rFonts w:ascii="Arial" w:cs="Arial" w:eastAsia="Arial" w:hAnsi="Arial"/>
          <w:sz w:val="17"/>
          <w:szCs w:val="17"/>
          <w:color w:val="auto"/>
        </w:rPr>
        <w:t>.....................................</w:t>
      </w:r>
    </w:p>
    <w:p>
      <w:pPr>
        <w:spacing w:after="0" w:line="1" w:lineRule="exact"/>
        <w:rPr>
          <w:sz w:val="20"/>
          <w:szCs w:val="20"/>
          <w:color w:val="auto"/>
        </w:rPr>
      </w:pPr>
    </w:p>
    <w:p>
      <w:pPr>
        <w:sectPr>
          <w:pgSz w:w="11900" w:h="16838" w:orient="portrait"/>
          <w:cols w:equalWidth="0" w:num="2">
            <w:col w:w="6160" w:space="720"/>
            <w:col w:w="3259"/>
          </w:cols>
          <w:pgMar w:left="320" w:top="314" w:right="1440" w:bottom="1440" w:gutter="0" w:footer="0" w:header="0"/>
          <w:type w:val="continuous"/>
        </w:sectPr>
      </w:pPr>
    </w:p>
    <w:p>
      <w:pPr>
        <w:ind w:left="20"/>
        <w:spacing w:after="0" w:line="229" w:lineRule="auto"/>
        <w:rPr>
          <w:sz w:val="20"/>
          <w:szCs w:val="20"/>
          <w:color w:val="auto"/>
        </w:rPr>
      </w:pPr>
      <w:r>
        <w:rPr>
          <w:rFonts w:ascii="Arial" w:cs="Arial" w:eastAsia="Arial" w:hAnsi="Arial"/>
          <w:sz w:val="17"/>
          <w:szCs w:val="17"/>
          <w:color w:val="auto"/>
        </w:rPr>
        <w:t>in the presence of:-</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322520-1</w:t>
      </w:r>
    </w:p>
    <w:p>
      <w:pPr>
        <w:sectPr>
          <w:pgSz w:w="11900" w:h="16838" w:orient="portrait"/>
          <w:cols w:equalWidth="0" w:num="1">
            <w:col w:w="10139"/>
          </w:cols>
          <w:pgMar w:left="320" w:top="314" w:right="1440" w:bottom="1440" w:gutter="0" w:footer="0" w:header="0"/>
          <w:type w:val="continuous"/>
        </w:sectPr>
      </w:pPr>
    </w:p>
    <w:bookmarkStart w:id="124" w:name="page125"/>
    <w:bookmarkEnd w:id="124"/>
    <w:p>
      <w:pPr>
        <w:ind w:left="5087"/>
        <w:spacing w:after="0"/>
        <w:rPr>
          <w:sz w:val="20"/>
          <w:szCs w:val="20"/>
          <w:color w:val="auto"/>
        </w:rPr>
      </w:pPr>
      <w:r>
        <w:rPr>
          <w:rFonts w:ascii="Arial" w:cs="Arial" w:eastAsia="Arial" w:hAnsi="Arial"/>
          <w:sz w:val="17"/>
          <w:szCs w:val="17"/>
          <w:b w:val="1"/>
          <w:bCs w:val="1"/>
          <w:color w:val="auto"/>
        </w:rPr>
        <w:t>SCHEDULE 1</w:t>
      </w:r>
    </w:p>
    <w:p>
      <w:pPr>
        <w:spacing w:after="0" w:line="200" w:lineRule="exact"/>
        <w:rPr>
          <w:sz w:val="20"/>
          <w:szCs w:val="20"/>
          <w:color w:val="auto"/>
        </w:rPr>
      </w:pPr>
    </w:p>
    <w:p>
      <w:pPr>
        <w:ind w:left="7"/>
        <w:spacing w:after="0"/>
        <w:rPr>
          <w:sz w:val="20"/>
          <w:szCs w:val="20"/>
          <w:color w:val="auto"/>
        </w:rPr>
      </w:pPr>
      <w:r>
        <w:rPr>
          <w:rFonts w:ascii="Arial" w:cs="Arial" w:eastAsia="Arial" w:hAnsi="Arial"/>
          <w:sz w:val="17"/>
          <w:szCs w:val="17"/>
          <w:b w:val="1"/>
          <w:bCs w:val="1"/>
          <w:color w:val="auto"/>
        </w:rPr>
        <w:t>TRADE SECRETS, CONFIDENTIAL INFORMATION AND NON-COMPETITION</w:t>
      </w:r>
    </w:p>
    <w:p>
      <w:pPr>
        <w:spacing w:after="0" w:line="220" w:lineRule="exact"/>
        <w:rPr>
          <w:sz w:val="20"/>
          <w:szCs w:val="20"/>
          <w:color w:val="auto"/>
        </w:rPr>
      </w:pPr>
    </w:p>
    <w:p>
      <w:pPr>
        <w:jc w:val="both"/>
        <w:ind w:left="7"/>
        <w:spacing w:after="0" w:line="248" w:lineRule="auto"/>
        <w:rPr>
          <w:sz w:val="20"/>
          <w:szCs w:val="20"/>
          <w:color w:val="auto"/>
        </w:rPr>
      </w:pPr>
      <w:r>
        <w:rPr>
          <w:rFonts w:ascii="Arial" w:cs="Arial" w:eastAsia="Arial" w:hAnsi="Arial"/>
          <w:sz w:val="17"/>
          <w:szCs w:val="17"/>
          <w:color w:val="auto"/>
        </w:rPr>
        <w:t>During the Appointment, the Executive will acquire knowledge of confidential and propriety information regarding, among other things, the Company’s and the Group’s present and future operations, its customers and suppliers, pricing and bidding strategies, and the methods used by the Company and its employees.</w:t>
      </w:r>
    </w:p>
    <w:p>
      <w:pPr>
        <w:spacing w:after="0" w:line="80" w:lineRule="exact"/>
        <w:rPr>
          <w:sz w:val="20"/>
          <w:szCs w:val="20"/>
          <w:color w:val="auto"/>
        </w:rPr>
      </w:pPr>
    </w:p>
    <w:p>
      <w:pPr>
        <w:ind w:left="7"/>
        <w:spacing w:after="0"/>
        <w:rPr>
          <w:sz w:val="20"/>
          <w:szCs w:val="20"/>
          <w:color w:val="auto"/>
        </w:rPr>
      </w:pPr>
      <w:r>
        <w:rPr>
          <w:rFonts w:ascii="Arial" w:cs="Arial" w:eastAsia="Arial" w:hAnsi="Arial"/>
          <w:sz w:val="17"/>
          <w:szCs w:val="17"/>
          <w:color w:val="auto"/>
        </w:rPr>
        <w:t>Therefore, the Executive hereby agrees to the following:</w:t>
      </w:r>
    </w:p>
    <w:p>
      <w:pPr>
        <w:spacing w:after="0" w:line="200" w:lineRule="exact"/>
        <w:rPr>
          <w:sz w:val="20"/>
          <w:szCs w:val="20"/>
          <w:color w:val="auto"/>
        </w:rPr>
      </w:pPr>
    </w:p>
    <w:p>
      <w:pPr>
        <w:jc w:val="both"/>
        <w:ind w:left="567" w:hanging="567"/>
        <w:spacing w:after="0" w:line="245" w:lineRule="auto"/>
        <w:tabs>
          <w:tab w:leader="none" w:pos="567" w:val="left"/>
        </w:tabs>
        <w:numPr>
          <w:ilvl w:val="0"/>
          <w:numId w:val="118"/>
        </w:numPr>
        <w:rPr>
          <w:rFonts w:ascii="Arial" w:cs="Arial" w:eastAsia="Arial" w:hAnsi="Arial"/>
          <w:sz w:val="17"/>
          <w:szCs w:val="17"/>
          <w:color w:val="auto"/>
        </w:rPr>
      </w:pPr>
      <w:r>
        <w:rPr>
          <w:rFonts w:ascii="Arial" w:cs="Arial" w:eastAsia="Arial" w:hAnsi="Arial"/>
          <w:sz w:val="17"/>
          <w:szCs w:val="17"/>
          <w:color w:val="auto"/>
        </w:rPr>
        <w:t>During the Appointment and after the termination of the Appointment the Executive will hold in a fiduciary capacity for the benefit of the Company, and shall not directly or indirectly use or disclose any Trade Secret, as defined below, that the Executive may acquire during the Appointment for so long as such information remains a trade secret. The term “</w:t>
      </w:r>
      <w:r>
        <w:rPr>
          <w:rFonts w:ascii="Arial" w:cs="Arial" w:eastAsia="Arial" w:hAnsi="Arial"/>
          <w:sz w:val="17"/>
          <w:szCs w:val="17"/>
          <w:b w:val="1"/>
          <w:bCs w:val="1"/>
          <w:color w:val="auto"/>
        </w:rPr>
        <w:t>Trade Secret</w:t>
      </w:r>
      <w:r>
        <w:rPr>
          <w:rFonts w:ascii="Arial" w:cs="Arial" w:eastAsia="Arial" w:hAnsi="Arial"/>
          <w:sz w:val="17"/>
          <w:szCs w:val="17"/>
          <w:color w:val="auto"/>
        </w:rPr>
        <w:t>” as used in this agreement shall mean information including, but not limited to, technical or non-technical data, a formula, a pattern, a compilation, a program, a device, a method, a technique, a drawing, a process, financial data, financial plans, product plans or a list of actual or potential customers or suppliers which:</w:t>
      </w:r>
    </w:p>
    <w:p>
      <w:pPr>
        <w:spacing w:after="0" w:line="188" w:lineRule="exact"/>
        <w:rPr>
          <w:rFonts w:ascii="Arial" w:cs="Arial" w:eastAsia="Arial" w:hAnsi="Arial"/>
          <w:sz w:val="17"/>
          <w:szCs w:val="17"/>
          <w:color w:val="auto"/>
        </w:rPr>
      </w:pPr>
    </w:p>
    <w:p>
      <w:pPr>
        <w:ind w:left="1127" w:right="20" w:hanging="568"/>
        <w:spacing w:after="0" w:line="253" w:lineRule="auto"/>
        <w:tabs>
          <w:tab w:leader="none" w:pos="1127" w:val="left"/>
        </w:tabs>
        <w:numPr>
          <w:ilvl w:val="1"/>
          <w:numId w:val="118"/>
        </w:numPr>
        <w:rPr>
          <w:rFonts w:ascii="Arial" w:cs="Arial" w:eastAsia="Arial" w:hAnsi="Arial"/>
          <w:sz w:val="17"/>
          <w:szCs w:val="17"/>
          <w:color w:val="auto"/>
        </w:rPr>
      </w:pPr>
      <w:r>
        <w:rPr>
          <w:rFonts w:ascii="Arial" w:cs="Arial" w:eastAsia="Arial" w:hAnsi="Arial"/>
          <w:sz w:val="17"/>
          <w:szCs w:val="17"/>
          <w:color w:val="auto"/>
        </w:rPr>
        <w:t>derives economic value, actual or potential from not being generally known to, and not being readily ascertainable by proper means by other persons who can obtain economic value from its disclosure or use; and</w:t>
      </w:r>
    </w:p>
    <w:p>
      <w:pPr>
        <w:spacing w:after="0" w:line="181" w:lineRule="exact"/>
        <w:rPr>
          <w:rFonts w:ascii="Arial" w:cs="Arial" w:eastAsia="Arial" w:hAnsi="Arial"/>
          <w:sz w:val="17"/>
          <w:szCs w:val="17"/>
          <w:color w:val="auto"/>
        </w:rPr>
      </w:pPr>
    </w:p>
    <w:p>
      <w:pPr>
        <w:ind w:left="1127" w:hanging="568"/>
        <w:spacing w:after="0"/>
        <w:tabs>
          <w:tab w:leader="none" w:pos="1127" w:val="left"/>
        </w:tabs>
        <w:numPr>
          <w:ilvl w:val="1"/>
          <w:numId w:val="118"/>
        </w:numPr>
        <w:rPr>
          <w:rFonts w:ascii="Arial" w:cs="Arial" w:eastAsia="Arial" w:hAnsi="Arial"/>
          <w:sz w:val="17"/>
          <w:szCs w:val="17"/>
          <w:color w:val="auto"/>
        </w:rPr>
      </w:pPr>
      <w:r>
        <w:rPr>
          <w:rFonts w:ascii="Arial" w:cs="Arial" w:eastAsia="Arial" w:hAnsi="Arial"/>
          <w:sz w:val="17"/>
          <w:szCs w:val="17"/>
          <w:color w:val="auto"/>
        </w:rPr>
        <w:t>is the subject of reasonable efforts by the Company or its Group to maintain its confidentiality.</w:t>
      </w:r>
    </w:p>
    <w:p>
      <w:pPr>
        <w:spacing w:after="0" w:line="200" w:lineRule="exact"/>
        <w:rPr>
          <w:rFonts w:ascii="Arial" w:cs="Arial" w:eastAsia="Arial" w:hAnsi="Arial"/>
          <w:sz w:val="17"/>
          <w:szCs w:val="17"/>
          <w:color w:val="auto"/>
        </w:rPr>
      </w:pPr>
    </w:p>
    <w:p>
      <w:pPr>
        <w:jc w:val="both"/>
        <w:ind w:left="567" w:hanging="567"/>
        <w:spacing w:after="0" w:line="244" w:lineRule="auto"/>
        <w:tabs>
          <w:tab w:leader="none" w:pos="567" w:val="left"/>
        </w:tabs>
        <w:numPr>
          <w:ilvl w:val="0"/>
          <w:numId w:val="118"/>
        </w:numPr>
        <w:rPr>
          <w:rFonts w:ascii="Arial" w:cs="Arial" w:eastAsia="Arial" w:hAnsi="Arial"/>
          <w:sz w:val="17"/>
          <w:szCs w:val="17"/>
          <w:color w:val="auto"/>
        </w:rPr>
      </w:pPr>
      <w:r>
        <w:rPr>
          <w:rFonts w:ascii="Arial" w:cs="Arial" w:eastAsia="Arial" w:hAnsi="Arial"/>
          <w:sz w:val="17"/>
          <w:szCs w:val="17"/>
          <w:color w:val="auto"/>
        </w:rPr>
        <w:t>In addition to A above and not in limitation thereof, the Executive agrees that, during the Appointment and for a period of 2 years after termination, the Executive will hold in a fiduciary capacity for the benefit of the Company and the Group, and shall not directly or indirectly use or disclose, any Confidential or Proprietary information, as defined below, that the Executive may have acquired (whether or not developed or compiled by the Executive and whether or not the Executive was authorised to have access to such information) during the term of, in the course of or as a result of the Appointment. The term “</w:t>
      </w:r>
      <w:r>
        <w:rPr>
          <w:rFonts w:ascii="Arial" w:cs="Arial" w:eastAsia="Arial" w:hAnsi="Arial"/>
          <w:sz w:val="17"/>
          <w:szCs w:val="17"/>
          <w:b w:val="1"/>
          <w:bCs w:val="1"/>
          <w:color w:val="auto"/>
        </w:rPr>
        <w:t>Confidential or Proprietary Information</w:t>
      </w:r>
      <w:r>
        <w:rPr>
          <w:rFonts w:ascii="Arial" w:cs="Arial" w:eastAsia="Arial" w:hAnsi="Arial"/>
          <w:sz w:val="17"/>
          <w:szCs w:val="17"/>
          <w:color w:val="auto"/>
        </w:rPr>
        <w:t>” as used in this agreement means any secret, confidential, or proprietary information of the Company not otherwise included in the definition of “Trade Secret” above and does not include information that has become generally available to the public by the act of one who has the right to disclose such information without violating any right of the client to which such information pertains.</w:t>
      </w:r>
    </w:p>
    <w:p>
      <w:pPr>
        <w:spacing w:after="0" w:line="190" w:lineRule="exact"/>
        <w:rPr>
          <w:rFonts w:ascii="Arial" w:cs="Arial" w:eastAsia="Arial" w:hAnsi="Arial"/>
          <w:sz w:val="17"/>
          <w:szCs w:val="17"/>
          <w:color w:val="auto"/>
        </w:rPr>
      </w:pPr>
    </w:p>
    <w:p>
      <w:pPr>
        <w:ind w:left="367" w:hanging="367"/>
        <w:spacing w:after="0"/>
        <w:tabs>
          <w:tab w:leader="none" w:pos="367" w:val="left"/>
        </w:tabs>
        <w:numPr>
          <w:ilvl w:val="0"/>
          <w:numId w:val="118"/>
        </w:numPr>
        <w:rPr>
          <w:rFonts w:ascii="Arial" w:cs="Arial" w:eastAsia="Arial" w:hAnsi="Arial"/>
          <w:sz w:val="17"/>
          <w:szCs w:val="17"/>
          <w:color w:val="auto"/>
        </w:rPr>
      </w:pPr>
      <w:r>
        <w:rPr>
          <w:rFonts w:ascii="Arial" w:cs="Arial" w:eastAsia="Arial" w:hAnsi="Arial"/>
          <w:sz w:val="17"/>
          <w:szCs w:val="17"/>
          <w:color w:val="auto"/>
        </w:rPr>
        <w:t>1.  In this Section C</w:t>
      </w:r>
    </w:p>
    <w:p>
      <w:pPr>
        <w:spacing w:after="0" w:line="168" w:lineRule="exact"/>
        <w:rPr>
          <w:sz w:val="20"/>
          <w:szCs w:val="20"/>
          <w:color w:val="auto"/>
        </w:rPr>
      </w:pPr>
    </w:p>
    <w:p>
      <w:pPr>
        <w:jc w:val="both"/>
        <w:ind w:left="1647" w:hanging="546"/>
        <w:spacing w:after="0" w:line="260" w:lineRule="auto"/>
        <w:tabs>
          <w:tab w:leader="none" w:pos="1627" w:val="left"/>
        </w:tabs>
        <w:rPr>
          <w:sz w:val="20"/>
          <w:szCs w:val="20"/>
          <w:color w:val="auto"/>
        </w:rPr>
      </w:pPr>
      <w:r>
        <w:rPr>
          <w:rFonts w:ascii="Arial" w:cs="Arial" w:eastAsia="Arial" w:hAnsi="Arial"/>
          <w:sz w:val="17"/>
          <w:szCs w:val="17"/>
          <w:color w:val="auto"/>
        </w:rPr>
        <w:t>1.1</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Restricted Business</w:t>
      </w:r>
      <w:r>
        <w:rPr>
          <w:rFonts w:ascii="Arial" w:cs="Arial" w:eastAsia="Arial" w:hAnsi="Arial"/>
          <w:sz w:val="17"/>
          <w:szCs w:val="17"/>
          <w:color w:val="auto"/>
        </w:rPr>
        <w:t>” means those of the businesses of the Company and any Group Company at the time of the termination of the Appointment with which the Executive was involved to a material extent during the period of 12 months ending on the date of the termination of the Appointment;</w:t>
      </w:r>
    </w:p>
    <w:p>
      <w:pPr>
        <w:spacing w:after="0" w:line="343" w:lineRule="exact"/>
        <w:rPr>
          <w:sz w:val="20"/>
          <w:szCs w:val="20"/>
          <w:color w:val="auto"/>
        </w:rPr>
      </w:pPr>
    </w:p>
    <w:p>
      <w:pPr>
        <w:ind w:left="7"/>
        <w:spacing w:after="0"/>
        <w:rPr>
          <w:sz w:val="20"/>
          <w:szCs w:val="20"/>
          <w:color w:val="auto"/>
        </w:rPr>
      </w:pPr>
      <w:r>
        <w:rPr>
          <w:rFonts w:ascii="Arial" w:cs="Arial" w:eastAsia="Arial" w:hAnsi="Arial"/>
          <w:sz w:val="16"/>
          <w:szCs w:val="16"/>
          <w:color w:val="auto"/>
        </w:rPr>
        <w:t>322520-1</w:t>
      </w:r>
    </w:p>
    <w:p>
      <w:pPr>
        <w:sectPr>
          <w:pgSz w:w="11900" w:h="16838" w:orient="portrait"/>
          <w:cols w:equalWidth="0" w:num="1">
            <w:col w:w="11267"/>
          </w:cols>
          <w:pgMar w:left="313" w:top="303" w:right="319" w:bottom="1440" w:gutter="0" w:footer="0" w:header="0"/>
        </w:sectPr>
      </w:pPr>
    </w:p>
    <w:bookmarkStart w:id="125" w:name="page126"/>
    <w:bookmarkEnd w:id="125"/>
    <w:p>
      <w:pPr>
        <w:jc w:val="both"/>
        <w:ind w:left="1647" w:hanging="546"/>
        <w:spacing w:after="0" w:line="254" w:lineRule="auto"/>
        <w:tabs>
          <w:tab w:leader="none" w:pos="1627" w:val="left"/>
        </w:tabs>
        <w:rPr>
          <w:sz w:val="20"/>
          <w:szCs w:val="20"/>
          <w:color w:val="auto"/>
        </w:rPr>
      </w:pPr>
      <w:r>
        <w:rPr>
          <w:rFonts w:ascii="Arial" w:cs="Arial" w:eastAsia="Arial" w:hAnsi="Arial"/>
          <w:sz w:val="17"/>
          <w:szCs w:val="17"/>
          <w:color w:val="auto"/>
        </w:rPr>
        <w:t>1.2</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Restricted Customer</w:t>
      </w:r>
      <w:r>
        <w:rPr>
          <w:rFonts w:ascii="Arial" w:cs="Arial" w:eastAsia="Arial" w:hAnsi="Arial"/>
          <w:sz w:val="17"/>
          <w:szCs w:val="17"/>
          <w:color w:val="auto"/>
        </w:rPr>
        <w:t>” means any firm, company or other person who, during the period of 12 months ending on the date of the termination of the Appointment, was a customer of or in the habit of dealing with the Company or any Group Company and with whom the Executive had contact or about whom the Executive became aware or informed in the course of the Appointment; and</w:t>
      </w:r>
    </w:p>
    <w:p>
      <w:pPr>
        <w:spacing w:after="0" w:line="150" w:lineRule="exact"/>
        <w:rPr>
          <w:sz w:val="20"/>
          <w:szCs w:val="20"/>
          <w:color w:val="auto"/>
        </w:rPr>
      </w:pPr>
    </w:p>
    <w:p>
      <w:pPr>
        <w:ind w:left="1087"/>
        <w:spacing w:after="0"/>
        <w:tabs>
          <w:tab w:leader="none" w:pos="1627" w:val="left"/>
        </w:tabs>
        <w:rPr>
          <w:sz w:val="20"/>
          <w:szCs w:val="20"/>
          <w:color w:val="auto"/>
        </w:rPr>
      </w:pPr>
      <w:r>
        <w:rPr>
          <w:rFonts w:ascii="Arial" w:cs="Arial" w:eastAsia="Arial" w:hAnsi="Arial"/>
          <w:sz w:val="17"/>
          <w:szCs w:val="17"/>
          <w:color w:val="auto"/>
        </w:rPr>
        <w:t>1.3</w:t>
      </w:r>
      <w:r>
        <w:rPr>
          <w:sz w:val="20"/>
          <w:szCs w:val="20"/>
          <w:color w:val="auto"/>
        </w:rPr>
        <w:tab/>
      </w:r>
      <w:r>
        <w:rPr>
          <w:rFonts w:ascii="Arial" w:cs="Arial" w:eastAsia="Arial" w:hAnsi="Arial"/>
          <w:sz w:val="17"/>
          <w:szCs w:val="17"/>
          <w:b w:val="1"/>
          <w:bCs w:val="1"/>
          <w:color w:val="auto"/>
        </w:rPr>
        <w:t>“Restricted Employee</w:t>
      </w:r>
      <w:r>
        <w:rPr>
          <w:rFonts w:ascii="Arial" w:cs="Arial" w:eastAsia="Arial" w:hAnsi="Arial"/>
          <w:sz w:val="17"/>
          <w:szCs w:val="17"/>
          <w:color w:val="auto"/>
        </w:rPr>
        <w:t>” means any person who, at the date of the termination of the Appointment, either:-</w:t>
      </w:r>
    </w:p>
    <w:p>
      <w:pPr>
        <w:spacing w:after="0" w:line="208" w:lineRule="exact"/>
        <w:rPr>
          <w:sz w:val="20"/>
          <w:szCs w:val="20"/>
          <w:color w:val="auto"/>
        </w:rPr>
      </w:pPr>
    </w:p>
    <w:p>
      <w:pPr>
        <w:ind w:left="3567" w:right="20" w:hanging="1884"/>
        <w:spacing w:after="0" w:line="253" w:lineRule="auto"/>
        <w:rPr>
          <w:sz w:val="20"/>
          <w:szCs w:val="20"/>
          <w:color w:val="auto"/>
        </w:rPr>
      </w:pPr>
      <w:r>
        <w:rPr>
          <w:rFonts w:ascii="Arial" w:cs="Arial" w:eastAsia="Arial" w:hAnsi="Arial"/>
          <w:sz w:val="17"/>
          <w:szCs w:val="17"/>
          <w:color w:val="auto"/>
        </w:rPr>
        <w:t>(a)was employed by the Company or any Group Company at a level at least equal to the Executive and was a person with whom the Executive had material contact; or</w:t>
      </w:r>
    </w:p>
    <w:p>
      <w:pPr>
        <w:spacing w:after="0" w:line="170" w:lineRule="exact"/>
        <w:rPr>
          <w:sz w:val="20"/>
          <w:szCs w:val="20"/>
          <w:color w:val="auto"/>
        </w:rPr>
      </w:pPr>
    </w:p>
    <w:p>
      <w:pPr>
        <w:ind w:left="3527" w:right="20" w:hanging="1868"/>
        <w:spacing w:after="0" w:line="253" w:lineRule="auto"/>
        <w:rPr>
          <w:sz w:val="20"/>
          <w:szCs w:val="20"/>
          <w:color w:val="auto"/>
        </w:rPr>
      </w:pPr>
      <w:r>
        <w:rPr>
          <w:rFonts w:ascii="Arial" w:cs="Arial" w:eastAsia="Arial" w:hAnsi="Arial"/>
          <w:sz w:val="17"/>
          <w:szCs w:val="17"/>
          <w:color w:val="auto"/>
        </w:rPr>
        <w:t>(b)was employed by the Company or any Group Company and reported to the Executive directly or indirectly at any time during the 12 months prior to the termination of the Appointment.</w:t>
      </w:r>
    </w:p>
    <w:p>
      <w:pPr>
        <w:spacing w:after="0" w:line="170" w:lineRule="exact"/>
        <w:rPr>
          <w:sz w:val="20"/>
          <w:szCs w:val="20"/>
          <w:color w:val="auto"/>
        </w:rPr>
      </w:pPr>
    </w:p>
    <w:p>
      <w:pPr>
        <w:jc w:val="both"/>
        <w:ind w:left="1107" w:hanging="548"/>
        <w:spacing w:after="0" w:line="248" w:lineRule="auto"/>
        <w:tabs>
          <w:tab w:leader="none" w:pos="1091" w:val="left"/>
        </w:tabs>
        <w:numPr>
          <w:ilvl w:val="2"/>
          <w:numId w:val="119"/>
        </w:numPr>
        <w:rPr>
          <w:rFonts w:ascii="Arial" w:cs="Arial" w:eastAsia="Arial" w:hAnsi="Arial"/>
          <w:sz w:val="17"/>
          <w:szCs w:val="17"/>
          <w:color w:val="auto"/>
        </w:rPr>
      </w:pPr>
      <w:r>
        <w:rPr>
          <w:rFonts w:ascii="Arial" w:cs="Arial" w:eastAsia="Arial" w:hAnsi="Arial"/>
          <w:sz w:val="17"/>
          <w:szCs w:val="17"/>
          <w:color w:val="auto"/>
        </w:rPr>
        <w:t>The Executive will not, for a period of 6 months after the termination of the Appointment, solicit or endeavour to entice away from the Company or any Group Company the business or custom of a Restricted Customer with a view to providing goods or services to that Restricted Customer in competition with any Restricted Business.</w:t>
      </w:r>
    </w:p>
    <w:p>
      <w:pPr>
        <w:spacing w:after="0" w:line="173" w:lineRule="exact"/>
        <w:rPr>
          <w:rFonts w:ascii="Arial" w:cs="Arial" w:eastAsia="Arial" w:hAnsi="Arial"/>
          <w:sz w:val="17"/>
          <w:szCs w:val="17"/>
          <w:color w:val="auto"/>
        </w:rPr>
      </w:pPr>
    </w:p>
    <w:p>
      <w:pPr>
        <w:jc w:val="both"/>
        <w:ind w:left="1107" w:right="20" w:hanging="548"/>
        <w:spacing w:after="0" w:line="248" w:lineRule="auto"/>
        <w:tabs>
          <w:tab w:leader="none" w:pos="1091" w:val="left"/>
        </w:tabs>
        <w:numPr>
          <w:ilvl w:val="2"/>
          <w:numId w:val="119"/>
        </w:numPr>
        <w:rPr>
          <w:rFonts w:ascii="Arial" w:cs="Arial" w:eastAsia="Arial" w:hAnsi="Arial"/>
          <w:sz w:val="17"/>
          <w:szCs w:val="17"/>
          <w:color w:val="auto"/>
        </w:rPr>
      </w:pPr>
      <w:r>
        <w:rPr>
          <w:rFonts w:ascii="Arial" w:cs="Arial" w:eastAsia="Arial" w:hAnsi="Arial"/>
          <w:sz w:val="17"/>
          <w:szCs w:val="17"/>
          <w:color w:val="auto"/>
        </w:rPr>
        <w:t>The Executive will not, for a period of 6 months after the termination of the Appointment, provide goods or services to or otherwise have any business dealings with any Restricted Customer in the course of any business concern which is in competition with any Restricted Business.</w:t>
      </w:r>
    </w:p>
    <w:p>
      <w:pPr>
        <w:spacing w:after="0" w:line="173" w:lineRule="exact"/>
        <w:rPr>
          <w:rFonts w:ascii="Arial" w:cs="Arial" w:eastAsia="Arial" w:hAnsi="Arial"/>
          <w:sz w:val="17"/>
          <w:szCs w:val="17"/>
          <w:color w:val="auto"/>
        </w:rPr>
      </w:pPr>
    </w:p>
    <w:p>
      <w:pPr>
        <w:jc w:val="both"/>
        <w:ind w:left="1107" w:hanging="548"/>
        <w:spacing w:after="0" w:line="246" w:lineRule="auto"/>
        <w:tabs>
          <w:tab w:leader="none" w:pos="1091" w:val="left"/>
        </w:tabs>
        <w:numPr>
          <w:ilvl w:val="2"/>
          <w:numId w:val="119"/>
        </w:numPr>
        <w:rPr>
          <w:rFonts w:ascii="Arial" w:cs="Arial" w:eastAsia="Arial" w:hAnsi="Arial"/>
          <w:sz w:val="17"/>
          <w:szCs w:val="17"/>
          <w:color w:val="auto"/>
        </w:rPr>
      </w:pPr>
      <w:r>
        <w:rPr>
          <w:rFonts w:ascii="Arial" w:cs="Arial" w:eastAsia="Arial" w:hAnsi="Arial"/>
          <w:sz w:val="17"/>
          <w:szCs w:val="17"/>
          <w:color w:val="auto"/>
        </w:rPr>
        <w:t>The Executive will not, for a period of 6 months after the termination of the Appointment, in the course of any business concern which is in competition with any Restricted Business solicit or endeavour to entice away from the Company or any Group Company any Restricted Employee or employ or otherwise engage the services of, whether as employee, consultant, or otherwise, any Restricted Employee.</w:t>
      </w:r>
    </w:p>
    <w:p>
      <w:pPr>
        <w:spacing w:after="0" w:line="175" w:lineRule="exact"/>
        <w:rPr>
          <w:rFonts w:ascii="Arial" w:cs="Arial" w:eastAsia="Arial" w:hAnsi="Arial"/>
          <w:sz w:val="17"/>
          <w:szCs w:val="17"/>
          <w:color w:val="auto"/>
        </w:rPr>
      </w:pPr>
    </w:p>
    <w:p>
      <w:pPr>
        <w:ind w:left="1107" w:right="20" w:hanging="548"/>
        <w:spacing w:after="0" w:line="253" w:lineRule="auto"/>
        <w:tabs>
          <w:tab w:leader="none" w:pos="1091" w:val="left"/>
        </w:tabs>
        <w:numPr>
          <w:ilvl w:val="2"/>
          <w:numId w:val="119"/>
        </w:numPr>
        <w:rPr>
          <w:rFonts w:ascii="Arial" w:cs="Arial" w:eastAsia="Arial" w:hAnsi="Arial"/>
          <w:sz w:val="17"/>
          <w:szCs w:val="17"/>
          <w:color w:val="auto"/>
        </w:rPr>
      </w:pPr>
      <w:r>
        <w:rPr>
          <w:rFonts w:ascii="Arial" w:cs="Arial" w:eastAsia="Arial" w:hAnsi="Arial"/>
          <w:sz w:val="17"/>
          <w:szCs w:val="17"/>
          <w:color w:val="auto"/>
        </w:rPr>
        <w:t>Any period of restriction under clauses 2, 3 and 4 of this Section C shall be reduced by any period during which the Executive is prevented from carrying out his normal duties during his notice period pursuant to clauses 3.5(b), (c) or (d) of the Service Agreement.</w:t>
      </w:r>
    </w:p>
    <w:p>
      <w:pPr>
        <w:spacing w:after="0" w:line="169" w:lineRule="exact"/>
        <w:rPr>
          <w:rFonts w:ascii="Arial" w:cs="Arial" w:eastAsia="Arial" w:hAnsi="Arial"/>
          <w:sz w:val="17"/>
          <w:szCs w:val="17"/>
          <w:color w:val="auto"/>
        </w:rPr>
      </w:pPr>
    </w:p>
    <w:p>
      <w:pPr>
        <w:ind w:left="1087" w:hanging="552"/>
        <w:spacing w:after="0" w:line="253" w:lineRule="auto"/>
        <w:tabs>
          <w:tab w:leader="none" w:pos="1087" w:val="left"/>
        </w:tabs>
        <w:numPr>
          <w:ilvl w:val="1"/>
          <w:numId w:val="120"/>
        </w:numPr>
        <w:rPr>
          <w:rFonts w:ascii="Arial" w:cs="Arial" w:eastAsia="Arial" w:hAnsi="Arial"/>
          <w:sz w:val="17"/>
          <w:szCs w:val="17"/>
          <w:color w:val="auto"/>
        </w:rPr>
      </w:pPr>
      <w:r>
        <w:rPr>
          <w:rFonts w:ascii="Arial" w:cs="Arial" w:eastAsia="Arial" w:hAnsi="Arial"/>
          <w:sz w:val="17"/>
          <w:szCs w:val="17"/>
          <w:color w:val="auto"/>
        </w:rPr>
        <w:t>The obligations imposed on the Executive by this Section C extend to the Executive acting not only on the Executive’s own account but also on behalf of any other firm, company or other person and shall apply whether the Executive acts directly or indirectly.</w:t>
      </w:r>
    </w:p>
    <w:p>
      <w:pPr>
        <w:spacing w:after="0" w:line="181" w:lineRule="exact"/>
        <w:rPr>
          <w:rFonts w:ascii="Arial" w:cs="Arial" w:eastAsia="Arial" w:hAnsi="Arial"/>
          <w:sz w:val="17"/>
          <w:szCs w:val="17"/>
          <w:color w:val="auto"/>
        </w:rPr>
      </w:pPr>
    </w:p>
    <w:p>
      <w:pPr>
        <w:ind w:left="567" w:hanging="567"/>
        <w:spacing w:after="0"/>
        <w:tabs>
          <w:tab w:leader="none" w:pos="567"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covenants contained in this Schedule shall inure to the benefit of the Company, and successor of it and every Group Company.</w:t>
      </w:r>
    </w:p>
    <w:p>
      <w:pPr>
        <w:spacing w:after="0" w:line="379" w:lineRule="exact"/>
        <w:rPr>
          <w:sz w:val="20"/>
          <w:szCs w:val="20"/>
          <w:color w:val="auto"/>
        </w:rPr>
      </w:pPr>
    </w:p>
    <w:p>
      <w:pPr>
        <w:ind w:left="7"/>
        <w:spacing w:after="0"/>
        <w:rPr>
          <w:sz w:val="20"/>
          <w:szCs w:val="20"/>
          <w:color w:val="auto"/>
        </w:rPr>
      </w:pPr>
      <w:r>
        <w:rPr>
          <w:rFonts w:ascii="Arial" w:cs="Arial" w:eastAsia="Arial" w:hAnsi="Arial"/>
          <w:sz w:val="16"/>
          <w:szCs w:val="16"/>
          <w:color w:val="auto"/>
        </w:rPr>
        <w:t>322520-1</w:t>
      </w:r>
    </w:p>
    <w:p>
      <w:pPr>
        <w:sectPr>
          <w:pgSz w:w="11900" w:h="16838" w:orient="portrait"/>
          <w:cols w:equalWidth="0" w:num="1">
            <w:col w:w="11267"/>
          </w:cols>
          <w:pgMar w:left="313" w:top="302" w:right="31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7"/>
          <w:szCs w:val="17"/>
          <w:b w:val="1"/>
          <w:bCs w:val="1"/>
          <w:color w:val="auto"/>
        </w:rPr>
        <w:t>SCHEDULE 2</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Code of Business Conduct for All Employees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Amended and Restated March 11, 2004</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00080"/>
        </w:rPr>
        <w:t>Code of Business Conduct</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Introduction</w:t>
      </w:r>
    </w:p>
    <w:p>
      <w:pPr>
        <w:spacing w:after="0" w:line="162" w:lineRule="exact"/>
        <w:rPr>
          <w:sz w:val="20"/>
          <w:szCs w:val="20"/>
          <w:color w:val="auto"/>
        </w:rPr>
      </w:pPr>
    </w:p>
    <w:p>
      <w:pPr>
        <w:ind w:right="380"/>
        <w:spacing w:after="0" w:line="248" w:lineRule="auto"/>
        <w:rPr>
          <w:sz w:val="20"/>
          <w:szCs w:val="20"/>
          <w:color w:val="auto"/>
        </w:rPr>
      </w:pPr>
      <w:r>
        <w:rPr>
          <w:rFonts w:ascii="Arial" w:cs="Arial" w:eastAsia="Arial" w:hAnsi="Arial"/>
          <w:sz w:val="17"/>
          <w:szCs w:val="17"/>
          <w:color w:val="auto"/>
        </w:rPr>
        <w:t>UnitedGlobalCom, Inc. (the “Company”), is committed to conducting its business with honesty and integrity. This Code of Business Conduct (this “Code”) is designed to fulfill this mandate. It is also intended to help each of us focus on the duty we owe to each other, to the Company’s stockholders and to others with whom we do business to conduct ourselves honestly and ethically.</w:t>
      </w:r>
    </w:p>
    <w:p>
      <w:pPr>
        <w:spacing w:after="0" w:line="127"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This Code applies to each of the Company’s and to all other companies in which the Company directly or indirectly owns and has the right to vote shares or other interests representing more than 50% of the voting power of such companies (the “Controlled Companies”) with respect to the election of directors or similar officials, and to the directors, officers and employees thereof (referred to collectively as “employees”). Notwithstanding the foregoing, unless otherwise determined by the Board of Directors, this Code does not apply to (i) any Controlled Company and its employees if the Controlled Company is an “issuer” as defined in Section 2(a)(7) of the Sarbanes-Oxley Act of 2002 (generally, a company that files disclosure documents with the Securities and Exchange Commission), or (ii) any other Controlled Company that is excluded from the application of the Code by the Board of Directors; provided, however, that such Controlled Company has its own Code of Business Conduct, which has been approved by its board of directors. A violation of the standards contained in this Code will result in disciplinary action, up to and including possible dismissal.</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Company Assets</w:t>
      </w:r>
    </w:p>
    <w:p>
      <w:pPr>
        <w:spacing w:after="0" w:line="162"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Company assets should be safeguarded and used for Company business only, except for limited personal use approved by your supervisor that does not interfere with Company use. This includes protection of the Company’s physical facilities, office equipment (for example, all computer-related equipment, furniture and supplies), computer software, records, intellectual property rights and third party information. We also must safeguard the Company’s trademarks and other proprietary information, as discussed in the section “Confidential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Compliance with Laws</w:t>
      </w:r>
    </w:p>
    <w:p>
      <w:pPr>
        <w:spacing w:after="0" w:line="162"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In conducting our business, the Company and every employee must obey and comply with applicable laws, rules and regulations. It is your job to be aware of those rules and to comply with the legal requirements affecting you and your job.</w:t>
      </w:r>
    </w:p>
    <w:p>
      <w:pPr>
        <w:spacing w:after="0" w:line="123"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You may learn information about the Company or companies with whom we do business that is unavailable to the public. Such information may be “insider information” within the meaning of the U.S. federal securities laws. As provided in the Company’s policy on trading in Company securities, you may not use inside information when making personal investment decisions or investment decisions for others regarding our stock or the stock of companies with whom we do business. In addition, you may not pass insider information on to persons outside the Company. This includes family and friends.</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322520-1</w:t>
      </w:r>
    </w:p>
    <w:p>
      <w:pPr>
        <w:sectPr>
          <w:pgSz w:w="11900" w:h="16838" w:orient="portrait"/>
          <w:cols w:equalWidth="0" w:num="1">
            <w:col w:w="11240"/>
          </w:cols>
          <w:pgMar w:left="320" w:top="302" w:right="339" w:bottom="1440" w:gutter="0" w:footer="0" w:header="0"/>
        </w:sectPr>
      </w:pPr>
    </w:p>
    <w:bookmarkStart w:id="127" w:name="page128"/>
    <w:bookmarkEnd w:id="127"/>
    <w:p>
      <w:pPr>
        <w:ind w:right="860"/>
        <w:spacing w:after="0" w:line="253" w:lineRule="auto"/>
        <w:rPr>
          <w:sz w:val="20"/>
          <w:szCs w:val="20"/>
          <w:color w:val="auto"/>
        </w:rPr>
      </w:pPr>
      <w:r>
        <w:rPr>
          <w:rFonts w:ascii="Arial" w:cs="Arial" w:eastAsia="Arial" w:hAnsi="Arial"/>
          <w:sz w:val="17"/>
          <w:szCs w:val="17"/>
          <w:color w:val="auto"/>
        </w:rPr>
        <w:t>If you have any questions regarding compliance with these laws and principles, please call a member of the Company’s Legal Department immediately. Remember that compliance with this Code is your responsibility.</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Confidential Information</w:t>
      </w:r>
    </w:p>
    <w:p>
      <w:pPr>
        <w:spacing w:after="0" w:line="162" w:lineRule="exact"/>
        <w:rPr>
          <w:sz w:val="20"/>
          <w:szCs w:val="20"/>
          <w:color w:val="auto"/>
        </w:rPr>
      </w:pPr>
    </w:p>
    <w:p>
      <w:pPr>
        <w:ind w:right="380"/>
        <w:spacing w:after="0" w:line="248" w:lineRule="auto"/>
        <w:rPr>
          <w:sz w:val="20"/>
          <w:szCs w:val="20"/>
          <w:color w:val="auto"/>
        </w:rPr>
      </w:pPr>
      <w:r>
        <w:rPr>
          <w:rFonts w:ascii="Arial" w:cs="Arial" w:eastAsia="Arial" w:hAnsi="Arial"/>
          <w:sz w:val="17"/>
          <w:szCs w:val="17"/>
          <w:color w:val="auto"/>
        </w:rPr>
        <w:t>You shall not, during or after your employment, disclose to or use for the benefit of any person or entity other than the Company, any Company confidential information that you develop or receive during employment. “Confidential information” refers to information that is not available to the public. For example, Company confidential information includes:</w:t>
      </w:r>
    </w:p>
    <w:p>
      <w:pPr>
        <w:spacing w:after="0" w:line="127" w:lineRule="exact"/>
        <w:rPr>
          <w:sz w:val="20"/>
          <w:szCs w:val="20"/>
          <w:color w:val="auto"/>
        </w:rPr>
      </w:pPr>
    </w:p>
    <w:p>
      <w:pPr>
        <w:ind w:left="560" w:hanging="288"/>
        <w:spacing w:after="0"/>
        <w:tabs>
          <w:tab w:leader="none" w:pos="560" w:val="left"/>
        </w:tabs>
        <w:numPr>
          <w:ilvl w:val="0"/>
          <w:numId w:val="122"/>
        </w:numPr>
        <w:rPr>
          <w:rFonts w:ascii="Arial" w:cs="Arial" w:eastAsia="Arial" w:hAnsi="Arial"/>
          <w:sz w:val="16"/>
          <w:szCs w:val="16"/>
          <w:color w:val="auto"/>
        </w:rPr>
      </w:pPr>
      <w:r>
        <w:rPr>
          <w:rFonts w:ascii="Arial" w:cs="Arial" w:eastAsia="Arial" w:hAnsi="Arial"/>
          <w:sz w:val="17"/>
          <w:szCs w:val="17"/>
          <w:color w:val="auto"/>
        </w:rPr>
        <w:t>trade secrets, research and development information, product and marketing plans;</w:t>
      </w:r>
    </w:p>
    <w:p>
      <w:pPr>
        <w:spacing w:after="0" w:line="141" w:lineRule="exact"/>
        <w:rPr>
          <w:rFonts w:ascii="Arial" w:cs="Arial" w:eastAsia="Arial" w:hAnsi="Arial"/>
          <w:sz w:val="16"/>
          <w:szCs w:val="16"/>
          <w:color w:val="auto"/>
        </w:rPr>
      </w:pPr>
    </w:p>
    <w:p>
      <w:pPr>
        <w:ind w:left="560" w:hanging="288"/>
        <w:spacing w:after="0"/>
        <w:tabs>
          <w:tab w:leader="none" w:pos="560" w:val="left"/>
        </w:tabs>
        <w:numPr>
          <w:ilvl w:val="0"/>
          <w:numId w:val="122"/>
        </w:numPr>
        <w:rPr>
          <w:rFonts w:ascii="Arial" w:cs="Arial" w:eastAsia="Arial" w:hAnsi="Arial"/>
          <w:sz w:val="16"/>
          <w:szCs w:val="16"/>
          <w:color w:val="auto"/>
        </w:rPr>
      </w:pPr>
      <w:r>
        <w:rPr>
          <w:rFonts w:ascii="Arial" w:cs="Arial" w:eastAsia="Arial" w:hAnsi="Arial"/>
          <w:sz w:val="17"/>
          <w:szCs w:val="17"/>
          <w:color w:val="auto"/>
        </w:rPr>
        <w:t>personnel data, financial data, product and service specifications, prototypes, software, models, business planning models, customer lists;</w:t>
      </w:r>
    </w:p>
    <w:p>
      <w:pPr>
        <w:spacing w:after="0" w:line="141" w:lineRule="exact"/>
        <w:rPr>
          <w:rFonts w:ascii="Arial" w:cs="Arial" w:eastAsia="Arial" w:hAnsi="Arial"/>
          <w:sz w:val="16"/>
          <w:szCs w:val="16"/>
          <w:color w:val="auto"/>
        </w:rPr>
      </w:pPr>
    </w:p>
    <w:p>
      <w:pPr>
        <w:ind w:left="560" w:hanging="288"/>
        <w:spacing w:after="0" w:line="253" w:lineRule="auto"/>
        <w:tabs>
          <w:tab w:leader="none" w:pos="560" w:val="left"/>
        </w:tabs>
        <w:numPr>
          <w:ilvl w:val="0"/>
          <w:numId w:val="122"/>
        </w:numPr>
        <w:rPr>
          <w:rFonts w:ascii="Arial" w:cs="Arial" w:eastAsia="Arial" w:hAnsi="Arial"/>
          <w:sz w:val="16"/>
          <w:szCs w:val="16"/>
          <w:color w:val="auto"/>
        </w:rPr>
      </w:pPr>
      <w:r>
        <w:rPr>
          <w:rFonts w:ascii="Arial" w:cs="Arial" w:eastAsia="Arial" w:hAnsi="Arial"/>
          <w:sz w:val="17"/>
          <w:szCs w:val="17"/>
          <w:color w:val="auto"/>
        </w:rPr>
        <w:t>information relating to current and future business plans, strategies and methods, divestitures, mergers, acquisitions and marketing and sales plans and data;</w:t>
      </w:r>
    </w:p>
    <w:p>
      <w:pPr>
        <w:spacing w:after="0" w:line="123" w:lineRule="exact"/>
        <w:rPr>
          <w:rFonts w:ascii="Arial" w:cs="Arial" w:eastAsia="Arial" w:hAnsi="Arial"/>
          <w:sz w:val="16"/>
          <w:szCs w:val="16"/>
          <w:color w:val="auto"/>
        </w:rPr>
      </w:pPr>
    </w:p>
    <w:p>
      <w:pPr>
        <w:ind w:left="560" w:hanging="288"/>
        <w:spacing w:after="0"/>
        <w:tabs>
          <w:tab w:leader="none" w:pos="560" w:val="left"/>
        </w:tabs>
        <w:numPr>
          <w:ilvl w:val="0"/>
          <w:numId w:val="122"/>
        </w:numPr>
        <w:rPr>
          <w:rFonts w:ascii="Arial" w:cs="Arial" w:eastAsia="Arial" w:hAnsi="Arial"/>
          <w:sz w:val="16"/>
          <w:szCs w:val="16"/>
          <w:color w:val="auto"/>
        </w:rPr>
      </w:pPr>
      <w:r>
        <w:rPr>
          <w:rFonts w:ascii="Arial" w:cs="Arial" w:eastAsia="Arial" w:hAnsi="Arial"/>
          <w:sz w:val="17"/>
          <w:szCs w:val="17"/>
          <w:color w:val="auto"/>
        </w:rPr>
        <w:t>technical and engineering information; and</w:t>
      </w:r>
    </w:p>
    <w:p>
      <w:pPr>
        <w:spacing w:after="0" w:line="141" w:lineRule="exact"/>
        <w:rPr>
          <w:rFonts w:ascii="Arial" w:cs="Arial" w:eastAsia="Arial" w:hAnsi="Arial"/>
          <w:sz w:val="16"/>
          <w:szCs w:val="16"/>
          <w:color w:val="auto"/>
        </w:rPr>
      </w:pPr>
    </w:p>
    <w:p>
      <w:pPr>
        <w:ind w:left="560" w:hanging="288"/>
        <w:spacing w:after="0"/>
        <w:tabs>
          <w:tab w:leader="none" w:pos="560" w:val="left"/>
        </w:tabs>
        <w:numPr>
          <w:ilvl w:val="0"/>
          <w:numId w:val="122"/>
        </w:numPr>
        <w:rPr>
          <w:rFonts w:ascii="Arial" w:cs="Arial" w:eastAsia="Arial" w:hAnsi="Arial"/>
          <w:sz w:val="16"/>
          <w:szCs w:val="16"/>
          <w:color w:val="auto"/>
        </w:rPr>
      </w:pPr>
      <w:r>
        <w:rPr>
          <w:rFonts w:ascii="Arial" w:cs="Arial" w:eastAsia="Arial" w:hAnsi="Arial"/>
          <w:sz w:val="17"/>
          <w:szCs w:val="17"/>
          <w:color w:val="auto"/>
        </w:rPr>
        <w:t>other information relating to the Company, its subsidiaries or its customers.</w:t>
      </w:r>
    </w:p>
    <w:p>
      <w:pPr>
        <w:spacing w:after="0" w:line="142"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If you are unsure about the confidential nature of specific information you must ask your supervisor or a member of the Company’s Legal Department for clarification. You must return to the Company all Company confidential information when your employment ends.</w:t>
      </w:r>
    </w:p>
    <w:p>
      <w:pPr>
        <w:spacing w:after="0" w:line="123" w:lineRule="exact"/>
        <w:rPr>
          <w:sz w:val="20"/>
          <w:szCs w:val="20"/>
          <w:color w:val="auto"/>
        </w:rPr>
      </w:pPr>
    </w:p>
    <w:p>
      <w:pPr>
        <w:ind w:right="160"/>
        <w:spacing w:after="0" w:line="246" w:lineRule="auto"/>
        <w:rPr>
          <w:sz w:val="20"/>
          <w:szCs w:val="20"/>
          <w:color w:val="auto"/>
        </w:rPr>
      </w:pPr>
      <w:r>
        <w:rPr>
          <w:rFonts w:ascii="Arial" w:cs="Arial" w:eastAsia="Arial" w:hAnsi="Arial"/>
          <w:sz w:val="17"/>
          <w:szCs w:val="17"/>
          <w:color w:val="auto"/>
        </w:rPr>
        <w:t>You should use reasonable care to protect the confidentiality of all Company confidential information, and should not disclose Company confidential information to unauthorized persons. This means that you should exercise care when discussing Company matters in the presence of third parties, and should contact the Company’s Legal Department before disclosing Company confidential information to a third party. Company confidential information should never be disclosed for personal profit or for the advantage of yourself or anyone else.</w:t>
      </w:r>
    </w:p>
    <w:p>
      <w:pPr>
        <w:spacing w:after="0" w:line="129" w:lineRule="exact"/>
        <w:rPr>
          <w:sz w:val="20"/>
          <w:szCs w:val="20"/>
          <w:color w:val="auto"/>
        </w:rPr>
      </w:pPr>
    </w:p>
    <w:p>
      <w:pPr>
        <w:ind w:right="280"/>
        <w:spacing w:after="0" w:line="244" w:lineRule="auto"/>
        <w:rPr>
          <w:sz w:val="20"/>
          <w:szCs w:val="20"/>
          <w:color w:val="auto"/>
        </w:rPr>
      </w:pPr>
      <w:r>
        <w:rPr>
          <w:rFonts w:ascii="Arial" w:cs="Arial" w:eastAsia="Arial" w:hAnsi="Arial"/>
          <w:sz w:val="17"/>
          <w:szCs w:val="17"/>
          <w:color w:val="auto"/>
        </w:rPr>
        <w:t>Also, you should not accept any confidential information from any third party without approval of his/her supervisor or a member of the Company’s Legal Department. If you have third party confidential information, you must take care to observe the terms of any agreement under which such confidential information has been received from the third party, and not to violate the rights of the third party. Particular care should be taken when dealing with competitors and former employees. You must never knowingly request, accept, use or disclose the confidential information of these parties unless you have consulted with your supervisor or a member of the Company’s Legal Department. In addition, you may not disclose, or induce any other employee to disclose, any former employer’s confidential information, or ask a third party to violate a non-compete or non-disclosure agreement.</w:t>
      </w:r>
    </w:p>
    <w:p>
      <w:pPr>
        <w:spacing w:after="0" w:line="133" w:lineRule="exact"/>
        <w:rPr>
          <w:sz w:val="20"/>
          <w:szCs w:val="20"/>
          <w:color w:val="auto"/>
        </w:rPr>
      </w:pPr>
    </w:p>
    <w:p>
      <w:pPr>
        <w:ind w:right="980"/>
        <w:spacing w:after="0" w:line="253" w:lineRule="auto"/>
        <w:rPr>
          <w:sz w:val="20"/>
          <w:szCs w:val="20"/>
          <w:color w:val="auto"/>
        </w:rPr>
      </w:pPr>
      <w:r>
        <w:rPr>
          <w:rFonts w:ascii="Arial" w:cs="Arial" w:eastAsia="Arial" w:hAnsi="Arial"/>
          <w:sz w:val="17"/>
          <w:szCs w:val="17"/>
          <w:color w:val="auto"/>
        </w:rPr>
        <w:t>You will be subject to appropriate disciplinary action, up to and including dismissal, for knowingly or unknowingly (such as through casual conversation) revealing confidential information of the Company or of a third party.</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Conflicts of Interest</w:t>
      </w:r>
    </w:p>
    <w:p>
      <w:pPr>
        <w:spacing w:after="0" w:line="162" w:lineRule="exact"/>
        <w:rPr>
          <w:sz w:val="20"/>
          <w:szCs w:val="20"/>
          <w:color w:val="auto"/>
        </w:rPr>
      </w:pPr>
    </w:p>
    <w:p>
      <w:pPr>
        <w:jc w:val="both"/>
        <w:ind w:right="380"/>
        <w:spacing w:after="0" w:line="248" w:lineRule="auto"/>
        <w:rPr>
          <w:sz w:val="20"/>
          <w:szCs w:val="20"/>
          <w:color w:val="auto"/>
        </w:rPr>
      </w:pPr>
      <w:r>
        <w:rPr>
          <w:rFonts w:ascii="Arial" w:cs="Arial" w:eastAsia="Arial" w:hAnsi="Arial"/>
          <w:sz w:val="17"/>
          <w:szCs w:val="17"/>
          <w:color w:val="auto"/>
        </w:rPr>
        <w:t>You must avoid any situation that involves or may involve a conflict between your personal interest and the interest of the Company. A conflict of interest occurs when personal interests interfere with your ability to (i) exercise good judgment concerning the Company’s best interests or (ii) do your job at the Company in a way that is in the</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322520-1</w:t>
      </w:r>
    </w:p>
    <w:p>
      <w:pPr>
        <w:sectPr>
          <w:pgSz w:w="11900" w:h="16838" w:orient="portrait"/>
          <w:cols w:equalWidth="0" w:num="1">
            <w:col w:w="11260"/>
          </w:cols>
          <w:pgMar w:left="320" w:top="392" w:right="319" w:bottom="1440" w:gutter="0" w:footer="0" w:header="0"/>
        </w:sectPr>
      </w:pPr>
    </w:p>
    <w:bookmarkStart w:id="128" w:name="page129"/>
    <w:bookmarkEnd w:id="128"/>
    <w:p>
      <w:pPr>
        <w:ind w:right="60"/>
        <w:spacing w:after="0" w:line="246" w:lineRule="auto"/>
        <w:rPr>
          <w:sz w:val="20"/>
          <w:szCs w:val="20"/>
          <w:color w:val="auto"/>
        </w:rPr>
      </w:pPr>
      <w:r>
        <w:rPr>
          <w:rFonts w:ascii="Arial" w:cs="Arial" w:eastAsia="Arial" w:hAnsi="Arial"/>
          <w:sz w:val="17"/>
          <w:szCs w:val="17"/>
          <w:color w:val="auto"/>
        </w:rPr>
        <w:t>best interest of the Company. You may not use Company property, information or position for personal gain, including by taking for yourself personal opportunities that are discovered through the use of Company property, information or position. You must make prompt and full disclosure in writing to senior management of any potential conflict of interest situation and receive written approval from senior management regarding the situation. You should avoid even the appearance of such a conflict.</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Examples of conflict situations include:</w:t>
      </w:r>
    </w:p>
    <w:p>
      <w:pPr>
        <w:spacing w:after="0" w:line="142" w:lineRule="exact"/>
        <w:rPr>
          <w:sz w:val="20"/>
          <w:szCs w:val="20"/>
          <w:color w:val="auto"/>
        </w:rPr>
      </w:pPr>
    </w:p>
    <w:p>
      <w:pPr>
        <w:ind w:left="560" w:right="20" w:hanging="288"/>
        <w:spacing w:after="0" w:line="253" w:lineRule="auto"/>
        <w:tabs>
          <w:tab w:leader="none" w:pos="560" w:val="left"/>
        </w:tabs>
        <w:numPr>
          <w:ilvl w:val="0"/>
          <w:numId w:val="123"/>
        </w:numPr>
        <w:rPr>
          <w:rFonts w:ascii="Arial" w:cs="Arial" w:eastAsia="Arial" w:hAnsi="Arial"/>
          <w:sz w:val="16"/>
          <w:szCs w:val="16"/>
          <w:color w:val="auto"/>
        </w:rPr>
      </w:pPr>
      <w:r>
        <w:rPr>
          <w:rFonts w:ascii="Arial" w:cs="Arial" w:eastAsia="Arial" w:hAnsi="Arial"/>
          <w:sz w:val="17"/>
          <w:szCs w:val="17"/>
          <w:color w:val="auto"/>
        </w:rPr>
        <w:t>Ownership, directly or indirectly (including through family members), of more than a modest financial interest in any outside entity that does or seeks to do business with the Company or a competitor of the Company.</w:t>
      </w:r>
    </w:p>
    <w:p>
      <w:pPr>
        <w:spacing w:after="0" w:line="123" w:lineRule="exact"/>
        <w:rPr>
          <w:rFonts w:ascii="Arial" w:cs="Arial" w:eastAsia="Arial" w:hAnsi="Arial"/>
          <w:sz w:val="16"/>
          <w:szCs w:val="16"/>
          <w:color w:val="auto"/>
        </w:rPr>
      </w:pPr>
    </w:p>
    <w:p>
      <w:pPr>
        <w:ind w:left="560" w:hanging="288"/>
        <w:spacing w:after="0" w:line="253" w:lineRule="auto"/>
        <w:tabs>
          <w:tab w:leader="none" w:pos="560" w:val="left"/>
        </w:tabs>
        <w:numPr>
          <w:ilvl w:val="0"/>
          <w:numId w:val="123"/>
        </w:numPr>
        <w:rPr>
          <w:rFonts w:ascii="Arial" w:cs="Arial" w:eastAsia="Arial" w:hAnsi="Arial"/>
          <w:sz w:val="16"/>
          <w:szCs w:val="16"/>
          <w:color w:val="auto"/>
        </w:rPr>
      </w:pPr>
      <w:r>
        <w:rPr>
          <w:rFonts w:ascii="Arial" w:cs="Arial" w:eastAsia="Arial" w:hAnsi="Arial"/>
          <w:sz w:val="17"/>
          <w:szCs w:val="17"/>
          <w:color w:val="auto"/>
        </w:rPr>
        <w:t>Serving as a director, officer, partner, consultant, or in a managerial or technical capacity with an outside entity that does or is seeking to do business with the Company or a competitor of the Company.</w:t>
      </w:r>
    </w:p>
    <w:p>
      <w:pPr>
        <w:spacing w:after="0" w:line="123" w:lineRule="exact"/>
        <w:rPr>
          <w:rFonts w:ascii="Arial" w:cs="Arial" w:eastAsia="Arial" w:hAnsi="Arial"/>
          <w:sz w:val="16"/>
          <w:szCs w:val="16"/>
          <w:color w:val="auto"/>
        </w:rPr>
      </w:pPr>
    </w:p>
    <w:p>
      <w:pPr>
        <w:ind w:left="560" w:hanging="288"/>
        <w:spacing w:after="0" w:line="253" w:lineRule="auto"/>
        <w:tabs>
          <w:tab w:leader="none" w:pos="560" w:val="left"/>
        </w:tabs>
        <w:numPr>
          <w:ilvl w:val="0"/>
          <w:numId w:val="123"/>
        </w:numPr>
        <w:rPr>
          <w:rFonts w:ascii="Arial" w:cs="Arial" w:eastAsia="Arial" w:hAnsi="Arial"/>
          <w:sz w:val="16"/>
          <w:szCs w:val="16"/>
          <w:color w:val="auto"/>
        </w:rPr>
      </w:pPr>
      <w:r>
        <w:rPr>
          <w:rFonts w:ascii="Arial" w:cs="Arial" w:eastAsia="Arial" w:hAnsi="Arial"/>
          <w:sz w:val="17"/>
          <w:szCs w:val="17"/>
          <w:color w:val="auto"/>
        </w:rPr>
        <w:t>Acting as a broker, finder, go-between or otherwise for the benefit of a third party in transactions involving or potentially involving the Company or its interests.</w:t>
      </w:r>
    </w:p>
    <w:p>
      <w:pPr>
        <w:spacing w:after="0" w:line="123" w:lineRule="exact"/>
        <w:rPr>
          <w:rFonts w:ascii="Arial" w:cs="Arial" w:eastAsia="Arial" w:hAnsi="Arial"/>
          <w:sz w:val="16"/>
          <w:szCs w:val="16"/>
          <w:color w:val="auto"/>
        </w:rPr>
      </w:pPr>
    </w:p>
    <w:p>
      <w:pPr>
        <w:ind w:left="560" w:hanging="288"/>
        <w:spacing w:after="0"/>
        <w:tabs>
          <w:tab w:leader="none" w:pos="560" w:val="left"/>
        </w:tabs>
        <w:numPr>
          <w:ilvl w:val="0"/>
          <w:numId w:val="123"/>
        </w:numPr>
        <w:rPr>
          <w:rFonts w:ascii="Arial" w:cs="Arial" w:eastAsia="Arial" w:hAnsi="Arial"/>
          <w:sz w:val="16"/>
          <w:szCs w:val="16"/>
          <w:color w:val="auto"/>
        </w:rPr>
      </w:pPr>
      <w:r>
        <w:rPr>
          <w:rFonts w:ascii="Arial" w:cs="Arial" w:eastAsia="Arial" w:hAnsi="Arial"/>
          <w:sz w:val="17"/>
          <w:szCs w:val="17"/>
          <w:color w:val="auto"/>
        </w:rPr>
        <w:t>Buying or selling assets to/from the Company.</w:t>
      </w:r>
    </w:p>
    <w:p>
      <w:pPr>
        <w:spacing w:after="0" w:line="141" w:lineRule="exact"/>
        <w:rPr>
          <w:rFonts w:ascii="Arial" w:cs="Arial" w:eastAsia="Arial" w:hAnsi="Arial"/>
          <w:sz w:val="16"/>
          <w:szCs w:val="16"/>
          <w:color w:val="auto"/>
        </w:rPr>
      </w:pPr>
    </w:p>
    <w:p>
      <w:pPr>
        <w:ind w:left="560" w:hanging="288"/>
        <w:spacing w:after="0"/>
        <w:tabs>
          <w:tab w:leader="none" w:pos="560" w:val="left"/>
        </w:tabs>
        <w:numPr>
          <w:ilvl w:val="0"/>
          <w:numId w:val="123"/>
        </w:numPr>
        <w:rPr>
          <w:rFonts w:ascii="Arial" w:cs="Arial" w:eastAsia="Arial" w:hAnsi="Arial"/>
          <w:sz w:val="16"/>
          <w:szCs w:val="16"/>
          <w:color w:val="auto"/>
        </w:rPr>
      </w:pPr>
      <w:r>
        <w:rPr>
          <w:rFonts w:ascii="Arial" w:cs="Arial" w:eastAsia="Arial" w:hAnsi="Arial"/>
          <w:sz w:val="17"/>
          <w:szCs w:val="17"/>
          <w:color w:val="auto"/>
        </w:rPr>
        <w:t>Using Company-owned assets for other than Company-related business.</w:t>
      </w:r>
    </w:p>
    <w:p>
      <w:pPr>
        <w:spacing w:after="0" w:line="141" w:lineRule="exact"/>
        <w:rPr>
          <w:rFonts w:ascii="Arial" w:cs="Arial" w:eastAsia="Arial" w:hAnsi="Arial"/>
          <w:sz w:val="16"/>
          <w:szCs w:val="16"/>
          <w:color w:val="auto"/>
        </w:rPr>
      </w:pPr>
    </w:p>
    <w:p>
      <w:pPr>
        <w:ind w:left="560" w:hanging="288"/>
        <w:spacing w:after="0"/>
        <w:tabs>
          <w:tab w:leader="none" w:pos="560" w:val="left"/>
        </w:tabs>
        <w:numPr>
          <w:ilvl w:val="0"/>
          <w:numId w:val="123"/>
        </w:numPr>
        <w:rPr>
          <w:rFonts w:ascii="Arial" w:cs="Arial" w:eastAsia="Arial" w:hAnsi="Arial"/>
          <w:sz w:val="16"/>
          <w:szCs w:val="16"/>
          <w:color w:val="auto"/>
        </w:rPr>
      </w:pPr>
      <w:r>
        <w:rPr>
          <w:rFonts w:ascii="Arial" w:cs="Arial" w:eastAsia="Arial" w:hAnsi="Arial"/>
          <w:sz w:val="17"/>
          <w:szCs w:val="17"/>
          <w:color w:val="auto"/>
        </w:rPr>
        <w:t>Business relationships between the Company and any person who is a relative or personal friend or an entity controlled by any such person.</w:t>
      </w:r>
    </w:p>
    <w:p>
      <w:pPr>
        <w:spacing w:after="0" w:line="141" w:lineRule="exact"/>
        <w:rPr>
          <w:rFonts w:ascii="Arial" w:cs="Arial" w:eastAsia="Arial" w:hAnsi="Arial"/>
          <w:sz w:val="16"/>
          <w:szCs w:val="16"/>
          <w:color w:val="auto"/>
        </w:rPr>
      </w:pPr>
    </w:p>
    <w:p>
      <w:pPr>
        <w:ind w:left="560" w:hanging="288"/>
        <w:spacing w:after="0"/>
        <w:tabs>
          <w:tab w:leader="none" w:pos="560" w:val="left"/>
        </w:tabs>
        <w:numPr>
          <w:ilvl w:val="0"/>
          <w:numId w:val="123"/>
        </w:numPr>
        <w:rPr>
          <w:rFonts w:ascii="Arial" w:cs="Arial" w:eastAsia="Arial" w:hAnsi="Arial"/>
          <w:sz w:val="16"/>
          <w:szCs w:val="16"/>
          <w:color w:val="auto"/>
        </w:rPr>
      </w:pPr>
      <w:r>
        <w:rPr>
          <w:rFonts w:ascii="Arial" w:cs="Arial" w:eastAsia="Arial" w:hAnsi="Arial"/>
          <w:sz w:val="17"/>
          <w:szCs w:val="17"/>
          <w:color w:val="auto"/>
        </w:rPr>
        <w:t>Compete or prepare to compete with the Company while still employed by the Company.</w:t>
      </w:r>
    </w:p>
    <w:p>
      <w:pPr>
        <w:spacing w:after="0" w:line="142" w:lineRule="exact"/>
        <w:rPr>
          <w:sz w:val="20"/>
          <w:szCs w:val="20"/>
          <w:color w:val="auto"/>
        </w:rPr>
      </w:pPr>
    </w:p>
    <w:p>
      <w:pPr>
        <w:ind w:right="100"/>
        <w:spacing w:after="0" w:line="246" w:lineRule="auto"/>
        <w:rPr>
          <w:sz w:val="20"/>
          <w:szCs w:val="20"/>
          <w:color w:val="auto"/>
        </w:rPr>
      </w:pPr>
      <w:r>
        <w:rPr>
          <w:rFonts w:ascii="Arial" w:cs="Arial" w:eastAsia="Arial" w:hAnsi="Arial"/>
          <w:sz w:val="17"/>
          <w:szCs w:val="17"/>
          <w:color w:val="auto"/>
        </w:rPr>
        <w:t>There are other situations in which a conflict of interest may arise. If you have any questions regarding whether a type of action may create a conflict of interest situation, you should consult a member of the Company’s Legal Department. Also, if you become aware of any material transaction or relationship that could reasonably be expected to give rise to such a conflict of interest, or if you have concerns about any situation, follow the steps outlined in the section “Reporting Ethical Violations.”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Fraudulent Activities</w:t>
      </w:r>
    </w:p>
    <w:p>
      <w:pPr>
        <w:spacing w:after="0" w:line="162" w:lineRule="exact"/>
        <w:rPr>
          <w:sz w:val="20"/>
          <w:szCs w:val="20"/>
          <w:color w:val="auto"/>
        </w:rPr>
      </w:pPr>
    </w:p>
    <w:p>
      <w:pPr>
        <w:ind w:right="140"/>
        <w:spacing w:after="0" w:line="245" w:lineRule="auto"/>
        <w:rPr>
          <w:sz w:val="20"/>
          <w:szCs w:val="20"/>
          <w:color w:val="auto"/>
        </w:rPr>
      </w:pPr>
      <w:r>
        <w:rPr>
          <w:rFonts w:ascii="Arial" w:cs="Arial" w:eastAsia="Arial" w:hAnsi="Arial"/>
          <w:sz w:val="17"/>
          <w:szCs w:val="17"/>
          <w:color w:val="auto"/>
        </w:rPr>
        <w:t>Fraudulent Activities encompass an array of irregularities and illegal acts characterized by intentional deception. Fraud can be perpetrated by persons outside as well as inside the Company. No one has the authority to commit illegal acts related to the Company. Fraudulent activities include acts that are not only a detriment to the Company, but also a detriment to third parties. Engaging in any act that involves fraud, theft, embezzlement or misappropriation of any property, including that of the Company, or any of its employees, suppliers or customers is strictly prohibited. It is the Company’s policy to ensure that incidents of fraud related to the Company are promptly investigated, reported and, where appropriate, prosecuted. Some examples of fraudulent conduct are:</w:t>
      </w:r>
    </w:p>
    <w:p>
      <w:pPr>
        <w:spacing w:after="0" w:line="129" w:lineRule="exact"/>
        <w:rPr>
          <w:sz w:val="20"/>
          <w:szCs w:val="20"/>
          <w:color w:val="auto"/>
        </w:rPr>
      </w:pPr>
    </w:p>
    <w:p>
      <w:pPr>
        <w:ind w:left="560" w:hanging="288"/>
        <w:spacing w:after="0"/>
        <w:tabs>
          <w:tab w:leader="none" w:pos="560" w:val="left"/>
        </w:tabs>
        <w:numPr>
          <w:ilvl w:val="0"/>
          <w:numId w:val="124"/>
        </w:numPr>
        <w:rPr>
          <w:rFonts w:ascii="Arial" w:cs="Arial" w:eastAsia="Arial" w:hAnsi="Arial"/>
          <w:sz w:val="16"/>
          <w:szCs w:val="16"/>
          <w:color w:val="auto"/>
        </w:rPr>
      </w:pPr>
      <w:r>
        <w:rPr>
          <w:rFonts w:ascii="Arial" w:cs="Arial" w:eastAsia="Arial" w:hAnsi="Arial"/>
          <w:sz w:val="17"/>
          <w:szCs w:val="17"/>
          <w:color w:val="auto"/>
        </w:rPr>
        <w:t>Falsification of financial records such as valuation of transactions, amount of income/loss, or failure to disclose financial information;</w:t>
      </w:r>
    </w:p>
    <w:p>
      <w:pPr>
        <w:spacing w:after="0" w:line="141" w:lineRule="exact"/>
        <w:rPr>
          <w:rFonts w:ascii="Arial" w:cs="Arial" w:eastAsia="Arial" w:hAnsi="Arial"/>
          <w:sz w:val="16"/>
          <w:szCs w:val="16"/>
          <w:color w:val="auto"/>
        </w:rPr>
      </w:pPr>
    </w:p>
    <w:p>
      <w:pPr>
        <w:ind w:left="560" w:hanging="288"/>
        <w:spacing w:after="0"/>
        <w:tabs>
          <w:tab w:leader="none" w:pos="560" w:val="left"/>
        </w:tabs>
        <w:numPr>
          <w:ilvl w:val="0"/>
          <w:numId w:val="124"/>
        </w:numPr>
        <w:rPr>
          <w:rFonts w:ascii="Arial" w:cs="Arial" w:eastAsia="Arial" w:hAnsi="Arial"/>
          <w:sz w:val="16"/>
          <w:szCs w:val="16"/>
          <w:color w:val="auto"/>
        </w:rPr>
      </w:pPr>
      <w:r>
        <w:rPr>
          <w:rFonts w:ascii="Arial" w:cs="Arial" w:eastAsia="Arial" w:hAnsi="Arial"/>
          <w:sz w:val="17"/>
          <w:szCs w:val="17"/>
          <w:color w:val="auto"/>
        </w:rPr>
        <w:t>Acceptance of bribes or kickbacks, see the Section “Gifts, Entertainment and Bribes”;</w:t>
      </w:r>
    </w:p>
    <w:p>
      <w:pPr>
        <w:spacing w:after="0" w:line="141" w:lineRule="exact"/>
        <w:rPr>
          <w:rFonts w:ascii="Arial" w:cs="Arial" w:eastAsia="Arial" w:hAnsi="Arial"/>
          <w:sz w:val="16"/>
          <w:szCs w:val="16"/>
          <w:color w:val="auto"/>
        </w:rPr>
      </w:pPr>
    </w:p>
    <w:p>
      <w:pPr>
        <w:ind w:left="560" w:hanging="288"/>
        <w:spacing w:after="0"/>
        <w:tabs>
          <w:tab w:leader="none" w:pos="560" w:val="left"/>
        </w:tabs>
        <w:numPr>
          <w:ilvl w:val="0"/>
          <w:numId w:val="124"/>
        </w:numPr>
        <w:rPr>
          <w:rFonts w:ascii="Arial" w:cs="Arial" w:eastAsia="Arial" w:hAnsi="Arial"/>
          <w:sz w:val="16"/>
          <w:szCs w:val="16"/>
          <w:color w:val="auto"/>
        </w:rPr>
      </w:pPr>
      <w:r>
        <w:rPr>
          <w:rFonts w:ascii="Arial" w:cs="Arial" w:eastAsia="Arial" w:hAnsi="Arial"/>
          <w:sz w:val="17"/>
          <w:szCs w:val="17"/>
          <w:color w:val="auto"/>
        </w:rPr>
        <w:t>Diversion of potentially profitable transactions outside the Company;</w:t>
      </w:r>
    </w:p>
    <w:p>
      <w:pPr>
        <w:spacing w:after="0" w:line="141" w:lineRule="exact"/>
        <w:rPr>
          <w:rFonts w:ascii="Arial" w:cs="Arial" w:eastAsia="Arial" w:hAnsi="Arial"/>
          <w:sz w:val="16"/>
          <w:szCs w:val="16"/>
          <w:color w:val="auto"/>
        </w:rPr>
      </w:pPr>
    </w:p>
    <w:p>
      <w:pPr>
        <w:ind w:left="560" w:hanging="288"/>
        <w:spacing w:after="0"/>
        <w:tabs>
          <w:tab w:leader="none" w:pos="560" w:val="left"/>
        </w:tabs>
        <w:numPr>
          <w:ilvl w:val="0"/>
          <w:numId w:val="124"/>
        </w:numPr>
        <w:rPr>
          <w:rFonts w:ascii="Arial" w:cs="Arial" w:eastAsia="Arial" w:hAnsi="Arial"/>
          <w:sz w:val="16"/>
          <w:szCs w:val="16"/>
          <w:color w:val="auto"/>
        </w:rPr>
      </w:pPr>
      <w:r>
        <w:rPr>
          <w:rFonts w:ascii="Arial" w:cs="Arial" w:eastAsia="Arial" w:hAnsi="Arial"/>
          <w:sz w:val="17"/>
          <w:szCs w:val="17"/>
          <w:color w:val="auto"/>
        </w:rPr>
        <w:t>Claims submitted for services or goods not actually provided to the Company or a third party;</w:t>
      </w:r>
    </w:p>
    <w:p>
      <w:pPr>
        <w:spacing w:after="0" w:line="141" w:lineRule="exact"/>
        <w:rPr>
          <w:rFonts w:ascii="Arial" w:cs="Arial" w:eastAsia="Arial" w:hAnsi="Arial"/>
          <w:sz w:val="16"/>
          <w:szCs w:val="16"/>
          <w:color w:val="auto"/>
        </w:rPr>
      </w:pPr>
    </w:p>
    <w:p>
      <w:pPr>
        <w:ind w:left="560" w:hanging="288"/>
        <w:spacing w:after="0"/>
        <w:tabs>
          <w:tab w:leader="none" w:pos="560" w:val="left"/>
        </w:tabs>
        <w:numPr>
          <w:ilvl w:val="0"/>
          <w:numId w:val="124"/>
        </w:numPr>
        <w:rPr>
          <w:rFonts w:ascii="Arial" w:cs="Arial" w:eastAsia="Arial" w:hAnsi="Arial"/>
          <w:sz w:val="16"/>
          <w:szCs w:val="16"/>
          <w:color w:val="auto"/>
        </w:rPr>
      </w:pPr>
      <w:r>
        <w:rPr>
          <w:rFonts w:ascii="Arial" w:cs="Arial" w:eastAsia="Arial" w:hAnsi="Arial"/>
          <w:sz w:val="17"/>
          <w:szCs w:val="17"/>
          <w:color w:val="auto"/>
        </w:rPr>
        <w:t>Embezzlement; and</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322520-1</w:t>
      </w:r>
    </w:p>
    <w:p>
      <w:pPr>
        <w:sectPr>
          <w:pgSz w:w="11900" w:h="16838" w:orient="portrait"/>
          <w:cols w:equalWidth="0" w:num="1">
            <w:col w:w="11260"/>
          </w:cols>
          <w:pgMar w:left="320" w:top="392" w:right="319" w:bottom="1440" w:gutter="0" w:footer="0" w:header="0"/>
        </w:sectPr>
      </w:pPr>
    </w:p>
    <w:bookmarkStart w:id="129" w:name="page130"/>
    <w:bookmarkEnd w:id="129"/>
    <w:p>
      <w:pPr>
        <w:ind w:left="560" w:hanging="288"/>
        <w:spacing w:after="0"/>
        <w:tabs>
          <w:tab w:leader="none" w:pos="560" w:val="left"/>
        </w:tabs>
        <w:numPr>
          <w:ilvl w:val="0"/>
          <w:numId w:val="125"/>
        </w:numPr>
        <w:rPr>
          <w:rFonts w:ascii="Arial" w:cs="Arial" w:eastAsia="Arial" w:hAnsi="Arial"/>
          <w:sz w:val="16"/>
          <w:szCs w:val="16"/>
          <w:color w:val="auto"/>
        </w:rPr>
      </w:pPr>
      <w:r>
        <w:rPr>
          <w:rFonts w:ascii="Arial" w:cs="Arial" w:eastAsia="Arial" w:hAnsi="Arial"/>
          <w:sz w:val="17"/>
          <w:szCs w:val="17"/>
          <w:color w:val="auto"/>
        </w:rPr>
        <w:t>Intentional concealment or misrepresentation of events or information, including expense reimbursement.</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Work Conduct</w:t>
      </w:r>
    </w:p>
    <w:p>
      <w:pPr>
        <w:spacing w:after="0" w:line="162" w:lineRule="exact"/>
        <w:rPr>
          <w:sz w:val="20"/>
          <w:szCs w:val="20"/>
          <w:color w:val="auto"/>
        </w:rPr>
      </w:pPr>
    </w:p>
    <w:p>
      <w:pPr>
        <w:ind w:right="300"/>
        <w:spacing w:after="0" w:line="248" w:lineRule="auto"/>
        <w:rPr>
          <w:sz w:val="20"/>
          <w:szCs w:val="20"/>
          <w:color w:val="auto"/>
        </w:rPr>
      </w:pPr>
      <w:r>
        <w:rPr>
          <w:rFonts w:ascii="Arial" w:cs="Arial" w:eastAsia="Arial" w:hAnsi="Arial"/>
          <w:sz w:val="17"/>
          <w:szCs w:val="17"/>
          <w:color w:val="auto"/>
        </w:rPr>
        <w:t>Conduct that interferes with operations of the Company, discredits the Company, or is offensive to third parties or co-workers will not be tolerated. You are expected to observe the highest standard of conduct in your relationships with other employees, shareholders, suppliers, government officials and the general public in order to represent the best interests of the Company. Appropriate employee conduct includes:</w:t>
      </w:r>
    </w:p>
    <w:p>
      <w:pPr>
        <w:spacing w:after="0" w:line="127" w:lineRule="exact"/>
        <w:rPr>
          <w:sz w:val="20"/>
          <w:szCs w:val="20"/>
          <w:color w:val="auto"/>
        </w:rPr>
      </w:pPr>
    </w:p>
    <w:p>
      <w:pPr>
        <w:ind w:left="560" w:hanging="288"/>
        <w:spacing w:after="0"/>
        <w:tabs>
          <w:tab w:leader="none" w:pos="560" w:val="left"/>
        </w:tabs>
        <w:numPr>
          <w:ilvl w:val="0"/>
          <w:numId w:val="126"/>
        </w:numPr>
        <w:rPr>
          <w:rFonts w:ascii="Arial" w:cs="Arial" w:eastAsia="Arial" w:hAnsi="Arial"/>
          <w:sz w:val="16"/>
          <w:szCs w:val="16"/>
          <w:color w:val="auto"/>
        </w:rPr>
      </w:pPr>
      <w:r>
        <w:rPr>
          <w:rFonts w:ascii="Arial" w:cs="Arial" w:eastAsia="Arial" w:hAnsi="Arial"/>
          <w:sz w:val="17"/>
          <w:szCs w:val="17"/>
          <w:color w:val="auto"/>
        </w:rPr>
        <w:t>Refraining from behaviour or conduct which is contrary to the Company’s best interests;</w:t>
      </w:r>
    </w:p>
    <w:p>
      <w:pPr>
        <w:spacing w:after="0" w:line="141" w:lineRule="exact"/>
        <w:rPr>
          <w:rFonts w:ascii="Arial" w:cs="Arial" w:eastAsia="Arial" w:hAnsi="Arial"/>
          <w:sz w:val="16"/>
          <w:szCs w:val="16"/>
          <w:color w:val="auto"/>
        </w:rPr>
      </w:pPr>
    </w:p>
    <w:p>
      <w:pPr>
        <w:ind w:left="560" w:hanging="288"/>
        <w:spacing w:after="0"/>
        <w:tabs>
          <w:tab w:leader="none" w:pos="560" w:val="left"/>
        </w:tabs>
        <w:numPr>
          <w:ilvl w:val="0"/>
          <w:numId w:val="126"/>
        </w:numPr>
        <w:rPr>
          <w:rFonts w:ascii="Arial" w:cs="Arial" w:eastAsia="Arial" w:hAnsi="Arial"/>
          <w:sz w:val="16"/>
          <w:szCs w:val="16"/>
          <w:color w:val="auto"/>
        </w:rPr>
      </w:pPr>
      <w:r>
        <w:rPr>
          <w:rFonts w:ascii="Arial" w:cs="Arial" w:eastAsia="Arial" w:hAnsi="Arial"/>
          <w:sz w:val="17"/>
          <w:szCs w:val="17"/>
          <w:color w:val="auto"/>
        </w:rPr>
        <w:t>Reporting to management suspicious, unethical, or illegal conduct by co-workers or suppliers; and</w:t>
      </w:r>
    </w:p>
    <w:p>
      <w:pPr>
        <w:spacing w:after="0" w:line="141" w:lineRule="exact"/>
        <w:rPr>
          <w:rFonts w:ascii="Arial" w:cs="Arial" w:eastAsia="Arial" w:hAnsi="Arial"/>
          <w:sz w:val="16"/>
          <w:szCs w:val="16"/>
          <w:color w:val="auto"/>
        </w:rPr>
      </w:pPr>
    </w:p>
    <w:p>
      <w:pPr>
        <w:ind w:left="560" w:hanging="288"/>
        <w:spacing w:after="0"/>
        <w:tabs>
          <w:tab w:leader="none" w:pos="560" w:val="left"/>
        </w:tabs>
        <w:numPr>
          <w:ilvl w:val="0"/>
          <w:numId w:val="126"/>
        </w:numPr>
        <w:rPr>
          <w:rFonts w:ascii="Arial" w:cs="Arial" w:eastAsia="Arial" w:hAnsi="Arial"/>
          <w:sz w:val="16"/>
          <w:szCs w:val="16"/>
          <w:color w:val="auto"/>
        </w:rPr>
      </w:pPr>
      <w:r>
        <w:rPr>
          <w:rFonts w:ascii="Arial" w:cs="Arial" w:eastAsia="Arial" w:hAnsi="Arial"/>
          <w:sz w:val="17"/>
          <w:szCs w:val="17"/>
          <w:color w:val="auto"/>
        </w:rPr>
        <w:t>Reporting to management any threatening or potentially violent behaviour by co-workers.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conduct is prohibited and individuals engaged in it will be subject to discipline, up to and including possible termination:</w:t>
      </w:r>
    </w:p>
    <w:p>
      <w:pPr>
        <w:spacing w:after="0" w:line="142" w:lineRule="exact"/>
        <w:rPr>
          <w:sz w:val="20"/>
          <w:szCs w:val="20"/>
          <w:color w:val="auto"/>
        </w:rPr>
      </w:pPr>
    </w:p>
    <w:p>
      <w:pPr>
        <w:ind w:left="560" w:hanging="288"/>
        <w:spacing w:after="0" w:line="253" w:lineRule="auto"/>
        <w:tabs>
          <w:tab w:leader="none" w:pos="560" w:val="left"/>
        </w:tabs>
        <w:numPr>
          <w:ilvl w:val="0"/>
          <w:numId w:val="127"/>
        </w:numPr>
        <w:rPr>
          <w:rFonts w:ascii="Arial" w:cs="Arial" w:eastAsia="Arial" w:hAnsi="Arial"/>
          <w:sz w:val="16"/>
          <w:szCs w:val="16"/>
          <w:color w:val="auto"/>
        </w:rPr>
      </w:pPr>
      <w:r>
        <w:rPr>
          <w:rFonts w:ascii="Arial" w:cs="Arial" w:eastAsia="Arial" w:hAnsi="Arial"/>
          <w:sz w:val="17"/>
          <w:szCs w:val="17"/>
          <w:color w:val="auto"/>
        </w:rPr>
        <w:t>Engaging in or threatening any acts in violation of any workplace violence policy adopted by the Company or any harassment policy adopted by the Company.</w:t>
      </w:r>
    </w:p>
    <w:p>
      <w:pPr>
        <w:spacing w:after="0" w:line="123" w:lineRule="exact"/>
        <w:rPr>
          <w:rFonts w:ascii="Arial" w:cs="Arial" w:eastAsia="Arial" w:hAnsi="Arial"/>
          <w:sz w:val="16"/>
          <w:szCs w:val="16"/>
          <w:color w:val="auto"/>
        </w:rPr>
      </w:pPr>
    </w:p>
    <w:p>
      <w:pPr>
        <w:ind w:left="560" w:hanging="288"/>
        <w:spacing w:after="0"/>
        <w:tabs>
          <w:tab w:leader="none" w:pos="560" w:val="left"/>
        </w:tabs>
        <w:numPr>
          <w:ilvl w:val="0"/>
          <w:numId w:val="127"/>
        </w:numPr>
        <w:rPr>
          <w:rFonts w:ascii="Arial" w:cs="Arial" w:eastAsia="Arial" w:hAnsi="Arial"/>
          <w:sz w:val="16"/>
          <w:szCs w:val="16"/>
          <w:color w:val="auto"/>
        </w:rPr>
      </w:pPr>
      <w:r>
        <w:rPr>
          <w:rFonts w:ascii="Arial" w:cs="Arial" w:eastAsia="Arial" w:hAnsi="Arial"/>
          <w:sz w:val="17"/>
          <w:szCs w:val="17"/>
          <w:color w:val="auto"/>
        </w:rPr>
        <w:t>Committing any illegal act, except minor traffic offences.</w:t>
      </w:r>
    </w:p>
    <w:p>
      <w:pPr>
        <w:spacing w:after="0" w:line="141" w:lineRule="exact"/>
        <w:rPr>
          <w:rFonts w:ascii="Arial" w:cs="Arial" w:eastAsia="Arial" w:hAnsi="Arial"/>
          <w:sz w:val="16"/>
          <w:szCs w:val="16"/>
          <w:color w:val="auto"/>
        </w:rPr>
      </w:pPr>
    </w:p>
    <w:p>
      <w:pPr>
        <w:jc w:val="both"/>
        <w:ind w:left="560" w:hanging="288"/>
        <w:spacing w:after="0" w:line="248" w:lineRule="auto"/>
        <w:tabs>
          <w:tab w:leader="none" w:pos="560" w:val="left"/>
        </w:tabs>
        <w:numPr>
          <w:ilvl w:val="0"/>
          <w:numId w:val="127"/>
        </w:numPr>
        <w:rPr>
          <w:rFonts w:ascii="Arial" w:cs="Arial" w:eastAsia="Arial" w:hAnsi="Arial"/>
          <w:sz w:val="16"/>
          <w:szCs w:val="16"/>
          <w:color w:val="auto"/>
        </w:rPr>
      </w:pPr>
      <w:r>
        <w:rPr>
          <w:rFonts w:ascii="Arial" w:cs="Arial" w:eastAsia="Arial" w:hAnsi="Arial"/>
          <w:sz w:val="17"/>
          <w:szCs w:val="17"/>
          <w:color w:val="auto"/>
        </w:rPr>
        <w:t>Being under the influence of alcohol, an intoxicant, illegal drug or narcotic while at work; having possession of, selling, giving or circulating alcohol, drugs or sources of drugs, intoxicants or narcotics to other employees. Moderate alcohol consumption at events provided by the Company is, however, permissible.</w:t>
      </w:r>
    </w:p>
    <w:p>
      <w:pPr>
        <w:spacing w:after="0" w:line="126" w:lineRule="exact"/>
        <w:rPr>
          <w:rFonts w:ascii="Arial" w:cs="Arial" w:eastAsia="Arial" w:hAnsi="Arial"/>
          <w:sz w:val="16"/>
          <w:szCs w:val="16"/>
          <w:color w:val="auto"/>
        </w:rPr>
      </w:pPr>
    </w:p>
    <w:p>
      <w:pPr>
        <w:ind w:left="560" w:hanging="288"/>
        <w:spacing w:after="0"/>
        <w:tabs>
          <w:tab w:leader="none" w:pos="560" w:val="left"/>
        </w:tabs>
        <w:numPr>
          <w:ilvl w:val="0"/>
          <w:numId w:val="127"/>
        </w:numPr>
        <w:rPr>
          <w:rFonts w:ascii="Arial" w:cs="Arial" w:eastAsia="Arial" w:hAnsi="Arial"/>
          <w:sz w:val="16"/>
          <w:szCs w:val="16"/>
          <w:color w:val="auto"/>
        </w:rPr>
      </w:pPr>
      <w:r>
        <w:rPr>
          <w:rFonts w:ascii="Arial" w:cs="Arial" w:eastAsia="Arial" w:hAnsi="Arial"/>
          <w:sz w:val="17"/>
          <w:szCs w:val="17"/>
          <w:color w:val="auto"/>
        </w:rPr>
        <w:t>Stealing, destroying, defacing, or misusing Company property or another employee’s property;</w:t>
      </w:r>
    </w:p>
    <w:p>
      <w:pPr>
        <w:spacing w:after="0" w:line="141" w:lineRule="exact"/>
        <w:rPr>
          <w:rFonts w:ascii="Arial" w:cs="Arial" w:eastAsia="Arial" w:hAnsi="Arial"/>
          <w:sz w:val="16"/>
          <w:szCs w:val="16"/>
          <w:color w:val="auto"/>
        </w:rPr>
      </w:pPr>
    </w:p>
    <w:p>
      <w:pPr>
        <w:ind w:left="560" w:hanging="288"/>
        <w:spacing w:after="0" w:line="253" w:lineRule="auto"/>
        <w:tabs>
          <w:tab w:leader="none" w:pos="560" w:val="left"/>
        </w:tabs>
        <w:numPr>
          <w:ilvl w:val="0"/>
          <w:numId w:val="127"/>
        </w:numPr>
        <w:rPr>
          <w:rFonts w:ascii="Arial" w:cs="Arial" w:eastAsia="Arial" w:hAnsi="Arial"/>
          <w:sz w:val="16"/>
          <w:szCs w:val="16"/>
          <w:color w:val="auto"/>
        </w:rPr>
      </w:pPr>
      <w:r>
        <w:rPr>
          <w:rFonts w:ascii="Arial" w:cs="Arial" w:eastAsia="Arial" w:hAnsi="Arial"/>
          <w:sz w:val="17"/>
          <w:szCs w:val="17"/>
          <w:color w:val="auto"/>
        </w:rPr>
        <w:t>Misusing Company communications systems, including electronic mail, computers, Internet access, and telephones. Misuse includes excessive personal telephone calls or emails. See Internet and E-mail Policy.</w:t>
      </w:r>
    </w:p>
    <w:p>
      <w:pPr>
        <w:spacing w:after="0" w:line="123" w:lineRule="exact"/>
        <w:rPr>
          <w:rFonts w:ascii="Arial" w:cs="Arial" w:eastAsia="Arial" w:hAnsi="Arial"/>
          <w:sz w:val="16"/>
          <w:szCs w:val="16"/>
          <w:color w:val="auto"/>
        </w:rPr>
      </w:pPr>
    </w:p>
    <w:p>
      <w:pPr>
        <w:ind w:left="560" w:hanging="288"/>
        <w:spacing w:after="0"/>
        <w:tabs>
          <w:tab w:leader="none" w:pos="560" w:val="left"/>
        </w:tabs>
        <w:numPr>
          <w:ilvl w:val="0"/>
          <w:numId w:val="127"/>
        </w:numPr>
        <w:rPr>
          <w:rFonts w:ascii="Arial" w:cs="Arial" w:eastAsia="Arial" w:hAnsi="Arial"/>
          <w:sz w:val="16"/>
          <w:szCs w:val="16"/>
          <w:color w:val="auto"/>
        </w:rPr>
      </w:pPr>
      <w:r>
        <w:rPr>
          <w:rFonts w:ascii="Arial" w:cs="Arial" w:eastAsia="Arial" w:hAnsi="Arial"/>
          <w:sz w:val="17"/>
          <w:szCs w:val="17"/>
          <w:color w:val="auto"/>
        </w:rPr>
        <w:t>Disobedience or insubordination, or the use of abusive, threatening, or obscene language.</w:t>
      </w:r>
    </w:p>
    <w:p>
      <w:pPr>
        <w:spacing w:after="0" w:line="141" w:lineRule="exact"/>
        <w:rPr>
          <w:rFonts w:ascii="Arial" w:cs="Arial" w:eastAsia="Arial" w:hAnsi="Arial"/>
          <w:sz w:val="16"/>
          <w:szCs w:val="16"/>
          <w:color w:val="auto"/>
        </w:rPr>
      </w:pPr>
    </w:p>
    <w:p>
      <w:pPr>
        <w:ind w:left="560" w:hanging="288"/>
        <w:spacing w:after="0"/>
        <w:tabs>
          <w:tab w:leader="none" w:pos="560" w:val="left"/>
        </w:tabs>
        <w:numPr>
          <w:ilvl w:val="0"/>
          <w:numId w:val="127"/>
        </w:numPr>
        <w:rPr>
          <w:rFonts w:ascii="Arial" w:cs="Arial" w:eastAsia="Arial" w:hAnsi="Arial"/>
          <w:sz w:val="16"/>
          <w:szCs w:val="16"/>
          <w:color w:val="auto"/>
        </w:rPr>
      </w:pPr>
      <w:r>
        <w:rPr>
          <w:rFonts w:ascii="Arial" w:cs="Arial" w:eastAsia="Arial" w:hAnsi="Arial"/>
          <w:sz w:val="17"/>
          <w:szCs w:val="17"/>
          <w:color w:val="auto"/>
        </w:rPr>
        <w:t>Failing to comply with any Company policy.</w:t>
      </w:r>
    </w:p>
    <w:p>
      <w:pPr>
        <w:spacing w:after="0" w:line="142"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The examples of prohibited behaviour described above are not intended to be an all-inclusive list. Employees who participate in any conduct that is in violation of this Code shall be subject to disciplinary action, up to and including possible termination. In addition, if the conduct in question is an illegal act, such as fraud, the Company will report and, where appropriate, prosecute the employee to the fullest extent permitted by law.</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Gifts, Entertainment and Bribes</w:t>
      </w:r>
    </w:p>
    <w:p>
      <w:pPr>
        <w:spacing w:after="0" w:line="162" w:lineRule="exact"/>
        <w:rPr>
          <w:sz w:val="20"/>
          <w:szCs w:val="20"/>
          <w:color w:val="auto"/>
        </w:rPr>
      </w:pPr>
    </w:p>
    <w:p>
      <w:pPr>
        <w:ind w:right="600"/>
        <w:spacing w:after="0" w:line="253" w:lineRule="auto"/>
        <w:rPr>
          <w:sz w:val="20"/>
          <w:szCs w:val="20"/>
          <w:color w:val="auto"/>
        </w:rPr>
      </w:pPr>
      <w:r>
        <w:rPr>
          <w:rFonts w:ascii="Arial" w:cs="Arial" w:eastAsia="Arial" w:hAnsi="Arial"/>
          <w:sz w:val="17"/>
          <w:szCs w:val="17"/>
          <w:color w:val="auto"/>
        </w:rPr>
        <w:t>The Company expects you to conduct the Company’s business with integrity and to comply with all applicable laws in a manner that excludes considerations of personal advantage or gain. Employees shall maintain the highest ethical standards in the conduct of Company affairs.</w:t>
      </w:r>
    </w:p>
    <w:p>
      <w:pPr>
        <w:spacing w:after="0" w:line="123" w:lineRule="exact"/>
        <w:rPr>
          <w:sz w:val="20"/>
          <w:szCs w:val="20"/>
          <w:color w:val="auto"/>
        </w:rPr>
      </w:pPr>
    </w:p>
    <w:p>
      <w:pPr>
        <w:ind w:left="560" w:hanging="288"/>
        <w:spacing w:after="0" w:line="253" w:lineRule="auto"/>
        <w:tabs>
          <w:tab w:leader="none" w:pos="560" w:val="left"/>
        </w:tabs>
        <w:numPr>
          <w:ilvl w:val="0"/>
          <w:numId w:val="128"/>
        </w:numPr>
        <w:rPr>
          <w:rFonts w:ascii="Arial" w:cs="Arial" w:eastAsia="Arial" w:hAnsi="Arial"/>
          <w:sz w:val="16"/>
          <w:szCs w:val="16"/>
          <w:color w:val="auto"/>
        </w:rPr>
      </w:pPr>
      <w:r>
        <w:rPr>
          <w:rFonts w:ascii="Arial" w:cs="Arial" w:eastAsia="Arial" w:hAnsi="Arial"/>
          <w:sz w:val="17"/>
          <w:szCs w:val="17"/>
          <w:color w:val="auto"/>
        </w:rPr>
        <w:t>Other than for modest gifts given or received in the normal course of business (including travel or entertainment), neither you nor your relatives may give gifts to, or receive gifts from, the persons doing business with the Company. Other</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322520-1</w:t>
      </w:r>
    </w:p>
    <w:p>
      <w:pPr>
        <w:sectPr>
          <w:pgSz w:w="11900" w:h="16838" w:orient="portrait"/>
          <w:cols w:equalWidth="0" w:num="1">
            <w:col w:w="11240"/>
          </w:cols>
          <w:pgMar w:left="320" w:top="392" w:right="339" w:bottom="1440" w:gutter="0" w:footer="0" w:header="0"/>
        </w:sectPr>
      </w:pPr>
    </w:p>
    <w:bookmarkStart w:id="130" w:name="page131"/>
    <w:bookmarkEnd w:id="130"/>
    <w:p>
      <w:pPr>
        <w:ind w:left="560" w:right="20"/>
        <w:spacing w:after="0" w:line="239" w:lineRule="auto"/>
        <w:rPr>
          <w:sz w:val="20"/>
          <w:szCs w:val="20"/>
          <w:color w:val="auto"/>
        </w:rPr>
      </w:pPr>
      <w:r>
        <w:rPr>
          <w:rFonts w:ascii="Arial" w:cs="Arial" w:eastAsia="Arial" w:hAnsi="Arial"/>
          <w:sz w:val="17"/>
          <w:szCs w:val="17"/>
          <w:color w:val="auto"/>
        </w:rPr>
        <w:t>gifts may be given or accepted only with prior approval of your senior management. In no event should you put the Company or yourself in a position that would be embarrassing if the gift was made public.</w:t>
      </w:r>
    </w:p>
    <w:p>
      <w:pPr>
        <w:spacing w:after="0" w:line="123" w:lineRule="exact"/>
        <w:rPr>
          <w:sz w:val="20"/>
          <w:szCs w:val="20"/>
          <w:color w:val="auto"/>
        </w:rPr>
      </w:pPr>
    </w:p>
    <w:p>
      <w:pPr>
        <w:jc w:val="both"/>
        <w:ind w:left="560" w:hanging="288"/>
        <w:spacing w:after="0" w:line="248" w:lineRule="auto"/>
        <w:tabs>
          <w:tab w:leader="none" w:pos="560" w:val="left"/>
        </w:tabs>
        <w:numPr>
          <w:ilvl w:val="0"/>
          <w:numId w:val="129"/>
        </w:numPr>
        <w:rPr>
          <w:rFonts w:ascii="Arial" w:cs="Arial" w:eastAsia="Arial" w:hAnsi="Arial"/>
          <w:sz w:val="16"/>
          <w:szCs w:val="16"/>
          <w:color w:val="auto"/>
        </w:rPr>
      </w:pPr>
      <w:r>
        <w:rPr>
          <w:rFonts w:ascii="Arial" w:cs="Arial" w:eastAsia="Arial" w:hAnsi="Arial"/>
          <w:sz w:val="17"/>
          <w:szCs w:val="17"/>
          <w:color w:val="auto"/>
        </w:rPr>
        <w:t>No gifts or business entertainment of any kind may be given to any government official without the prior approval of the Company’s Legal Department. For such approval to be given, the gift must be in compliance with this Code and not in violation of the Company’s Foreign Corrupt Practices Policy.</w:t>
      </w:r>
    </w:p>
    <w:p>
      <w:pPr>
        <w:spacing w:after="0" w:line="126" w:lineRule="exact"/>
        <w:rPr>
          <w:rFonts w:ascii="Arial" w:cs="Arial" w:eastAsia="Arial" w:hAnsi="Arial"/>
          <w:sz w:val="16"/>
          <w:szCs w:val="16"/>
          <w:color w:val="auto"/>
        </w:rPr>
      </w:pPr>
    </w:p>
    <w:p>
      <w:pPr>
        <w:jc w:val="both"/>
        <w:ind w:left="560" w:right="20" w:hanging="288"/>
        <w:spacing w:after="0" w:line="246" w:lineRule="auto"/>
        <w:tabs>
          <w:tab w:leader="none" w:pos="560" w:val="left"/>
        </w:tabs>
        <w:numPr>
          <w:ilvl w:val="0"/>
          <w:numId w:val="129"/>
        </w:numPr>
        <w:rPr>
          <w:rFonts w:ascii="Arial" w:cs="Arial" w:eastAsia="Arial" w:hAnsi="Arial"/>
          <w:sz w:val="16"/>
          <w:szCs w:val="16"/>
          <w:color w:val="auto"/>
        </w:rPr>
      </w:pPr>
      <w:r>
        <w:rPr>
          <w:rFonts w:ascii="Arial" w:cs="Arial" w:eastAsia="Arial" w:hAnsi="Arial"/>
          <w:sz w:val="17"/>
          <w:szCs w:val="17"/>
          <w:color w:val="auto"/>
        </w:rPr>
        <w:t>Appropriate business entertainment in connection with business discussions or the development of business relationships is generally acceptable. Such entertainment may include business-related meals and trips, refreshments before and after business meetings and tickets to sporting, theatrical or cultural events. Notwithstanding the foregoing, any entertainment that would cause a feeling or expectation of personal obligation should not be extended or accepted.</w:t>
      </w:r>
    </w:p>
    <w:p>
      <w:pPr>
        <w:spacing w:after="0" w:line="129" w:lineRule="exact"/>
        <w:rPr>
          <w:rFonts w:ascii="Arial" w:cs="Arial" w:eastAsia="Arial" w:hAnsi="Arial"/>
          <w:sz w:val="16"/>
          <w:szCs w:val="16"/>
          <w:color w:val="auto"/>
        </w:rPr>
      </w:pPr>
    </w:p>
    <w:p>
      <w:pPr>
        <w:ind w:left="560" w:hanging="288"/>
        <w:spacing w:after="0" w:line="253" w:lineRule="auto"/>
        <w:tabs>
          <w:tab w:leader="none" w:pos="560" w:val="left"/>
        </w:tabs>
        <w:numPr>
          <w:ilvl w:val="0"/>
          <w:numId w:val="129"/>
        </w:numPr>
        <w:rPr>
          <w:rFonts w:ascii="Arial" w:cs="Arial" w:eastAsia="Arial" w:hAnsi="Arial"/>
          <w:sz w:val="16"/>
          <w:szCs w:val="16"/>
          <w:color w:val="auto"/>
        </w:rPr>
      </w:pPr>
      <w:r>
        <w:rPr>
          <w:rFonts w:ascii="Arial" w:cs="Arial" w:eastAsia="Arial" w:hAnsi="Arial"/>
          <w:sz w:val="17"/>
          <w:szCs w:val="17"/>
          <w:color w:val="auto"/>
        </w:rPr>
        <w:t>If an employee has any question regarding the type of gift or entertainment to be given or received, he or she should consult with a member of the Company’s Legal Department.</w:t>
      </w:r>
    </w:p>
    <w:p>
      <w:pPr>
        <w:spacing w:after="0" w:line="123" w:lineRule="exact"/>
        <w:rPr>
          <w:rFonts w:ascii="Arial" w:cs="Arial" w:eastAsia="Arial" w:hAnsi="Arial"/>
          <w:sz w:val="16"/>
          <w:szCs w:val="16"/>
          <w:color w:val="auto"/>
        </w:rPr>
      </w:pPr>
    </w:p>
    <w:p>
      <w:pPr>
        <w:ind w:left="560" w:hanging="288"/>
        <w:spacing w:after="0"/>
        <w:tabs>
          <w:tab w:leader="none" w:pos="560" w:val="left"/>
        </w:tabs>
        <w:numPr>
          <w:ilvl w:val="0"/>
          <w:numId w:val="129"/>
        </w:numPr>
        <w:rPr>
          <w:rFonts w:ascii="Arial" w:cs="Arial" w:eastAsia="Arial" w:hAnsi="Arial"/>
          <w:sz w:val="16"/>
          <w:szCs w:val="16"/>
          <w:color w:val="auto"/>
        </w:rPr>
      </w:pPr>
      <w:r>
        <w:rPr>
          <w:rFonts w:ascii="Arial" w:cs="Arial" w:eastAsia="Arial" w:hAnsi="Arial"/>
          <w:sz w:val="17"/>
          <w:szCs w:val="17"/>
          <w:color w:val="auto"/>
        </w:rPr>
        <w:t>Reimbursement for gifts and entertainment will be made in accordance with the appropriate business expense policy.</w:t>
      </w:r>
    </w:p>
    <w:p>
      <w:pPr>
        <w:spacing w:after="0" w:line="142" w:lineRule="exact"/>
        <w:rPr>
          <w:sz w:val="20"/>
          <w:szCs w:val="20"/>
          <w:color w:val="auto"/>
        </w:rPr>
      </w:pPr>
    </w:p>
    <w:p>
      <w:pPr>
        <w:ind w:right="260"/>
        <w:spacing w:after="0" w:line="253" w:lineRule="auto"/>
        <w:rPr>
          <w:sz w:val="20"/>
          <w:szCs w:val="20"/>
          <w:color w:val="auto"/>
        </w:rPr>
      </w:pPr>
      <w:r>
        <w:rPr>
          <w:rFonts w:ascii="Arial" w:cs="Arial" w:eastAsia="Arial" w:hAnsi="Arial"/>
          <w:sz w:val="17"/>
          <w:szCs w:val="17"/>
          <w:color w:val="auto"/>
        </w:rPr>
        <w:t>Any employee who pays or receives bribes or kickbacks will be subject to disciplinary action, which may include being immediately terminated and reported, as warranted, to the appropriate authorities. A kickback or bribe includes any item intended to improperly obtain favourable treatment.</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322520-1</w:t>
      </w:r>
    </w:p>
    <w:p>
      <w:pPr>
        <w:sectPr>
          <w:pgSz w:w="11900" w:h="16838" w:orient="portrait"/>
          <w:cols w:equalWidth="0" w:num="1">
            <w:col w:w="11260"/>
          </w:cols>
          <w:pgMar w:left="320" w:top="392" w:right="319" w:bottom="1440" w:gutter="0" w:footer="0" w:header="0"/>
        </w:sectPr>
      </w:pPr>
    </w:p>
    <w:bookmarkStart w:id="131" w:name="page132"/>
    <w:bookmarkEnd w:id="131"/>
    <w:p>
      <w:pPr>
        <w:spacing w:after="0"/>
        <w:rPr>
          <w:sz w:val="20"/>
          <w:szCs w:val="20"/>
          <w:color w:val="auto"/>
        </w:rPr>
      </w:pPr>
      <w:r>
        <w:rPr>
          <w:rFonts w:ascii="Arial" w:cs="Arial" w:eastAsia="Arial" w:hAnsi="Arial"/>
          <w:sz w:val="17"/>
          <w:szCs w:val="17"/>
          <w:b w:val="1"/>
          <w:bCs w:val="1"/>
          <w:color w:val="auto"/>
        </w:rPr>
        <w:t>Political Contributions</w:t>
      </w:r>
    </w:p>
    <w:p>
      <w:pPr>
        <w:spacing w:after="0" w:line="162"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No Company funds may be given directly to political candidates. You may, however, engage in political activity with your own resources on your own time.</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Reporting Ethical Violations</w:t>
      </w:r>
    </w:p>
    <w:p>
      <w:pPr>
        <w:spacing w:after="0" w:line="162"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If you become aware of a suspected ethical violation, whether before or after it has occurred, you must promptly report it to a member of the Company’s Legal Department in the country in which you are located. If you still are concerned after speaking with the Company’s Legal Department or feel uncomfortable speaking with such person (for whatever reason), you may contact the Chief Financial Officer, President or Chief Executive Officer. You have the Company’s commitment that you will be protected from retaliation as stated in the Company’s non-retaliation policy.</w:t>
      </w:r>
    </w:p>
    <w:p>
      <w:pPr>
        <w:spacing w:after="0" w:line="129"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Report of ethical violations will be kept confidential to the extent possible, consistent with the Company’s need to investigate and take action regarding the matter. Employees are also expected to keep information regarding such matters confidential and understand that they are expected to fully cooperate with any such investigation.</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Waivers</w:t>
      </w:r>
    </w:p>
    <w:p>
      <w:pPr>
        <w:spacing w:after="0" w:line="162"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Under appropriate circumstances, the Company may waive application of this Code to certain otherwise prohibited conduct. A waiver must be requested in advance and in writing, and the request must describe the contemplated conduct for which the waiver is sought and why a waiver would be appropriate under the circumstances.</w:t>
      </w:r>
    </w:p>
    <w:p>
      <w:pPr>
        <w:spacing w:after="0" w:line="127"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If you are a director or executive officer, a waiver request must be directed to the independent members of the Board of Directors. The waiver may be granted only by a vote of such Board members following a determination by the Legal Department that a waiver is appropriate under the circumstances. The reasons for granting the waiver should be recorded in the minutes of the meeting at which it was granted and the waiver must be accompanied by appropriate controls designed to protect the Company.</w:t>
      </w:r>
    </w:p>
    <w:p>
      <w:pPr>
        <w:spacing w:after="0" w:line="129" w:lineRule="exact"/>
        <w:rPr>
          <w:sz w:val="20"/>
          <w:szCs w:val="20"/>
          <w:color w:val="auto"/>
        </w:rPr>
      </w:pPr>
    </w:p>
    <w:p>
      <w:pPr>
        <w:jc w:val="both"/>
        <w:ind w:right="60"/>
        <w:spacing w:after="0" w:line="248" w:lineRule="auto"/>
        <w:rPr>
          <w:sz w:val="20"/>
          <w:szCs w:val="20"/>
          <w:color w:val="auto"/>
        </w:rPr>
      </w:pPr>
      <w:r>
        <w:rPr>
          <w:rFonts w:ascii="Arial" w:cs="Arial" w:eastAsia="Arial" w:hAnsi="Arial"/>
          <w:sz w:val="17"/>
          <w:szCs w:val="17"/>
          <w:color w:val="auto"/>
        </w:rPr>
        <w:t>If you are not a director or executive officer, a waiver request must be directed to the Legal Department. The waiver may be granted only following a determination by the Legal Department that the waiver is appropriate under the circumstances and accompanied by appropriate controls designed to protect the Company.</w:t>
      </w:r>
    </w:p>
    <w:p>
      <w:pPr>
        <w:spacing w:after="0" w:line="127" w:lineRule="exact"/>
        <w:rPr>
          <w:sz w:val="20"/>
          <w:szCs w:val="20"/>
          <w:color w:val="auto"/>
        </w:rPr>
      </w:pPr>
    </w:p>
    <w:p>
      <w:pPr>
        <w:jc w:val="both"/>
        <w:ind w:right="540"/>
        <w:spacing w:after="0" w:line="248" w:lineRule="auto"/>
        <w:rPr>
          <w:sz w:val="20"/>
          <w:szCs w:val="20"/>
          <w:color w:val="auto"/>
        </w:rPr>
      </w:pPr>
      <w:r>
        <w:rPr>
          <w:rFonts w:ascii="Arial" w:cs="Arial" w:eastAsia="Arial" w:hAnsi="Arial"/>
          <w:sz w:val="17"/>
          <w:szCs w:val="17"/>
          <w:color w:val="auto"/>
        </w:rPr>
        <w:t>The Company will post on its web site for a period of at least 12 months a description of any changes to, amendments or waivers of this Code applicable to directors or executive officers. Implicit waivers due to inaction by Company management with respect to reported or known Code violations shall be similarly disclosed.</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Conclusion</w:t>
      </w:r>
    </w:p>
    <w:p>
      <w:pPr>
        <w:spacing w:after="0" w:line="162"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Each employee is responsible for safeguarding and promoting the Company’s ethics and business reputation. Of course, doing the right thing is not always easy. Many situations will involve subtleties and complexities that lead to difficult choices. When in doubt, take a step back to ask yourself whether the situation feels right, and consider whether you feel confident that your actions would withstand scrutiny. If necessary, take another careful look at this Code for guidance and seek advice from a supervisor or other colleague. Your actions should not have even the appearance of impropriety. You should be able to feel comfortable that your actions would not embarrass yourself, your colleagues or the Company’s stockholders should it turn out that your conduct becomes “front page” news.</w:t>
      </w:r>
    </w:p>
    <w:p>
      <w:pPr>
        <w:spacing w:after="0" w:line="129" w:lineRule="exact"/>
        <w:rPr>
          <w:sz w:val="20"/>
          <w:szCs w:val="20"/>
          <w:color w:val="auto"/>
        </w:rPr>
      </w:pPr>
    </w:p>
    <w:p>
      <w:pPr>
        <w:ind w:right="500"/>
        <w:spacing w:after="0" w:line="253" w:lineRule="auto"/>
        <w:rPr>
          <w:sz w:val="20"/>
          <w:szCs w:val="20"/>
          <w:color w:val="auto"/>
        </w:rPr>
      </w:pPr>
      <w:r>
        <w:rPr>
          <w:rFonts w:ascii="Arial" w:cs="Arial" w:eastAsia="Arial" w:hAnsi="Arial"/>
          <w:sz w:val="17"/>
          <w:szCs w:val="17"/>
          <w:color w:val="auto"/>
        </w:rPr>
        <w:t>If you are uncertain about a contemplated course of action or have questions about this Code, you should raise the issue with a member of the Company’s Legal</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322520-1</w:t>
      </w:r>
    </w:p>
    <w:p>
      <w:pPr>
        <w:sectPr>
          <w:pgSz w:w="11900" w:h="16838" w:orient="portrait"/>
          <w:cols w:equalWidth="0" w:num="1">
            <w:col w:w="11240"/>
          </w:cols>
          <w:pgMar w:left="320" w:top="372" w:right="339" w:bottom="1440" w:gutter="0" w:footer="0" w:header="0"/>
        </w:sectPr>
      </w:pPr>
    </w:p>
    <w:bookmarkStart w:id="132" w:name="page133"/>
    <w:bookmarkEnd w:id="132"/>
    <w:p>
      <w:pPr>
        <w:spacing w:after="0" w:line="253" w:lineRule="auto"/>
        <w:rPr>
          <w:sz w:val="20"/>
          <w:szCs w:val="20"/>
          <w:color w:val="auto"/>
        </w:rPr>
      </w:pPr>
      <w:r>
        <w:rPr>
          <w:rFonts w:ascii="Arial" w:cs="Arial" w:eastAsia="Arial" w:hAnsi="Arial"/>
          <w:sz w:val="17"/>
          <w:szCs w:val="17"/>
          <w:color w:val="auto"/>
        </w:rPr>
        <w:t>Department or another member of senior management with whom you feel comfortable. If you still are uncomfortable, please follow the steps outlined above in the section “Reporting Ethical Violations.”</w:t>
      </w:r>
    </w:p>
    <w:p>
      <w:pPr>
        <w:spacing w:after="0" w:line="123"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Any employee who ignores or violates any provision of this Code, and any manager who penalizes a subordinate for trying to follow this Code, will be subject to corrective action, up to and including possible termination. Simply put, the Company seeks to employ people who believe that honest and ethical behaviour is not only good business, but also the right thing to do personally.</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This Code is posted to the Company's website at </w:t>
      </w:r>
      <w:r>
        <w:rPr>
          <w:rFonts w:ascii="Arial" w:cs="Arial" w:eastAsia="Arial" w:hAnsi="Arial"/>
          <w:sz w:val="13"/>
          <w:szCs w:val="13"/>
          <w:u w:val="single" w:color="auto"/>
          <w:color w:val="auto"/>
        </w:rPr>
        <w:t>http://www.unitedglobal.com/</w:t>
      </w:r>
      <w:r>
        <w:rPr>
          <w:rFonts w:ascii="Arial" w:cs="Arial" w:eastAsia="Arial" w:hAnsi="Arial"/>
          <w:sz w:val="17"/>
          <w:szCs w:val="17"/>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UnitedGlobalCom, Inc. reserves the right to amend or cancel this Policy at any time.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322520-1</w:t>
      </w:r>
    </w:p>
    <w:p>
      <w:pPr>
        <w:sectPr>
          <w:pgSz w:w="11900" w:h="16838" w:orient="portrait"/>
          <w:cols w:equalWidth="0" w:num="1">
            <w:col w:w="11260"/>
          </w:cols>
          <w:pgMar w:left="320" w:top="392" w:right="319" w:bottom="1440" w:gutter="0" w:footer="0" w:header="0"/>
        </w:sectPr>
      </w:pPr>
    </w:p>
    <w:bookmarkStart w:id="133" w:name="page134"/>
    <w:bookmarkEnd w:id="133"/>
    <w:p>
      <w:pPr>
        <w:jc w:val="right"/>
        <w:spacing w:after="0"/>
        <w:rPr>
          <w:sz w:val="20"/>
          <w:szCs w:val="20"/>
          <w:color w:val="auto"/>
        </w:rPr>
      </w:pPr>
      <w:r>
        <w:rPr>
          <w:rFonts w:ascii="Arial" w:cs="Arial" w:eastAsia="Arial" w:hAnsi="Arial"/>
          <w:sz w:val="16"/>
          <w:szCs w:val="16"/>
          <w:b w:val="1"/>
          <w:bCs w:val="1"/>
          <w:color w:val="auto"/>
        </w:rPr>
        <w:t>Exhibit 31.1</w:t>
      </w:r>
    </w:p>
    <w:p>
      <w:pPr>
        <w:spacing w:after="0" w:line="188" w:lineRule="exact"/>
        <w:rPr>
          <w:sz w:val="20"/>
          <w:szCs w:val="20"/>
          <w:color w:val="auto"/>
        </w:rPr>
      </w:pPr>
    </w:p>
    <w:p>
      <w:pPr>
        <w:ind w:left="5280"/>
        <w:spacing w:after="0"/>
        <w:rPr>
          <w:sz w:val="20"/>
          <w:szCs w:val="20"/>
          <w:color w:val="auto"/>
        </w:rPr>
      </w:pPr>
      <w:r>
        <w:rPr>
          <w:rFonts w:ascii="Arial" w:cs="Arial" w:eastAsia="Arial" w:hAnsi="Arial"/>
          <w:sz w:val="16"/>
          <w:szCs w:val="16"/>
          <w:b w:val="1"/>
          <w:bCs w:val="1"/>
          <w:color w:val="auto"/>
        </w:rPr>
        <w:t>CERTIFICATION</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color w:val="auto"/>
        </w:rPr>
        <w:t>I, Michael T. Fries, certify that:</w:t>
      </w:r>
    </w:p>
    <w:p>
      <w:pPr>
        <w:spacing w:after="0" w:line="142" w:lineRule="exact"/>
        <w:rPr>
          <w:sz w:val="20"/>
          <w:szCs w:val="20"/>
          <w:color w:val="auto"/>
        </w:rPr>
      </w:pPr>
    </w:p>
    <w:p>
      <w:pPr>
        <w:ind w:left="560" w:hanging="288"/>
        <w:spacing w:after="0"/>
        <w:tabs>
          <w:tab w:leader="none" w:pos="56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Liberty Global plc;</w:t>
      </w:r>
    </w:p>
    <w:p>
      <w:pPr>
        <w:spacing w:after="0" w:line="141" w:lineRule="exact"/>
        <w:rPr>
          <w:rFonts w:ascii="Arial" w:cs="Arial" w:eastAsia="Arial" w:hAnsi="Arial"/>
          <w:sz w:val="16"/>
          <w:szCs w:val="16"/>
          <w:color w:val="auto"/>
        </w:rPr>
      </w:pPr>
    </w:p>
    <w:p>
      <w:pPr>
        <w:ind w:left="560" w:right="20" w:hanging="288"/>
        <w:spacing w:after="0" w:line="329" w:lineRule="auto"/>
        <w:tabs>
          <w:tab w:leader="none" w:pos="56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70" w:lineRule="exact"/>
        <w:rPr>
          <w:rFonts w:ascii="Arial" w:cs="Arial" w:eastAsia="Arial" w:hAnsi="Arial"/>
          <w:sz w:val="14"/>
          <w:szCs w:val="14"/>
          <w:color w:val="auto"/>
        </w:rPr>
      </w:pPr>
    </w:p>
    <w:p>
      <w:pPr>
        <w:ind w:left="560" w:right="20" w:hanging="288"/>
        <w:spacing w:after="0" w:line="258" w:lineRule="auto"/>
        <w:tabs>
          <w:tab w:leader="none" w:pos="56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16" w:lineRule="exact"/>
        <w:rPr>
          <w:rFonts w:ascii="Arial" w:cs="Arial" w:eastAsia="Arial" w:hAnsi="Arial"/>
          <w:sz w:val="16"/>
          <w:szCs w:val="16"/>
          <w:color w:val="auto"/>
        </w:rPr>
      </w:pPr>
    </w:p>
    <w:p>
      <w:pPr>
        <w:ind w:left="560" w:right="20" w:hanging="288"/>
        <w:spacing w:after="0" w:line="329" w:lineRule="auto"/>
        <w:tabs>
          <w:tab w:leader="none" w:pos="56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70" w:lineRule="exact"/>
        <w:rPr>
          <w:rFonts w:ascii="Arial" w:cs="Arial" w:eastAsia="Arial" w:hAnsi="Arial"/>
          <w:sz w:val="14"/>
          <w:szCs w:val="14"/>
          <w:color w:val="auto"/>
        </w:rPr>
      </w:pPr>
    </w:p>
    <w:p>
      <w:pPr>
        <w:jc w:val="both"/>
        <w:ind w:left="1120" w:hanging="289"/>
        <w:spacing w:after="0" w:line="250" w:lineRule="auto"/>
        <w:tabs>
          <w:tab w:leader="none" w:pos="1120" w:val="left"/>
        </w:tabs>
        <w:numPr>
          <w:ilvl w:val="1"/>
          <w:numId w:val="13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23" w:lineRule="exact"/>
        <w:rPr>
          <w:rFonts w:ascii="Arial" w:cs="Arial" w:eastAsia="Arial" w:hAnsi="Arial"/>
          <w:sz w:val="16"/>
          <w:szCs w:val="16"/>
          <w:color w:val="auto"/>
        </w:rPr>
      </w:pPr>
    </w:p>
    <w:p>
      <w:pPr>
        <w:jc w:val="both"/>
        <w:ind w:left="1120" w:hanging="289"/>
        <w:spacing w:after="0" w:line="250" w:lineRule="auto"/>
        <w:tabs>
          <w:tab w:leader="none" w:pos="1120" w:val="left"/>
        </w:tabs>
        <w:numPr>
          <w:ilvl w:val="1"/>
          <w:numId w:val="13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3" w:lineRule="exact"/>
        <w:rPr>
          <w:rFonts w:ascii="Arial" w:cs="Arial" w:eastAsia="Arial" w:hAnsi="Arial"/>
          <w:sz w:val="16"/>
          <w:szCs w:val="16"/>
          <w:color w:val="auto"/>
        </w:rPr>
      </w:pPr>
    </w:p>
    <w:p>
      <w:pPr>
        <w:ind w:left="1120" w:hanging="289"/>
        <w:spacing w:after="0" w:line="329" w:lineRule="auto"/>
        <w:tabs>
          <w:tab w:leader="none" w:pos="1120" w:val="left"/>
        </w:tabs>
        <w:numPr>
          <w:ilvl w:val="1"/>
          <w:numId w:val="130"/>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70" w:lineRule="exact"/>
        <w:rPr>
          <w:rFonts w:ascii="Arial" w:cs="Arial" w:eastAsia="Arial" w:hAnsi="Arial"/>
          <w:sz w:val="14"/>
          <w:szCs w:val="14"/>
          <w:color w:val="auto"/>
        </w:rPr>
      </w:pPr>
    </w:p>
    <w:p>
      <w:pPr>
        <w:jc w:val="both"/>
        <w:ind w:left="1120" w:hanging="289"/>
        <w:spacing w:after="0" w:line="250" w:lineRule="auto"/>
        <w:tabs>
          <w:tab w:leader="none" w:pos="1120" w:val="left"/>
        </w:tabs>
        <w:numPr>
          <w:ilvl w:val="1"/>
          <w:numId w:val="130"/>
        </w:numPr>
        <w:rPr>
          <w:rFonts w:ascii="Arial" w:cs="Arial" w:eastAsia="Arial" w:hAnsi="Arial"/>
          <w:sz w:val="16"/>
          <w:szCs w:val="16"/>
          <w:color w:val="auto"/>
        </w:rPr>
      </w:pPr>
      <w:r>
        <w:rPr>
          <w:rFonts w:ascii="Arial" w:cs="Arial" w:eastAsia="Arial" w:hAnsi="Arial"/>
          <w:sz w:val="16"/>
          <w:szCs w:val="16"/>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3" w:lineRule="exact"/>
        <w:rPr>
          <w:rFonts w:ascii="Arial" w:cs="Arial" w:eastAsia="Arial" w:hAnsi="Arial"/>
          <w:sz w:val="16"/>
          <w:szCs w:val="16"/>
          <w:color w:val="auto"/>
        </w:rPr>
      </w:pPr>
    </w:p>
    <w:p>
      <w:pPr>
        <w:ind w:left="560" w:hanging="288"/>
        <w:spacing w:after="0" w:line="258" w:lineRule="auto"/>
        <w:tabs>
          <w:tab w:leader="none" w:pos="56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spacing w:after="0" w:line="116" w:lineRule="exact"/>
        <w:rPr>
          <w:rFonts w:ascii="Arial" w:cs="Arial" w:eastAsia="Arial" w:hAnsi="Arial"/>
          <w:sz w:val="16"/>
          <w:szCs w:val="16"/>
          <w:color w:val="auto"/>
        </w:rPr>
      </w:pPr>
    </w:p>
    <w:p>
      <w:pPr>
        <w:ind w:left="1120" w:right="20" w:hanging="289"/>
        <w:spacing w:after="0" w:line="258" w:lineRule="auto"/>
        <w:tabs>
          <w:tab w:leader="none" w:pos="1120" w:val="left"/>
        </w:tabs>
        <w:numPr>
          <w:ilvl w:val="1"/>
          <w:numId w:val="13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6"/>
          <w:szCs w:val="16"/>
          <w:color w:val="auto"/>
        </w:rPr>
      </w:pPr>
    </w:p>
    <w:p>
      <w:pPr>
        <w:ind w:left="1120" w:right="20" w:hanging="289"/>
        <w:spacing w:after="0" w:line="258" w:lineRule="auto"/>
        <w:tabs>
          <w:tab w:leader="none" w:pos="1120" w:val="left"/>
        </w:tabs>
        <w:numPr>
          <w:ilvl w:val="1"/>
          <w:numId w:val="13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2" w:lineRule="exact"/>
        <w:rPr>
          <w:sz w:val="20"/>
          <w:szCs w:val="20"/>
          <w:color w:val="auto"/>
        </w:rPr>
      </w:pPr>
    </w:p>
    <w:p>
      <w:pPr>
        <w:spacing w:after="0"/>
        <w:tabs>
          <w:tab w:leader="none" w:pos="46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4"/>
          <w:szCs w:val="14"/>
          <w:color w:val="auto"/>
        </w:rPr>
        <w:t>August 3, 2020</w:t>
      </w:r>
    </w:p>
    <w:p>
      <w:pPr>
        <w:spacing w:after="0" w:line="212" w:lineRule="exact"/>
        <w:rPr>
          <w:sz w:val="20"/>
          <w:szCs w:val="20"/>
          <w:color w:val="auto"/>
        </w:rPr>
      </w:pPr>
    </w:p>
    <w:p>
      <w:pPr>
        <w:jc w:val="center"/>
        <w:ind w:right="4220"/>
        <w:spacing w:after="0"/>
        <w:rPr>
          <w:sz w:val="20"/>
          <w:szCs w:val="20"/>
          <w:color w:val="auto"/>
        </w:rPr>
      </w:pPr>
      <w:r>
        <w:rPr>
          <w:rFonts w:ascii="Arial" w:cs="Arial" w:eastAsia="Arial" w:hAnsi="Arial"/>
          <w:sz w:val="16"/>
          <w:szCs w:val="16"/>
          <w:color w:val="auto"/>
        </w:rPr>
        <w:t>/s/ Michael T. Fries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1052195</wp:posOffset>
            </wp:positionH>
            <wp:positionV relativeFrom="paragraph">
              <wp:posOffset>22860</wp:posOffset>
            </wp:positionV>
            <wp:extent cx="236410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2364105" cy="7620"/>
                    </a:xfrm>
                    <a:prstGeom prst="rect">
                      <a:avLst/>
                    </a:prstGeom>
                    <a:noFill/>
                  </pic:spPr>
                </pic:pic>
              </a:graphicData>
            </a:graphic>
          </wp:anchor>
        </w:drawing>
      </w:r>
    </w:p>
    <w:p>
      <w:pPr>
        <w:spacing w:after="0" w:line="40" w:lineRule="exact"/>
        <w:rPr>
          <w:sz w:val="20"/>
          <w:szCs w:val="20"/>
          <w:color w:val="auto"/>
        </w:rPr>
      </w:pPr>
    </w:p>
    <w:p>
      <w:pPr>
        <w:jc w:val="center"/>
        <w:ind w:right="4220"/>
        <w:spacing w:after="0"/>
        <w:rPr>
          <w:sz w:val="20"/>
          <w:szCs w:val="20"/>
          <w:color w:val="auto"/>
        </w:rPr>
      </w:pPr>
      <w:r>
        <w:rPr>
          <w:rFonts w:ascii="Arial" w:cs="Arial" w:eastAsia="Arial" w:hAnsi="Arial"/>
          <w:sz w:val="16"/>
          <w:szCs w:val="16"/>
          <w:color w:val="auto"/>
        </w:rPr>
        <w:t>Michael T. Fries</w:t>
      </w:r>
    </w:p>
    <w:p>
      <w:pPr>
        <w:spacing w:after="0" w:line="49" w:lineRule="exact"/>
        <w:rPr>
          <w:sz w:val="20"/>
          <w:szCs w:val="20"/>
          <w:color w:val="auto"/>
        </w:rPr>
      </w:pPr>
    </w:p>
    <w:p>
      <w:pPr>
        <w:jc w:val="center"/>
        <w:ind w:right="4220"/>
        <w:spacing w:after="0"/>
        <w:rPr>
          <w:sz w:val="20"/>
          <w:szCs w:val="20"/>
          <w:color w:val="auto"/>
        </w:rPr>
      </w:pPr>
      <w:r>
        <w:rPr>
          <w:rFonts w:ascii="Arial" w:cs="Arial" w:eastAsia="Arial" w:hAnsi="Arial"/>
          <w:sz w:val="16"/>
          <w:szCs w:val="16"/>
          <w:color w:val="auto"/>
        </w:rPr>
        <w:t>President and Chief Executive Officer</w:t>
      </w:r>
    </w:p>
    <w:p>
      <w:pPr>
        <w:sectPr>
          <w:pgSz w:w="11900" w:h="16838" w:orient="portrait"/>
          <w:cols w:equalWidth="0" w:num="1">
            <w:col w:w="11260"/>
          </w:cols>
          <w:pgMar w:left="320" w:top="495" w:right="319" w:bottom="1440" w:gutter="0" w:footer="0" w:header="0"/>
        </w:sectPr>
      </w:pPr>
    </w:p>
    <w:bookmarkStart w:id="134" w:name="page135"/>
    <w:bookmarkEnd w:id="134"/>
    <w:p>
      <w:pPr>
        <w:jc w:val="right"/>
        <w:spacing w:after="0"/>
        <w:rPr>
          <w:sz w:val="20"/>
          <w:szCs w:val="20"/>
          <w:color w:val="auto"/>
        </w:rPr>
      </w:pPr>
      <w:r>
        <w:rPr>
          <w:rFonts w:ascii="Arial" w:cs="Arial" w:eastAsia="Arial" w:hAnsi="Arial"/>
          <w:sz w:val="16"/>
          <w:szCs w:val="16"/>
          <w:b w:val="1"/>
          <w:bCs w:val="1"/>
          <w:color w:val="auto"/>
        </w:rPr>
        <w:t>Exhibit 31.2</w:t>
      </w:r>
    </w:p>
    <w:p>
      <w:pPr>
        <w:spacing w:after="0" w:line="188" w:lineRule="exact"/>
        <w:rPr>
          <w:sz w:val="20"/>
          <w:szCs w:val="20"/>
          <w:color w:val="auto"/>
        </w:rPr>
      </w:pPr>
    </w:p>
    <w:p>
      <w:pPr>
        <w:ind w:left="5280"/>
        <w:spacing w:after="0"/>
        <w:rPr>
          <w:sz w:val="20"/>
          <w:szCs w:val="20"/>
          <w:color w:val="auto"/>
        </w:rPr>
      </w:pPr>
      <w:r>
        <w:rPr>
          <w:rFonts w:ascii="Arial" w:cs="Arial" w:eastAsia="Arial" w:hAnsi="Arial"/>
          <w:sz w:val="16"/>
          <w:szCs w:val="16"/>
          <w:b w:val="1"/>
          <w:bCs w:val="1"/>
          <w:color w:val="auto"/>
        </w:rPr>
        <w:t>CERTIFICATION</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color w:val="auto"/>
        </w:rPr>
        <w:t>I, Charles H.R. Bracken, certify that:</w:t>
      </w:r>
    </w:p>
    <w:p>
      <w:pPr>
        <w:spacing w:after="0" w:line="142" w:lineRule="exact"/>
        <w:rPr>
          <w:sz w:val="20"/>
          <w:szCs w:val="20"/>
          <w:color w:val="auto"/>
        </w:rPr>
      </w:pPr>
    </w:p>
    <w:p>
      <w:pPr>
        <w:ind w:left="560" w:hanging="288"/>
        <w:spacing w:after="0"/>
        <w:tabs>
          <w:tab w:leader="none" w:pos="56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Liberty Global plc;</w:t>
      </w:r>
    </w:p>
    <w:p>
      <w:pPr>
        <w:spacing w:after="0" w:line="141" w:lineRule="exact"/>
        <w:rPr>
          <w:rFonts w:ascii="Arial" w:cs="Arial" w:eastAsia="Arial" w:hAnsi="Arial"/>
          <w:sz w:val="16"/>
          <w:szCs w:val="16"/>
          <w:color w:val="auto"/>
        </w:rPr>
      </w:pPr>
    </w:p>
    <w:p>
      <w:pPr>
        <w:ind w:left="560" w:right="20" w:hanging="288"/>
        <w:spacing w:after="0" w:line="329" w:lineRule="auto"/>
        <w:tabs>
          <w:tab w:leader="none" w:pos="560" w:val="left"/>
        </w:tabs>
        <w:numPr>
          <w:ilvl w:val="0"/>
          <w:numId w:val="131"/>
        </w:numPr>
        <w:rPr>
          <w:rFonts w:ascii="Arial" w:cs="Arial" w:eastAsia="Arial" w:hAnsi="Arial"/>
          <w:sz w:val="14"/>
          <w:szCs w:val="14"/>
          <w:color w:val="auto"/>
        </w:rPr>
      </w:pPr>
      <w:r>
        <w:rPr>
          <w:rFonts w:ascii="Arial" w:cs="Arial" w:eastAsia="Arial" w:hAnsi="Arial"/>
          <w:sz w:val="14"/>
          <w:szCs w:val="14"/>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70" w:lineRule="exact"/>
        <w:rPr>
          <w:rFonts w:ascii="Arial" w:cs="Arial" w:eastAsia="Arial" w:hAnsi="Arial"/>
          <w:sz w:val="14"/>
          <w:szCs w:val="14"/>
          <w:color w:val="auto"/>
        </w:rPr>
      </w:pPr>
    </w:p>
    <w:p>
      <w:pPr>
        <w:ind w:left="560" w:right="20" w:hanging="288"/>
        <w:spacing w:after="0" w:line="258" w:lineRule="auto"/>
        <w:tabs>
          <w:tab w:leader="none" w:pos="56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16" w:lineRule="exact"/>
        <w:rPr>
          <w:rFonts w:ascii="Arial" w:cs="Arial" w:eastAsia="Arial" w:hAnsi="Arial"/>
          <w:sz w:val="16"/>
          <w:szCs w:val="16"/>
          <w:color w:val="auto"/>
        </w:rPr>
      </w:pPr>
    </w:p>
    <w:p>
      <w:pPr>
        <w:ind w:left="560" w:right="20" w:hanging="288"/>
        <w:spacing w:after="0" w:line="329" w:lineRule="auto"/>
        <w:tabs>
          <w:tab w:leader="none" w:pos="560" w:val="left"/>
        </w:tabs>
        <w:numPr>
          <w:ilvl w:val="0"/>
          <w:numId w:val="131"/>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70" w:lineRule="exact"/>
        <w:rPr>
          <w:rFonts w:ascii="Arial" w:cs="Arial" w:eastAsia="Arial" w:hAnsi="Arial"/>
          <w:sz w:val="14"/>
          <w:szCs w:val="14"/>
          <w:color w:val="auto"/>
        </w:rPr>
      </w:pPr>
    </w:p>
    <w:p>
      <w:pPr>
        <w:jc w:val="both"/>
        <w:ind w:left="1120" w:hanging="289"/>
        <w:spacing w:after="0" w:line="250" w:lineRule="auto"/>
        <w:tabs>
          <w:tab w:leader="none" w:pos="1120" w:val="left"/>
        </w:tabs>
        <w:numPr>
          <w:ilvl w:val="1"/>
          <w:numId w:val="13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23" w:lineRule="exact"/>
        <w:rPr>
          <w:rFonts w:ascii="Arial" w:cs="Arial" w:eastAsia="Arial" w:hAnsi="Arial"/>
          <w:sz w:val="16"/>
          <w:szCs w:val="16"/>
          <w:color w:val="auto"/>
        </w:rPr>
      </w:pPr>
    </w:p>
    <w:p>
      <w:pPr>
        <w:jc w:val="both"/>
        <w:ind w:left="1120" w:hanging="289"/>
        <w:spacing w:after="0" w:line="250" w:lineRule="auto"/>
        <w:tabs>
          <w:tab w:leader="none" w:pos="1120" w:val="left"/>
        </w:tabs>
        <w:numPr>
          <w:ilvl w:val="1"/>
          <w:numId w:val="13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3" w:lineRule="exact"/>
        <w:rPr>
          <w:rFonts w:ascii="Arial" w:cs="Arial" w:eastAsia="Arial" w:hAnsi="Arial"/>
          <w:sz w:val="16"/>
          <w:szCs w:val="16"/>
          <w:color w:val="auto"/>
        </w:rPr>
      </w:pPr>
    </w:p>
    <w:p>
      <w:pPr>
        <w:ind w:left="1120" w:hanging="289"/>
        <w:spacing w:after="0" w:line="329" w:lineRule="auto"/>
        <w:tabs>
          <w:tab w:leader="none" w:pos="1120" w:val="left"/>
        </w:tabs>
        <w:numPr>
          <w:ilvl w:val="1"/>
          <w:numId w:val="131"/>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70" w:lineRule="exact"/>
        <w:rPr>
          <w:rFonts w:ascii="Arial" w:cs="Arial" w:eastAsia="Arial" w:hAnsi="Arial"/>
          <w:sz w:val="14"/>
          <w:szCs w:val="14"/>
          <w:color w:val="auto"/>
        </w:rPr>
      </w:pPr>
    </w:p>
    <w:p>
      <w:pPr>
        <w:jc w:val="both"/>
        <w:ind w:left="1120" w:hanging="289"/>
        <w:spacing w:after="0" w:line="250" w:lineRule="auto"/>
        <w:tabs>
          <w:tab w:leader="none" w:pos="1120" w:val="left"/>
        </w:tabs>
        <w:numPr>
          <w:ilvl w:val="1"/>
          <w:numId w:val="131"/>
        </w:numPr>
        <w:rPr>
          <w:rFonts w:ascii="Arial" w:cs="Arial" w:eastAsia="Arial" w:hAnsi="Arial"/>
          <w:sz w:val="16"/>
          <w:szCs w:val="16"/>
          <w:color w:val="auto"/>
        </w:rPr>
      </w:pPr>
      <w:r>
        <w:rPr>
          <w:rFonts w:ascii="Arial" w:cs="Arial" w:eastAsia="Arial" w:hAnsi="Arial"/>
          <w:sz w:val="16"/>
          <w:szCs w:val="16"/>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3" w:lineRule="exact"/>
        <w:rPr>
          <w:rFonts w:ascii="Arial" w:cs="Arial" w:eastAsia="Arial" w:hAnsi="Arial"/>
          <w:sz w:val="16"/>
          <w:szCs w:val="16"/>
          <w:color w:val="auto"/>
        </w:rPr>
      </w:pPr>
    </w:p>
    <w:p>
      <w:pPr>
        <w:ind w:left="560" w:hanging="288"/>
        <w:spacing w:after="0" w:line="258" w:lineRule="auto"/>
        <w:tabs>
          <w:tab w:leader="none" w:pos="56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spacing w:after="0" w:line="116" w:lineRule="exact"/>
        <w:rPr>
          <w:rFonts w:ascii="Arial" w:cs="Arial" w:eastAsia="Arial" w:hAnsi="Arial"/>
          <w:sz w:val="16"/>
          <w:szCs w:val="16"/>
          <w:color w:val="auto"/>
        </w:rPr>
      </w:pPr>
    </w:p>
    <w:p>
      <w:pPr>
        <w:ind w:left="1120" w:right="20" w:hanging="289"/>
        <w:spacing w:after="0" w:line="258" w:lineRule="auto"/>
        <w:tabs>
          <w:tab w:leader="none" w:pos="1120" w:val="left"/>
        </w:tabs>
        <w:numPr>
          <w:ilvl w:val="1"/>
          <w:numId w:val="13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6"/>
          <w:szCs w:val="16"/>
          <w:color w:val="auto"/>
        </w:rPr>
      </w:pPr>
    </w:p>
    <w:p>
      <w:pPr>
        <w:ind w:left="1120" w:right="20" w:hanging="289"/>
        <w:spacing w:after="0" w:line="258" w:lineRule="auto"/>
        <w:tabs>
          <w:tab w:leader="none" w:pos="1120" w:val="left"/>
        </w:tabs>
        <w:numPr>
          <w:ilvl w:val="1"/>
          <w:numId w:val="13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Date: August 3, 2020</w:t>
      </w:r>
    </w:p>
    <w:p>
      <w:pPr>
        <w:spacing w:after="0" w:line="212" w:lineRule="exact"/>
        <w:rPr>
          <w:sz w:val="20"/>
          <w:szCs w:val="20"/>
          <w:color w:val="auto"/>
        </w:rPr>
      </w:pPr>
    </w:p>
    <w:p>
      <w:pPr>
        <w:jc w:val="center"/>
        <w:ind w:right="4220"/>
        <w:spacing w:after="0"/>
        <w:rPr>
          <w:sz w:val="20"/>
          <w:szCs w:val="20"/>
          <w:color w:val="auto"/>
        </w:rPr>
      </w:pPr>
      <w:r>
        <w:rPr>
          <w:rFonts w:ascii="Arial" w:cs="Arial" w:eastAsia="Arial" w:hAnsi="Arial"/>
          <w:sz w:val="16"/>
          <w:szCs w:val="16"/>
          <w:color w:val="auto"/>
        </w:rPr>
        <w:t>/s/ Charles H.R. Bracken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1052195</wp:posOffset>
            </wp:positionH>
            <wp:positionV relativeFrom="paragraph">
              <wp:posOffset>22860</wp:posOffset>
            </wp:positionV>
            <wp:extent cx="236410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2364105" cy="7620"/>
                    </a:xfrm>
                    <a:prstGeom prst="rect">
                      <a:avLst/>
                    </a:prstGeom>
                    <a:noFill/>
                  </pic:spPr>
                </pic:pic>
              </a:graphicData>
            </a:graphic>
          </wp:anchor>
        </w:drawing>
      </w:r>
    </w:p>
    <w:p>
      <w:pPr>
        <w:spacing w:after="0" w:line="40" w:lineRule="exact"/>
        <w:rPr>
          <w:sz w:val="20"/>
          <w:szCs w:val="20"/>
          <w:color w:val="auto"/>
        </w:rPr>
      </w:pPr>
    </w:p>
    <w:p>
      <w:pPr>
        <w:jc w:val="center"/>
        <w:ind w:right="4220"/>
        <w:spacing w:after="0"/>
        <w:rPr>
          <w:sz w:val="20"/>
          <w:szCs w:val="20"/>
          <w:color w:val="auto"/>
        </w:rPr>
      </w:pPr>
      <w:r>
        <w:rPr>
          <w:rFonts w:ascii="Arial" w:cs="Arial" w:eastAsia="Arial" w:hAnsi="Arial"/>
          <w:sz w:val="16"/>
          <w:szCs w:val="16"/>
          <w:color w:val="auto"/>
        </w:rPr>
        <w:t>Charles H.R. Bracken</w:t>
      </w:r>
    </w:p>
    <w:p>
      <w:pPr>
        <w:spacing w:after="0" w:line="49" w:lineRule="exact"/>
        <w:rPr>
          <w:sz w:val="20"/>
          <w:szCs w:val="20"/>
          <w:color w:val="auto"/>
        </w:rPr>
      </w:pPr>
    </w:p>
    <w:p>
      <w:pPr>
        <w:jc w:val="center"/>
        <w:ind w:right="4220"/>
        <w:spacing w:after="0"/>
        <w:rPr>
          <w:sz w:val="20"/>
          <w:szCs w:val="20"/>
          <w:color w:val="auto"/>
        </w:rPr>
      </w:pPr>
      <w:r>
        <w:rPr>
          <w:rFonts w:ascii="Arial" w:cs="Arial" w:eastAsia="Arial" w:hAnsi="Arial"/>
          <w:sz w:val="16"/>
          <w:szCs w:val="16"/>
          <w:color w:val="auto"/>
        </w:rPr>
        <w:t>Executive Vice President and Chief Financial Officer</w:t>
      </w:r>
    </w:p>
    <w:p>
      <w:pPr>
        <w:sectPr>
          <w:pgSz w:w="11900" w:h="16838" w:orient="portrait"/>
          <w:cols w:equalWidth="0" w:num="1">
            <w:col w:w="11260"/>
          </w:cols>
          <w:pgMar w:left="320" w:top="495" w:right="319" w:bottom="1440" w:gutter="0" w:footer="0" w:header="0"/>
        </w:sectPr>
      </w:pPr>
    </w:p>
    <w:bookmarkStart w:id="135" w:name="page136"/>
    <w:bookmarkEnd w:id="135"/>
    <w:p>
      <w:pPr>
        <w:jc w:val="right"/>
        <w:spacing w:after="0"/>
        <w:rPr>
          <w:sz w:val="20"/>
          <w:szCs w:val="20"/>
          <w:color w:val="auto"/>
        </w:rPr>
      </w:pPr>
      <w:r>
        <w:rPr>
          <w:rFonts w:ascii="Arial" w:cs="Arial" w:eastAsia="Arial" w:hAnsi="Arial"/>
          <w:sz w:val="16"/>
          <w:szCs w:val="16"/>
          <w:b w:val="1"/>
          <w:bCs w:val="1"/>
          <w:color w:val="auto"/>
        </w:rPr>
        <w:t>Exhibit 32</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906 of the Sarbanes-Oxley Act of 2002</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(Subsections (a) and (b) of Section 1350, Chapter 63 of Title 18, United States Code)</w:t>
      </w:r>
    </w:p>
    <w:p>
      <w:pPr>
        <w:spacing w:after="0" w:line="364" w:lineRule="exact"/>
        <w:rPr>
          <w:sz w:val="20"/>
          <w:szCs w:val="20"/>
          <w:color w:val="auto"/>
        </w:rPr>
      </w:pPr>
    </w:p>
    <w:p>
      <w:pPr>
        <w:jc w:val="both"/>
        <w:ind w:firstLine="279"/>
        <w:spacing w:after="0" w:line="258" w:lineRule="auto"/>
        <w:rPr>
          <w:sz w:val="20"/>
          <w:szCs w:val="20"/>
          <w:color w:val="auto"/>
        </w:rPr>
      </w:pPr>
      <w:r>
        <w:rPr>
          <w:rFonts w:ascii="Arial" w:cs="Arial" w:eastAsia="Arial" w:hAnsi="Arial"/>
          <w:sz w:val="16"/>
          <w:szCs w:val="16"/>
          <w:color w:val="auto"/>
        </w:rPr>
        <w:t>Pursuant to section 906 of the Sarbanes-Oxley Act of 2002 (subsections (a) and (b) of section 1350, chapter 63 of title 18, United States Code), each of the undersigned officers of Liberty Global plc (the "Company"), does hereby certify, to such officer's knowledge, that:</w:t>
      </w:r>
    </w:p>
    <w:p>
      <w:pPr>
        <w:spacing w:after="0" w:line="163" w:lineRule="exact"/>
        <w:rPr>
          <w:sz w:val="20"/>
          <w:szCs w:val="20"/>
          <w:color w:val="auto"/>
        </w:rPr>
      </w:pPr>
    </w:p>
    <w:p>
      <w:pPr>
        <w:jc w:val="both"/>
        <w:ind w:firstLine="279"/>
        <w:spacing w:after="0" w:line="303" w:lineRule="auto"/>
        <w:rPr>
          <w:sz w:val="20"/>
          <w:szCs w:val="20"/>
          <w:color w:val="auto"/>
        </w:rPr>
      </w:pPr>
      <w:r>
        <w:rPr>
          <w:rFonts w:ascii="Arial" w:cs="Arial" w:eastAsia="Arial" w:hAnsi="Arial"/>
          <w:sz w:val="14"/>
          <w:szCs w:val="14"/>
          <w:color w:val="auto"/>
        </w:rPr>
        <w:t>The Quarterly Report on Form 10-Q for the period ended June 30, 2020 (the "Form 10-Q") of the Company fully complies with the requirements of section 13(a) or 15(d) of the Securities Exchange Act of 1934 and information contained in the Form 10-Q fairly presents, in all material respects, the financial condition and results of operations of the Company as of June 30, 2020 and December 31, 2019, and for the three and six months ended June 30, 2020 and 2019.</w:t>
      </w:r>
    </w:p>
    <w:p>
      <w:pPr>
        <w:spacing w:after="0" w:line="274" w:lineRule="exact"/>
        <w:rPr>
          <w:sz w:val="20"/>
          <w:szCs w:val="20"/>
          <w:color w:val="auto"/>
        </w:rPr>
      </w:pPr>
    </w:p>
    <w:p>
      <w:pPr>
        <w:ind w:left="1720"/>
        <w:spacing w:after="0"/>
        <w:tabs>
          <w:tab w:leader="none" w:pos="5920" w:val="left"/>
          <w:tab w:leader="none" w:pos="6260" w:val="left"/>
        </w:tabs>
        <w:rPr>
          <w:sz w:val="20"/>
          <w:szCs w:val="20"/>
          <w:color w:val="auto"/>
        </w:rPr>
      </w:pPr>
      <w:r>
        <w:rPr>
          <w:rFonts w:ascii="Arial" w:cs="Arial" w:eastAsia="Arial" w:hAnsi="Arial"/>
          <w:sz w:val="16"/>
          <w:szCs w:val="16"/>
          <w:color w:val="auto"/>
        </w:rPr>
        <w:t>Dated: August 3, 2020</w:t>
      </w:r>
      <w:r>
        <w:rPr>
          <w:sz w:val="20"/>
          <w:szCs w:val="20"/>
          <w:color w:val="auto"/>
        </w:rPr>
        <w:tab/>
      </w:r>
      <w:r>
        <w:rPr>
          <w:rFonts w:ascii="Arial" w:cs="Arial" w:eastAsia="Arial" w:hAnsi="Arial"/>
          <w:sz w:val="16"/>
          <w:szCs w:val="16"/>
          <w:color w:val="auto"/>
        </w:rPr>
        <w:t>/s/</w:t>
      </w:r>
      <w:r>
        <w:rPr>
          <w:sz w:val="20"/>
          <w:szCs w:val="20"/>
          <w:color w:val="auto"/>
        </w:rPr>
        <w:tab/>
      </w:r>
      <w:r>
        <w:rPr>
          <w:rFonts w:ascii="Arial" w:cs="Arial" w:eastAsia="Arial" w:hAnsi="Arial"/>
          <w:sz w:val="14"/>
          <w:szCs w:val="14"/>
          <w:color w:val="auto"/>
        </w:rPr>
        <w:t>Michael T. Fries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3770630</wp:posOffset>
            </wp:positionH>
            <wp:positionV relativeFrom="paragraph">
              <wp:posOffset>22860</wp:posOffset>
            </wp:positionV>
            <wp:extent cx="232727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2327275" cy="7620"/>
                    </a:xfrm>
                    <a:prstGeom prst="rect">
                      <a:avLst/>
                    </a:prstGeom>
                    <a:noFill/>
                  </pic:spPr>
                </pic:pic>
              </a:graphicData>
            </a:graphic>
          </wp:anchor>
        </w:drawing>
      </w:r>
    </w:p>
    <w:p>
      <w:pPr>
        <w:spacing w:after="0" w:line="40"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Michael T. Fries</w:t>
      </w:r>
    </w:p>
    <w:p>
      <w:pPr>
        <w:spacing w:after="0" w:line="49"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720"/>
        <w:spacing w:after="0"/>
        <w:tabs>
          <w:tab w:leader="none" w:pos="5920" w:val="left"/>
          <w:tab w:leader="none" w:pos="6260" w:val="left"/>
        </w:tabs>
        <w:rPr>
          <w:sz w:val="20"/>
          <w:szCs w:val="20"/>
          <w:color w:val="auto"/>
        </w:rPr>
      </w:pPr>
      <w:r>
        <w:rPr>
          <w:rFonts w:ascii="Arial" w:cs="Arial" w:eastAsia="Arial" w:hAnsi="Arial"/>
          <w:sz w:val="16"/>
          <w:szCs w:val="16"/>
          <w:color w:val="auto"/>
        </w:rPr>
        <w:t>Dated: August 3, 2020</w:t>
      </w:r>
      <w:r>
        <w:rPr>
          <w:sz w:val="20"/>
          <w:szCs w:val="20"/>
          <w:color w:val="auto"/>
        </w:rPr>
        <w:tab/>
      </w:r>
      <w:r>
        <w:rPr>
          <w:rFonts w:ascii="Arial" w:cs="Arial" w:eastAsia="Arial" w:hAnsi="Arial"/>
          <w:sz w:val="16"/>
          <w:szCs w:val="16"/>
          <w:color w:val="auto"/>
        </w:rPr>
        <w:t>/s/</w:t>
      </w:r>
      <w:r>
        <w:rPr>
          <w:sz w:val="20"/>
          <w:szCs w:val="20"/>
          <w:color w:val="auto"/>
        </w:rPr>
        <w:tab/>
      </w:r>
      <w:r>
        <w:rPr>
          <w:rFonts w:ascii="Arial" w:cs="Arial" w:eastAsia="Arial" w:hAnsi="Arial"/>
          <w:sz w:val="14"/>
          <w:szCs w:val="14"/>
          <w:color w:val="auto"/>
        </w:rPr>
        <w:t>Charles H.R. Bracken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3770630</wp:posOffset>
            </wp:positionH>
            <wp:positionV relativeFrom="paragraph">
              <wp:posOffset>22860</wp:posOffset>
            </wp:positionV>
            <wp:extent cx="232727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2327275" cy="7620"/>
                    </a:xfrm>
                    <a:prstGeom prst="rect">
                      <a:avLst/>
                    </a:prstGeom>
                    <a:noFill/>
                  </pic:spPr>
                </pic:pic>
              </a:graphicData>
            </a:graphic>
          </wp:anchor>
        </w:drawing>
      </w:r>
    </w:p>
    <w:p>
      <w:pPr>
        <w:spacing w:after="0" w:line="40"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Charles H.R. Bracken</w:t>
      </w:r>
    </w:p>
    <w:p>
      <w:pPr>
        <w:spacing w:after="0" w:line="49"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Executive Vice President and Chief Financial Officer</w:t>
      </w:r>
    </w:p>
    <w:p>
      <w:pPr>
        <w:spacing w:after="0" w:line="212" w:lineRule="exact"/>
        <w:rPr>
          <w:sz w:val="20"/>
          <w:szCs w:val="20"/>
          <w:color w:val="auto"/>
        </w:rPr>
      </w:pPr>
    </w:p>
    <w:p>
      <w:pPr>
        <w:jc w:val="both"/>
        <w:ind w:firstLine="279"/>
        <w:spacing w:after="0" w:line="258" w:lineRule="auto"/>
        <w:rPr>
          <w:sz w:val="20"/>
          <w:szCs w:val="20"/>
          <w:color w:val="auto"/>
        </w:rPr>
      </w:pPr>
      <w:r>
        <w:rPr>
          <w:rFonts w:ascii="Arial" w:cs="Arial" w:eastAsia="Arial" w:hAnsi="Arial"/>
          <w:sz w:val="16"/>
          <w:szCs w:val="16"/>
          <w:color w:val="auto"/>
        </w:rPr>
        <w:t>The foregoing certification is being furnished solely pursuant to section 906 of the Sarbanes-Oxley Act of 2002 (subsections (a) and (b) of section 1350, chapter 63 of title 18, United States Code) and is not being filed as part of the Form 10-Q or as a separate disclosure document.</w:t>
      </w:r>
    </w:p>
    <w:sectPr>
      <w:pgSz w:w="11900" w:h="16838" w:orient="portrait"/>
      <w:cols w:equalWidth="0" w:num="1">
        <w:col w:w="11260"/>
      </w:cols>
      <w:pgMar w:left="320" w:top="49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BABF00"/>
    <w:multiLevelType w:val="hybridMultilevel"/>
    <w:lvl w:ilvl="0">
      <w:lvlJc w:val="left"/>
      <w:lvlText w:val="☑"/>
      <w:numFmt w:val="bullet"/>
      <w:start w:val="1"/>
    </w:lvl>
  </w:abstractNum>
  <w:abstractNum w:abstractNumId="1">
    <w:nsid w:val="4AD084E9"/>
    <w:multiLevelType w:val="hybridMultilevel"/>
    <w:lvl w:ilvl="0">
      <w:lvlJc w:val="left"/>
      <w:lvlText w:val="☐"/>
      <w:numFmt w:val="bullet"/>
      <w:start w:val="1"/>
    </w:lvl>
  </w:abstractNum>
  <w:abstractNum w:abstractNumId="2">
    <w:nsid w:val="1F48EAA1"/>
    <w:multiLevelType w:val="hybridMultilevel"/>
    <w:lvl w:ilvl="0">
      <w:lvlJc w:val="left"/>
      <w:lvlText w:val="(%1)"/>
      <w:numFmt w:val="decimal"/>
      <w:start w:val="1"/>
    </w:lvl>
  </w:abstractNum>
  <w:abstractNum w:abstractNumId="3">
    <w:nsid w:val="1381823A"/>
    <w:multiLevelType w:val="hybridMultilevel"/>
    <w:lvl w:ilvl="0">
      <w:lvlJc w:val="left"/>
      <w:lvlText w:val="(%1)"/>
      <w:numFmt w:val="decimal"/>
      <w:start w:val="2"/>
    </w:lvl>
  </w:abstractNum>
  <w:abstractNum w:abstractNumId="4">
    <w:nsid w:val="5DB70AE5"/>
    <w:multiLevelType w:val="hybridMultilevel"/>
    <w:lvl w:ilvl="0">
      <w:lvlJc w:val="left"/>
      <w:lvlText w:val="(%1)"/>
      <w:numFmt w:val="decimal"/>
      <w:start w:val="3"/>
    </w:lvl>
  </w:abstractNum>
  <w:abstractNum w:abstractNumId="5">
    <w:nsid w:val="100F8FCA"/>
    <w:multiLevelType w:val="hybridMultilevel"/>
    <w:lvl w:ilvl="0">
      <w:lvlJc w:val="left"/>
      <w:lvlText w:val="(%1)"/>
      <w:numFmt w:val="decimal"/>
      <w:start w:val="4"/>
    </w:lvl>
  </w:abstractNum>
  <w:abstractNum w:abstractNumId="6">
    <w:nsid w:val="6590700B"/>
    <w:multiLevelType w:val="hybridMultilevel"/>
    <w:lvl w:ilvl="0">
      <w:lvlJc w:val="left"/>
      <w:lvlText w:val="(%1)"/>
      <w:numFmt w:val="lowerLetter"/>
      <w:start w:val="1"/>
    </w:lvl>
  </w:abstractNum>
  <w:abstractNum w:abstractNumId="7">
    <w:nsid w:val="15014ACB"/>
    <w:multiLevelType w:val="hybridMultilevel"/>
    <w:lvl w:ilvl="0">
      <w:lvlJc w:val="left"/>
      <w:lvlText w:val="(%1)"/>
      <w:numFmt w:val="lowerLetter"/>
      <w:start w:val="1"/>
    </w:lvl>
  </w:abstractNum>
  <w:abstractNum w:abstractNumId="8">
    <w:nsid w:val="5F5E7FD0"/>
    <w:multiLevelType w:val="hybridMultilevel"/>
    <w:lvl w:ilvl="0">
      <w:lvlJc w:val="left"/>
      <w:lvlText w:val="(%1)"/>
      <w:numFmt w:val="lowerLetter"/>
      <w:start w:val="4"/>
    </w:lvl>
  </w:abstractNum>
  <w:abstractNum w:abstractNumId="9">
    <w:nsid w:val="98A3148"/>
    <w:multiLevelType w:val="hybridMultilevel"/>
    <w:lvl w:ilvl="0">
      <w:lvlJc w:val="left"/>
      <w:lvlText w:val="(%1)"/>
      <w:numFmt w:val="lowerLetter"/>
      <w:start w:val="1"/>
    </w:lvl>
  </w:abstractNum>
  <w:abstractNum w:abstractNumId="10">
    <w:nsid w:val="799D0247"/>
    <w:multiLevelType w:val="hybridMultilevel"/>
    <w:lvl w:ilvl="0">
      <w:lvlJc w:val="left"/>
      <w:lvlText w:val="(%1)"/>
      <w:numFmt w:val="decimal"/>
      <w:start w:val="6"/>
    </w:lvl>
  </w:abstractNum>
  <w:abstractNum w:abstractNumId="11">
    <w:nsid w:val="6B94764"/>
    <w:multiLevelType w:val="hybridMultilevel"/>
    <w:lvl w:ilvl="0">
      <w:lvlJc w:val="left"/>
      <w:lvlText w:val="(%1)"/>
      <w:numFmt w:val="lowerLetter"/>
      <w:start w:val="1"/>
    </w:lvl>
  </w:abstractNum>
  <w:abstractNum w:abstractNumId="12">
    <w:nsid w:val="42C296BD"/>
    <w:multiLevelType w:val="hybridMultilevel"/>
    <w:lvl w:ilvl="0">
      <w:lvlJc w:val="left"/>
      <w:lvlText w:val="(%1)"/>
      <w:numFmt w:val="lowerLetter"/>
      <w:start w:val="3"/>
    </w:lvl>
  </w:abstractNum>
  <w:abstractNum w:abstractNumId="13">
    <w:nsid w:val="168E121F"/>
    <w:multiLevelType w:val="hybridMultilevel"/>
    <w:lvl w:ilvl="0">
      <w:lvlJc w:val="left"/>
      <w:lvlText w:val="(%1)"/>
      <w:numFmt w:val="lowerLetter"/>
      <w:start w:val="1"/>
    </w:lvl>
  </w:abstractNum>
  <w:abstractNum w:abstractNumId="14">
    <w:nsid w:val="1EBA5D23"/>
    <w:multiLevelType w:val="hybridMultilevel"/>
    <w:lvl w:ilvl="0">
      <w:lvlJc w:val="left"/>
      <w:lvlText w:val="(%1)"/>
      <w:numFmt w:val="lowerLetter"/>
      <w:start w:val="1"/>
    </w:lvl>
  </w:abstractNum>
  <w:abstractNum w:abstractNumId="15">
    <w:nsid w:val="661E3F1E"/>
    <w:multiLevelType w:val="hybridMultilevel"/>
    <w:lvl w:ilvl="0">
      <w:lvlJc w:val="left"/>
      <w:lvlText w:val="(%1)"/>
      <w:numFmt w:val="lowerLetter"/>
      <w:start w:val="1"/>
    </w:lvl>
  </w:abstractNum>
  <w:abstractNum w:abstractNumId="16">
    <w:nsid w:val="5DC79EA8"/>
    <w:multiLevelType w:val="hybridMultilevel"/>
    <w:lvl w:ilvl="0">
      <w:lvlJc w:val="left"/>
      <w:lvlText w:val="(%1)"/>
      <w:numFmt w:val="decimal"/>
      <w:start w:val="7"/>
    </w:lvl>
  </w:abstractNum>
  <w:abstractNum w:abstractNumId="17">
    <w:nsid w:val="540A471C"/>
    <w:multiLevelType w:val="hybridMultilevel"/>
    <w:lvl w:ilvl="0">
      <w:lvlJc w:val="left"/>
      <w:lvlText w:val="(%1)"/>
      <w:numFmt w:val="lowerLetter"/>
      <w:start w:val="1"/>
    </w:lvl>
  </w:abstractNum>
  <w:abstractNum w:abstractNumId="18">
    <w:nsid w:val="7BD3EE7B"/>
    <w:multiLevelType w:val="hybridMultilevel"/>
    <w:lvl w:ilvl="0">
      <w:lvlJc w:val="left"/>
      <w:lvlText w:val="(%1)"/>
      <w:numFmt w:val="lowerLetter"/>
      <w:start w:val="1"/>
    </w:lvl>
  </w:abstractNum>
  <w:abstractNum w:abstractNumId="19">
    <w:nsid w:val="51D9C564"/>
    <w:multiLevelType w:val="hybridMultilevel"/>
    <w:lvl w:ilvl="0">
      <w:lvlJc w:val="left"/>
      <w:lvlText w:val="(%1)"/>
      <w:numFmt w:val="lowerLetter"/>
      <w:start w:val="1"/>
    </w:lvl>
  </w:abstractNum>
  <w:abstractNum w:abstractNumId="20">
    <w:nsid w:val="613EFDC5"/>
    <w:multiLevelType w:val="hybridMultilevel"/>
    <w:lvl w:ilvl="0">
      <w:lvlJc w:val="left"/>
      <w:lvlText w:val="(%1)"/>
      <w:numFmt w:val="lowerLetter"/>
      <w:start w:val="6"/>
    </w:lvl>
  </w:abstractNum>
  <w:abstractNum w:abstractNumId="21">
    <w:nsid w:val="BF72B14"/>
    <w:multiLevelType w:val="hybridMultilevel"/>
    <w:lvl w:ilvl="0">
      <w:lvlJc w:val="left"/>
      <w:lvlText w:val="(%1)"/>
      <w:numFmt w:val="lowerLetter"/>
      <w:start w:val="1"/>
    </w:lvl>
  </w:abstractNum>
  <w:abstractNum w:abstractNumId="22">
    <w:nsid w:val="11447B73"/>
    <w:multiLevelType w:val="hybridMultilevel"/>
    <w:lvl w:ilvl="0">
      <w:lvlJc w:val="left"/>
      <w:lvlText w:val="(%1)"/>
      <w:numFmt w:val="lowerLetter"/>
      <w:start w:val="3"/>
    </w:lvl>
  </w:abstractNum>
  <w:abstractNum w:abstractNumId="23">
    <w:nsid w:val="42963E5A"/>
    <w:multiLevelType w:val="hybridMultilevel"/>
    <w:lvl w:ilvl="0">
      <w:lvlJc w:val="left"/>
      <w:lvlText w:val="(%1)"/>
      <w:numFmt w:val="decimal"/>
      <w:start w:val="10"/>
    </w:lvl>
  </w:abstractNum>
  <w:abstractNum w:abstractNumId="24">
    <w:nsid w:val="A0382C5"/>
    <w:multiLevelType w:val="hybridMultilevel"/>
    <w:lvl w:ilvl="0">
      <w:lvlJc w:val="left"/>
      <w:lvlText w:val="(%1)"/>
      <w:numFmt w:val="lowerLetter"/>
      <w:start w:val="1"/>
    </w:lvl>
  </w:abstractNum>
  <w:abstractNum w:abstractNumId="25">
    <w:nsid w:val="8F2B15E"/>
    <w:multiLevelType w:val="hybridMultilevel"/>
    <w:lvl w:ilvl="0">
      <w:lvlJc w:val="left"/>
      <w:lvlText w:val="(%1)"/>
      <w:numFmt w:val="lowerLetter"/>
      <w:start w:val="2"/>
    </w:lvl>
  </w:abstractNum>
  <w:abstractNum w:abstractNumId="26">
    <w:nsid w:val="1A32234B"/>
    <w:multiLevelType w:val="hybridMultilevel"/>
    <w:lvl w:ilvl="0">
      <w:lvlJc w:val="left"/>
      <w:lvlText w:val="(%1)"/>
      <w:numFmt w:val="lowerLetter"/>
      <w:start w:val="1"/>
    </w:lvl>
  </w:abstractNum>
  <w:abstractNum w:abstractNumId="27">
    <w:nsid w:val="3B0FD379"/>
    <w:multiLevelType w:val="hybridMultilevel"/>
    <w:lvl w:ilvl="0">
      <w:lvlJc w:val="left"/>
      <w:lvlText w:val="(%1)"/>
      <w:numFmt w:val="decimal"/>
      <w:start w:val="11"/>
    </w:lvl>
  </w:abstractNum>
  <w:abstractNum w:abstractNumId="28">
    <w:nsid w:val="68EB2F63"/>
    <w:multiLevelType w:val="hybridMultilevel"/>
    <w:lvl w:ilvl="0">
      <w:lvlJc w:val="left"/>
      <w:lvlText w:val="(%1)"/>
      <w:numFmt w:val="lowerLetter"/>
      <w:start w:val="1"/>
    </w:lvl>
  </w:abstractNum>
  <w:abstractNum w:abstractNumId="29">
    <w:nsid w:val="4962813B"/>
    <w:multiLevelType w:val="hybridMultilevel"/>
    <w:lvl w:ilvl="0">
      <w:lvlJc w:val="left"/>
      <w:lvlText w:val="(%1)"/>
      <w:numFmt w:val="lowerLetter"/>
      <w:start w:val="2"/>
    </w:lvl>
  </w:abstractNum>
  <w:abstractNum w:abstractNumId="30">
    <w:nsid w:val="60B6DF70"/>
    <w:multiLevelType w:val="hybridMultilevel"/>
    <w:lvl w:ilvl="0">
      <w:lvlJc w:val="left"/>
      <w:lvlText w:val="(%1)"/>
      <w:numFmt w:val="decimal"/>
      <w:start w:val="12"/>
    </w:lvl>
  </w:abstractNum>
  <w:abstractNum w:abstractNumId="31">
    <w:nsid w:val="6A5EE64"/>
    <w:multiLevelType w:val="hybridMultilevel"/>
    <w:lvl w:ilvl="0">
      <w:lvlJc w:val="left"/>
      <w:lvlText w:val="(%1)"/>
      <w:numFmt w:val="decimal"/>
      <w:start w:val="13"/>
    </w:lvl>
  </w:abstractNum>
  <w:abstractNum w:abstractNumId="32">
    <w:nsid w:val="14330624"/>
    <w:multiLevelType w:val="hybridMultilevel"/>
    <w:lvl w:ilvl="0">
      <w:lvlJc w:val="left"/>
      <w:lvlText w:val="(%1)"/>
      <w:numFmt w:val="lowerLetter"/>
      <w:start w:val="1"/>
    </w:lvl>
  </w:abstractNum>
  <w:abstractNum w:abstractNumId="33">
    <w:nsid w:val="7FFFCA11"/>
    <w:multiLevelType w:val="hybridMultilevel"/>
    <w:lvl w:ilvl="0">
      <w:lvlJc w:val="left"/>
      <w:lvlText w:val="(%1)"/>
      <w:numFmt w:val="decimal"/>
      <w:start w:val="14"/>
    </w:lvl>
  </w:abstractNum>
  <w:abstractNum w:abstractNumId="34">
    <w:nsid w:val="1A27709E"/>
    <w:multiLevelType w:val="hybridMultilevel"/>
    <w:lvl w:ilvl="0">
      <w:lvlJc w:val="left"/>
      <w:lvlText w:val="(%1)"/>
      <w:numFmt w:val="lowerLetter"/>
      <w:start w:val="1"/>
    </w:lvl>
  </w:abstractNum>
  <w:abstractNum w:abstractNumId="35">
    <w:nsid w:val="71EA1109"/>
    <w:multiLevelType w:val="hybridMultilevel"/>
    <w:lvl w:ilvl="0">
      <w:lvlJc w:val="left"/>
      <w:lvlText w:val="(%1)"/>
      <w:numFmt w:val="decimal"/>
      <w:start w:val="15"/>
    </w:lvl>
  </w:abstractNum>
  <w:abstractNum w:abstractNumId="36">
    <w:nsid w:val="100F59DC"/>
    <w:multiLevelType w:val="hybridMultilevel"/>
    <w:lvl w:ilvl="0">
      <w:lvlJc w:val="left"/>
      <w:lvlText w:val="(%1)"/>
      <w:numFmt w:val="decimal"/>
      <w:start w:val="16"/>
    </w:lvl>
  </w:abstractNum>
  <w:abstractNum w:abstractNumId="37">
    <w:nsid w:val="7FB7E0AA"/>
    <w:multiLevelType w:val="hybridMultilevel"/>
    <w:lvl w:ilvl="0">
      <w:lvlJc w:val="left"/>
      <w:lvlText w:val="(%1)"/>
      <w:numFmt w:val="decimal"/>
      <w:start w:val="17"/>
    </w:lvl>
  </w:abstractNum>
  <w:abstractNum w:abstractNumId="38">
    <w:nsid w:val="6EB5BD4"/>
    <w:multiLevelType w:val="hybridMultilevel"/>
    <w:lvl w:ilvl="0">
      <w:lvlJc w:val="left"/>
      <w:lvlText w:val="•"/>
      <w:numFmt w:val="bullet"/>
      <w:start w:val="1"/>
    </w:lvl>
  </w:abstractNum>
  <w:abstractNum w:abstractNumId="39">
    <w:nsid w:val="6F6DD9AC"/>
    <w:multiLevelType w:val="hybridMultilevel"/>
    <w:lvl w:ilvl="0">
      <w:lvlJc w:val="left"/>
      <w:lvlText w:val="•"/>
      <w:numFmt w:val="bullet"/>
      <w:start w:val="1"/>
    </w:lvl>
  </w:abstractNum>
  <w:abstractNum w:abstractNumId="40">
    <w:nsid w:val="94211F2"/>
    <w:multiLevelType w:val="hybridMultilevel"/>
    <w:lvl w:ilvl="0">
      <w:lvlJc w:val="left"/>
      <w:lvlText w:val="(%1)"/>
      <w:numFmt w:val="lowerLetter"/>
      <w:start w:val="1"/>
    </w:lvl>
  </w:abstractNum>
  <w:abstractNum w:abstractNumId="41">
    <w:nsid w:val="885E1B"/>
    <w:multiLevelType w:val="hybridMultilevel"/>
    <w:lvl w:ilvl="0">
      <w:lvlJc w:val="left"/>
      <w:lvlText w:val="(%1)"/>
      <w:numFmt w:val="lowerLetter"/>
      <w:start w:val="1"/>
    </w:lvl>
  </w:abstractNum>
  <w:abstractNum w:abstractNumId="42">
    <w:nsid w:val="76272110"/>
    <w:multiLevelType w:val="hybridMultilevel"/>
    <w:lvl w:ilvl="0">
      <w:lvlJc w:val="left"/>
      <w:lvlText w:val="(%1)"/>
      <w:numFmt w:val="lowerLetter"/>
      <w:start w:val="1"/>
    </w:lvl>
  </w:abstractNum>
  <w:abstractNum w:abstractNumId="43">
    <w:nsid w:val="4C04A8AF"/>
    <w:multiLevelType w:val="hybridMultilevel"/>
    <w:lvl w:ilvl="0">
      <w:lvlJc w:val="left"/>
      <w:lvlText w:val="(%1)"/>
      <w:numFmt w:val="lowerLetter"/>
      <w:start w:val="5"/>
    </w:lvl>
  </w:abstractNum>
  <w:abstractNum w:abstractNumId="44">
    <w:nsid w:val="1716703B"/>
    <w:multiLevelType w:val="hybridMultilevel"/>
    <w:lvl w:ilvl="0">
      <w:lvlJc w:val="left"/>
      <w:lvlText w:val="•"/>
      <w:numFmt w:val="bullet"/>
      <w:start w:val="1"/>
    </w:lvl>
  </w:abstractNum>
  <w:abstractNum w:abstractNumId="45">
    <w:nsid w:val="14E17E33"/>
    <w:multiLevelType w:val="hybridMultilevel"/>
    <w:lvl w:ilvl="0">
      <w:lvlJc w:val="left"/>
      <w:lvlText w:val="•"/>
      <w:numFmt w:val="bullet"/>
      <w:start w:val="1"/>
    </w:lvl>
  </w:abstractNum>
  <w:abstractNum w:abstractNumId="46">
    <w:nsid w:val="3222E7CD"/>
    <w:multiLevelType w:val="hybridMultilevel"/>
    <w:lvl w:ilvl="0">
      <w:lvlJc w:val="left"/>
      <w:lvlText w:val="•"/>
      <w:numFmt w:val="bullet"/>
      <w:start w:val="1"/>
    </w:lvl>
  </w:abstractNum>
  <w:abstractNum w:abstractNumId="47">
    <w:nsid w:val="74DE0EE3"/>
    <w:multiLevelType w:val="hybridMultilevel"/>
    <w:lvl w:ilvl="0">
      <w:lvlJc w:val="left"/>
      <w:lvlText w:val="(%1)"/>
      <w:numFmt w:val="lowerRoman"/>
      <w:start w:val="5"/>
    </w:lvl>
  </w:abstractNum>
  <w:abstractNum w:abstractNumId="48">
    <w:nsid w:val="68EBC550"/>
    <w:multiLevelType w:val="hybridMultilevel"/>
    <w:lvl w:ilvl="0">
      <w:lvlJc w:val="left"/>
      <w:lvlText w:val="(%1)"/>
      <w:numFmt w:val="lowerLetter"/>
      <w:start w:val="1"/>
    </w:lvl>
  </w:abstractNum>
  <w:abstractNum w:abstractNumId="49">
    <w:nsid w:val="2DF6D648"/>
    <w:multiLevelType w:val="hybridMultilevel"/>
    <w:lvl w:ilvl="0">
      <w:lvlJc w:val="left"/>
      <w:lvlText w:val="(%1)"/>
      <w:numFmt w:val="lowerLetter"/>
      <w:start w:val="1"/>
    </w:lvl>
  </w:abstractNum>
  <w:abstractNum w:abstractNumId="50">
    <w:nsid w:val="46B7D447"/>
    <w:multiLevelType w:val="hybridMultilevel"/>
    <w:lvl w:ilvl="0">
      <w:lvlJc w:val="left"/>
      <w:lvlText w:val="(%1)"/>
      <w:numFmt w:val="lowerLetter"/>
      <w:start w:val="1"/>
    </w:lvl>
  </w:abstractNum>
  <w:abstractNum w:abstractNumId="51">
    <w:nsid w:val="4A2AC315"/>
    <w:multiLevelType w:val="hybridMultilevel"/>
    <w:lvl w:ilvl="0">
      <w:lvlJc w:val="left"/>
      <w:lvlText w:val="(%1)"/>
      <w:numFmt w:val="lowerLetter"/>
      <w:start w:val="1"/>
    </w:lvl>
  </w:abstractNum>
  <w:abstractNum w:abstractNumId="52">
    <w:nsid w:val="39EE015C"/>
    <w:multiLevelType w:val="hybridMultilevel"/>
    <w:lvl w:ilvl="0">
      <w:lvlJc w:val="left"/>
      <w:lvlText w:val="(%1)"/>
      <w:numFmt w:val="lowerLetter"/>
      <w:start w:val="1"/>
    </w:lvl>
  </w:abstractNum>
  <w:abstractNum w:abstractNumId="53">
    <w:nsid w:val="57FC4FBB"/>
    <w:multiLevelType w:val="hybridMultilevel"/>
    <w:lvl w:ilvl="0">
      <w:lvlJc w:val="left"/>
      <w:lvlText w:val="(%1)"/>
      <w:numFmt w:val="lowerLetter"/>
      <w:start w:val="1"/>
    </w:lvl>
  </w:abstractNum>
  <w:abstractNum w:abstractNumId="54">
    <w:nsid w:val="CC1016F"/>
    <w:multiLevelType w:val="hybridMultilevel"/>
    <w:lvl w:ilvl="0">
      <w:lvlJc w:val="left"/>
      <w:lvlText w:val="(%1)"/>
      <w:numFmt w:val="lowerLetter"/>
      <w:start w:val="1"/>
    </w:lvl>
  </w:abstractNum>
  <w:abstractNum w:abstractNumId="55">
    <w:nsid w:val="43F18422"/>
    <w:multiLevelType w:val="hybridMultilevel"/>
    <w:lvl w:ilvl="0">
      <w:lvlJc w:val="left"/>
      <w:lvlText w:val="•"/>
      <w:numFmt w:val="bullet"/>
      <w:start w:val="1"/>
    </w:lvl>
  </w:abstractNum>
  <w:abstractNum w:abstractNumId="56">
    <w:nsid w:val="60EF0119"/>
    <w:multiLevelType w:val="hybridMultilevel"/>
    <w:lvl w:ilvl="0">
      <w:lvlJc w:val="left"/>
      <w:lvlText w:val="•"/>
      <w:numFmt w:val="bullet"/>
      <w:start w:val="1"/>
    </w:lvl>
  </w:abstractNum>
  <w:abstractNum w:abstractNumId="57">
    <w:nsid w:val="26F324BA"/>
    <w:multiLevelType w:val="hybridMultilevel"/>
    <w:lvl w:ilvl="0">
      <w:lvlJc w:val="left"/>
      <w:lvlText w:val="•"/>
      <w:numFmt w:val="bullet"/>
      <w:start w:val="1"/>
    </w:lvl>
  </w:abstractNum>
  <w:abstractNum w:abstractNumId="58">
    <w:nsid w:val="7F01579B"/>
    <w:multiLevelType w:val="hybridMultilevel"/>
    <w:lvl w:ilvl="0">
      <w:lvlJc w:val="left"/>
      <w:lvlText w:val="(%1)"/>
      <w:numFmt w:val="lowerLetter"/>
      <w:start w:val="1"/>
    </w:lvl>
  </w:abstractNum>
  <w:abstractNum w:abstractNumId="59">
    <w:nsid w:val="49DA307D"/>
    <w:multiLevelType w:val="hybridMultilevel"/>
    <w:lvl w:ilvl="0">
      <w:lvlJc w:val="left"/>
      <w:lvlText w:val="•"/>
      <w:numFmt w:val="bullet"/>
      <w:start w:val="1"/>
    </w:lvl>
  </w:abstractNum>
  <w:abstractNum w:abstractNumId="60">
    <w:nsid w:val="7055A5F5"/>
    <w:multiLevelType w:val="hybridMultilevel"/>
    <w:lvl w:ilvl="0">
      <w:lvlJc w:val="left"/>
      <w:lvlText w:val="(%1)"/>
      <w:numFmt w:val="lowerLetter"/>
      <w:start w:val="1"/>
    </w:lvl>
  </w:abstractNum>
  <w:abstractNum w:abstractNumId="61">
    <w:nsid w:val="5FB8370B"/>
    <w:multiLevelType w:val="hybridMultilevel"/>
    <w:lvl w:ilvl="0">
      <w:lvlJc w:val="left"/>
      <w:lvlText w:val="(%1)"/>
      <w:numFmt w:val="lowerRoman"/>
      <w:start w:val="2"/>
    </w:lvl>
  </w:abstractNum>
  <w:abstractNum w:abstractNumId="62">
    <w:nsid w:val="50801EE1"/>
    <w:multiLevelType w:val="hybridMultilevel"/>
    <w:lvl w:ilvl="0">
      <w:lvlJc w:val="left"/>
      <w:lvlText w:val="(%1)"/>
      <w:numFmt w:val="lowerLetter"/>
      <w:start w:val="1"/>
    </w:lvl>
  </w:abstractNum>
  <w:abstractNum w:abstractNumId="63">
    <w:nsid w:val="488AC1A"/>
    <w:multiLevelType w:val="hybridMultilevel"/>
    <w:lvl w:ilvl="0">
      <w:lvlJc w:val="left"/>
      <w:lvlText w:val="(%1)"/>
      <w:numFmt w:val="lowerLetter"/>
      <w:start w:val="1"/>
    </w:lvl>
  </w:abstractNum>
  <w:abstractNum w:abstractNumId="64">
    <w:nsid w:val="5FB8011C"/>
    <w:multiLevelType w:val="hybridMultilevel"/>
    <w:lvl w:ilvl="0">
      <w:lvlJc w:val="left"/>
      <w:lvlText w:val="(%1)"/>
      <w:numFmt w:val="lowerLetter"/>
      <w:start w:val="1"/>
    </w:lvl>
  </w:abstractNum>
  <w:abstractNum w:abstractNumId="65">
    <w:nsid w:val="6AA78F7F"/>
    <w:multiLevelType w:val="hybridMultilevel"/>
    <w:lvl w:ilvl="0">
      <w:lvlJc w:val="left"/>
      <w:lvlText w:val="(%1)"/>
      <w:numFmt w:val="decimal"/>
      <w:start w:val="1"/>
    </w:lvl>
  </w:abstractNum>
  <w:abstractNum w:abstractNumId="66">
    <w:nsid w:val="7672BD23"/>
    <w:multiLevelType w:val="hybridMultilevel"/>
    <w:lvl w:ilvl="0">
      <w:lvlJc w:val="left"/>
      <w:lvlText w:val="(%1)"/>
      <w:numFmt w:val="lowerRoman"/>
      <w:start w:val="1"/>
    </w:lvl>
  </w:abstractNum>
  <w:abstractNum w:abstractNumId="67">
    <w:nsid w:val="6FC75AF8"/>
    <w:multiLevelType w:val="hybridMultilevel"/>
    <w:lvl w:ilvl="0">
      <w:lvlJc w:val="left"/>
      <w:lvlText w:val="\emdash "/>
      <w:numFmt w:val="bullet"/>
      <w:start w:val="1"/>
    </w:lvl>
  </w:abstractNum>
  <w:abstractNum w:abstractNumId="68">
    <w:nsid w:val="6A5F7029"/>
    <w:multiLevelType w:val="hybridMultilevel"/>
    <w:lvl w:ilvl="0">
      <w:lvlJc w:val="left"/>
      <w:lvlText w:val="(%1)"/>
      <w:numFmt w:val="lowerLetter"/>
      <w:start w:val="1"/>
    </w:lvl>
  </w:abstractNum>
  <w:abstractNum w:abstractNumId="69">
    <w:nsid w:val="7D5E18F8"/>
    <w:multiLevelType w:val="hybridMultilevel"/>
    <w:lvl w:ilvl="0">
      <w:lvlJc w:val="left"/>
      <w:lvlText w:val="(%1)"/>
      <w:numFmt w:val="lowerLetter"/>
      <w:start w:val="1"/>
    </w:lvl>
  </w:abstractNum>
  <w:abstractNum w:abstractNumId="70">
    <w:nsid w:val="5F3534A4"/>
    <w:multiLevelType w:val="hybridMultilevel"/>
    <w:lvl w:ilvl="0">
      <w:lvlJc w:val="left"/>
      <w:lvlText w:val="(%1)"/>
      <w:numFmt w:val="lowerLetter"/>
      <w:start w:val="1"/>
    </w:lvl>
  </w:abstractNum>
  <w:abstractNum w:abstractNumId="71">
    <w:nsid w:val="73A1821B"/>
    <w:multiLevelType w:val="hybridMultilevel"/>
    <w:lvl w:ilvl="0">
      <w:lvlJc w:val="left"/>
      <w:lvlText w:val="(%1)"/>
      <w:numFmt w:val="lowerLetter"/>
      <w:start w:val="1"/>
    </w:lvl>
  </w:abstractNum>
  <w:abstractNum w:abstractNumId="72">
    <w:nsid w:val="7DE67713"/>
    <w:multiLevelType w:val="hybridMultilevel"/>
    <w:lvl w:ilvl="0">
      <w:lvlJc w:val="left"/>
      <w:lvlText w:val="(%1)"/>
      <w:numFmt w:val="lowerLetter"/>
      <w:start w:val="2"/>
    </w:lvl>
  </w:abstractNum>
  <w:abstractNum w:abstractNumId="73">
    <w:nsid w:val="555C55B5"/>
    <w:multiLevelType w:val="hybridMultilevel"/>
    <w:lvl w:ilvl="0">
      <w:lvlJc w:val="left"/>
      <w:lvlText w:val="(%1)"/>
      <w:numFmt w:val="lowerRoman"/>
      <w:start w:val="1"/>
    </w:lvl>
  </w:abstractNum>
  <w:abstractNum w:abstractNumId="74">
    <w:nsid w:val="3FA62ACA"/>
    <w:multiLevelType w:val="hybridMultilevel"/>
    <w:lvl w:ilvl="0">
      <w:lvlJc w:val="left"/>
      <w:lvlText w:val="(%1)"/>
      <w:numFmt w:val="lowerRoman"/>
      <w:start w:val="1"/>
    </w:lvl>
  </w:abstractNum>
  <w:abstractNum w:abstractNumId="75">
    <w:nsid w:val="14FCE74E"/>
    <w:multiLevelType w:val="hybridMultilevel"/>
    <w:lvl w:ilvl="0">
      <w:lvlJc w:val="left"/>
      <w:lvlText w:val="(%1)"/>
      <w:numFmt w:val="lowerLetter"/>
      <w:start w:val="1"/>
    </w:lvl>
  </w:abstractNum>
  <w:abstractNum w:abstractNumId="76">
    <w:nsid w:val="6A3DD3E8"/>
    <w:multiLevelType w:val="hybridMultilevel"/>
    <w:lvl w:ilvl="0">
      <w:lvlJc w:val="left"/>
      <w:lvlText w:val="(%1)"/>
      <w:numFmt w:val="lowerLetter"/>
      <w:start w:val="3"/>
    </w:lvl>
  </w:abstractNum>
  <w:abstractNum w:abstractNumId="77">
    <w:nsid w:val="71C91298"/>
    <w:multiLevelType w:val="hybridMultilevel"/>
    <w:lvl w:ilvl="0">
      <w:lvlJc w:val="left"/>
      <w:lvlText w:val="(%1)"/>
      <w:numFmt w:val="lowerLetter"/>
      <w:start w:val="1"/>
    </w:lvl>
  </w:abstractNum>
  <w:abstractNum w:abstractNumId="78">
    <w:nsid w:val="9DAF632"/>
    <w:multiLevelType w:val="hybridMultilevel"/>
    <w:lvl w:ilvl="0">
      <w:lvlJc w:val="left"/>
      <w:lvlText w:val="%1"/>
      <w:numFmt w:val="decimal"/>
      <w:start w:val="104"/>
    </w:lvl>
  </w:abstractNum>
  <w:abstractNum w:abstractNumId="79">
    <w:nsid w:val="53299938"/>
    <w:multiLevelType w:val="hybridMultilevel"/>
    <w:lvl w:ilvl="0">
      <w:lvlJc w:val="left"/>
      <w:lvlText w:val="*"/>
      <w:numFmt w:val="bullet"/>
      <w:start w:val="1"/>
    </w:lvl>
  </w:abstractNum>
  <w:abstractNum w:abstractNumId="80">
    <w:nsid w:val="1FBFE8E0"/>
    <w:multiLevelType w:val="hybridMultilevel"/>
    <w:lvl w:ilvl="0">
      <w:lvlJc w:val="left"/>
      <w:lvlText w:val="**"/>
      <w:numFmt w:val="bullet"/>
      <w:start w:val="1"/>
    </w:lvl>
  </w:abstractNum>
  <w:abstractNum w:abstractNumId="81">
    <w:nsid w:val="5092CA79"/>
    <w:multiLevelType w:val="hybridMultilevel"/>
    <w:lvl w:ilvl="0">
      <w:lvlJc w:val="left"/>
      <w:lvlText w:val="***"/>
      <w:numFmt w:val="bullet"/>
      <w:start w:val="1"/>
    </w:lvl>
  </w:abstractNum>
  <w:abstractNum w:abstractNumId="82">
    <w:nsid w:val="1D545C4D"/>
    <w:multiLevelType w:val="hybridMultilevel"/>
    <w:lvl w:ilvl="0">
      <w:lvlJc w:val="left"/>
      <w:lvlText w:val="(%1)"/>
      <w:numFmt w:val="lowerLetter"/>
      <w:start w:val="1"/>
    </w:lvl>
  </w:abstractNum>
  <w:abstractNum w:abstractNumId="83">
    <w:nsid w:val="59ADEA3D"/>
    <w:multiLevelType w:val="hybridMultilevel"/>
    <w:lvl w:ilvl="0">
      <w:lvlJc w:val="left"/>
      <w:lvlText w:val="(%1)"/>
      <w:numFmt w:val="lowerLetter"/>
      <w:start w:val="1"/>
    </w:lvl>
  </w:abstractNum>
  <w:abstractNum w:abstractNumId="84">
    <w:nsid w:val="288F1A34"/>
    <w:multiLevelType w:val="hybridMultilevel"/>
    <w:lvl w:ilvl="0">
      <w:lvlJc w:val="left"/>
      <w:lvlText w:val="(%1)"/>
      <w:numFmt w:val="lowerLetter"/>
      <w:start w:val="4"/>
    </w:lvl>
  </w:abstractNum>
  <w:abstractNum w:abstractNumId="85">
    <w:nsid w:val="2A155DBC"/>
    <w:multiLevelType w:val="hybridMultilevel"/>
    <w:lvl w:ilvl="0">
      <w:lvlJc w:val="left"/>
      <w:lvlText w:val="(%1)"/>
      <w:numFmt w:val="lowerLetter"/>
      <w:start w:val="1"/>
    </w:lvl>
  </w:abstractNum>
  <w:abstractNum w:abstractNumId="86">
    <w:nsid w:val="1D9F6E5F"/>
    <w:multiLevelType w:val="hybridMultilevel"/>
    <w:lvl w:ilvl="0">
      <w:lvlJc w:val="left"/>
      <w:lvlText w:val="(%1)"/>
      <w:numFmt w:val="lowerLetter"/>
      <w:start w:val="4"/>
    </w:lvl>
  </w:abstractNum>
  <w:abstractNum w:abstractNumId="87">
    <w:nsid w:val="97E1B4E"/>
    <w:multiLevelType w:val="hybridMultilevel"/>
    <w:lvl w:ilvl="0">
      <w:lvlJc w:val="left"/>
      <w:lvlText w:val="(%1)"/>
      <w:numFmt w:val="lowerLetter"/>
      <w:start w:val="1"/>
    </w:lvl>
  </w:abstractNum>
  <w:abstractNum w:abstractNumId="88">
    <w:nsid w:val="51088277"/>
    <w:multiLevelType w:val="hybridMultilevel"/>
    <w:lvl w:ilvl="0">
      <w:lvlJc w:val="left"/>
      <w:lvlText w:val="(%1)"/>
      <w:numFmt w:val="lowerRoman"/>
      <w:start w:val="1"/>
    </w:lvl>
  </w:abstractNum>
  <w:abstractNum w:abstractNumId="89">
    <w:nsid w:val="1CA0C5FA"/>
    <w:multiLevelType w:val="hybridMultilevel"/>
    <w:lvl w:ilvl="0">
      <w:lvlJc w:val="left"/>
      <w:lvlText w:val="(%1)"/>
      <w:numFmt w:val="lowerLetter"/>
      <w:start w:val="3"/>
    </w:lvl>
    <w:lvl w:ilvl="1">
      <w:lvlJc w:val="left"/>
      <w:lvlText w:val="(%2)"/>
      <w:numFmt w:val="lowerRoman"/>
      <w:start w:val="1"/>
    </w:lvl>
  </w:abstractNum>
  <w:abstractNum w:abstractNumId="90">
    <w:nsid w:val="53584BCB"/>
    <w:multiLevelType w:val="hybridMultilevel"/>
    <w:lvl w:ilvl="0">
      <w:lvlJc w:val="left"/>
      <w:lvlText w:val="(%1)"/>
      <w:numFmt w:val="lowerLetter"/>
      <w:start w:val="1"/>
    </w:lvl>
  </w:abstractNum>
  <w:abstractNum w:abstractNumId="91">
    <w:nsid w:val="415E286C"/>
    <w:multiLevelType w:val="hybridMultilevel"/>
    <w:lvl w:ilvl="0">
      <w:lvlJc w:val="left"/>
      <w:lvlText w:val="(%1)"/>
      <w:numFmt w:val="lowerLetter"/>
      <w:start w:val="3"/>
    </w:lvl>
  </w:abstractNum>
  <w:abstractNum w:abstractNumId="92">
    <w:nsid w:val="7C58FD05"/>
    <w:multiLevelType w:val="hybridMultilevel"/>
    <w:lvl w:ilvl="0">
      <w:lvlJc w:val="left"/>
      <w:lvlText w:val="(%1)"/>
      <w:numFmt w:val="lowerLetter"/>
      <w:start w:val="1"/>
    </w:lvl>
  </w:abstractNum>
  <w:abstractNum w:abstractNumId="93">
    <w:nsid w:val="23D86AAC"/>
    <w:multiLevelType w:val="hybridMultilevel"/>
    <w:lvl w:ilvl="0">
      <w:lvlJc w:val="left"/>
      <w:lvlText w:val="(%1)"/>
      <w:numFmt w:val="lowerLetter"/>
      <w:start w:val="3"/>
    </w:lvl>
  </w:abstractNum>
  <w:abstractNum w:abstractNumId="94">
    <w:nsid w:val="45E6D486"/>
    <w:multiLevelType w:val="hybridMultilevel"/>
    <w:lvl w:ilvl="0">
      <w:lvlJc w:val="left"/>
      <w:lvlText w:val="(%1)"/>
      <w:numFmt w:val="lowerLetter"/>
      <w:start w:val="1"/>
    </w:lvl>
  </w:abstractNum>
  <w:abstractNum w:abstractNumId="95">
    <w:nsid w:val="5C10FE21"/>
    <w:multiLevelType w:val="hybridMultilevel"/>
    <w:lvl w:ilvl="0">
      <w:lvlJc w:val="left"/>
      <w:lvlText w:val="(%1)"/>
      <w:numFmt w:val="lowerLetter"/>
      <w:start w:val="4"/>
    </w:lvl>
  </w:abstractNum>
  <w:abstractNum w:abstractNumId="96">
    <w:nsid w:val="E7FFA2B"/>
    <w:multiLevelType w:val="hybridMultilevel"/>
    <w:lvl w:ilvl="0">
      <w:lvlJc w:val="left"/>
      <w:lvlText w:val="(%1)"/>
      <w:numFmt w:val="lowerLetter"/>
      <w:start w:val="1"/>
    </w:lvl>
    <w:lvl w:ilvl="1">
      <w:lvlJc w:val="left"/>
      <w:lvlText w:val="(%2)"/>
      <w:numFmt w:val="lowerLetter"/>
      <w:start w:val="9"/>
    </w:lvl>
  </w:abstractNum>
  <w:abstractNum w:abstractNumId="97">
    <w:nsid w:val="3C5991AA"/>
    <w:multiLevelType w:val="hybridMultilevel"/>
    <w:lvl w:ilvl="0">
      <w:lvlJc w:val="left"/>
      <w:lvlText w:val="(%1)"/>
      <w:numFmt w:val="lowerRoman"/>
      <w:start w:val="2"/>
    </w:lvl>
  </w:abstractNum>
  <w:abstractNum w:abstractNumId="98">
    <w:nsid w:val="4BD8591A"/>
    <w:multiLevelType w:val="hybridMultilevel"/>
    <w:lvl w:ilvl="0">
      <w:lvlJc w:val="left"/>
      <w:lvlText w:val="(%1)"/>
      <w:numFmt w:val="decimal"/>
      <w:start w:val="30"/>
    </w:lvl>
  </w:abstractNum>
  <w:abstractNum w:abstractNumId="99">
    <w:nsid w:val="78DF6A55"/>
    <w:multiLevelType w:val="hybridMultilevel"/>
    <w:lvl w:ilvl="0">
      <w:lvlJc w:val="left"/>
      <w:lvlText w:val="%1."/>
      <w:numFmt w:val="decimal"/>
      <w:start w:val="1"/>
    </w:lvl>
    <w:lvl w:ilvl="1">
      <w:lvlJc w:val="left"/>
      <w:lvlText w:val="(%2)"/>
      <w:numFmt w:val="lowerRoman"/>
      <w:start w:val="2"/>
    </w:lvl>
  </w:abstractNum>
  <w:abstractNum w:abstractNumId="100">
    <w:nsid w:val="39B7AAA2"/>
    <w:multiLevelType w:val="hybridMultilevel"/>
    <w:lvl w:ilvl="0">
      <w:lvlJc w:val="left"/>
      <w:lvlText w:val="%1."/>
      <w:numFmt w:val="lowerLetter"/>
      <w:start w:val="1"/>
    </w:lvl>
  </w:abstractNum>
  <w:abstractNum w:abstractNumId="101">
    <w:nsid w:val="2B0D8DBE"/>
    <w:multiLevelType w:val="hybridMultilevel"/>
    <w:lvl w:ilvl="0">
      <w:lvlJc w:val="left"/>
      <w:lvlText w:val="%1."/>
      <w:numFmt w:val="decimal"/>
      <w:start w:val="3"/>
    </w:lvl>
  </w:abstractNum>
  <w:abstractNum w:abstractNumId="102">
    <w:nsid w:val="6C80EC70"/>
    <w:multiLevelType w:val="hybridMultilevel"/>
    <w:lvl w:ilvl="0">
      <w:lvlJc w:val="left"/>
      <w:lvlText w:val="(%1)"/>
      <w:numFmt w:val="decimal"/>
      <w:start w:val="1"/>
    </w:lvl>
  </w:abstractNum>
  <w:abstractNum w:abstractNumId="103">
    <w:nsid w:val="379E21B5"/>
    <w:multiLevelType w:val="hybridMultilevel"/>
    <w:lvl w:ilvl="0">
      <w:lvlJc w:val="left"/>
      <w:lvlText w:val="1"/>
      <w:numFmt w:val="bullet"/>
      <w:start w:val="1"/>
    </w:lvl>
  </w:abstractNum>
  <w:abstractNum w:abstractNumId="104">
    <w:nsid w:val="69E373"/>
    <w:multiLevelType w:val="hybridMultilevel"/>
    <w:lvl w:ilvl="0">
      <w:lvlJc w:val="left"/>
      <w:lvlText w:val="2"/>
      <w:numFmt w:val="bullet"/>
      <w:start w:val="1"/>
    </w:lvl>
  </w:abstractNum>
  <w:abstractNum w:abstractNumId="105">
    <w:nsid w:val="2C27173B"/>
    <w:multiLevelType w:val="hybridMultilevel"/>
    <w:lvl w:ilvl="0">
      <w:lvlJc w:val="left"/>
      <w:lvlText w:val="3"/>
      <w:numFmt w:val="bullet"/>
      <w:start w:val="1"/>
    </w:lvl>
  </w:abstractNum>
  <w:abstractNum w:abstractNumId="106">
    <w:nsid w:val="4C9B0904"/>
    <w:multiLevelType w:val="hybridMultilevel"/>
    <w:lvl w:ilvl="0">
      <w:lvlJc w:val="left"/>
      <w:lvlText w:val="4"/>
      <w:numFmt w:val="bullet"/>
      <w:start w:val="1"/>
    </w:lvl>
  </w:abstractNum>
  <w:abstractNum w:abstractNumId="107">
    <w:nsid w:val="6AA7B75C"/>
    <w:multiLevelType w:val="hybridMultilevel"/>
    <w:lvl w:ilvl="0">
      <w:lvlJc w:val="left"/>
      <w:lvlText w:val="5"/>
      <w:numFmt w:val="bullet"/>
      <w:start w:val="1"/>
    </w:lvl>
  </w:abstractNum>
  <w:abstractNum w:abstractNumId="108">
    <w:nsid w:val="1DF029D3"/>
    <w:multiLevelType w:val="hybridMultilevel"/>
    <w:lvl w:ilvl="0">
      <w:lvlJc w:val="left"/>
      <w:lvlText w:val="6"/>
      <w:numFmt w:val="bullet"/>
      <w:start w:val="1"/>
    </w:lvl>
  </w:abstractNum>
  <w:abstractNum w:abstractNumId="109">
    <w:nsid w:val="5675FF36"/>
    <w:multiLevelType w:val="hybridMultilevel"/>
    <w:lvl w:ilvl="0">
      <w:lvlJc w:val="left"/>
      <w:lvlText w:val="7"/>
      <w:numFmt w:val="bullet"/>
      <w:start w:val="1"/>
    </w:lvl>
  </w:abstractNum>
  <w:abstractNum w:abstractNumId="110">
    <w:nsid w:val="3DD15094"/>
    <w:multiLevelType w:val="hybridMultilevel"/>
    <w:lvl w:ilvl="0">
      <w:lvlJc w:val="left"/>
      <w:lvlText w:val="8"/>
      <w:numFmt w:val="bullet"/>
      <w:start w:val="1"/>
    </w:lvl>
  </w:abstractNum>
  <w:abstractNum w:abstractNumId="111">
    <w:nsid w:val="3DB012B3"/>
    <w:multiLevelType w:val="hybridMultilevel"/>
    <w:lvl w:ilvl="0">
      <w:lvlJc w:val="left"/>
      <w:lvlText w:val="9"/>
      <w:numFmt w:val="bullet"/>
      <w:start w:val="1"/>
    </w:lvl>
  </w:abstractNum>
  <w:abstractNum w:abstractNumId="112">
    <w:nsid w:val="2708C9AF"/>
    <w:multiLevelType w:val="hybridMultilevel"/>
    <w:lvl w:ilvl="0">
      <w:lvlJc w:val="left"/>
      <w:lvlText w:val="%1"/>
      <w:numFmt w:val="decimal"/>
      <w:start w:val="11"/>
    </w:lvl>
  </w:abstractNum>
  <w:abstractNum w:abstractNumId="113">
    <w:nsid w:val="5B25ACE2"/>
    <w:multiLevelType w:val="hybridMultilevel"/>
    <w:lvl w:ilvl="0">
      <w:lvlJc w:val="left"/>
      <w:lvlText w:val="%1"/>
      <w:numFmt w:val="decimal"/>
      <w:start w:val="14"/>
    </w:lvl>
  </w:abstractNum>
  <w:abstractNum w:abstractNumId="114">
    <w:nsid w:val="175DFCF0"/>
    <w:multiLevelType w:val="hybridMultilevel"/>
    <w:lvl w:ilvl="0">
      <w:lvlJc w:val="left"/>
      <w:lvlText w:val="%1"/>
      <w:numFmt w:val="decimal"/>
      <w:start w:val="15"/>
    </w:lvl>
  </w:abstractNum>
  <w:abstractNum w:abstractNumId="115">
    <w:nsid w:val="4F97E3E4"/>
    <w:multiLevelType w:val="hybridMultilevel"/>
    <w:lvl w:ilvl="0">
      <w:lvlJc w:val="left"/>
      <w:lvlText w:val="%1"/>
      <w:numFmt w:val="decimal"/>
      <w:start w:val="18"/>
    </w:lvl>
  </w:abstractNum>
  <w:abstractNum w:abstractNumId="116">
    <w:nsid w:val="53B0A9E"/>
    <w:multiLevelType w:val="hybridMultilevel"/>
    <w:lvl w:ilvl="0">
      <w:lvlJc w:val="left"/>
      <w:lvlText w:val="%1"/>
      <w:numFmt w:val="decimal"/>
      <w:start w:val="21"/>
    </w:lvl>
  </w:abstractNum>
  <w:abstractNum w:abstractNumId="117">
    <w:nsid w:val="34FD6B4F"/>
    <w:multiLevelType w:val="hybridMultilevel"/>
    <w:lvl w:ilvl="0">
      <w:lvlJc w:val="left"/>
      <w:lvlText w:val="%1."/>
      <w:numFmt w:val="upperLetter"/>
      <w:start w:val="1"/>
    </w:lvl>
    <w:lvl w:ilvl="1">
      <w:lvlJc w:val="left"/>
      <w:lvlText w:val="(%2)"/>
      <w:numFmt w:val="decimal"/>
      <w:start w:val="1"/>
    </w:lvl>
  </w:abstractNum>
  <w:abstractNum w:abstractNumId="118">
    <w:nsid w:val="5915FF32"/>
    <w:multiLevelType w:val="hybridMultilevel"/>
    <w:lvl w:ilvl="0">
      <w:lvlJc w:val="left"/>
      <w:lvlText w:val="%1"/>
      <w:numFmt w:val="upperLetter"/>
      <w:start w:val="1"/>
    </w:lvl>
    <w:lvl w:ilvl="1">
      <w:lvlJc w:val="left"/>
      <w:lvlText w:val="%2"/>
      <w:numFmt w:val="decimal"/>
      <w:start w:val="1"/>
    </w:lvl>
    <w:lvl w:ilvl="2">
      <w:lvlJc w:val="left"/>
      <w:lvlText w:val="%3."/>
      <w:numFmt w:val="decimal"/>
      <w:start w:val="2"/>
    </w:lvl>
  </w:abstractNum>
  <w:abstractNum w:abstractNumId="119">
    <w:nsid w:val="56438D15"/>
    <w:multiLevelType w:val="hybridMultilevel"/>
    <w:lvl w:ilvl="0">
      <w:lvlJc w:val="left"/>
      <w:lvlText w:val="%1"/>
      <w:numFmt w:val="upperLetter"/>
      <w:start w:val="1"/>
    </w:lvl>
    <w:lvl w:ilvl="1">
      <w:lvlJc w:val="left"/>
      <w:lvlText w:val="%2."/>
      <w:numFmt w:val="decimal"/>
      <w:start w:val="6"/>
    </w:lvl>
    <w:lvl w:ilvl="2">
      <w:lvlJc w:val="left"/>
      <w:lvlText w:val="%3"/>
      <w:numFmt w:val="decimal"/>
      <w:start w:val="1"/>
    </w:lvl>
  </w:abstractNum>
  <w:abstractNum w:abstractNumId="120">
    <w:nsid w:val="519E3149"/>
    <w:multiLevelType w:val="hybridMultilevel"/>
    <w:lvl w:ilvl="0">
      <w:lvlJc w:val="left"/>
      <w:lvlText w:val="%1."/>
      <w:numFmt w:val="upperLetter"/>
      <w:start w:val="4"/>
    </w:lvl>
    <w:lvl w:ilvl="1">
      <w:lvlJc w:val="left"/>
      <w:lvlText w:val="%2"/>
      <w:numFmt w:val="decimal"/>
      <w:start w:val="1"/>
    </w:lvl>
    <w:lvl w:ilvl="2">
      <w:lvlJc w:val="left"/>
      <w:lvlText w:val="%3"/>
      <w:numFmt w:val="decimal"/>
      <w:start w:val="1"/>
    </w:lvl>
  </w:abstractNum>
  <w:abstractNum w:abstractNumId="121">
    <w:nsid w:val="2C6E4AFD"/>
    <w:multiLevelType w:val="hybridMultilevel"/>
    <w:lvl w:ilvl="0">
      <w:lvlJc w:val="left"/>
      <w:lvlText w:val="•"/>
      <w:numFmt w:val="bullet"/>
      <w:start w:val="1"/>
    </w:lvl>
  </w:abstractNum>
  <w:abstractNum w:abstractNumId="122">
    <w:nsid w:val="17A1B582"/>
    <w:multiLevelType w:val="hybridMultilevel"/>
    <w:lvl w:ilvl="0">
      <w:lvlJc w:val="left"/>
      <w:lvlText w:val="•"/>
      <w:numFmt w:val="bullet"/>
      <w:start w:val="1"/>
    </w:lvl>
  </w:abstractNum>
  <w:abstractNum w:abstractNumId="123">
    <w:nsid w:val="4DF72E4E"/>
    <w:multiLevelType w:val="hybridMultilevel"/>
    <w:lvl w:ilvl="0">
      <w:lvlJc w:val="left"/>
      <w:lvlText w:val="•"/>
      <w:numFmt w:val="bullet"/>
      <w:start w:val="1"/>
    </w:lvl>
  </w:abstractNum>
  <w:abstractNum w:abstractNumId="124">
    <w:nsid w:val="5046B5A9"/>
    <w:multiLevelType w:val="hybridMultilevel"/>
    <w:lvl w:ilvl="0">
      <w:lvlJc w:val="left"/>
      <w:lvlText w:val="•"/>
      <w:numFmt w:val="bullet"/>
      <w:start w:val="1"/>
    </w:lvl>
  </w:abstractNum>
  <w:abstractNum w:abstractNumId="125">
    <w:nsid w:val="5D888A08"/>
    <w:multiLevelType w:val="hybridMultilevel"/>
    <w:lvl w:ilvl="0">
      <w:lvlJc w:val="left"/>
      <w:lvlText w:val="•"/>
      <w:numFmt w:val="bullet"/>
      <w:start w:val="1"/>
    </w:lvl>
  </w:abstractNum>
  <w:abstractNum w:abstractNumId="126">
    <w:nsid w:val="2A082C70"/>
    <w:multiLevelType w:val="hybridMultilevel"/>
    <w:lvl w:ilvl="0">
      <w:lvlJc w:val="left"/>
      <w:lvlText w:val="•"/>
      <w:numFmt w:val="bullet"/>
      <w:start w:val="1"/>
    </w:lvl>
  </w:abstractNum>
  <w:abstractNum w:abstractNumId="127">
    <w:nsid w:val="5EC6AFD4"/>
    <w:multiLevelType w:val="hybridMultilevel"/>
    <w:lvl w:ilvl="0">
      <w:lvlJc w:val="left"/>
      <w:lvlText w:val="•"/>
      <w:numFmt w:val="bullet"/>
      <w:start w:val="1"/>
    </w:lvl>
  </w:abstractNum>
  <w:abstractNum w:abstractNumId="128">
    <w:nsid w:val="19E21BB2"/>
    <w:multiLevelType w:val="hybridMultilevel"/>
    <w:lvl w:ilvl="0">
      <w:lvlJc w:val="left"/>
      <w:lvlText w:val="•"/>
      <w:numFmt w:val="bullet"/>
      <w:start w:val="1"/>
    </w:lvl>
  </w:abstractNum>
  <w:abstractNum w:abstractNumId="129">
    <w:nsid w:val="75E0858A"/>
    <w:multiLevelType w:val="hybridMultilevel"/>
    <w:lvl w:ilvl="0">
      <w:lvlJc w:val="left"/>
      <w:lvlText w:val="%1."/>
      <w:numFmt w:val="decimal"/>
      <w:start w:val="1"/>
    </w:lvl>
    <w:lvl w:ilvl="1">
      <w:lvlJc w:val="left"/>
      <w:lvlText w:val="%2)"/>
      <w:numFmt w:val="lowerLetter"/>
      <w:start w:val="1"/>
    </w:lvl>
  </w:abstractNum>
  <w:abstractNum w:abstractNumId="130">
    <w:nsid w:val="57A61A2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21" Type="http://schemas.openxmlformats.org/officeDocument/2006/relationships/hyperlink" Target="http://www.sec.gov/Archives/edgar/data/1570585/000094787120000457/ss173285_ex201.htm" TargetMode="External"/><Relationship Id="rId22" Type="http://schemas.openxmlformats.org/officeDocument/2006/relationships/hyperlink" Target="http://www.sec.gov/Archives/edgar/data/1570585/000157058520000106/ex41telenetnewrevolvin.htm" TargetMode="External"/><Relationship Id="rId23" Type="http://schemas.openxmlformats.org/officeDocument/2006/relationships/hyperlink" Target="http://www.sec.gov/Archives/edgar/data/1570585/000157058520000139/ex41upccancelfacility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2020-08-03T15:38:08Z</dcterms:created>
  <dcterms:modified xsi:type="dcterms:W3CDTF">2020-08-03T15:38:08Z</dcterms:modified>
</cp:coreProperties>
</file>