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234950</wp:posOffset>
            </wp:positionH>
            <wp:positionV relativeFrom="page">
              <wp:posOffset>354965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260350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2" w:lineRule="exact"/>
        <w:rPr>
          <w:sz w:val="24"/>
          <w:szCs w:val="24"/>
          <w:color w:val="auto"/>
        </w:rPr>
      </w:pPr>
    </w:p>
    <w:p>
      <w:pPr>
        <w:ind w:left="1060" w:right="220" w:hanging="910"/>
        <w:spacing w:after="0" w:line="262" w:lineRule="auto"/>
        <w:tabs>
          <w:tab w:leader="none" w:pos="10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ind w:left="1060"/>
        <w:spacing w:after="0"/>
        <w:tabs>
          <w:tab w:leader="none" w:pos="404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2017</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19" w:lineRule="exact"/>
        <w:rPr>
          <w:sz w:val="24"/>
          <w:szCs w:val="24"/>
          <w:color w:val="auto"/>
        </w:rPr>
      </w:pPr>
    </w:p>
    <w:p>
      <w:pPr>
        <w:ind w:left="1060" w:right="200" w:hanging="910"/>
        <w:spacing w:after="0" w:line="262" w:lineRule="auto"/>
        <w:tabs>
          <w:tab w:leader="none" w:pos="10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106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28575</wp:posOffset>
            </wp:positionV>
            <wp:extent cx="1217930"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Liberty Global plc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61"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98-1112770</w:t>
            </w:r>
          </w:p>
        </w:tc>
      </w:tr>
      <w:tr>
        <w:trPr>
          <w:trHeight w:val="178"/>
        </w:trPr>
        <w:tc>
          <w:tcPr>
            <w:tcW w:w="7420" w:type="dxa"/>
            <w:vAlign w:val="bottom"/>
          </w:tcPr>
          <w:p>
            <w:pPr>
              <w:jc w:val="center"/>
              <w:ind w:right="237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1400" w:type="dxa"/>
            <w:vAlign w:val="bottom"/>
          </w:tcPr>
          <w:p>
            <w:pPr>
              <w:jc w:val="center"/>
              <w:ind w:left="281"/>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496"/>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8"/>
                <w:szCs w:val="18"/>
                <w:b w:val="1"/>
                <w:bCs w:val="1"/>
                <w:color w:val="auto"/>
              </w:rPr>
              <w:t>Griffin House, 161 Hammersmith Rd, London, United Kingdom</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8"/>
                <w:szCs w:val="18"/>
                <w:b w:val="1"/>
                <w:bCs w:val="1"/>
                <w:color w:val="auto"/>
                <w:w w:val="99"/>
              </w:rPr>
              <w:t>W6 8BS</w:t>
            </w:r>
          </w:p>
        </w:tc>
      </w:tr>
      <w:tr>
        <w:trPr>
          <w:trHeight w:val="220"/>
        </w:trPr>
        <w:tc>
          <w:tcPr>
            <w:tcW w:w="7420" w:type="dxa"/>
            <w:vAlign w:val="bottom"/>
          </w:tcPr>
          <w:p>
            <w:pPr>
              <w:jc w:val="center"/>
              <w:ind w:right="239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85"/>
        </w:trPr>
        <w:tc>
          <w:tcPr>
            <w:tcW w:w="7420" w:type="dxa"/>
            <w:vAlign w:val="bottom"/>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00" w:type="dxa"/>
            <w:vAlign w:val="bottom"/>
          </w:tcPr>
          <w:p>
            <w:pPr>
              <w:spacing w:after="0"/>
              <w:rPr>
                <w:sz w:val="24"/>
                <w:szCs w:val="24"/>
                <w:color w:val="auto"/>
              </w:rPr>
            </w:pPr>
          </w:p>
        </w:tc>
      </w:tr>
      <w:tr>
        <w:trPr>
          <w:trHeight w:val="238"/>
        </w:trPr>
        <w:tc>
          <w:tcPr>
            <w:tcW w:w="7420" w:type="dxa"/>
            <w:vAlign w:val="bottom"/>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w w:val="99"/>
              </w:rPr>
              <w:t>+44.208.483.6449 or 303.220.6600</w:t>
            </w:r>
          </w:p>
        </w:tc>
        <w:tc>
          <w:tcPr>
            <w:tcW w:w="1400" w:type="dxa"/>
            <w:vAlign w:val="bottom"/>
          </w:tcPr>
          <w:p>
            <w:pPr>
              <w:spacing w:after="0"/>
              <w:rPr>
                <w:sz w:val="20"/>
                <w:szCs w:val="20"/>
                <w:color w:val="auto"/>
              </w:rPr>
            </w:pPr>
          </w:p>
        </w:tc>
      </w:tr>
    </w:tbl>
    <w:p>
      <w:pPr>
        <w:spacing w:after="0" w:line="144" w:lineRule="exact"/>
        <w:rPr>
          <w:sz w:val="24"/>
          <w:szCs w:val="24"/>
          <w:color w:val="auto"/>
        </w:rPr>
      </w:pPr>
    </w:p>
    <w:p>
      <w:pPr>
        <w:ind w:right="4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12" w:lineRule="exact"/>
        <w:rPr>
          <w:sz w:val="24"/>
          <w:szCs w:val="24"/>
          <w:color w:val="auto"/>
        </w:rPr>
      </w:pPr>
    </w:p>
    <w:p>
      <w:pPr>
        <w:jc w:val="center"/>
        <w:ind w:right="1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(Do not check if a 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1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220" w:val="left"/>
          <w:tab w:leader="none" w:pos="91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ordinary shares of Liberty Global plc as of April 30, 2017 was:</w:t>
      </w:r>
    </w:p>
    <w:p>
      <w:pPr>
        <w:spacing w:after="0" w:line="18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Liberty Global ordinary shares</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237,159,433</w:t>
            </w:r>
          </w:p>
        </w:tc>
        <w:tc>
          <w:tcPr>
            <w:tcW w:w="12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11,139,184</w:t>
            </w:r>
          </w:p>
        </w:tc>
        <w:tc>
          <w:tcPr>
            <w:tcW w:w="12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609,043,649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LiLAC ordinary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49,599,951</w:t>
            </w:r>
          </w:p>
        </w:tc>
        <w:tc>
          <w:tcPr>
            <w:tcW w:w="120" w:type="dxa"/>
            <w:vAlign w:val="bottom"/>
          </w:tcPr>
          <w:p>
            <w:pPr>
              <w:spacing w:after="0"/>
              <w:rPr>
                <w:sz w:val="23"/>
                <w:szCs w:val="23"/>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1,946,579</w:t>
            </w:r>
          </w:p>
        </w:tc>
        <w:tc>
          <w:tcPr>
            <w:tcW w:w="120" w:type="dxa"/>
            <w:vAlign w:val="bottom"/>
          </w:tcPr>
          <w:p>
            <w:pPr>
              <w:spacing w:after="0"/>
              <w:rPr>
                <w:sz w:val="23"/>
                <w:szCs w:val="23"/>
                <w:color w:val="auto"/>
              </w:rPr>
            </w:pP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120,698,676</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0" w:right="23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43"/>
        </w:trPr>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06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0"/>
        </w:trPr>
        <w:tc>
          <w:tcPr>
            <w:tcW w:w="920" w:type="dxa"/>
            <w:vAlign w:val="bottom"/>
          </w:tcPr>
          <w:p>
            <w:pPr>
              <w:spacing w:after="0"/>
              <w:rPr>
                <w:sz w:val="19"/>
                <w:szCs w:val="19"/>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2017 and December 31, 2016 (unaudited)</w:t>
              </w:r>
            </w:hyperlink>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520" w:type="dxa"/>
            <w:vAlign w:val="bottom"/>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Months Ended March 31, 2017 and 2016 (unaudited)</w:t>
              </w:r>
            </w:hyperlink>
          </w:p>
        </w:tc>
        <w:tc>
          <w:tcPr>
            <w:tcW w:w="1140" w:type="dxa"/>
            <w:vAlign w:val="bottom"/>
            <w:gridSpan w:val="4"/>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240" w:type="dxa"/>
            <w:vAlign w:val="bottom"/>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Loss for the Three Months Ended March 31, 2017 and 2016 (unaudited)</w:t>
              </w:r>
            </w:hyperlink>
          </w:p>
        </w:tc>
        <w:tc>
          <w:tcPr>
            <w:tcW w:w="420" w:type="dxa"/>
            <w:vAlign w:val="bottom"/>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240" w:type="dxa"/>
            <w:vAlign w:val="bottom"/>
            <w:gridSpan w:val="1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Equity for the Three Months Ended March 31, 2017 (unaudited)</w:t>
              </w:r>
            </w:hyperlink>
          </w:p>
        </w:tc>
        <w:tc>
          <w:tcPr>
            <w:tcW w:w="420" w:type="dxa"/>
            <w:vAlign w:val="bottom"/>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Months Ended March 31, 2017 and 2016 (unaudited)</w:t>
              </w:r>
            </w:hyperlink>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560" w:type="dxa"/>
            <w:vAlign w:val="bottom"/>
            <w:gridSpan w:val="9"/>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 (unaudited)</w:t>
              </w:r>
            </w:hyperlink>
          </w:p>
        </w:tc>
        <w:tc>
          <w:tcPr>
            <w:tcW w:w="1100" w:type="dxa"/>
            <w:vAlign w:val="bottom"/>
            <w:gridSpan w:val="3"/>
          </w:tcPr>
          <w:p>
            <w:pPr>
              <w:spacing w:after="0"/>
              <w:rPr>
                <w:sz w:val="21"/>
                <w:szCs w:val="21"/>
                <w:color w:val="auto"/>
              </w:rPr>
            </w:pPr>
          </w:p>
        </w:tc>
        <w:tc>
          <w:tcPr>
            <w:tcW w:w="500" w:type="dxa"/>
            <w:vAlign w:val="bottom"/>
            <w:gridSpan w:val="5"/>
          </w:tcPr>
          <w:p>
            <w:pPr>
              <w:jc w:val="center"/>
              <w:ind w:left="213"/>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58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8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058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97">
              <w:r>
                <w:rPr>
                  <w:rFonts w:ascii="Times New Roman" w:cs="Times New Roman" w:eastAsia="Times New Roman" w:hAnsi="Times New Roman"/>
                  <w:sz w:val="18"/>
                  <w:szCs w:val="18"/>
                  <w:color w:val="0000EE"/>
                </w:rPr>
                <w:t>QUANTITATIVE AND QUALITATIVE DISCLOSURES ABOUT MARKET RISK</w:t>
              </w:r>
            </w:hyperlink>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95</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gridSpan w:val="5"/>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CONTROLS AND PROCEDURES</w:t>
              </w:r>
            </w:hyperlink>
          </w:p>
        </w:tc>
        <w:tc>
          <w:tcPr>
            <w:tcW w:w="3520" w:type="dxa"/>
            <w:vAlign w:val="bottom"/>
            <w:gridSpan w:val="7"/>
          </w:tcPr>
          <w:p>
            <w:pPr>
              <w:spacing w:after="0"/>
              <w:rPr>
                <w:sz w:val="21"/>
                <w:szCs w:val="21"/>
                <w:color w:val="auto"/>
              </w:rPr>
            </w:pPr>
          </w:p>
        </w:tc>
        <w:tc>
          <w:tcPr>
            <w:tcW w:w="500" w:type="dxa"/>
            <w:vAlign w:val="bottom"/>
            <w:gridSpan w:val="5"/>
          </w:tcPr>
          <w:p>
            <w:pPr>
              <w:jc w:val="center"/>
              <w:ind w:left="233"/>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99</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91"/>
        </w:trPr>
        <w:tc>
          <w:tcPr>
            <w:tcW w:w="9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7060" w:type="dxa"/>
            <w:vAlign w:val="bottom"/>
            <w:gridSpan w:val="10"/>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gridSpan w:val="7"/>
          </w:tcPr>
          <w:p>
            <w:pPr>
              <w:jc w:val="cente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100</w:t>
              </w:r>
            </w:hyperlink>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EXHIBITS</w:t>
              </w:r>
            </w:hyperlink>
          </w:p>
        </w:tc>
        <w:tc>
          <w:tcPr>
            <w:tcW w:w="5240" w:type="dxa"/>
            <w:vAlign w:val="bottom"/>
            <w:tcBorders>
              <w:top w:val="single" w:sz="8" w:color="0000EE"/>
            </w:tcBorders>
            <w:gridSpan w:val="3"/>
          </w:tcPr>
          <w:p>
            <w:pPr>
              <w:spacing w:after="0"/>
              <w:rPr>
                <w:sz w:val="21"/>
                <w:szCs w:val="21"/>
                <w:color w:val="auto"/>
              </w:rPr>
            </w:pPr>
          </w:p>
        </w:tc>
        <w:tc>
          <w:tcPr>
            <w:tcW w:w="3600" w:type="dxa"/>
            <w:vAlign w:val="bottom"/>
            <w:gridSpan w:val="8"/>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5"/>
          </w:tcPr>
          <w:p>
            <w:pPr>
              <w:jc w:val="cente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101</w:t>
              </w:r>
            </w:hyperlink>
          </w:p>
        </w:tc>
        <w:tc>
          <w:tcPr>
            <w:tcW w:w="260" w:type="dxa"/>
            <w:vAlign w:val="bottom"/>
          </w:tcPr>
          <w:p>
            <w:pPr>
              <w:spacing w:after="0"/>
              <w:rPr>
                <w:sz w:val="21"/>
                <w:szCs w:val="2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1,906.5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(note 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the VodafoneZiggo JV (note 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2,346.6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Third-party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526.4</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Related-party — VodafoneZiggo JV (note 4)</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7,051.8</w:t>
            </w: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and related note receivables (including $2,229.2 million and $2,057.2 million, respectively, measured at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a recurring basis) (note 4)</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6,483.7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21,110.2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(note 7)</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23,366.3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3,657.7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(note 5)</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7,014.4</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67,730.9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68,684.1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 (note 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671.4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 (notes 5 and 12)</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2,644.7</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9,178.3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9,722.8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 (note 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40,783.6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(notes 5, 9, and 12)</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3,445.7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53,930.0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53,952.1</w:t>
            </w: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3, 5, 8, 9, 14 and 16)</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(note 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A, $0.01 nominal value. Issued and outstanding 243,503,655 and 253,827,604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B, $0.01 nominal value. Issued and outstanding 11,139,184 and 10,805,850</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Shares — Class C, $0.01 nominal value. Issued and outstanding 617,227,678 and 634,391,072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Shares — Class A, $0.01 nominal value. Issued and outstanding 49,857,001 and 50,317,930 shares,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Shares — Class B, $0.01 nominal value. Issued and outstanding 1,946,579 and 1,888,323 shares,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Shares — Class C, $0.01 nominal value. Issued and outstanding 120,649,676 and 120,889,034 shares,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8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17,578.2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shares, at cost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13,761.3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970.7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13,800.9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14,732.0</w:t>
            </w:r>
          </w:p>
        </w:tc>
      </w:tr>
      <w:tr>
        <w:trPr>
          <w:trHeight w:val="237"/>
        </w:trPr>
        <w:tc>
          <w:tcPr>
            <w:tcW w:w="8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67,730.9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68,684.1</w:t>
            </w: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gridSpan w:val="3"/>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4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07"/>
        </w:trPr>
        <w:tc>
          <w:tcPr>
            <w:tcW w:w="858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w:t>
            </w:r>
          </w:p>
        </w:tc>
      </w:tr>
      <w:tr>
        <w:trPr>
          <w:trHeight w:val="212"/>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w w:val="98"/>
              </w:rPr>
              <w:t>amounts</w:t>
            </w:r>
          </w:p>
        </w:tc>
        <w:tc>
          <w:tcPr>
            <w:tcW w:w="1040" w:type="dxa"/>
            <w:vAlign w:val="bottom"/>
          </w:tcPr>
          <w:p>
            <w:pPr>
              <w:spacing w:after="0"/>
              <w:rPr>
                <w:sz w:val="18"/>
                <w:szCs w:val="18"/>
                <w:color w:val="auto"/>
              </w:rPr>
            </w:pPr>
          </w:p>
        </w:tc>
      </w:tr>
      <w:tr>
        <w:trPr>
          <w:trHeight w:val="303"/>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(notes 4 and 15)</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4,588.0</w:t>
            </w: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 separately below):</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 (note 14)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(note 11)</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(notes 11 and 14)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(note 7)</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(notes 3, 7 and 12)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8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3,860.7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4,001.4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586.6</w:t>
            </w:r>
          </w:p>
        </w:tc>
      </w:tr>
      <w:tr>
        <w:trPr>
          <w:trHeight w:val="22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 (note 5)</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 investments and debt, net (notes 4, 6</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8)</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 (note 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losses of affiliates, net (notes 4 and 11)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r>
      <w:tr>
        <w:trPr>
          <w:trHeight w:val="237"/>
        </w:trPr>
        <w:tc>
          <w:tcPr>
            <w:tcW w:w="8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 (note 9)</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attributable to Liberty Global shareholders per share (notes 1 and 13):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51"/>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ordinary shares outstanding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890,464,735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843,492,613</w:t>
            </w:r>
          </w:p>
        </w:tc>
      </w:tr>
      <w:tr>
        <w:trPr>
          <w:trHeight w:val="251"/>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172,743,854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43,933,746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9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2"/>
                <w:szCs w:val="22"/>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(earnings)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loss attributable to Liberty Global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86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 net of</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at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taxes</w:t>
            </w: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03"/>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5"/>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2017, before</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accounting change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$17,578.2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$ 13,761.3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$14,732.0</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change (note 2)</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5"/>
        </w:trPr>
        <w:tc>
          <w:tcPr>
            <w:tcW w:w="26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Balance at January 1, 2017, as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1"/>
        </w:trPr>
        <w:tc>
          <w:tcPr>
            <w:tcW w:w="2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for accounting change</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17,578.2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13,776.6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14,747.3</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taxes</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239.9</w:t>
            </w: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CWC Acquisition (note 3)</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117.1</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cancellation of</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Liberty Global ordinary shares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10)</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(note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due to changes in</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subsidiaries’ equity and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1"/>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9"/>
              </w:rPr>
              <w:t>$16,553.1</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$ 12,671.6</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9"/>
              </w:rPr>
              <w:t>1,129.3</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$13,800.9</w:t>
            </w:r>
          </w:p>
        </w:tc>
      </w:tr>
      <w:tr>
        <w:trPr>
          <w:trHeight w:val="27"/>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jc w:val="center"/>
              <w:ind w:right="5970"/>
              <w:spacing w:after="0"/>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1,435.5</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25"/>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and debt, including</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8800" w:type="dxa"/>
            <w:vAlign w:val="bottom"/>
          </w:tcPr>
          <w:p>
            <w:pPr>
              <w:jc w:val="center"/>
              <w:ind w:right="5970"/>
              <w:spacing w:after="0"/>
              <w:rPr>
                <w:sz w:val="20"/>
                <w:szCs w:val="20"/>
                <w:color w:val="auto"/>
              </w:rPr>
            </w:pPr>
            <w:r>
              <w:rPr>
                <w:rFonts w:ascii="Times New Roman" w:cs="Times New Roman" w:eastAsia="Times New Roman" w:hAnsi="Times New Roman"/>
                <w:sz w:val="18"/>
                <w:szCs w:val="18"/>
                <w:color w:val="auto"/>
                <w:w w:val="99"/>
              </w:rPr>
              <w:t>impact of dividends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of losses of affiliates,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1,090.7</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jc w:val="center"/>
              <w:ind w:right="5990"/>
              <w:spacing w:after="0"/>
              <w:rPr>
                <w:sz w:val="20"/>
                <w:szCs w:val="20"/>
                <w:color w:val="auto"/>
              </w:rPr>
            </w:pPr>
            <w:r>
              <w:rPr>
                <w:rFonts w:ascii="Times New Roman" w:cs="Times New Roman" w:eastAsia="Times New Roman" w:hAnsi="Times New Roman"/>
                <w:sz w:val="18"/>
                <w:szCs w:val="18"/>
                <w:color w:val="auto"/>
                <w:w w:val="99"/>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received from affiliates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Equalization payment related to the VodafoneZiggo JV Transaction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2,642.0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paid on behalf of the VodafoneZiggo JV</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associated with call option contracts on Liberty Global ordinary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781.0</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r>
      <w:tr>
        <w:trPr>
          <w:trHeight w:val="264"/>
        </w:trPr>
        <w:tc>
          <w:tcPr>
            <w:tcW w:w="88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w:t>
            </w:r>
          </w:p>
        </w:tc>
      </w:tr>
      <w:tr>
        <w:trPr>
          <w:trHeight w:val="237"/>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2,636.7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980.5</w:t>
            </w: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305"/>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819.6</w:t>
            </w: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6"/>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Liberty Global plc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mobile and other communications services to residential customers and businesses, with consolidated operations at March 31, 2017 in more than 30 countries.</w:t>
      </w:r>
    </w:p>
    <w:p>
      <w:pPr>
        <w:spacing w:after="0" w:line="1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Europe, we provide residential and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services in (i)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and Ireland through Virgin Media Inc. (</w:t>
      </w:r>
      <w:r>
        <w:rPr>
          <w:rFonts w:ascii="Times New Roman" w:cs="Times New Roman" w:eastAsia="Times New Roman" w:hAnsi="Times New Roman"/>
          <w:sz w:val="18"/>
          <w:szCs w:val="18"/>
          <w:b w:val="1"/>
          <w:bCs w:val="1"/>
          <w:color w:val="auto"/>
        </w:rPr>
        <w:t>Virgin Media</w:t>
      </w:r>
      <w:r>
        <w:rPr>
          <w:rFonts w:ascii="Times New Roman" w:cs="Times New Roman" w:eastAsia="Times New Roman" w:hAnsi="Times New Roman"/>
          <w:sz w:val="18"/>
          <w:szCs w:val="18"/>
          <w:color w:val="auto"/>
        </w:rPr>
        <w:t>), (ii) Germany through Unitymedia GmbH (</w:t>
      </w:r>
      <w:r>
        <w:rPr>
          <w:rFonts w:ascii="Times New Roman" w:cs="Times New Roman" w:eastAsia="Times New Roman" w:hAnsi="Times New Roman"/>
          <w:sz w:val="18"/>
          <w:szCs w:val="18"/>
          <w:b w:val="1"/>
          <w:bCs w:val="1"/>
          <w:color w:val="auto"/>
        </w:rPr>
        <w:t>Unitymedia</w:t>
      </w:r>
      <w:r>
        <w:rPr>
          <w:rFonts w:ascii="Times New Roman" w:cs="Times New Roman" w:eastAsia="Times New Roman" w:hAnsi="Times New Roman"/>
          <w:sz w:val="18"/>
          <w:szCs w:val="18"/>
          <w:color w:val="auto"/>
        </w:rPr>
        <w:t>), (iii) Belgium through Telenet Group Holding N.V.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a 57.4%-owned subsidiary, and (iv) seven other European countries through UPC Holding B.V. (</w:t>
      </w:r>
      <w:r>
        <w:rPr>
          <w:rFonts w:ascii="Times New Roman" w:cs="Times New Roman" w:eastAsia="Times New Roman" w:hAnsi="Times New Roman"/>
          <w:sz w:val="18"/>
          <w:szCs w:val="18"/>
          <w:b w:val="1"/>
          <w:bCs w:val="1"/>
          <w:color w:val="auto"/>
        </w:rPr>
        <w:t>UPC Holding</w:t>
      </w:r>
      <w:r>
        <w:rPr>
          <w:rFonts w:ascii="Times New Roman" w:cs="Times New Roman" w:eastAsia="Times New Roman" w:hAnsi="Times New Roman"/>
          <w:sz w:val="18"/>
          <w:szCs w:val="18"/>
          <w:color w:val="auto"/>
        </w:rPr>
        <w:t>). In addition, through the December 31, 2016 completion of the VodafoneZiggo JV Transaction (as defined and described in note 4), we provided residential and B2B services in the Netherlands through VodafoneZiggo Group B.V., formerly known as Ziggo Group Holding B.V. and referred to herein as “</w:t>
      </w:r>
      <w:r>
        <w:rPr>
          <w:rFonts w:ascii="Times New Roman" w:cs="Times New Roman" w:eastAsia="Times New Roman" w:hAnsi="Times New Roman"/>
          <w:sz w:val="18"/>
          <w:szCs w:val="18"/>
          <w:b w:val="1"/>
          <w:bCs w:val="1"/>
          <w:color w:val="auto"/>
        </w:rPr>
        <w:t>Ziggo Group Holding</w:t>
      </w:r>
      <w:r>
        <w:rPr>
          <w:rFonts w:ascii="Times New Roman" w:cs="Times New Roman" w:eastAsia="Times New Roman" w:hAnsi="Times New Roman"/>
          <w:sz w:val="18"/>
          <w:szCs w:val="18"/>
          <w:color w:val="auto"/>
        </w:rPr>
        <w:t>”. Following the completion of the VodafoneZiggo JV Transaction, we own a 50% noncontrolling interest in the VodafoneZiggo JV (as defined in note 4), which provides video, broadband, mobile and B2B services in the Netherlands. Virgin Media, Unitymedia and UPC Holding are each wholly-owned subsidiaries of Liberty Global. The operations of Virgin Media, Unitymedia, Telenet, UPC Holding and, through December 31, 2016, Ziggo Group Holding are collectively referred to herein as the “</w:t>
      </w:r>
      <w:r>
        <w:rPr>
          <w:rFonts w:ascii="Times New Roman" w:cs="Times New Roman" w:eastAsia="Times New Roman" w:hAnsi="Times New Roman"/>
          <w:sz w:val="18"/>
          <w:szCs w:val="18"/>
          <w:b w:val="1"/>
          <w:bCs w:val="1"/>
          <w:color w:val="auto"/>
        </w:rPr>
        <w:t>European Division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Outside of Europe, we provide residential and B2B services in (i) 18 countries, predominantly in Latin America and the Caribbean, through our wholly-owned subsidiary Cable &amp; Wireless Communications Limited (</w:t>
      </w:r>
      <w:r>
        <w:rPr>
          <w:rFonts w:ascii="Times New Roman" w:cs="Times New Roman" w:eastAsia="Times New Roman" w:hAnsi="Times New Roman"/>
          <w:sz w:val="18"/>
          <w:szCs w:val="18"/>
          <w:b w:val="1"/>
          <w:bCs w:val="1"/>
          <w:color w:val="auto"/>
        </w:rPr>
        <w:t>CWC</w:t>
      </w:r>
      <w:r>
        <w:rPr>
          <w:rFonts w:ascii="Times New Roman" w:cs="Times New Roman" w:eastAsia="Times New Roman" w:hAnsi="Times New Roman"/>
          <w:sz w:val="18"/>
          <w:szCs w:val="18"/>
          <w:color w:val="auto"/>
        </w:rPr>
        <w:t>), (ii) Chile through our wholly-owned subsidiary VTR.com SpA (</w:t>
      </w:r>
      <w:r>
        <w:rPr>
          <w:rFonts w:ascii="Times New Roman" w:cs="Times New Roman" w:eastAsia="Times New Roman" w:hAnsi="Times New Roman"/>
          <w:sz w:val="18"/>
          <w:szCs w:val="18"/>
          <w:b w:val="1"/>
          <w:bCs w:val="1"/>
          <w:color w:val="auto"/>
        </w:rPr>
        <w:t>VTR</w:t>
      </w:r>
      <w:r>
        <w:rPr>
          <w:rFonts w:ascii="Times New Roman" w:cs="Times New Roman" w:eastAsia="Times New Roman" w:hAnsi="Times New Roman"/>
          <w:sz w:val="18"/>
          <w:szCs w:val="18"/>
          <w:color w:val="auto"/>
        </w:rPr>
        <w:t>) and (iii) Puerto Rico through Liberty Cablevision of Puerto Rico LLC (</w:t>
      </w:r>
      <w:r>
        <w:rPr>
          <w:rFonts w:ascii="Times New Roman" w:cs="Times New Roman" w:eastAsia="Times New Roman" w:hAnsi="Times New Roman"/>
          <w:sz w:val="18"/>
          <w:szCs w:val="18"/>
          <w:b w:val="1"/>
          <w:bCs w:val="1"/>
          <w:color w:val="auto"/>
        </w:rPr>
        <w:t>Liberty Puerto Rico</w:t>
      </w:r>
      <w:r>
        <w:rPr>
          <w:rFonts w:ascii="Times New Roman" w:cs="Times New Roman" w:eastAsia="Times New Roman" w:hAnsi="Times New Roman"/>
          <w:sz w:val="18"/>
          <w:szCs w:val="18"/>
          <w:color w:val="auto"/>
        </w:rPr>
        <w:t>), an entity in which we hold a 60.0% ownership interest. CWC also provides (a) B2B services in certain other countries in Latin America and the Caribbean and (b) wholesale services over its sub-sea and terrestrial networks that connect over 30 markets in that region. CWC owns less than 100% of certain of its consolidated subsidiaries, including Cable &amp; Wireless Panama, SA (a 49.0%-owned entity that owns most of our operations in Panama), The Bahamas Telecommunications Company Limited (a 49.0%-owned entity that owns all of our operations in the Bahamas), Cable &amp; Wireless Jamaica Limited (an 82.0%-owned entity that owns the majority of our operations in Jamaica) and Cable &amp; Wireless Barbados Limited (an 81.1%-owned entity that owns the majority of our operations in Barbados). The operations of CWC, VTR and Liberty Puerto Rico are collectively referred to herein as the “</w:t>
      </w:r>
      <w:r>
        <w:rPr>
          <w:rFonts w:ascii="Times New Roman" w:cs="Times New Roman" w:eastAsia="Times New Roman" w:hAnsi="Times New Roman"/>
          <w:sz w:val="18"/>
          <w:szCs w:val="18"/>
          <w:b w:val="1"/>
          <w:bCs w:val="1"/>
          <w:color w:val="auto"/>
        </w:rPr>
        <w:t>LiLAC Division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share capital comprises (i) Class A, B and C Liberty Global ordinary shares (collectively, </w:t>
      </w:r>
      <w:r>
        <w:rPr>
          <w:rFonts w:ascii="Times New Roman" w:cs="Times New Roman" w:eastAsia="Times New Roman" w:hAnsi="Times New Roman"/>
          <w:sz w:val="18"/>
          <w:szCs w:val="18"/>
          <w:b w:val="1"/>
          <w:bCs w:val="1"/>
          <w:color w:val="auto"/>
        </w:rPr>
        <w:t>Liberty Global Shares</w:t>
      </w:r>
      <w:r>
        <w:rPr>
          <w:rFonts w:ascii="Times New Roman" w:cs="Times New Roman" w:eastAsia="Times New Roman" w:hAnsi="Times New Roman"/>
          <w:sz w:val="18"/>
          <w:szCs w:val="18"/>
          <w:color w:val="auto"/>
        </w:rPr>
        <w:t xml:space="preserve">) and (ii) Class A, B and C LiLAC ordinary shares (collectively, </w:t>
      </w:r>
      <w:r>
        <w:rPr>
          <w:rFonts w:ascii="Times New Roman" w:cs="Times New Roman" w:eastAsia="Times New Roman" w:hAnsi="Times New Roman"/>
          <w:sz w:val="18"/>
          <w:szCs w:val="18"/>
          <w:b w:val="1"/>
          <w:bCs w:val="1"/>
          <w:color w:val="auto"/>
        </w:rPr>
        <w:t>LiLAC Shares</w:t>
      </w:r>
      <w:r>
        <w:rPr>
          <w:rFonts w:ascii="Times New Roman" w:cs="Times New Roman" w:eastAsia="Times New Roman" w:hAnsi="Times New Roman"/>
          <w:sz w:val="18"/>
          <w:szCs w:val="18"/>
          <w:color w:val="auto"/>
        </w:rPr>
        <w:t>). The Liberty Global Shares and the LiLAC Shares are tracking shares. Tracking shares are intended by the issuing company to reflect or “track” the economic performance of a particular business or “group,” rather than the economic performance of the company as a whole. The Liberty Global Shares and the LiLAC Shares are intended to track the economic performance of the Liberty Global Group and the LiLAC Group, respectively (each as defined below). While the Liberty Global Group and the LiLAC Group have separate collections of businesses, assets and liabilities attributed to them, neither group is a separate legal entity and therefore cannot own assets, issue securities or enter into legally binding agreements. Holders of tracking shares have no direct claim to the group’s assets and are not represented by separate boards of directors. Instead, holders of tracking shares are shareholders of the parent corporation, with a single board of directors, and are subject to all of the risks and liabilities of the parent corporation. We and our subsidiaries each continue to be responsible for our respective liabilities. Holders of Liberty Global Shares, LiLAC Shares and any other of our capital shares designated as ordinary shares from time to time will continue to be subject to risks associated with an investment in our company as a whole, even if a holder does not own both Liberty Global Shares and LiLAC Shares.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LiLAC Group</w:t>
      </w:r>
      <w:r>
        <w:rPr>
          <w:rFonts w:ascii="Times New Roman" w:cs="Times New Roman" w:eastAsia="Times New Roman" w:hAnsi="Times New Roman"/>
          <w:sz w:val="18"/>
          <w:szCs w:val="18"/>
          <w:color w:val="auto"/>
        </w:rPr>
        <w:t>” comprises our businesses, assets and liabilities in Latin America and the Caribbean and has attributed to it (i) LGE Coral Holdco Limited (</w:t>
      </w:r>
      <w:r>
        <w:rPr>
          <w:rFonts w:ascii="Times New Roman" w:cs="Times New Roman" w:eastAsia="Times New Roman" w:hAnsi="Times New Roman"/>
          <w:sz w:val="18"/>
          <w:szCs w:val="18"/>
          <w:b w:val="1"/>
          <w:bCs w:val="1"/>
          <w:color w:val="auto"/>
        </w:rPr>
        <w:t>LGE Coral</w:t>
      </w:r>
      <w:r>
        <w:rPr>
          <w:rFonts w:ascii="Times New Roman" w:cs="Times New Roman" w:eastAsia="Times New Roman" w:hAnsi="Times New Roman"/>
          <w:sz w:val="18"/>
          <w:szCs w:val="18"/>
          <w:color w:val="auto"/>
        </w:rPr>
        <w:t>) and its subsidiaries, which include CWC, (ii) VTR Finance B.V. (</w:t>
      </w:r>
      <w:r>
        <w:rPr>
          <w:rFonts w:ascii="Times New Roman" w:cs="Times New Roman" w:eastAsia="Times New Roman" w:hAnsi="Times New Roman"/>
          <w:sz w:val="18"/>
          <w:szCs w:val="18"/>
          <w:b w:val="1"/>
          <w:bCs w:val="1"/>
          <w:color w:val="auto"/>
        </w:rPr>
        <w:t>VTR Finance</w:t>
      </w:r>
      <w:r>
        <w:rPr>
          <w:rFonts w:ascii="Times New Roman" w:cs="Times New Roman" w:eastAsia="Times New Roman" w:hAnsi="Times New Roman"/>
          <w:sz w:val="18"/>
          <w:szCs w:val="18"/>
          <w:color w:val="auto"/>
        </w:rPr>
        <w:t>) and its subsidiaries, which include VTR, (iii) Lila Chile Holding B.V. (</w:t>
      </w:r>
      <w:r>
        <w:rPr>
          <w:rFonts w:ascii="Times New Roman" w:cs="Times New Roman" w:eastAsia="Times New Roman" w:hAnsi="Times New Roman"/>
          <w:sz w:val="18"/>
          <w:szCs w:val="18"/>
          <w:b w:val="1"/>
          <w:bCs w:val="1"/>
          <w:color w:val="auto"/>
        </w:rPr>
        <w:t>Lila Chile Holding</w:t>
      </w:r>
      <w:r>
        <w:rPr>
          <w:rFonts w:ascii="Times New Roman" w:cs="Times New Roman" w:eastAsia="Times New Roman" w:hAnsi="Times New Roman"/>
          <w:sz w:val="18"/>
          <w:szCs w:val="18"/>
          <w:color w:val="auto"/>
        </w:rPr>
        <w:t>), which is the parent entity of VTR Finance and (iv) LiLAC Communications Inc. (</w:t>
      </w:r>
      <w:r>
        <w:rPr>
          <w:rFonts w:ascii="Times New Roman" w:cs="Times New Roman" w:eastAsia="Times New Roman" w:hAnsi="Times New Roman"/>
          <w:sz w:val="18"/>
          <w:szCs w:val="18"/>
          <w:b w:val="1"/>
          <w:bCs w:val="1"/>
          <w:color w:val="auto"/>
        </w:rPr>
        <w:t>LiLAC Communications</w:t>
      </w:r>
      <w:r>
        <w:rPr>
          <w:rFonts w:ascii="Times New Roman" w:cs="Times New Roman" w:eastAsia="Times New Roman" w:hAnsi="Times New Roman"/>
          <w:sz w:val="18"/>
          <w:szCs w:val="18"/>
          <w:color w:val="auto"/>
        </w:rPr>
        <w:t>) and its subsidiaries, which include Liberty Puerto Rico. The “</w:t>
      </w:r>
      <w:r>
        <w:rPr>
          <w:rFonts w:ascii="Times New Roman" w:cs="Times New Roman" w:eastAsia="Times New Roman" w:hAnsi="Times New Roman"/>
          <w:sz w:val="18"/>
          <w:szCs w:val="18"/>
          <w:b w:val="1"/>
          <w:bCs w:val="1"/>
          <w:color w:val="auto"/>
        </w:rPr>
        <w:t>Liberty Global Group</w:t>
      </w:r>
      <w:r>
        <w:rPr>
          <w:rFonts w:ascii="Times New Roman" w:cs="Times New Roman" w:eastAsia="Times New Roman" w:hAnsi="Times New Roman"/>
          <w:sz w:val="18"/>
          <w:szCs w:val="18"/>
          <w:color w:val="auto"/>
        </w:rPr>
        <w:t>” comprises our businesses, assets and liabilities not attributed to the LiLAC Group, including Virgin Media, Ziggo Group Holding (through December 31, 2016), Unitymedia, Telenet, UPC Holding, our corporate entities (excluding LiLAC Communications) and certain other less significant entities.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tracking share capital structure, including unaudited attributed financial information of the Liberty Global Group and the LiLAC Group, see Exhibit 99.1 to this Quarterly Report on Form 10-Q.</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xml:space="preserve">) and with the instructions to Form 10-Q and Article 10 of Regulation S-X for interim financial information. Accordingly, these financial statements do not include all of the information required by U.S.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2016 consolidated financial statements and notes thereto included in our 2016 Annual Report on Form 10-K, as amended (our </w:t>
      </w:r>
      <w:r>
        <w:rPr>
          <w:rFonts w:ascii="Times New Roman" w:cs="Times New Roman" w:eastAsia="Times New Roman" w:hAnsi="Times New Roman"/>
          <w:sz w:val="18"/>
          <w:szCs w:val="18"/>
          <w:b w:val="1"/>
          <w:bCs w:val="1"/>
          <w:color w:val="auto"/>
        </w:rPr>
        <w:t>10-K</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March 31, 2017.</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the reclassification of certain costs between programming and other direct costs of services, other operating and SG&amp;A expenses.</w:t>
      </w:r>
    </w:p>
    <w:p>
      <w:pPr>
        <w:spacing w:after="0" w:line="15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Change and Recent Accounting Pronouncements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2016,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2016-09,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Improvements to Employee Share-Based Payment Accounting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2016-09</w:t>
      </w:r>
      <w:r>
        <w:rPr>
          <w:rFonts w:ascii="Times New Roman" w:cs="Times New Roman" w:eastAsia="Times New Roman" w:hAnsi="Times New Roman"/>
          <w:sz w:val="18"/>
          <w:szCs w:val="18"/>
          <w:color w:val="auto"/>
        </w:rPr>
        <w:t>), which simplifies several aspects of the accounting for share-based payment transactions, including income tax consequences, classification of awards as either equity or liabilities and classification within the statement of cash flows. ASU 2016-09 was effective for annual reporting periods beginning after December 15, 2016. We adopted ASU 2016-09 on January 1, 2017. As a result of adopting this standard, we (i) recognized a cumulative effect adjustment to our accumulated deficit as of January 1, 2017 and (ii) retrospectively revised the presentation of our condensed consolidated statements of cash flows to remove the operating cash outflows and financing cash inflows associated with excess tax benefits from share-based compensation. The cumulative effect adjustment, which totaled $15.3 million, represents the tax effect of deductions in excess of the financial reporting expense for share-based compensation that were not previously recognized for financial reporting purposes as these tax benefits were not realized as a reduction of income taxes payable.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2014-09</w:t>
      </w: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2014-09</w:t>
      </w:r>
      <w:r>
        <w:rPr>
          <w:rFonts w:ascii="Times New Roman" w:cs="Times New Roman" w:eastAsia="Times New Roman" w:hAnsi="Times New Roman"/>
          <w:sz w:val="18"/>
          <w:szCs w:val="18"/>
          <w:color w:val="auto"/>
        </w:rPr>
        <w:t>), which requires an entity to recognize the amount of revenue to which it expects to be entitled for the transfer of promised goods or services to customers. ASU 2014-09, as amended by ASU No. 2015-14, will replace existing revenue recognition guidance when it becomes effective for annual and interim reporting periods beginning after December 15, 2017. This new standard permits the use of either the retrospective or cumulative effect transition method. We will adopt ASU 2014-09 effective January 1, 2018 using the cumulative effect transition method. While we are continuing to evaluate the effect that ASU 2014-09 will have on our consolidated financial statements, we have identified a number of our current revenue recognition policies that will be impacted by ASU 2014-09, including the accounting for (i) time-limited discounts and free service periods provided to our customers and (ii) certain up-front fees charged to our customers. These impacts are discussed below:</w:t>
      </w:r>
    </w:p>
    <w:p>
      <w:pPr>
        <w:spacing w:after="0" w:line="18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enter into contracts to provide services to our customers, we often provide time-limited discounts or free service periods. Under current accounting rules, we recognize revenue net of discounts during the promotional periods and do not recognize any revenue during free service periods. Under ASU 2014-09, revenue recognition will be accelerated for these contracts as the impact of the discount or free service period will be recognized uniformly over the total contractual period.</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enter into contracts to provide services to our customers, we often charge installation or other up-front fees. Under current accounting rules, installation fees related to services provided over our cable networks are recognized as revenue during the period in which the installation occurs to the extent these fees are equal to or less than direct selling costs. Under ASU 2014-09, these fees will generally be deferred and recognized as revenue over the contractual period, or longer if the up-front fee results in a material renewal right.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above revenue recognition changes have offsetting impacts and both result in a relatively minor shift in the timing of revenue recognition, we currently do not expect ASU 2014-09 to have a material impact on our reported revenue.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ASU 2014-09 will also impact our accounting for certain upfront costs directly associated with obtaining and fulfilling customer contracts. Under our current policy, these costs are expensed as incurred unless the costs are in the scope of another accounting topic that allows for capitalization. Under ASU 2014-09, the upfront costs that are currently expensed as incurred will be recognized as assets and amortized to other operating expenses over a period that is consistent with the transfer to the customers of the goods or services to which the assets relate, which we have generally interpreted to be the expected life of the customer relationship. The impact of the accounting change for these costs will be dependent on numerous factors, including the number of new subscriber contracts added in any given period, but we expect the adoption of this accounting change will initially result in the deferral of a significant amount of operating and selling costs.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ultimate impact of adopting ASU 2014-09 for both revenue recognition and costs to obtain and fulfill contracts will depend on the promotions and offers in place during the period leading up to and after the adoption of ASU 2014-09.</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2016-02</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2016-02</w:t>
      </w:r>
      <w:r>
        <w:rPr>
          <w:rFonts w:ascii="Times New Roman" w:cs="Times New Roman" w:eastAsia="Times New Roman" w:hAnsi="Times New Roman"/>
          <w:sz w:val="18"/>
          <w:szCs w:val="18"/>
          <w:color w:val="auto"/>
        </w:rPr>
        <w:t>), which, for most leases, will result in lessees recognizing lease assets and lease liabilities on the balance sheet with additional disclosures about leasing arrangements. ASU 2016-02 requires lessees and lessors to recognize and measure leases at the beginning of the earliest period presented using a modified retrospective approach. The modified retrospective approach also includes a number of optional practical expedients an entity may elect to apply. ASU 2016-02 is effective for annual reporting periods beginning after December 15, 2018, including interim periods within those fiscal years, with early adoption permitted. We will adopt ASU 2016-02 on January 1, 2019. Although we are currently evaluating the effect that ASU 2016-02 will have on our consolidated financial statements, we expect the adoption of this standard will increase the number of leases to be accounted for as capital leases in our consolidated balance sheet.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2017-04</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2017-04</w:t>
      </w:r>
      <w:r>
        <w:rPr>
          <w:rFonts w:ascii="Times New Roman" w:cs="Times New Roman" w:eastAsia="Times New Roman" w:hAnsi="Times New Roman"/>
          <w:sz w:val="18"/>
          <w:szCs w:val="18"/>
          <w:color w:val="auto"/>
        </w:rPr>
        <w:t>), which eliminates the requirement to estimate the implied fair value of a reporting unit’s goodwill as determined following the procedure that would be required in determining the fair value of assets acquired and liabilities assumed in a business combination. Instead, a company should recognize any goodwill impairment by comparing the fair value of a reporting unit to its carrying amount. ASU 2017-04 is effective for annual reporting periods beginning after December 15, 2019, including interim periods within those fiscal years, with early adoption permitted for interim or annual goodwill impairment tests performed on testing dates after January 1, 2017. We expect the adoption of ASU 2017-04 to reduce the complexity surrounding the evaluation of our goodwill for impairment.</w:t>
      </w:r>
    </w:p>
    <w:p>
      <w:pPr>
        <w:spacing w:after="0" w:line="18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SFR BeLux</w:t>
      </w:r>
      <w:r>
        <w:rPr>
          <w:rFonts w:ascii="Times New Roman" w:cs="Times New Roman" w:eastAsia="Times New Roman" w:hAnsi="Times New Roman"/>
          <w:sz w:val="18"/>
          <w:szCs w:val="18"/>
          <w:color w:val="auto"/>
        </w:rPr>
        <w:t>. On December 22, 2016, a subsidiary of Telenet entered into a definitive agreement to acquire Coditel Brabant sprl, operating under the SFR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w:t>
      </w:r>
      <w:r>
        <w:rPr>
          <w:rFonts w:ascii="Times New Roman" w:cs="Times New Roman" w:eastAsia="Times New Roman" w:hAnsi="Times New Roman"/>
          <w:sz w:val="18"/>
          <w:szCs w:val="18"/>
          <w:b w:val="1"/>
          <w:bCs w:val="1"/>
          <w:color w:val="auto"/>
        </w:rPr>
        <w:t>SFR BeLux</w:t>
      </w:r>
      <w:r>
        <w:rPr>
          <w:rFonts w:ascii="Times New Roman" w:cs="Times New Roman" w:eastAsia="Times New Roman" w:hAnsi="Times New Roman"/>
          <w:sz w:val="18"/>
          <w:szCs w:val="18"/>
          <w:color w:val="auto"/>
        </w:rPr>
        <w:t>), for €400.0 million ($427.9 million) on a cash and debt free basis. SFR BeLux provides cable services to households and businesses in Brussels, Wallonia and Luxembourg and offers mobile services in Belgium through a mobile 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agreement with BASE, as defined and described below. Telenet intends to finance the acquisition of SFR BeLux through a combination of existing cash and cash equivalents and available liquidity under its revolving credit facilities. The transaction is subject to customary closing conditions, including approval from the relevant competition authorities, and is expected to close during the second half of 2017.</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Multimedia</w:t>
      </w:r>
      <w:r>
        <w:rPr>
          <w:rFonts w:ascii="Times New Roman" w:cs="Times New Roman" w:eastAsia="Times New Roman" w:hAnsi="Times New Roman"/>
          <w:sz w:val="18"/>
          <w:szCs w:val="18"/>
          <w:color w:val="auto"/>
        </w:rPr>
        <w:t>. On October 18, 2016, our subsidiary UPC Polska SP Z.o.o. entered into a definitive agreement to acquire the cable business of Multimedia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Polska S.A. (</w:t>
      </w:r>
      <w:r>
        <w:rPr>
          <w:rFonts w:ascii="Times New Roman" w:cs="Times New Roman" w:eastAsia="Times New Roman" w:hAnsi="Times New Roman"/>
          <w:sz w:val="18"/>
          <w:szCs w:val="18"/>
          <w:b w:val="1"/>
          <w:bCs w:val="1"/>
          <w:color w:val="auto"/>
        </w:rPr>
        <w:t>Multimedia</w:t>
      </w:r>
      <w:r>
        <w:rPr>
          <w:rFonts w:ascii="Times New Roman" w:cs="Times New Roman" w:eastAsia="Times New Roman" w:hAnsi="Times New Roman"/>
          <w:sz w:val="18"/>
          <w:szCs w:val="18"/>
          <w:color w:val="auto"/>
        </w:rPr>
        <w:t>), the third-largest cable operator in Poland, for cash consideration of PLN 3.0 billion ($758.6 million), which is equal to the enterprise value assigned to Multimedia for purposes of this transaction. We intend to finance the acquisition of Multimedia with existing liquidity. The final purchase price is subject to potential downward adjustments for the operational and financial performance of Multimedia prior to closing. The transaction is subject to customary closing conditions, including regulatory approval, and is expected to close in late 2017 or early 2018.</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2016 Acquisitions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CWC. </w:t>
      </w:r>
      <w:r>
        <w:rPr>
          <w:rFonts w:ascii="Times New Roman" w:cs="Times New Roman" w:eastAsia="Times New Roman" w:hAnsi="Times New Roman"/>
          <w:sz w:val="18"/>
          <w:szCs w:val="18"/>
          <w:color w:val="auto"/>
        </w:rPr>
        <w:t>On May 16, 2016, we acquired CWC for shares of Liberty Global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CWC Acquisition</w:t>
      </w:r>
      <w:r>
        <w:rPr>
          <w:rFonts w:ascii="Times New Roman" w:cs="Times New Roman" w:eastAsia="Times New Roman" w:hAnsi="Times New Roman"/>
          <w:sz w:val="18"/>
          <w:szCs w:val="18"/>
          <w:color w:val="auto"/>
        </w:rPr>
        <w:t>). The CWC Acquisition triggered regulatory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certain jurisdictions in which CWC operates. The regulatory authorities in certain of these jurisdictions, including the Bahamas, Jamaica, Trinidad and Tobago, the Seychelles and the Cayman Islands, have not completed their review of the CWC Acquisition or granted their approval. While we expect to receive all outstanding approvals, such approvals may include binding conditions or requirements that could have an adverse impact on CWC’s operations and financial condition.</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CWC Acquisition and an acquisition made by CWC in 2015, certain entities (the </w:t>
      </w:r>
      <w:r>
        <w:rPr>
          <w:rFonts w:ascii="Times New Roman" w:cs="Times New Roman" w:eastAsia="Times New Roman" w:hAnsi="Times New Roman"/>
          <w:sz w:val="18"/>
          <w:szCs w:val="18"/>
          <w:b w:val="1"/>
          <w:bCs w:val="1"/>
          <w:color w:val="auto"/>
        </w:rPr>
        <w:t>Carve-out Entities</w:t>
      </w:r>
      <w:r>
        <w:rPr>
          <w:rFonts w:ascii="Times New Roman" w:cs="Times New Roman" w:eastAsia="Times New Roman" w:hAnsi="Times New Roman"/>
          <w:sz w:val="18"/>
          <w:szCs w:val="18"/>
          <w:color w:val="auto"/>
        </w:rPr>
        <w:t xml:space="preserve">) that held licenses granted by the U.S. Federal Communications Commission (the </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were transferred to entities not controlled by our company or CWC. The arrangements with respect to the Carve-out Entities, which were executed in connection with the CWC Acquisition, contemplated that upon receipt of regulatory approval, we would acquire the Carve-out Entities. On March 8, 2017, the FCC granted its approval for our acquisition of the Carve-out Entities. Accordingly, on April 1, 2017, subsidiaries of CWC acquired the Carve-out Entities for an aggregate purchase price of $86.2 million. At March 31, 2017, the Carve-out Entities owed $148.8 million to a subsidiary of CWC.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accounted for the CWC Acquisition using the acquisition method of accounting, whereby the total purchase price was allocated to the acquired identifiable net assets of CWC based on assessments of their respective fair values, and the excess of the purchase price over the fair values of these identifiable net assets was allocated to goodwill. The preliminary opening balance sheet is subject to adjustment based on our final assessment of the fair values of the acquired identifiable assets and liabilities. Although most items in the valuation process remain open, the items with the highest likelihood of changing upon finalization of the valuation process include property and equipment, goodwill, customer relationships and income taxes. A summary of the purchase price and the preliminary opening balance sheet of CWC at the May 16, 2016 acquisition date is presented in the following table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(b)</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and capital lease obligations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(c)</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purchase price (d)</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4,683.9</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jc w:val="right"/>
              <w:ind w:right="837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recognized in connection with the CWC Acquisition is primarily attributable to (i) the ability to take advantage of CWC’s existing terrestrial and sub-sea networks to gain immediate access to potential customers and (ii) synergies that are expected to be achieved through the integration of CWC with other operations in the LiLAC Group.</w:t>
      </w:r>
    </w:p>
    <w:p>
      <w:pPr>
        <w:spacing w:after="0" w:line="176"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primarily includes intangible assets related to customer relationships. At May 16, 2016, the preliminary assessment of the weighted average useful life of CWC’s intangible assets was approximately eight years.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aggregate fair value of the noncontrolling interests in CWC’s subsidiaries as of May 16, 2016.</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direct acquisition costs of $132.9 million, most of which were incurred during 2016. Direct acquisition costs are included in impairment, restructuring and other operating items, net, in our consolidated statements of operations.</w:t>
      </w:r>
    </w:p>
    <w:p>
      <w:pPr>
        <w:spacing w:after="0" w:line="15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BASE</w:t>
      </w:r>
      <w:r>
        <w:rPr>
          <w:rFonts w:ascii="Times New Roman" w:cs="Times New Roman" w:eastAsia="Times New Roman" w:hAnsi="Times New Roman"/>
          <w:sz w:val="18"/>
          <w:szCs w:val="18"/>
          <w:color w:val="auto"/>
        </w:rPr>
        <w:t>. On February 11, 2016, Telenet acquired Telenet Group BVBA, formerly known as BASE Company NV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for a cash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€1,318.9 million ($1,494.3 million at the transaction date) (the </w:t>
      </w:r>
      <w:r>
        <w:rPr>
          <w:rFonts w:ascii="Times New Roman" w:cs="Times New Roman" w:eastAsia="Times New Roman" w:hAnsi="Times New Roman"/>
          <w:sz w:val="18"/>
          <w:szCs w:val="18"/>
          <w:b w:val="1"/>
          <w:bCs w:val="1"/>
          <w:color w:val="auto"/>
        </w:rPr>
        <w:t>BASE Acquisition</w:t>
      </w:r>
      <w:r>
        <w:rPr>
          <w:rFonts w:ascii="Times New Roman" w:cs="Times New Roman" w:eastAsia="Times New Roman" w:hAnsi="Times New Roman"/>
          <w:sz w:val="18"/>
          <w:szCs w:val="18"/>
          <w:color w:val="auto"/>
        </w:rPr>
        <w:t>). BASE is the third-largest mobile network operator in Belgium.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consolidated operating results give effect to (i) the CWC Acquisition and (ii) the BASE Acquisition as if they had been completed as of January 1, 2015. These pro forma amounts are not necessarily indicative of the operating results that would have occurred if these transactions had occurred on such date. The pro forma adjustments are based on certain assumptions that we believe are reasonable.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70"/>
        </w:trPr>
        <w:tc>
          <w:tcPr>
            <w:tcW w:w="9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70"/>
        </w:trPr>
        <w:tc>
          <w:tcPr>
            <w:tcW w:w="9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9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4,358.5</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911.3</w:t>
            </w:r>
          </w:p>
        </w:tc>
      </w:tr>
      <w:tr>
        <w:trPr>
          <w:trHeight w:val="297"/>
        </w:trPr>
        <w:tc>
          <w:tcPr>
            <w:tcW w:w="9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5,269.8</w:t>
            </w:r>
          </w:p>
        </w:tc>
      </w:tr>
      <w:tr>
        <w:trPr>
          <w:trHeight w:val="257"/>
        </w:trPr>
        <w:tc>
          <w:tcPr>
            <w:tcW w:w="9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 (in millions):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Shares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43"/>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Shares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9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earnings (loss) attributable to Liberty Global shareholders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304"/>
        </w:trPr>
        <w:tc>
          <w:tcPr>
            <w:tcW w:w="9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Liberty Global Shares – basic and diluted</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Shares: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304"/>
        </w:trPr>
        <w:tc>
          <w:tcPr>
            <w:tcW w:w="9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r>
      <w:tr>
        <w:trPr>
          <w:trHeight w:val="251"/>
        </w:trPr>
        <w:tc>
          <w:tcPr>
            <w:tcW w:w="9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investments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Accounting Method</w:t>
            </w:r>
          </w:p>
        </w:tc>
        <w:tc>
          <w:tcPr>
            <w:tcW w:w="22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76"/>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VodafoneZiggo JV (b)</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4,186.6</w:t>
            </w:r>
          </w:p>
        </w:tc>
      </w:tr>
      <w:tr>
        <w:trPr>
          <w:trHeight w:val="243"/>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4,329.3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 — subject to re-use rights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1,015.4</w:t>
            </w:r>
          </w:p>
        </w:tc>
      </w:tr>
      <w:tr>
        <w:trPr>
          <w:trHeight w:val="243"/>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Sumitomo Corporation (</w:t>
            </w:r>
            <w:r>
              <w:rPr>
                <w:rFonts w:ascii="Times New Roman" w:cs="Times New Roman" w:eastAsia="Times New Roman" w:hAnsi="Times New Roman"/>
                <w:sz w:val="18"/>
                <w:szCs w:val="18"/>
                <w:b w:val="1"/>
                <w:bCs w:val="1"/>
                <w:color w:val="auto"/>
              </w:rPr>
              <w:t>Sumitomo</w:t>
            </w: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ITI Neovision S.A.</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129.3</w:t>
            </w:r>
          </w:p>
        </w:tc>
      </w:tr>
      <w:tr>
        <w:trPr>
          <w:trHeight w:val="243"/>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Lions Gate Entertainment Corp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245.5</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 fair value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2,229.2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2,057.2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6,613.9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6,483.7</w:t>
            </w: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9"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2017 and December 31, 2016, the aggregate carrying amounts of our equity method investments did not materially exceed our proportionate share of the respective investees’ net assets.</w:t>
      </w:r>
    </w:p>
    <w:p>
      <w:pPr>
        <w:spacing w:after="0" w:line="157" w:lineRule="exact"/>
        <w:rPr>
          <w:rFonts w:ascii="Times New Roman" w:cs="Times New Roman" w:eastAsia="Times New Roman" w:hAnsi="Times New Roman"/>
          <w:sz w:val="18"/>
          <w:szCs w:val="18"/>
          <w:color w:val="auto"/>
        </w:rPr>
      </w:pPr>
    </w:p>
    <w:p>
      <w:pPr>
        <w:jc w:val="both"/>
        <w:ind w:left="500" w:hanging="492"/>
        <w:spacing w:after="0" w:line="257"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include a related-party note receivable (the </w:t>
      </w:r>
      <w:r>
        <w:rPr>
          <w:rFonts w:ascii="Times New Roman" w:cs="Times New Roman" w:eastAsia="Times New Roman" w:hAnsi="Times New Roman"/>
          <w:sz w:val="18"/>
          <w:szCs w:val="18"/>
          <w:b w:val="1"/>
          <w:bCs w:val="1"/>
          <w:color w:val="auto"/>
        </w:rPr>
        <w:t>VodafoneZiggo JV Receivable</w:t>
      </w:r>
      <w:r>
        <w:rPr>
          <w:rFonts w:ascii="Times New Roman" w:cs="Times New Roman" w:eastAsia="Times New Roman" w:hAnsi="Times New Roman"/>
          <w:sz w:val="18"/>
          <w:szCs w:val="18"/>
          <w:color w:val="auto"/>
        </w:rPr>
        <w:t>) with a principal amount of $1,069.7 million and $1,054.7 million, respectively, due from a subsidiary of the VodafoneZiggo JV to a subsidiary of Liberty Global. The VodafoneZiggo JV Receivable bears interest at 5.55% and requires €100.0 million ($107.0 million) of principal to be paid annually during the first three years of the agreement, with the remaining principal due on January 16, 2027. The accrued interest on the VodafoneZiggo JV Receivable will be payable in a manner mutually agreed upon by Liberty Global and the VodafoneZiggo JV. Interest accrued on the VodafoneZiggo JV Receivable during the first quarter of 2017 of $14.8 million was cash settled in March 2017.</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losses of affiliates,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VodafoneZiggo JV (a)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7"/>
        </w:trPr>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9160" w:type="dxa"/>
            <w:vAlign w:val="bottom"/>
            <w:vMerge w:val="restart"/>
          </w:tcPr>
          <w:p>
            <w:pPr>
              <w:jc w:val="right"/>
              <w:ind w:right="771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w:t>
      </w:r>
    </w:p>
    <w:p>
      <w:pPr>
        <w:spacing w:after="0" w:line="1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VodafoneZiggo JV. </w:t>
      </w:r>
      <w:r>
        <w:rPr>
          <w:rFonts w:ascii="Times New Roman" w:cs="Times New Roman" w:eastAsia="Times New Roman" w:hAnsi="Times New Roman"/>
          <w:sz w:val="18"/>
          <w:szCs w:val="18"/>
          <w:color w:val="auto"/>
        </w:rPr>
        <w:t>On December 31, 2016, pursuant to a Contribution and Transfer Agreement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 and one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subsidiaries, we and Liberty Global Europe Holding B.V., our wholly-owned subsidiary, contributed Ziggo Group Holding and its subsidiaries (including Liberty Global Netherlands Content B.V., referred to herein as “</w:t>
      </w:r>
      <w:r>
        <w:rPr>
          <w:rFonts w:ascii="Times New Roman" w:cs="Times New Roman" w:eastAsia="Times New Roman" w:hAnsi="Times New Roman"/>
          <w:sz w:val="18"/>
          <w:szCs w:val="18"/>
          <w:b w:val="1"/>
          <w:bCs w:val="1"/>
          <w:color w:val="auto"/>
        </w:rPr>
        <w:t>Ziggo Sport</w:t>
      </w:r>
      <w:r>
        <w:rPr>
          <w:rFonts w:ascii="Times New Roman" w:cs="Times New Roman" w:eastAsia="Times New Roman" w:hAnsi="Times New Roman"/>
          <w:sz w:val="18"/>
          <w:szCs w:val="18"/>
          <w:color w:val="auto"/>
        </w:rPr>
        <w:t>”) to VodafoneZiggo Group Holding B.V., a newly-formed entity that was formed as a 50:50 joint venture between Vodafone and Liberty Global (the “</w:t>
      </w:r>
      <w:r>
        <w:rPr>
          <w:rFonts w:ascii="Times New Roman" w:cs="Times New Roman" w:eastAsia="Times New Roman" w:hAnsi="Times New Roman"/>
          <w:sz w:val="18"/>
          <w:szCs w:val="18"/>
          <w:b w:val="1"/>
          <w:bCs w:val="1"/>
          <w:color w:val="auto"/>
        </w:rPr>
        <w:t>VodafoneZiggo JV</w:t>
      </w:r>
      <w:r>
        <w:rPr>
          <w:rFonts w:ascii="Times New Roman" w:cs="Times New Roman" w:eastAsia="Times New Roman" w:hAnsi="Times New Roman"/>
          <w:sz w:val="18"/>
          <w:szCs w:val="18"/>
          <w:color w:val="auto"/>
        </w:rPr>
        <w:t>”). Ziggo Sport, which became a subsidiary of Ziggo Group Holding during the fourth quarter of 2016, operates premium sports channels in the Netherlands. The VodafoneZiggo JV combined Ziggo Group Holding with Vodafone’s mobile business in the Netherlands (</w:t>
      </w:r>
      <w:r>
        <w:rPr>
          <w:rFonts w:ascii="Times New Roman" w:cs="Times New Roman" w:eastAsia="Times New Roman" w:hAnsi="Times New Roman"/>
          <w:sz w:val="18"/>
          <w:szCs w:val="18"/>
          <w:b w:val="1"/>
          <w:bCs w:val="1"/>
          <w:color w:val="auto"/>
        </w:rPr>
        <w:t>Vodafone NL</w:t>
      </w:r>
      <w:r>
        <w:rPr>
          <w:rFonts w:ascii="Times New Roman" w:cs="Times New Roman" w:eastAsia="Times New Roman" w:hAnsi="Times New Roman"/>
          <w:sz w:val="18"/>
          <w:szCs w:val="18"/>
          <w:color w:val="auto"/>
        </w:rPr>
        <w:t xml:space="preserve">) to create a national unified communications provider in the Netherlands with complementary strengths across video, broadband, mobile and B2B services (the </w:t>
      </w:r>
      <w:r>
        <w:rPr>
          <w:rFonts w:ascii="Times New Roman" w:cs="Times New Roman" w:eastAsia="Times New Roman" w:hAnsi="Times New Roman"/>
          <w:sz w:val="18"/>
          <w:szCs w:val="18"/>
          <w:b w:val="1"/>
          <w:bCs w:val="1"/>
          <w:color w:val="auto"/>
        </w:rPr>
        <w:t>VodafoneZiggo JV Transaction</w:t>
      </w:r>
      <w:r>
        <w:rPr>
          <w:rFonts w:ascii="Times New Roman" w:cs="Times New Roman" w:eastAsia="Times New Roman" w:hAnsi="Times New Roman"/>
          <w:sz w:val="18"/>
          <w:szCs w:val="18"/>
          <w:color w:val="auto"/>
        </w:rPr>
        <w:t>). As a result of the VodafoneZiggo JV Transaction, effective December 31, 2016 we no longer consolidate Ziggo Group Holding. We account for our 50% interest in the VodafoneZiggo JV, which has been attributed to the Liberty Global Group, as an equity method investment. We consider the VodafoneZiggo JV to be a related party.</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4, 2017, in connection with the completion of the VodafoneZiggo JV Transaction, we received cash of €2.2 billion ($2.4 billion at transaction date) comprising (i) a distribution reflecting our 50% share of the €2.8 billion ($2.9 billion at the transaction date) of net proceeds from the various debt financing arrangements entered into by certain subsidiaries of Ziggo Group Holding during the third quarter of 2016 and (ii) an equalization payment from Vodafone of €802.9 million ($840.8 million at the transaction date) that is subject to post-closing adjustments, which are expected to be finalized during the second quarter of 2017. At December 31, 2016, our right to receive this cash is reflected as a current receivable from the VodafoneZiggo JV in our condensed consolidated balance sheet. In addition, during the first quarter of 2017, we paid $162.6 million of VAT on behalf of the VodafoneZiggo JV associated with the termination of a services agreement with Ziggo Group Holding that was in effect prior to the closing of the VodafoneZiggo JV Transaction. This advance was repaid during the first quarter of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an agreement entered into in connection with the formation of the VodafoneZiggo JV Transaction (the </w:t>
      </w:r>
      <w:r>
        <w:rPr>
          <w:rFonts w:ascii="Times New Roman" w:cs="Times New Roman" w:eastAsia="Times New Roman" w:hAnsi="Times New Roman"/>
          <w:sz w:val="18"/>
          <w:szCs w:val="18"/>
          <w:b w:val="1"/>
          <w:bCs w:val="1"/>
          <w:color w:val="auto"/>
        </w:rPr>
        <w:t>Framework Agreement</w:t>
      </w:r>
      <w:r>
        <w:rPr>
          <w:rFonts w:ascii="Times New Roman" w:cs="Times New Roman" w:eastAsia="Times New Roman" w:hAnsi="Times New Roman"/>
          <w:sz w:val="18"/>
          <w:szCs w:val="18"/>
          <w:color w:val="auto"/>
        </w:rPr>
        <w:t xml:space="preserve">), Liberty Global provides certain services to the VodafoneZiggo JV on a transitional or ongoing basis (collectively, the </w:t>
      </w:r>
      <w:r>
        <w:rPr>
          <w:rFonts w:ascii="Times New Roman" w:cs="Times New Roman" w:eastAsia="Times New Roman" w:hAnsi="Times New Roman"/>
          <w:sz w:val="18"/>
          <w:szCs w:val="18"/>
          <w:b w:val="1"/>
          <w:bCs w:val="1"/>
          <w:color w:val="auto"/>
        </w:rPr>
        <w:t>JV Services</w:t>
      </w:r>
      <w:r>
        <w:rPr>
          <w:rFonts w:ascii="Times New Roman" w:cs="Times New Roman" w:eastAsia="Times New Roman" w:hAnsi="Times New Roman"/>
          <w:sz w:val="18"/>
          <w:szCs w:val="18"/>
          <w:color w:val="auto"/>
        </w:rPr>
        <w:t>). Pursuant to the terms of the Framework Agreement, the ongoing services will be provided for a period of four to six years depending on the type of service, while transitional services will be provided for a period of not less than 12 months after which both parties shall be entitled to terminate based on specified notice periods.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it provides during the term of the Framework Agreement. During the three months ended March 31, 2017, we recorded revenue of $31.5 million related to the JV Services. In addition, at March 31, 2017, $87.5 million was due from the VodafoneZiggo JV, primarily related to (a) services performed under the Framework Agreement and (b) amounts incurred by Liberty Global for certain equipment and licenses purchased on behalf of the VodafoneZiggo JV. This amount, which is periodically cash settled, is included in other current assets in our condensed consolidated balance sheet.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VodafoneZiggo JV for the three months ended March 31, 2017 are set forth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67"/>
        </w:trPr>
        <w:tc>
          <w:tcPr>
            <w:tcW w:w="99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9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940" w:type="dxa"/>
            <w:vAlign w:val="bottom"/>
            <w:vMerge w:val="continue"/>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we seek to enter into derivative instruments to protect against (i) foreign currency movements, particularly with respect to borrowings that are denominated in a currency other than the functional currency of the borrowing entity, (ii) increases in the interest rates on our variable-rate debt and (iii) decreases in the market prices of certain publicly traded securities that we own. In this regard, through our subsidiaries, we have entered into various derivative instruments to manage interest rate exposure and foreign currency exposure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Swiss franc (</w:t>
      </w:r>
      <w:r>
        <w:rPr>
          <w:rFonts w:ascii="Times New Roman" w:cs="Times New Roman" w:eastAsia="Times New Roman" w:hAnsi="Times New Roman"/>
          <w:sz w:val="18"/>
          <w:szCs w:val="18"/>
          <w:b w:val="1"/>
          <w:bCs w:val="1"/>
          <w:color w:val="auto"/>
        </w:rPr>
        <w:t>CHF</w:t>
      </w:r>
      <w:r>
        <w:rPr>
          <w:rFonts w:ascii="Times New Roman" w:cs="Times New Roman" w:eastAsia="Times New Roman" w:hAnsi="Times New Roman"/>
          <w:sz w:val="18"/>
          <w:szCs w:val="18"/>
          <w:color w:val="auto"/>
        </w:rPr>
        <w:t>), the Chilean peso (</w:t>
      </w:r>
      <w:r>
        <w:rPr>
          <w:rFonts w:ascii="Times New Roman" w:cs="Times New Roman" w:eastAsia="Times New Roman" w:hAnsi="Times New Roman"/>
          <w:sz w:val="18"/>
          <w:szCs w:val="18"/>
          <w:b w:val="1"/>
          <w:bCs w:val="1"/>
          <w:color w:val="auto"/>
        </w:rPr>
        <w:t>CLP</w:t>
      </w:r>
      <w:r>
        <w:rPr>
          <w:rFonts w:ascii="Times New Roman" w:cs="Times New Roman" w:eastAsia="Times New Roman" w:hAnsi="Times New Roman"/>
          <w:sz w:val="18"/>
          <w:szCs w:val="18"/>
          <w:color w:val="auto"/>
        </w:rPr>
        <w:t>), the Czech koruna (</w:t>
      </w:r>
      <w:r>
        <w:rPr>
          <w:rFonts w:ascii="Times New Roman" w:cs="Times New Roman" w:eastAsia="Times New Roman" w:hAnsi="Times New Roman"/>
          <w:sz w:val="18"/>
          <w:szCs w:val="18"/>
          <w:b w:val="1"/>
          <w:bCs w:val="1"/>
          <w:color w:val="auto"/>
        </w:rPr>
        <w:t>CZK</w:t>
      </w:r>
      <w:r>
        <w:rPr>
          <w:rFonts w:ascii="Times New Roman" w:cs="Times New Roman" w:eastAsia="Times New Roman" w:hAnsi="Times New Roman"/>
          <w:sz w:val="18"/>
          <w:szCs w:val="18"/>
          <w:color w:val="auto"/>
        </w:rPr>
        <w:t>), the Hungarian forint (</w:t>
      </w:r>
      <w:r>
        <w:rPr>
          <w:rFonts w:ascii="Times New Roman" w:cs="Times New Roman" w:eastAsia="Times New Roman" w:hAnsi="Times New Roman"/>
          <w:sz w:val="18"/>
          <w:szCs w:val="18"/>
          <w:b w:val="1"/>
          <w:bCs w:val="1"/>
          <w:color w:val="auto"/>
        </w:rPr>
        <w:t>HUF</w:t>
      </w:r>
      <w:r>
        <w:rPr>
          <w:rFonts w:ascii="Times New Roman" w:cs="Times New Roman" w:eastAsia="Times New Roman" w:hAnsi="Times New Roman"/>
          <w:sz w:val="18"/>
          <w:szCs w:val="18"/>
          <w:color w:val="auto"/>
        </w:rPr>
        <w:t>), the Indian rupee (</w:t>
      </w:r>
      <w:r>
        <w:rPr>
          <w:rFonts w:ascii="Times New Roman" w:cs="Times New Roman" w:eastAsia="Times New Roman" w:hAnsi="Times New Roman"/>
          <w:sz w:val="18"/>
          <w:szCs w:val="18"/>
          <w:b w:val="1"/>
          <w:bCs w:val="1"/>
          <w:color w:val="auto"/>
        </w:rPr>
        <w:t>INR</w:t>
      </w:r>
      <w:r>
        <w:rPr>
          <w:rFonts w:ascii="Times New Roman" w:cs="Times New Roman" w:eastAsia="Times New Roman" w:hAnsi="Times New Roman"/>
          <w:sz w:val="18"/>
          <w:szCs w:val="18"/>
          <w:color w:val="auto"/>
        </w:rPr>
        <w:t>), the Jamaican dollar (</w:t>
      </w:r>
      <w:r>
        <w:rPr>
          <w:rFonts w:ascii="Times New Roman" w:cs="Times New Roman" w:eastAsia="Times New Roman" w:hAnsi="Times New Roman"/>
          <w:sz w:val="18"/>
          <w:szCs w:val="18"/>
          <w:b w:val="1"/>
          <w:bCs w:val="1"/>
          <w:color w:val="auto"/>
        </w:rPr>
        <w:t>JMD</w:t>
      </w:r>
      <w:r>
        <w:rPr>
          <w:rFonts w:ascii="Times New Roman" w:cs="Times New Roman" w:eastAsia="Times New Roman" w:hAnsi="Times New Roman"/>
          <w:sz w:val="18"/>
          <w:szCs w:val="18"/>
          <w:color w:val="auto"/>
        </w:rPr>
        <w:t>), the Philippine Peso (</w:t>
      </w:r>
      <w:r>
        <w:rPr>
          <w:rFonts w:ascii="Times New Roman" w:cs="Times New Roman" w:eastAsia="Times New Roman" w:hAnsi="Times New Roman"/>
          <w:sz w:val="18"/>
          <w:szCs w:val="18"/>
          <w:b w:val="1"/>
          <w:bCs w:val="1"/>
          <w:color w:val="auto"/>
        </w:rPr>
        <w:t>PHP</w:t>
      </w:r>
      <w:r>
        <w:rPr>
          <w:rFonts w:ascii="Times New Roman" w:cs="Times New Roman" w:eastAsia="Times New Roman" w:hAnsi="Times New Roman"/>
          <w:sz w:val="18"/>
          <w:szCs w:val="18"/>
          <w:color w:val="auto"/>
        </w:rPr>
        <w:t>), the Polish zloty (</w:t>
      </w:r>
      <w:r>
        <w:rPr>
          <w:rFonts w:ascii="Times New Roman" w:cs="Times New Roman" w:eastAsia="Times New Roman" w:hAnsi="Times New Roman"/>
          <w:sz w:val="18"/>
          <w:szCs w:val="18"/>
          <w:b w:val="1"/>
          <w:bCs w:val="1"/>
          <w:color w:val="auto"/>
        </w:rPr>
        <w:t>PLN</w:t>
      </w:r>
      <w:r>
        <w:rPr>
          <w:rFonts w:ascii="Times New Roman" w:cs="Times New Roman" w:eastAsia="Times New Roman" w:hAnsi="Times New Roman"/>
          <w:sz w:val="18"/>
          <w:szCs w:val="18"/>
          <w:color w:val="auto"/>
        </w:rPr>
        <w:t>) and the Romanian lei (</w:t>
      </w:r>
      <w:r>
        <w:rPr>
          <w:rFonts w:ascii="Times New Roman" w:cs="Times New Roman" w:eastAsia="Times New Roman" w:hAnsi="Times New Roman"/>
          <w:sz w:val="18"/>
          <w:szCs w:val="18"/>
          <w:b w:val="1"/>
          <w:bCs w:val="1"/>
          <w:color w:val="auto"/>
        </w:rPr>
        <w:t>RON</w:t>
      </w:r>
      <w:r>
        <w:rPr>
          <w:rFonts w:ascii="Times New Roman" w:cs="Times New Roman" w:eastAsia="Times New Roman" w:hAnsi="Times New Roman"/>
          <w:sz w:val="18"/>
          <w:szCs w:val="18"/>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9"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Current (a)</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and interest rate derivative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2,460.6</w:t>
            </w: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cross-currency and interest rate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contracts (b)</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2,606.5</w:t>
            </w:r>
          </w:p>
        </w:tc>
      </w:tr>
      <w:tr>
        <w:trPr>
          <w:trHeight w:val="205"/>
        </w:trPr>
        <w:tc>
          <w:tcPr>
            <w:tcW w:w="33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Equity-related derivative instruments –</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Liberty Global Group (c)</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524.0</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Foreign currency forward and option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3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05"/>
        </w:trPr>
        <w:tc>
          <w:tcPr>
            <w:tcW w:w="33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foreign currency forward and</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contracts</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3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3,029.9</w:t>
            </w: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3,176.1</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and interest rate derivative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1,238.7</w:t>
            </w: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cross-currency and interest rate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contracts (b)</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1,292.2</w:t>
            </w:r>
          </w:p>
        </w:tc>
      </w:tr>
      <w:tr>
        <w:trPr>
          <w:trHeight w:val="205"/>
        </w:trPr>
        <w:tc>
          <w:tcPr>
            <w:tcW w:w="33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Equity-related derivative instruments –</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Liberty Global Group (c)</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Foreign currency forward and option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3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5"/>
        </w:trPr>
        <w:tc>
          <w:tcPr>
            <w:tcW w:w="332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foreign currency forward and</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contracts</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3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1,252.2</w:t>
            </w: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1,309.9</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79"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9" w:right="2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derivative liabilities, long-term derivative assets and long-term derivative liabilities are included in other accrued and current liabilities, other assets, net, and other long-term liabilities, respectively, in our condensed consolidated balance sheets.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in our fair value assessments. As of March 31, 2017 and December 31, 2016, (i) the fair values of our cross-currency and interest rate derivative contracts that represented assets have been reduced by credit risk valuation adjustments aggregating $3.7 million and $93.1 million, respectively, and (ii) the fair values of our cross-currency and interest rate derivative contracts that represented liabilities have been reduced by credit risk valuation adjustments aggregating $55.4 million and $71.5 million, respectively. The adjustments to our derivative positions relate to the credit risk associated with our and our counterparties’ nonperformance. In all cases, the adjustments take into account offsetting liability or asset positions within each of our primary borrowing groups (as defined and described in note 8). The changes in the credit risk valuation adjustments associated with our cross-currency and interest rate derivative contracts resulted in net gains of $73.1 million and $21.4 million during the three months ended March 31, 2017 and 2016, respectively. These amounts are included in realized and unrealized losses on derivative instruments, net, in our condensed consolidated statements of operations. For further information regarding our fair value measurements, see note 6.</w:t>
      </w:r>
    </w:p>
    <w:p>
      <w:pPr>
        <w:spacing w:after="0" w:line="185" w:lineRule="exact"/>
        <w:rPr>
          <w:rFonts w:ascii="Times New Roman" w:cs="Times New Roman" w:eastAsia="Times New Roman" w:hAnsi="Times New Roman"/>
          <w:sz w:val="18"/>
          <w:szCs w:val="18"/>
          <w:color w:val="auto"/>
        </w:rPr>
      </w:pPr>
    </w:p>
    <w:p>
      <w:pPr>
        <w:jc w:val="both"/>
        <w:ind w:left="500" w:hanging="492"/>
        <w:spacing w:after="0" w:line="257"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equity-related derivative instruments primarily include the fair value of (i) the share collar (the </w:t>
      </w:r>
      <w:r>
        <w:rPr>
          <w:rFonts w:ascii="Times New Roman" w:cs="Times New Roman" w:eastAsia="Times New Roman" w:hAnsi="Times New Roman"/>
          <w:sz w:val="18"/>
          <w:szCs w:val="18"/>
          <w:b w:val="1"/>
          <w:bCs w:val="1"/>
          <w:color w:val="auto"/>
        </w:rPr>
        <w:t>ITV Collar</w:t>
      </w:r>
      <w:r>
        <w:rPr>
          <w:rFonts w:ascii="Times New Roman" w:cs="Times New Roman" w:eastAsia="Times New Roman" w:hAnsi="Times New Roman"/>
          <w:sz w:val="18"/>
          <w:szCs w:val="18"/>
          <w:color w:val="auto"/>
        </w:rPr>
        <w:t xml:space="preserve">) with respect ITV shares held by our company, (ii) the share collar (the </w:t>
      </w:r>
      <w:r>
        <w:rPr>
          <w:rFonts w:ascii="Times New Roman" w:cs="Times New Roman" w:eastAsia="Times New Roman" w:hAnsi="Times New Roman"/>
          <w:sz w:val="18"/>
          <w:szCs w:val="18"/>
          <w:b w:val="1"/>
          <w:bCs w:val="1"/>
          <w:color w:val="auto"/>
        </w:rPr>
        <w:t>Sumitomo Collar</w:t>
      </w:r>
      <w:r>
        <w:rPr>
          <w:rFonts w:ascii="Times New Roman" w:cs="Times New Roman" w:eastAsia="Times New Roman" w:hAnsi="Times New Roman"/>
          <w:sz w:val="18"/>
          <w:szCs w:val="18"/>
          <w:color w:val="auto"/>
        </w:rPr>
        <w:t xml:space="preserve">) with respect to a portion of the shares of Sumitomo held by our company and (iii) the prepaid forward transaction (the </w:t>
      </w:r>
      <w:r>
        <w:rPr>
          <w:rFonts w:ascii="Times New Roman" w:cs="Times New Roman" w:eastAsia="Times New Roman" w:hAnsi="Times New Roman"/>
          <w:sz w:val="18"/>
          <w:szCs w:val="18"/>
          <w:b w:val="1"/>
          <w:bCs w:val="1"/>
          <w:color w:val="auto"/>
        </w:rPr>
        <w:t>Lionsgate Forward</w:t>
      </w:r>
      <w:r>
        <w:rPr>
          <w:rFonts w:ascii="Times New Roman" w:cs="Times New Roman" w:eastAsia="Times New Roman" w:hAnsi="Times New Roman"/>
          <w:sz w:val="18"/>
          <w:szCs w:val="18"/>
          <w:color w:val="auto"/>
        </w:rPr>
        <w:t>) with respect to 2.5 million of the shares of Lionsgate held by our company. The fair values of the ITV Collar, the Sumitomo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9"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realized and unrealized losses on derivative instruments, net,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4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cross-currency and interest rate derivative contracts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Equity-related derivative instruments – Liberty Global Group:</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ITV Collar</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Sumitomo Collar</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Lionsgate Forward</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equity-related derivative instruments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5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3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3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18"/>
        </w:trPr>
        <w:tc>
          <w:tcPr>
            <w:tcW w:w="5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3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LiLAC Group</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foreign currency forward contracts that are used to hedge capital expenditures, the net cash received or paid is classified as an adjustment to capital expenditures in our condensed consolidated statements of cash flows. For derivative contracts that are terminated prior to maturity, the cash paid or received upon termination that relates to future periods is classified as a financing activity. The classification of these net cash inflows (outflows)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2"/>
                <w:szCs w:val="22"/>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 – LiLAC Group</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 – Liberty Global Group</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inflow (outflow):</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March 31, 2017, our exposure to counterparty credit risk included derivative assets with an aggregate fair value of $1,694.9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Cross-currency Derivative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noted above, we are exposed to foreign currency exchange rate risk in situations where our debt is denominated in a currency other than the functional currency of the operations whose cash flows support our ability to repay or refinance such debt. Although we generally seek to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Our policy is generally to provide for an economic hedge against foreign currency exchange rate movements by using derivative instruments to synthetically convert unmatched debt into the applicable underlying currency. At March 31, 2017, substantially all of our debt was either directly or synthetically matched to the applicable functional currencies of the underlying operations. The following table sets forth the total notional amounts and the related weighted average remaining contractual life of our cross-currency swap contracts at March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due from</w:t>
            </w:r>
          </w:p>
        </w:tc>
        <w:tc>
          <w:tcPr>
            <w:tcW w:w="2040" w:type="dxa"/>
            <w:vAlign w:val="bottom"/>
            <w:gridSpan w:val="2"/>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rPr>
              <w:t>Notional amount due to</w:t>
            </w:r>
          </w:p>
        </w:tc>
        <w:tc>
          <w:tcPr>
            <w:tcW w:w="7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2"/>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Borrowing group</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2040" w:type="dxa"/>
            <w:vAlign w:val="bottom"/>
            <w:gridSpan w:val="2"/>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 Media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339.6</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5,844.3</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Holding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1,973.7</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CHF</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922.0</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CHF</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2,781.0</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CZK</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11,521.8</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HUF</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138,437.5</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PLN</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3,604.5</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RON</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490.0</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5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Unitymedia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1,799.0</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5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Telenet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1,330.4</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JMD</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13,817.5</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194.3</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9"/>
        </w:trPr>
        <w:tc>
          <w:tcPr>
            <w:tcW w:w="5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VTR Finance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CLP</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951,390.0</w:t>
            </w:r>
          </w:p>
        </w:tc>
        <w:tc>
          <w:tcPr>
            <w:tcW w:w="7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do not involve the exchange of notional amounts at the inception and maturity of the instruments. Accordingly, the only cash flows associated with these derivative instruments are interest-related payments and receipts. At March 31, 2017, the total U.S. dollar equivalents of the notional amounts of these derivative instruments for the Virgin Media, UPC Holding and Telenet borrowing groups were $633.7 million, $405.9 million and $795.2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are “forward-starting,” such that the initial exchange occurs at a date subsequent to March 31, 2017. These instruments are typically entered into in order to extend existing hedges without the need to amend existing contracts.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noted above, we enter into interest rate swaps to protect against increases in the interest rates on our variable-rate debt. Pursuant to these derivative instruments, we typically pay fixed interest rates and receive variable interest rates on specified notional amounts. The following table sets forth the total U.S. dollar equivalents of the notional amounts and the related weighted average remaining contractual life of our interest rate swap contracts at March 31,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 due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Borrowing group</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from counterparty</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33"/>
        </w:trPr>
        <w:tc>
          <w:tcPr>
            <w:tcW w:w="1960" w:type="dxa"/>
            <w:vAlign w:val="bottom"/>
            <w:tcBorders>
              <w:bottom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76"/>
        </w:trPr>
        <w:tc>
          <w:tcPr>
            <w:tcW w:w="19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 Media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8,189.1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r>
      <w:tr>
        <w:trPr>
          <w:trHeight w:val="189"/>
        </w:trPr>
        <w:tc>
          <w:tcPr>
            <w:tcW w:w="19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Holding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189"/>
        </w:trPr>
        <w:tc>
          <w:tcPr>
            <w:tcW w:w="19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Unitymedia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189"/>
        </w:trPr>
        <w:tc>
          <w:tcPr>
            <w:tcW w:w="19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5,470.7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r>
      <w:tr>
        <w:trPr>
          <w:trHeight w:val="189"/>
        </w:trPr>
        <w:tc>
          <w:tcPr>
            <w:tcW w:w="19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189"/>
        </w:trPr>
        <w:tc>
          <w:tcPr>
            <w:tcW w:w="196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Puerto Rico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98"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forward-starting derivative instruments.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Swaps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life of our basis swap contracts at March 31,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 due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Borrowing group</w:t>
            </w: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from counterparty</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76"/>
        </w:trPr>
        <w:tc>
          <w:tcPr>
            <w:tcW w:w="1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 Media</w:t>
            </w:r>
          </w:p>
        </w:tc>
        <w:tc>
          <w:tcPr>
            <w:tcW w:w="6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189"/>
        </w:trPr>
        <w:tc>
          <w:tcPr>
            <w:tcW w:w="18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UPC Holding</w:t>
            </w:r>
          </w:p>
        </w:tc>
        <w:tc>
          <w:tcPr>
            <w:tcW w:w="6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r>
      <w:tr>
        <w:trPr>
          <w:trHeight w:val="189"/>
        </w:trPr>
        <w:tc>
          <w:tcPr>
            <w:tcW w:w="18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w:t>
            </w:r>
          </w:p>
        </w:tc>
        <w:tc>
          <w:tcPr>
            <w:tcW w:w="6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189"/>
        </w:trPr>
        <w:tc>
          <w:tcPr>
            <w:tcW w:w="184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CWC</w:t>
            </w:r>
          </w:p>
        </w:tc>
        <w:tc>
          <w:tcPr>
            <w:tcW w:w="6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r>
      <w:tr>
        <w:trPr>
          <w:trHeight w:val="891"/>
        </w:trPr>
        <w:tc>
          <w:tcPr>
            <w:tcW w:w="1840" w:type="dxa"/>
            <w:vAlign w:val="bottom"/>
          </w:tcPr>
          <w:p>
            <w:pPr>
              <w:spacing w:after="0"/>
              <w:rPr>
                <w:sz w:val="24"/>
                <w:szCs w:val="24"/>
                <w:color w:val="auto"/>
              </w:rPr>
            </w:pPr>
          </w:p>
        </w:tc>
        <w:tc>
          <w:tcPr>
            <w:tcW w:w="65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 and Collars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enter into interest rate cap and collar agreements that lock in a maximum interest rate if variable rates rise, but also allow our company to benefit, to a limited extent in the case of collars, from declines in market rates. At March 31, 2017, the total U.S. dollar equivalents of the notional amounts of our interest rate caps and collars were $1,433.4 million and $1,214.2 million, respectively.</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Borrowing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impact of the derivative instruments that mitigate our foreign currency and interest rate risk, as described above, on our borrowing costs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Increase (decrease) to</w:t>
            </w:r>
          </w:p>
        </w:tc>
      </w:tr>
      <w:tr>
        <w:trPr>
          <w:trHeight w:val="203"/>
        </w:trPr>
        <w:tc>
          <w:tcPr>
            <w:tcW w:w="45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borrowing costs at March 31,</w:t>
            </w:r>
          </w:p>
        </w:tc>
      </w:tr>
      <w:tr>
        <w:trPr>
          <w:trHeight w:val="212"/>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Borrowing group</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2017 (a)</w:t>
            </w:r>
          </w:p>
        </w:tc>
      </w:tr>
      <w:tr>
        <w:trPr>
          <w:trHeight w:val="33"/>
        </w:trPr>
        <w:tc>
          <w:tcPr>
            <w:tcW w:w="4520" w:type="dxa"/>
            <w:vAlign w:val="bottom"/>
            <w:tcBorders>
              <w:bottom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 Media</w:t>
            </w: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Telenet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Unitymedia</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UPC Holding</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CWC</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43"/>
        </w:trPr>
        <w:tc>
          <w:tcPr>
            <w:tcW w:w="6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VTR Finance</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3"/>
        </w:trPr>
        <w:tc>
          <w:tcPr>
            <w:tcW w:w="6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Puerto Rico</w:t>
            </w: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0.96 %</w:t>
            </w:r>
          </w:p>
        </w:tc>
      </w:tr>
      <w:tr>
        <w:trPr>
          <w:trHeight w:val="27"/>
        </w:trPr>
        <w:tc>
          <w:tcPr>
            <w:tcW w:w="614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derivative instruments in effect at March 31, 2017 and does not include forward-starting derivative instruments.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 and Options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subsidiaries enter into foreign currency forward and option contracts with respect to non-functional currency exposure. As of March 31, 2017, the total U.S. dollar equivalents of the notional amount of foreign currency forward and option contracts was $1,648.2 million.</w:t>
      </w:r>
    </w:p>
    <w:p>
      <w:pPr>
        <w:spacing w:after="0" w:line="158"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(ii) our derivative instruments, (iii) certain instruments that we classify as debt and (iv) the Sumitomo Share Loan, as defined and described below. The reported fair values of these investments and instruments as of March 31, 2017 likely will not represent the value that will be paid or received upon the ultimate settlement or disposition of these assets and liabilities. In the case of the investments that we account for using the fair value method, the values we realize upon disposition will be dependent upon, among other factors, market conditions and the forecasted financial performance of the investees at the time of any such disposition. With respect to our derivative and certain debt instruments, we expect that the values realized generally will be based on market conditions at the time of settlement, which may occur at the maturity of the derivative instrument or at the time of the repayment or refinancing of the underlying debt instrument.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three months ended March 31, 2017, no such transfers were made.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our investments in ITV, Sumitomo and Lionsgate,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18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During the second quarter of 2016, one of our subsidiaries entered into a securities lending arrangement (the </w:t>
      </w:r>
      <w:r>
        <w:rPr>
          <w:rFonts w:ascii="Times New Roman" w:cs="Times New Roman" w:eastAsia="Times New Roman" w:hAnsi="Times New Roman"/>
          <w:sz w:val="18"/>
          <w:szCs w:val="18"/>
          <w:b w:val="1"/>
          <w:bCs w:val="1"/>
          <w:color w:val="auto"/>
        </w:rPr>
        <w:t>Sumitomo Share Loan</w:t>
      </w:r>
      <w:r>
        <w:rPr>
          <w:rFonts w:ascii="Times New Roman" w:cs="Times New Roman" w:eastAsia="Times New Roman" w:hAnsi="Times New Roman"/>
          <w:sz w:val="18"/>
          <w:szCs w:val="18"/>
          <w:color w:val="auto"/>
        </w:rPr>
        <w:t>), pursuant to which we borrowed shares of Sumitomo. As the primary input for this recurring fair value measurement is the quoted market price of the borrowed shares of Sumitomo, we believe this valuation falls under Level 1 of the fair value hierarchy.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recurring fair value measurement of our equity-related derivative instruments are based on binomial option pricing models, which require the input of observable and unobservable variables such as exchange-traded equity prices, risk-free interest rates, dividend yields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March 31, 2017, the valuations of the ITV Collar, the Sumitomo Collar and the Lionsgate Forward were not significantly impacted by forecasted volatilities.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order to manage our interest rate and foreign currency exchange risk, we have entered into (i) various derivative instruments and (ii) certain instruments that we classify as debt, as further described in notes 5 and 8, respectively. 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interest rate futures and swap rates, which are retrieved or derived from available market data. Although we may extrapolate or interpolate this data, we do not otherwise alter this data in performing our valuations. We incorporate a credit risk valuation adjustment in our fair value measurements to estimate the impact of both our own nonperformance risk and the nonperformance risk of our counterparties. Effective January 1, 2017, we incorporated a Monte Carlo based approach into our calculation of the value assigned to the risk that we or our counterparties will default on our respective derivative obligations. Previously, we used a static calculation derived from our most current mark-to-market valuation to calculate the impact of counterparty credit risk. The adoption of a Monte Carlo based approach did not have a material impact on the overall fair value of our derivative instruments. Our and our counterparties’ credit spreads represent our most significant Level 3 inputs, and these inputs are used to derive the credit risk valuation adjustments with respect to these instruments. As we would not expect changes in our or our counterparties’ credit spreads to have a significant impact on the valuations of these instruments, we have determined that these valuations fall under Level 2 of the fair value hierarchy. Due to the lack of Level 2 inputs for the valuation of the U.S. dollar to Jamaican dollar cross-currency swaps held by Sable, we believe this valuation falls under Level 3 of the fair value hierarchy. Our credit risk valuation adjustments with respect to our cross-currency and interest rate swaps are quantified and further explained in note 5.</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measurements are also used in connection with nonrecurring valuations performed in connection with impairment assessments, acquisition accounting and the accounting for our initial investment in the VodafoneZiggo JV. These nonrecurring valuations include the valuation of reporting units, customer relationship and other intangible assets, property and equipment, the implied value of goodwill and the valuation of our initial investment in the VodafoneZiggo JV. The valuation of private reporting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9"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units and our initial investment in the VodafoneZiggo JV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All of our nonrecurring valuations use significant unobservable inputs and therefore fall under Level 3 of the fair value hierarchy. With the exception of valuations performed in connection with updates to the acquisition accounting for the CWC Acquisition, we did not perform significant nonrecurring fair value measurements during the three months ended March 31, 2017.</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6"/>
          </w:tcPr>
          <w:p>
            <w:pPr>
              <w:jc w:val="center"/>
              <w:ind w:left="1013"/>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2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2017 using: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178"/>
        </w:trPr>
        <w:tc>
          <w:tcPr>
            <w:tcW w:w="51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5"/>
                <w:szCs w:val="15"/>
                <w:color w:val="auto"/>
              </w:rPr>
            </w:pPr>
          </w:p>
        </w:tc>
        <w:tc>
          <w:tcPr>
            <w:tcW w:w="1260" w:type="dxa"/>
            <w:vAlign w:val="bottom"/>
          </w:tcPr>
          <w:p>
            <w:pPr>
              <w:jc w:val="right"/>
              <w:ind w:right="491"/>
              <w:spacing w:after="0" w:line="178" w:lineRule="exact"/>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3"/>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393.5</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1,835.7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840.7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28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6"/>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December 31, 2016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178"/>
        </w:trPr>
        <w:tc>
          <w:tcPr>
            <w:tcW w:w="51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620" w:type="dxa"/>
            <w:vAlign w:val="bottom"/>
            <w:gridSpan w:val="3"/>
          </w:tcPr>
          <w:p>
            <w:pPr>
              <w:ind w:left="10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15"/>
                <w:szCs w:val="15"/>
                <w:color w:val="auto"/>
              </w:rPr>
            </w:pPr>
          </w:p>
        </w:tc>
        <w:tc>
          <w:tcPr>
            <w:tcW w:w="1240" w:type="dxa"/>
            <w:vAlign w:val="bottom"/>
          </w:tcPr>
          <w:p>
            <w:pPr>
              <w:jc w:val="center"/>
              <w:ind w:right="33"/>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8"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524.0</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374.8</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our assets and liabilities measured at fair value on a recurring basis using significant unobservable, or Level 3, inputs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Cross-currency and</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Equity-related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of net asset (liability) at January 1, 2017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879.5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(losses) included in net loss (a):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certain investments and debt,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dividends and 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of net asset (liability) at March 31, 2017</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393.5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812.1</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these net losses relate to assets and liabilities that we continue to carry on our condensed consolidated balance sheet as of March 31, 2017.</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8"/>
          <w:szCs w:val="18"/>
          <w:b w:val="1"/>
          <w:bCs w:val="1"/>
          <w:u w:val="single" w:color="auto"/>
          <w:color w:val="auto"/>
        </w:rPr>
        <w:t>Long-lived Assets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4"/>
            <w:shd w:val="clear" w:color="auto" w:fill="CCEEFF"/>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systems: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21,249.9</w:t>
            </w:r>
          </w:p>
        </w:tc>
      </w:tr>
      <w:tr>
        <w:trPr>
          <w:trHeight w:val="24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3,522.0</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24,771.9</w:t>
            </w:r>
          </w:p>
        </w:tc>
      </w:tr>
      <w:tr>
        <w:trPr>
          <w:trHeight w:val="22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premises equipment:</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4,829.9</w:t>
            </w:r>
          </w:p>
        </w:tc>
      </w:tr>
      <w:tr>
        <w:trPr>
          <w:trHeight w:val="24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1,205.4</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6,035.3</w:t>
            </w:r>
          </w:p>
        </w:tc>
      </w:tr>
      <w:tr>
        <w:trPr>
          <w:trHeight w:val="22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4,385.5</w:t>
            </w:r>
          </w:p>
        </w:tc>
      </w:tr>
      <w:tr>
        <w:trPr>
          <w:trHeight w:val="24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954.8</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5,340.3</w:t>
            </w:r>
          </w:p>
        </w:tc>
      </w:tr>
      <w:tr>
        <w:trPr>
          <w:trHeight w:val="22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30,465.3</w:t>
            </w:r>
          </w:p>
        </w:tc>
      </w:tr>
      <w:tr>
        <w:trPr>
          <w:trHeight w:val="243"/>
        </w:trPr>
        <w:tc>
          <w:tcPr>
            <w:tcW w:w="8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5,682.2</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36,147.5</w:t>
            </w:r>
          </w:p>
        </w:tc>
      </w:tr>
      <w:tr>
        <w:trPr>
          <w:trHeight w:val="22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(13,216.0)</w:t>
            </w:r>
          </w:p>
        </w:tc>
      </w:tr>
      <w:tr>
        <w:trPr>
          <w:trHeight w:val="24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(15,037.3)</w:t>
            </w:r>
          </w:p>
        </w:tc>
      </w:tr>
      <w:tr>
        <w:trPr>
          <w:trHeight w:val="223"/>
        </w:trPr>
        <w:tc>
          <w:tcPr>
            <w:tcW w:w="8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17,249.3</w:t>
            </w:r>
          </w:p>
        </w:tc>
      </w:tr>
      <w:tr>
        <w:trPr>
          <w:trHeight w:val="243"/>
        </w:trPr>
        <w:tc>
          <w:tcPr>
            <w:tcW w:w="8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3,860.9</w:t>
            </w:r>
          </w:p>
        </w:tc>
      </w:tr>
      <w:tr>
        <w:trPr>
          <w:trHeight w:val="27"/>
        </w:trPr>
        <w:tc>
          <w:tcPr>
            <w:tcW w:w="8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21,403.8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21,110.2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and 2016, we recorded non-cash increases to our property and equipment related to vendor financing arrangements of $628.5 million and $438.9 million, respectively, which exclude related VAT of $98.4 million and $61.1 million, respectively, that were also financed by our vendors under these arrangements. In addition, during the three months ended March 31, 2017 and 2016, we recorded non-cash increases to our property and equipment related to assets acquired under capital leases of $32.3 million and $27.9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our goodwill during the three months ended March 31, 2017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 related</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200" w:type="dxa"/>
            <w:vAlign w:val="bottom"/>
          </w:tcPr>
          <w:p>
            <w:pPr>
              <w:spacing w:after="0"/>
              <w:rPr>
                <w:sz w:val="17"/>
                <w:szCs w:val="17"/>
                <w:color w:val="auto"/>
              </w:rPr>
            </w:pP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596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1, 2017</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5"/>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7,534.8</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Belgium</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2,061.5</w:t>
            </w: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3,056.1</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3,501.0</w:t>
            </w:r>
          </w:p>
        </w:tc>
      </w:tr>
      <w:tr>
        <w:trPr>
          <w:trHeight w:val="237"/>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15,901.6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16,153.4</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1,180.0</w:t>
            </w:r>
          </w:p>
        </w:tc>
      </w:tr>
      <w:tr>
        <w:trPr>
          <w:trHeight w:val="237"/>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17,333.4</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r>
      <w:tr>
        <w:trPr>
          <w:trHeight w:val="237"/>
        </w:trPr>
        <w:tc>
          <w:tcPr>
            <w:tcW w:w="5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17,063.7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17,351.1</w:t>
            </w:r>
          </w:p>
        </w:tc>
      </w:tr>
      <w:tr>
        <w:trPr>
          <w:trHeight w:val="27"/>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5,351.9</w:t>
            </w: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403.9</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w:t>
            </w:r>
          </w:p>
        </w:tc>
      </w:tr>
      <w:tr>
        <w:trPr>
          <w:trHeight w:val="237"/>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6,033.5</w:t>
            </w:r>
          </w:p>
        </w:tc>
      </w:tr>
      <w:tr>
        <w:trPr>
          <w:trHeight w:val="27"/>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 (a)</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120.9</w:t>
            </w:r>
          </w:p>
        </w:tc>
      </w:tr>
      <w:tr>
        <w:trPr>
          <w:trHeight w:val="237"/>
        </w:trPr>
        <w:tc>
          <w:tcPr>
            <w:tcW w:w="5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6,154.4</w:t>
            </w:r>
          </w:p>
        </w:tc>
      </w:tr>
      <w:tr>
        <w:trPr>
          <w:trHeight w:val="27"/>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23,505.5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enterprise-level goodwill that is allocated to our Puerto Rico segment for purposes of our impairment tests.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results of our October 1, 2016 goodwill impairment test, a hypothetical decline of 20% or more in the fair value of any of CWC’s reporting units could result in the need to record a goodwill impairment charge. If, among other factors, (i) the equity values of the LiLAC Group were to remain depressed or decline further or (ii) the adverse impacts of economic, competitive, regulatory or other factors were to cause CWC’s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9"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37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8"/>
                <w:szCs w:val="18"/>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2,094.9</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1,143.2</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6,655.6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6,802.7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3,238.1</w:t>
            </w: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328.3</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419.6</w:t>
            </w:r>
          </w:p>
        </w:tc>
      </w:tr>
      <w:tr>
        <w:trPr>
          <w:trHeight w:val="22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subject to amortization, net:</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3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3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Liberty Global Group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5,724.6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2,423.2</w:t>
            </w:r>
          </w:p>
        </w:tc>
      </w:tr>
      <w:tr>
        <w:trPr>
          <w:trHeight w:val="243"/>
        </w:trPr>
        <w:tc>
          <w:tcPr>
            <w:tcW w:w="3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LiLAC Group</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1,234.5</w:t>
            </w: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7,224.3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7,380.0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3,657.7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 and Capital Lease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equivalents of the components of our debt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March 31, 2017</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00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4"/>
                <w:szCs w:val="14"/>
                <w:color w:val="auto"/>
              </w:rPr>
            </w:pPr>
          </w:p>
        </w:tc>
        <w:tc>
          <w:tcPr>
            <w:tcW w:w="2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Unused borrowing capacity (b)</w:t>
            </w:r>
          </w:p>
        </w:tc>
        <w:tc>
          <w:tcPr>
            <w:tcW w:w="120" w:type="dxa"/>
            <w:vAlign w:val="bottom"/>
          </w:tcPr>
          <w:p>
            <w:pPr>
              <w:spacing w:after="0"/>
              <w:rPr>
                <w:sz w:val="14"/>
                <w:szCs w:val="14"/>
                <w:color w:val="auto"/>
              </w:rPr>
            </w:pPr>
          </w:p>
        </w:tc>
        <w:tc>
          <w:tcPr>
            <w:tcW w:w="2600" w:type="dxa"/>
            <w:vAlign w:val="bottom"/>
            <w:gridSpan w:val="6"/>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Estimated fair value (c)</w:t>
            </w:r>
          </w:p>
        </w:tc>
        <w:tc>
          <w:tcPr>
            <w:tcW w:w="120" w:type="dxa"/>
            <w:vAlign w:val="bottom"/>
          </w:tcPr>
          <w:p>
            <w:pPr>
              <w:spacing w:after="0"/>
              <w:rPr>
                <w:sz w:val="14"/>
                <w:szCs w:val="14"/>
                <w:color w:val="auto"/>
              </w:rPr>
            </w:pPr>
          </w:p>
        </w:tc>
        <w:tc>
          <w:tcPr>
            <w:tcW w:w="2500" w:type="dxa"/>
            <w:vAlign w:val="bottom"/>
            <w:gridSpan w:val="4"/>
            <w:vMerge w:val="restart"/>
          </w:tcPr>
          <w:p>
            <w:pPr>
              <w:jc w:val="right"/>
              <w:ind w:right="631"/>
              <w:spacing w:after="0"/>
              <w:rPr>
                <w:sz w:val="20"/>
                <w:szCs w:val="20"/>
                <w:color w:val="auto"/>
              </w:rPr>
            </w:pPr>
            <w:r>
              <w:rPr>
                <w:rFonts w:ascii="Times New Roman" w:cs="Times New Roman" w:eastAsia="Times New Roman" w:hAnsi="Times New Roman"/>
                <w:sz w:val="15"/>
                <w:szCs w:val="15"/>
                <w:b w:val="1"/>
                <w:bCs w:val="1"/>
                <w:color w:val="auto"/>
              </w:rPr>
              <w:t>Principal amount</w:t>
            </w:r>
          </w:p>
        </w:tc>
        <w:tc>
          <w:tcPr>
            <w:tcW w:w="0" w:type="dxa"/>
            <w:vAlign w:val="bottom"/>
          </w:tcPr>
          <w:p>
            <w:pPr>
              <w:spacing w:after="0"/>
              <w:rPr>
                <w:sz w:val="1"/>
                <w:szCs w:val="1"/>
                <w:color w:val="auto"/>
              </w:rPr>
            </w:pPr>
          </w:p>
        </w:tc>
      </w:tr>
      <w:tr>
        <w:trPr>
          <w:trHeight w:val="98"/>
        </w:trPr>
        <w:tc>
          <w:tcPr>
            <w:tcW w:w="2700" w:type="dxa"/>
            <w:vAlign w:val="bottom"/>
          </w:tcPr>
          <w:p>
            <w:pPr>
              <w:spacing w:after="0"/>
              <w:rPr>
                <w:sz w:val="8"/>
                <w:szCs w:val="8"/>
                <w:color w:val="auto"/>
              </w:rPr>
            </w:pPr>
          </w:p>
        </w:tc>
        <w:tc>
          <w:tcPr>
            <w:tcW w:w="10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2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7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Borrowing</w:t>
            </w:r>
          </w:p>
        </w:tc>
        <w:tc>
          <w:tcPr>
            <w:tcW w:w="10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U.S. $</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1"/>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6"/>
        </w:trPr>
        <w:tc>
          <w:tcPr>
            <w:tcW w:w="27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rate (a)</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equivalent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March 31, 2017</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5"/>
                <w:szCs w:val="15"/>
                <w:b w:val="1"/>
                <w:bCs w:val="1"/>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2017</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5"/>
                <w:szCs w:val="15"/>
                <w:b w:val="1"/>
                <w:bCs w:val="1"/>
                <w:color w:val="auto"/>
              </w:rPr>
              <w:t>2016</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VM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9,311.0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9,041.0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VM Credit Facilities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5"/>
              </w:rPr>
              <w:t>(d)</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4,505.5</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Unitymedia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7,419.3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Unitymedia Revolving Credit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Facilities</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UPC Broadband Holding Bank</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990.1</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2,782.8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UPCB SPE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UPC Holding Senior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1,451.5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Telenet Credit Facility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545.0</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3,187.5</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Telenet SPE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1,297.3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financing (e)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ITV Collar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1,336.2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Derivative-related debt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(f)</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Sumitomo Collar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05"/>
        </w:trPr>
        <w:tc>
          <w:tcPr>
            <w:tcW w:w="270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Total Liberty Global</w:t>
            </w: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Group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37,398.8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36,557.4</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CWC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2,181.1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CWC Credit Facilities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756.5</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1,411.9</w:t>
            </w:r>
          </w:p>
        </w:tc>
        <w:tc>
          <w:tcPr>
            <w:tcW w:w="0" w:type="dxa"/>
            <w:vAlign w:val="bottom"/>
          </w:tcPr>
          <w:p>
            <w:pPr>
              <w:spacing w:after="0"/>
              <w:rPr>
                <w:sz w:val="1"/>
                <w:szCs w:val="1"/>
                <w:color w:val="auto"/>
              </w:rPr>
            </w:pPr>
          </w:p>
        </w:tc>
      </w:tr>
      <w:tr>
        <w:trPr>
          <w:trHeight w:val="225"/>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VTR Finance Senior Secured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VTR Credit Facility</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5"/>
              </w:rPr>
              <w:t>(h)</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Puerto Rico Bank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942.5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financing (e)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7"/>
        </w:trPr>
        <w:tc>
          <w:tcPr>
            <w:tcW w:w="2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LiLAC Group</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6,195.5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6,069.2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5,984.4</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w w:val="99"/>
              </w:rPr>
              <w:t>Total debt before unamortized</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premiums, discounts and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4,046.8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44,637.8</w:t>
            </w:r>
          </w:p>
        </w:tc>
        <w:tc>
          <w:tcPr>
            <w:tcW w:w="3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43,594.3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43,346.9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42,541.8</w:t>
            </w:r>
          </w:p>
        </w:tc>
        <w:tc>
          <w:tcPr>
            <w:tcW w:w="0" w:type="dxa"/>
            <w:vAlign w:val="bottom"/>
          </w:tcPr>
          <w:p>
            <w:pPr>
              <w:spacing w:after="0"/>
              <w:rPr>
                <w:sz w:val="1"/>
                <w:szCs w:val="1"/>
                <w:color w:val="auto"/>
              </w:rPr>
            </w:pPr>
          </w:p>
        </w:tc>
      </w:tr>
      <w:tr>
        <w:trPr>
          <w:trHeight w:val="241"/>
        </w:trPr>
        <w:tc>
          <w:tcPr>
            <w:tcW w:w="2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total debt before unamortized premiums, discounts and deferred financing costs to total debt and capital lease obligations: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80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33"/>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2"/>
        </w:trPr>
        <w:tc>
          <w:tcPr>
            <w:tcW w:w="8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 before unamortized premiums, discounts and deferred financing costs</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42,541.8</w:t>
            </w: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premiums, net of discounts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7"/>
        </w:trPr>
        <w:tc>
          <w:tcPr>
            <w:tcW w:w="8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carrying amount of debt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42,315.9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 (i)</w:t>
            </w: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1,242.8</w:t>
            </w:r>
          </w:p>
        </w:tc>
      </w:tr>
      <w:tr>
        <w:trPr>
          <w:trHeight w:val="27"/>
        </w:trPr>
        <w:tc>
          <w:tcPr>
            <w:tcW w:w="8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debt and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44,367.5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43,558.7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debt and capital lease obligations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(2,775.1)</w:t>
            </w:r>
          </w:p>
        </w:tc>
      </w:tr>
      <w:tr>
        <w:trPr>
          <w:trHeight w:val="27"/>
        </w:trPr>
        <w:tc>
          <w:tcPr>
            <w:tcW w:w="8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40,783.6</w:t>
            </w: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both"/>
        <w:ind w:left="500" w:hanging="492"/>
        <w:spacing w:after="0" w:line="25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March 31, 2017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financing costs, our weighted average interest rate on our aggregate variable- and fixed-rate indebtedness was 4.91% (including 4.62% for the Liberty Global Group and 6.63% for the LiLAC Group) at March 31, 2017. For information regarding our derivative instruments, see note 5.</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3"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March 31, 2017 without regard to covenant compliance calculations or other conditions precedent to borrowing. At March 31, 2017, based on the applicable leverage covenants, the full amount of unused borrowing capacity was available to be borrowed under each of the respective subsidiary facilities, and there were no restrictions on the respective subsidiary's ability to make loans or distributions from this availability to Liberty Global or its subsidiaries or other equity holders, except as shown in the table below. In the following table, for each facility that is subject to limitations on borrowing availability, we present (i) the actual borrowing availability under the respective facility and (ii) for each subsidiary where the ability to make loans or distributions from this availability is limited, the amount that can be loaned or distributed to Liberty Global or its subsidiaries or other equity holders. The amounts presented below assume no changes from March 31, 2017 borrowing levels and are based on the applicable covenant and other limitations in effect within each borrowing group at March 31, 2017, both before and after considering the impact of the completion of the March 31, 2017 compliance requirements. For information regarding certain refinancing transactions completed subsequent to March 31, 2017 that could have an impact on unused borrowing capacity and/or the availability to be borrowed, loaned or distributed, see note 16.</w:t>
      </w:r>
    </w:p>
    <w:p>
      <w:pPr>
        <w:spacing w:after="0" w:line="15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Limitation on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38735</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66" w:lineRule="exact"/>
        <w:rPr>
          <w:sz w:val="20"/>
          <w:szCs w:val="20"/>
          <w:color w:val="auto"/>
        </w:rPr>
      </w:pPr>
    </w:p>
    <w:tbl>
      <w:tblPr>
        <w:tblLayout w:type="fixed"/>
        <w:tblInd w:w="590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Upon completion of relevant</w:t>
            </w:r>
          </w:p>
        </w:tc>
      </w:tr>
      <w:tr>
        <w:trPr>
          <w:trHeight w:val="203"/>
        </w:trPr>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2017 compliance</w:t>
            </w:r>
          </w:p>
        </w:tc>
      </w:tr>
      <w:tr>
        <w:trPr>
          <w:trHeight w:val="212"/>
        </w:trPr>
        <w:tc>
          <w:tcPr>
            <w:tcW w:w="24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requirements</w:t>
            </w:r>
          </w:p>
        </w:tc>
      </w:tr>
      <w:tr>
        <w:trPr>
          <w:trHeight w:val="33"/>
        </w:trPr>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U.S. $</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 $</w:t>
            </w:r>
          </w:p>
        </w:tc>
      </w:tr>
      <w:tr>
        <w:trPr>
          <w:trHeight w:val="212"/>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20955</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38735</wp:posOffset>
            </wp:positionV>
            <wp:extent cx="65176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Limitation on availability to be borrowed under:</w:t>
      </w:r>
    </w:p>
    <w:p>
      <w:pPr>
        <w:spacing w:after="0" w:line="7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CWC Credit Facilities (1)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612.5</w:t>
            </w:r>
          </w:p>
        </w:tc>
      </w:tr>
      <w:tr>
        <w:trPr>
          <w:trHeight w:val="27"/>
        </w:trPr>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22"/>
        </w:trPr>
        <w:tc>
          <w:tcPr>
            <w:tcW w:w="46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Limitation on availability to be loaned or distributed by:</w:t>
            </w: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Virgin Media</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776.1</w:t>
            </w:r>
          </w:p>
        </w:tc>
      </w:tr>
      <w:tr>
        <w:trPr>
          <w:trHeight w:val="243"/>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Unitymedia</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225.4</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241.1</w:t>
            </w: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9" w:right="2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980" w:hanging="486"/>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availability under the CWC Credit Facilities reflects letters of credit issued in connection with certain pension obligations.</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values of our debt instruments are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6.</w:t>
      </w:r>
    </w:p>
    <w:p>
      <w:pPr>
        <w:spacing w:after="0" w:line="180"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VM Credit Facilities relates to a multi-currency revolving facility with maximum borrowing capacity equivalent to £675.0 million ($846.6 million).</w:t>
      </w:r>
    </w:p>
    <w:p>
      <w:pPr>
        <w:spacing w:after="0" w:line="161" w:lineRule="exact"/>
        <w:rPr>
          <w:rFonts w:ascii="Times New Roman" w:cs="Times New Roman" w:eastAsia="Times New Roman" w:hAnsi="Times New Roman"/>
          <w:sz w:val="18"/>
          <w:szCs w:val="18"/>
          <w:color w:val="auto"/>
        </w:rPr>
      </w:pPr>
    </w:p>
    <w:p>
      <w:pPr>
        <w:ind w:left="820" w:hanging="812"/>
        <w:spacing w:after="0" w:line="261" w:lineRule="auto"/>
        <w:tabs>
          <w:tab w:leader="none" w:pos="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and include VAT that was paid on our behalf by the vendor. Repayments of vendor financing obligations are included in repayments and repurchases of debt and capital lease obligations in our condensed consolidated statements of cash flows.</w:t>
      </w:r>
    </w:p>
    <w:p>
      <w:pPr>
        <w:spacing w:after="0" w:line="180" w:lineRule="exact"/>
        <w:rPr>
          <w:rFonts w:ascii="Times New Roman" w:cs="Times New Roman" w:eastAsia="Times New Roman" w:hAnsi="Times New Roman"/>
          <w:sz w:val="18"/>
          <w:szCs w:val="18"/>
          <w:color w:val="auto"/>
        </w:rPr>
      </w:pPr>
    </w:p>
    <w:p>
      <w:pPr>
        <w:ind w:left="820" w:hanging="812"/>
        <w:spacing w:after="0" w:line="282" w:lineRule="auto"/>
        <w:tabs>
          <w:tab w:leader="none" w:pos="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certain derivative-related borrowing instruments, including $393.9 million carried at fair value. For information regarding fair value hierarchies, see note 6.</w:t>
      </w:r>
    </w:p>
    <w:p>
      <w:pPr>
        <w:spacing w:after="0" w:line="161" w:lineRule="exact"/>
        <w:rPr>
          <w:rFonts w:ascii="Times New Roman" w:cs="Times New Roman" w:eastAsia="Times New Roman" w:hAnsi="Times New Roman"/>
          <w:sz w:val="18"/>
          <w:szCs w:val="18"/>
          <w:color w:val="auto"/>
        </w:rPr>
      </w:pPr>
    </w:p>
    <w:p>
      <w:pPr>
        <w:ind w:left="820" w:hanging="812"/>
        <w:spacing w:after="0" w:line="282" w:lineRule="auto"/>
        <w:tabs>
          <w:tab w:leader="none" w:pos="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31, 2017 balance includes (i) $245.9 million associated with the Sumitomo Share Loan, which is carried at fair value, and (ii) $131.7 million of debt collateralized by certain trade receivables of Virgin Media. For information regarding fair value hierarchies, see note 6.</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VTR Credit Facility is the senior secured credit facility of VTR and certain of its subsidiaries and comprises a $160.0 million facility and a CLP 44.0 billion ($66.6 million) facility, each of which were undrawn at March 31, 2017.</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equivalents of our consolidated capital lease obligations are as follows:</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2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Group:</w:t>
            </w: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Unitymedia</w:t>
            </w:r>
          </w:p>
        </w:tc>
        <w:tc>
          <w:tcPr>
            <w:tcW w:w="438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Telenet</w:t>
            </w: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Virgin Media</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subsidiaries</w:t>
            </w:r>
          </w:p>
        </w:tc>
        <w:tc>
          <w:tcPr>
            <w:tcW w:w="4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7"/>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4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1,221.1</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LiLAC Group:</w:t>
            </w: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VTR</w:t>
            </w:r>
          </w:p>
        </w:tc>
        <w:tc>
          <w:tcPr>
            <w:tcW w:w="4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Puerto Rico</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LiLAC Group</w:t>
            </w:r>
          </w:p>
        </w:tc>
        <w:tc>
          <w:tcPr>
            <w:tcW w:w="4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7"/>
        </w:trPr>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lease obligations</w:t>
            </w:r>
          </w:p>
        </w:tc>
        <w:tc>
          <w:tcPr>
            <w:tcW w:w="402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1,261.3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1,242.8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02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Refinancing Transactions - General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completed various refinancing transactions during the first three months of 2017. Unless otherwise noted, the terms and conditions of the notes and credit facilities entered into are largely consistent with those of our existing notes and credit facilities with regard to covenants, events of default and change of control provisions, among other items. For information concerning the general terms and conditions of our debt, see note 10 to the consolidated financial statements included in our 10-K.</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Virgin Media Refinancing Transactions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January 2017, Virgin Media Secured Finance PLC (</w:t>
      </w:r>
      <w:r>
        <w:rPr>
          <w:rFonts w:ascii="Times New Roman" w:cs="Times New Roman" w:eastAsia="Times New Roman" w:hAnsi="Times New Roman"/>
          <w:sz w:val="18"/>
          <w:szCs w:val="18"/>
          <w:b w:val="1"/>
          <w:bCs w:val="1"/>
          <w:color w:val="auto"/>
        </w:rPr>
        <w:t>Virgin Media Secured Finance</w:t>
      </w:r>
      <w:r>
        <w:rPr>
          <w:rFonts w:ascii="Times New Roman" w:cs="Times New Roman" w:eastAsia="Times New Roman" w:hAnsi="Times New Roman"/>
          <w:sz w:val="18"/>
          <w:szCs w:val="18"/>
          <w:color w:val="auto"/>
        </w:rPr>
        <w:t xml:space="preserve">), a wholly-owned subsidiary of Virgin Media, issued £675.0 million ($846.6 million) principal amount of 5.0% senior secured notes due April 15, 2027 (the </w:t>
      </w:r>
      <w:r>
        <w:rPr>
          <w:rFonts w:ascii="Times New Roman" w:cs="Times New Roman" w:eastAsia="Times New Roman" w:hAnsi="Times New Roman"/>
          <w:sz w:val="18"/>
          <w:szCs w:val="18"/>
          <w:b w:val="1"/>
          <w:bCs w:val="1"/>
          <w:color w:val="auto"/>
        </w:rPr>
        <w:t>April 2027 VM Senior Secured Notes</w:t>
      </w:r>
      <w:r>
        <w:rPr>
          <w:rFonts w:ascii="Times New Roman" w:cs="Times New Roman" w:eastAsia="Times New Roman" w:hAnsi="Times New Roman"/>
          <w:sz w:val="18"/>
          <w:szCs w:val="18"/>
          <w:color w:val="auto"/>
        </w:rPr>
        <w:t>). The net proceeds from the April 2027 VM Senior Secured Notes were used to redeem in full the £640.0 million ($802.7 million) outstanding principal amount under the April 2021 VM Sterling Senior Secured Notes. In connection with these transactions, Virgin Media recognized a loss on debt modification and extinguishment, net, of $39.9 million. This loss includes (i) the payment of $32.6 million of redemption premium and (ii) the write-off of $7.3 million of deferred financing costs.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circumstances described below, the April 2027 VM Senior Secured Notes are non-callable until April 15, 2022. At any time prior to April 15, 2022, Virgin Media Secured Finance may redeem some or all of the April 2027 VM Senior Secured Notes by paying a “make-whole” premium, which is the present value of all remaining scheduled interest payments to April 15, 2022 using the discount rate (as specified in the indenture) as of the redemption date plus 50 basis points.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Virgin Media Secured Finance may redeem some or all of the April 2027 VM Senior Secured Notes at the following redemption prices (expressed as a percentage of the principal amount) plus accrued and unpaid interest and additional amounts (as specified in the indenture), if any, to the applicable redemption date, as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Redemption price</w:t>
            </w:r>
          </w:p>
        </w:tc>
        <w:tc>
          <w:tcPr>
            <w:tcW w:w="0" w:type="dxa"/>
            <w:vAlign w:val="bottom"/>
          </w:tcPr>
          <w:p>
            <w:pPr>
              <w:spacing w:after="0"/>
              <w:rPr>
                <w:sz w:val="1"/>
                <w:szCs w:val="1"/>
                <w:color w:val="auto"/>
              </w:rPr>
            </w:pPr>
          </w:p>
        </w:tc>
      </w:tr>
      <w:tr>
        <w:trPr>
          <w:trHeight w:val="33"/>
        </w:trPr>
        <w:tc>
          <w:tcPr>
            <w:tcW w:w="9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12-month period commencing April 15:</w:t>
            </w: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2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101.250%</w:t>
            </w:r>
          </w:p>
        </w:tc>
        <w:tc>
          <w:tcPr>
            <w:tcW w:w="0" w:type="dxa"/>
            <w:vAlign w:val="bottom"/>
          </w:tcPr>
          <w:p>
            <w:pPr>
              <w:spacing w:after="0"/>
              <w:rPr>
                <w:sz w:val="1"/>
                <w:szCs w:val="1"/>
                <w:color w:val="auto"/>
              </w:rPr>
            </w:pPr>
          </w:p>
        </w:tc>
      </w:tr>
      <w:tr>
        <w:trPr>
          <w:trHeight w:val="243"/>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100.625%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thereafter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97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2017, Virgin Media SFA Finance Limited, a wholly-owned subsidiary of Virgin Media, entered into a new £865.0 million ($1,084.9 million) term loan facility (</w:t>
      </w:r>
      <w:r>
        <w:rPr>
          <w:rFonts w:ascii="Times New Roman" w:cs="Times New Roman" w:eastAsia="Times New Roman" w:hAnsi="Times New Roman"/>
          <w:sz w:val="18"/>
          <w:szCs w:val="18"/>
          <w:b w:val="1"/>
          <w:bCs w:val="1"/>
          <w:color w:val="auto"/>
        </w:rPr>
        <w:t>VM Facility J</w:t>
      </w:r>
      <w:r>
        <w:rPr>
          <w:rFonts w:ascii="Times New Roman" w:cs="Times New Roman" w:eastAsia="Times New Roman" w:hAnsi="Times New Roman"/>
          <w:sz w:val="18"/>
          <w:szCs w:val="18"/>
          <w:color w:val="auto"/>
        </w:rPr>
        <w:t>). VM Facility J matures on January 31, 2026, bears interest at a rate of LIBOR + 3.50% and is subject to a LIBOR floor of 0.0%. The net proceeds from VM Facility J were used to prepay in full the £849.4 million ($1,065.3 million) outstanding principal amount under VM Facility E. In connection with these transactions, Virgin Media recognized a loss on debt modification and extinguishment, net, of $2.4 million. This loss includes (i) the write-off of $2.0 million of deferred financing costs and (ii) the write-off of $0.4 million of unamortized discount.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February 2017, Virgin Media Secured Finance launched an offer (the </w:t>
      </w:r>
      <w:r>
        <w:rPr>
          <w:rFonts w:ascii="Times New Roman" w:cs="Times New Roman" w:eastAsia="Times New Roman" w:hAnsi="Times New Roman"/>
          <w:sz w:val="18"/>
          <w:szCs w:val="18"/>
          <w:b w:val="1"/>
          <w:bCs w:val="1"/>
          <w:color w:val="auto"/>
        </w:rPr>
        <w:t>Exchange Offer</w:t>
      </w:r>
      <w:r>
        <w:rPr>
          <w:rFonts w:ascii="Times New Roman" w:cs="Times New Roman" w:eastAsia="Times New Roman" w:hAnsi="Times New Roman"/>
          <w:sz w:val="18"/>
          <w:szCs w:val="18"/>
          <w:color w:val="auto"/>
        </w:rPr>
        <w:t xml:space="preserve">) to exchange the January 2021 VM Sterling Senior Secured Notes for new senior secured notes due January 15, 2025 (the </w:t>
      </w:r>
      <w:r>
        <w:rPr>
          <w:rFonts w:ascii="Times New Roman" w:cs="Times New Roman" w:eastAsia="Times New Roman" w:hAnsi="Times New Roman"/>
          <w:sz w:val="18"/>
          <w:szCs w:val="18"/>
          <w:b w:val="1"/>
          <w:bCs w:val="1"/>
          <w:color w:val="auto"/>
        </w:rPr>
        <w:t>2025 VM Sterling Senior Secured Notes</w:t>
      </w:r>
      <w:r>
        <w:rPr>
          <w:rFonts w:ascii="Times New Roman" w:cs="Times New Roman" w:eastAsia="Times New Roman" w:hAnsi="Times New Roman"/>
          <w:sz w:val="18"/>
          <w:szCs w:val="18"/>
          <w:color w:val="auto"/>
        </w:rPr>
        <w:t>). The Exchange Offer was consummated on March 21, 2017 and £521.3 million ($653.8 million) aggregate principal amount of the January 2021 VM Sterling Senior Secured Notes were exchanged for £521.3 million ($653.8 million) aggregate principal amount of the 2025 VM Sterling Senior Secured Notes. Interest on the 2025 VM Sterling Senior Secured Notes will initially accrue at a rate of 6.0% up to January 15, 2021 and at a rate of 11.0% thereafter. The January 2021 VM Sterling Senior Secured Notes were exchanged for the 2025 VM Sterling Senior Secured Notes in a non-cash transaction, other than the payment of accrued and unpaid interest on the exchanged January 2021 VM Sterling Senior Secured Notes. In connection with these transactions, Virgin Media recognized a gain on debt modification and extinguishment, net, of $5.7 million. This gain includes (i) the write-off of $7.0 million of unamortized premium and (ii) the payment of $1.3 million of third-party costs.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circumstances described below, the 2025 VM Sterling Senior Secured Notes are non-callable until January 15, 2021. At any time prior to January 15, 2021, Virgin Media Secured Finance may redeem some or all of the 2025 VM Sterling Senior Secured Notes by paying a “make-whole” premium, which is the present value of all remaining scheduled interest payments to January 15, 2021 using the discount rate (as specified in the indenture) as of the redemption date plus 50 basis points.</w:t>
      </w:r>
    </w:p>
    <w:p>
      <w:pPr>
        <w:sectPr>
          <w:pgSz w:w="11900" w:h="16838" w:orient="portrait"/>
          <w:cols w:equalWidth="0" w:num="1">
            <w:col w:w="11420"/>
          </w:cols>
          <w:pgMar w:left="240" w:top="279"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9" w:right="2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Virgin Media Secured Finance may redeem some or all of the 2025 VM Sterling Senior Secured Notes at the following redemption prices (expressed as a percentage of the principal amount) plus accrued and unpaid interest and additional amounts (as specified in the indenture), if any, to the applicable redemption date, as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 price</w:t>
            </w:r>
          </w:p>
        </w:tc>
        <w:tc>
          <w:tcPr>
            <w:tcW w:w="0" w:type="dxa"/>
            <w:vAlign w:val="bottom"/>
          </w:tcPr>
          <w:p>
            <w:pPr>
              <w:spacing w:after="0"/>
              <w:rPr>
                <w:sz w:val="1"/>
                <w:szCs w:val="1"/>
                <w:color w:val="auto"/>
              </w:rPr>
            </w:pPr>
          </w:p>
        </w:tc>
      </w:tr>
      <w:tr>
        <w:trPr>
          <w:trHeight w:val="33"/>
        </w:trPr>
        <w:tc>
          <w:tcPr>
            <w:tcW w:w="9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12-month period commencing January 15:</w:t>
            </w: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0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105.000%</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102.500%</w:t>
            </w:r>
          </w:p>
        </w:tc>
        <w:tc>
          <w:tcPr>
            <w:tcW w:w="0" w:type="dxa"/>
            <w:vAlign w:val="bottom"/>
          </w:tcPr>
          <w:p>
            <w:pPr>
              <w:spacing w:after="0"/>
              <w:rPr>
                <w:sz w:val="1"/>
                <w:szCs w:val="1"/>
                <w:color w:val="auto"/>
              </w:rPr>
            </w:pPr>
          </w:p>
        </w:tc>
      </w:tr>
      <w:tr>
        <w:trPr>
          <w:trHeight w:val="243"/>
        </w:trPr>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and thereafter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UPC Broadband Holding Refinancing Transaction</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February 2017, UPC Financing Partnership, a wholly-owned subsidiary of UPC Holding, entered into a new $2,150.0 million term loan facility (</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 AP</w:t>
      </w:r>
      <w:r>
        <w:rPr>
          <w:rFonts w:ascii="Times New Roman" w:cs="Times New Roman" w:eastAsia="Times New Roman" w:hAnsi="Times New Roman"/>
          <w:sz w:val="18"/>
          <w:szCs w:val="18"/>
          <w:color w:val="auto"/>
        </w:rPr>
        <w:t>). UPC Facility AP was issued at 99.75% of par, matures on April 15, 2025, bears interest at a rate of LIBOR + 2.75% and is subject to a LIBOR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of 0.0%. The net proceeds from UPC Facility AP, in conjunction with existing cash, were used to prepay in full the $2,150.0 million outstanding principal amount under UPC Facility AN. In connection with these transactions, UPC Broadband Holding B.V. (</w:t>
      </w:r>
      <w:r>
        <w:rPr>
          <w:rFonts w:ascii="Times New Roman" w:cs="Times New Roman" w:eastAsia="Times New Roman" w:hAnsi="Times New Roman"/>
          <w:sz w:val="18"/>
          <w:szCs w:val="18"/>
          <w:b w:val="1"/>
          <w:bCs w:val="1"/>
          <w:color w:val="auto"/>
        </w:rPr>
        <w:t>UPC Broadband Holding</w:t>
      </w:r>
      <w:r>
        <w:rPr>
          <w:rFonts w:ascii="Times New Roman" w:cs="Times New Roman" w:eastAsia="Times New Roman" w:hAnsi="Times New Roman"/>
          <w:sz w:val="18"/>
          <w:szCs w:val="18"/>
          <w:color w:val="auto"/>
        </w:rPr>
        <w:t>) recognized a loss on debt modification and extinguishment, net, of $8.9 million. This loss includes (i) the write-off of $5.8 million of deferred financing costs and (ii) the write-off of $3.1 million of unamortized discount.</w:t>
      </w:r>
    </w:p>
    <w:p>
      <w:pPr>
        <w:spacing w:after="0" w:line="187" w:lineRule="exact"/>
        <w:rPr>
          <w:sz w:val="20"/>
          <w:szCs w:val="20"/>
          <w:color w:val="auto"/>
        </w:rPr>
      </w:pPr>
    </w:p>
    <w:p>
      <w:pPr>
        <w:ind w:left="180" w:right="1520" w:firstLine="162"/>
        <w:spacing w:after="0" w:line="454" w:lineRule="auto"/>
        <w:rPr>
          <w:sz w:val="20"/>
          <w:szCs w:val="20"/>
          <w:color w:val="auto"/>
        </w:rPr>
      </w:pPr>
      <w:r>
        <w:rPr>
          <w:rFonts w:ascii="Times New Roman" w:cs="Times New Roman" w:eastAsia="Times New Roman" w:hAnsi="Times New Roman"/>
          <w:sz w:val="18"/>
          <w:szCs w:val="18"/>
          <w:color w:val="auto"/>
        </w:rPr>
        <w:t xml:space="preserve">For information regarding a refinancing transaction completed by a subsidiary of Telenet subsequent to March 31, 2017, see note 16. </w:t>
      </w:r>
      <w:r>
        <w:rPr>
          <w:rFonts w:ascii="Times New Roman" w:cs="Times New Roman" w:eastAsia="Times New Roman" w:hAnsi="Times New Roman"/>
          <w:sz w:val="18"/>
          <w:szCs w:val="18"/>
          <w:b w:val="1"/>
          <w:bCs w:val="1"/>
          <w:i w:val="1"/>
          <w:iCs w:val="1"/>
          <w:color w:val="auto"/>
        </w:rPr>
        <w:t>Maturities of Debt and Capital Lease Obligations</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Maturities of our debt and capital lease obligations as of March 31, 2017 are presented below (U.S. dollar equivalents based on March 31, 2017 exchange rates) for the named entity and its subsidiaries, unless otherwise noted: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UPC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 Liberty</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Virgin Media</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Unitymedia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Telenet (b)</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(remainder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29,704.8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37,232.1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premiums (discounts),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15,075.3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8,076.1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6,863.8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4,707.9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36,957.9</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14,006.7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1,803.9</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34,258.9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Liberty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Puerto</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 LiLAC</w:t>
            </w:r>
          </w:p>
        </w:tc>
        <w:tc>
          <w:tcPr>
            <w:tcW w:w="11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Total Liberty</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4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CWC</w:t>
            </w:r>
          </w:p>
        </w:tc>
        <w:tc>
          <w:tcPr>
            <w:tcW w:w="26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VTR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Rico</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(remainder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1,549.1</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4,767.1</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43,301.3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premiums (discounts),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36,957.9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3,743.1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6,102.7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43,060.6</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2,837.3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34,258.9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3,660.6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5,964.4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40,223.3</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and senior secured notes issued by special purpose financing entities that are consolidated by UPC Holding and Liberty Global.</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and senior secured notes issued by special purpose financing entities that are consolidated by Telenet and Liberty Global.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9"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lease obligations: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Virgin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Total Liberty</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LiLAC</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Unitymedia</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Media</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(remainder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1,002.3</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principal and interest payments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1,071.7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661.6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Non-cash Financing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and 2016, certain of our refinancing transactions included non-cash borrowings and repayments of debt aggregating $2,800.5 million and $113.8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9"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(expense) attributable to our loss before income taxes differs from the amounts computed using the applicable income tax rate as a result of the following factors: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or non-taxable interest and other items (b):</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 (b):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Enacted tax law and rate change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Recognition of previously unrecognized tax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 (c):</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of intercompany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U.K. rates of 19.25% for the 2017 period and 20.0% for the 2016 period. The statutory rate for the 2017 period represents the blended rate that will be in effect for the year ended December 31, 2017 based on the 20.0% statutory rate that will be in effect for the first quarter of 2017 and the 19.0% statutory rate that will be in effect for the remainder of 2017.</w:t>
      </w:r>
    </w:p>
    <w:p>
      <w:pPr>
        <w:spacing w:after="0" w:line="176"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jurisdictions giving rise to income tax benefits are grouped together and shown separately from country jurisdictions giving rise to income tax expenses.</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an expense) to the “expected” tax benefit for statutory rates in jurisdictions in which we operate outside of the U.K.</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March 31, 2017, our unrecognized tax benefits of $604.4 million included $491.3 million of tax benefits that would have a favorable impact on our effective income tax rate if ultimately recognized, after considering amounts that we would expect to be offset by valuation allowances and other factors.</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9" w:right="2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currently undergoing income tax audits in Austria, Chile, the Czech Republic, Germany, the Netherlands, Panama, Poland, Trinidad and Tobago, the U.S. and certain other jurisdictions within the Caribbean and Latin America. Except as noted below, any adjustments that might arise from the foregoing examinations are not expected to have a material impact on our consolidated financial position or results of operations. In the U.S., we have received notices of adjustment from the Internal Revenue Service with respect to our 2009 and 2010 income tax returns, and have entered into the appeals process with respect to the 2009 and 2010 matters. In Chile, adjustments received from the tax authorities for the tax years 2011 and 2012 are in dispute. We have appealed these adjustments to the Chilean tax court. Also in Chile, we recorded an income tax receivable in connection with the expected utilization of certain net operating loss carryforwards upon the completion of a merger transaction of two indirect subsidiaries of Liberty Global. We are engaged in an ongoing examination by tax authorities in Chile in connection with this receivable and were notified during the third quarter of 2016 that approximately 48% of our claim has been agreed by the tax authorities. We intend to pursue the payment of the remaining portion of this receivable through all available methods.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next 12 months, it is reasonably possible that the resolution of ongoing examinations by tax authorities as well as expiration of statutes of limitation could result in reductions to our unrecognized tax benefits related to tax positions taken as of March 31, 2017.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80"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our share capital during the three months ended March 31, 2017 is set forth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Liberty Global Shares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LiLAC Shares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8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8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5"/>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cancellation of Liberty Global ordinary</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1"/>
        </w:trPr>
        <w:tc>
          <w:tcPr>
            <w:tcW w:w="4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due to changes in subsidiaries’ equity and</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4"/>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our share repurchases during the three months ended March 31,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Class A ordinary shares</w:t>
            </w:r>
          </w:p>
        </w:tc>
        <w:tc>
          <w:tcPr>
            <w:tcW w:w="29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Class C ordinary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repurchased</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80" w:type="dxa"/>
            <w:vAlign w:val="bottom"/>
          </w:tcPr>
          <w:p>
            <w:pPr>
              <w:spacing w:after="0"/>
              <w:rPr>
                <w:sz w:val="18"/>
                <w:szCs w:val="18"/>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Total cost (a)</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Shares</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10,576,200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17,818,900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4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Shares</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285,572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41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acquisition costs, where applicable. As of March 31, 2017, the remaining amount authorized for repurchases of Liberty Global Shares and LiLAC Shares was $1,947.8 million and $259.8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9"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0"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incentive awards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share-based incentive awards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Liberty Global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share-based incentive awards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operating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SG&amp;A expense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00" w:hanging="492"/>
        <w:spacing w:after="0" w:line="26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related to (i)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xml:space="preserve">), (ii) for the 2016 period, a challenge performance award plan for certain executive officers and key employees (the </w:t>
      </w:r>
      <w:r>
        <w:rPr>
          <w:rFonts w:ascii="Times New Roman" w:cs="Times New Roman" w:eastAsia="Times New Roman" w:hAnsi="Times New Roman"/>
          <w:sz w:val="18"/>
          <w:szCs w:val="18"/>
          <w:b w:val="1"/>
          <w:bCs w:val="1"/>
          <w:color w:val="auto"/>
        </w:rPr>
        <w:t>Challenge Performance Awards</w:t>
      </w:r>
      <w:r>
        <w:rPr>
          <w:rFonts w:ascii="Times New Roman" w:cs="Times New Roman" w:eastAsia="Times New Roman" w:hAnsi="Times New Roman"/>
          <w:sz w:val="18"/>
          <w:szCs w:val="18"/>
          <w:color w:val="auto"/>
        </w:rPr>
        <w:t>) and (iii) the May 2014 grant of performance grant units (</w:t>
      </w:r>
      <w:r>
        <w:rPr>
          <w:rFonts w:ascii="Times New Roman" w:cs="Times New Roman" w:eastAsia="Times New Roman" w:hAnsi="Times New Roman"/>
          <w:sz w:val="18"/>
          <w:szCs w:val="18"/>
          <w:b w:val="1"/>
          <w:bCs w:val="1"/>
          <w:color w:val="auto"/>
        </w:rPr>
        <w:t>PGUs</w:t>
      </w:r>
      <w:r>
        <w:rPr>
          <w:rFonts w:ascii="Times New Roman" w:cs="Times New Roman" w:eastAsia="Times New Roman" w:hAnsi="Times New Roman"/>
          <w:sz w:val="18"/>
          <w:szCs w:val="18"/>
          <w:color w:val="auto"/>
        </w:rPr>
        <w:t>) to our Chief Executive Officer. The Challenge Performance Awards include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and PSUs.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9"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our restructuring liability during the three months ended March 31, 2017 is set forth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termination and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closures</w:t>
            </w:r>
          </w:p>
        </w:tc>
        <w:tc>
          <w:tcPr>
            <w:tcW w:w="3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as of January 1,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liability as of March 31, 2017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170"/>
        </w:trPr>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restructuring charges during the three months ended March 31, 2017 include employee severance and termination costs related to certain reorganization and integration activities of $9.1 million at CWC, $9.0 million in Germany and $3.5 million in the European Division’s central operations.</w:t>
      </w:r>
    </w:p>
    <w:p>
      <w:pPr>
        <w:spacing w:after="0" w:line="158"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Basic earnings or loss per shares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earnings or loss by the weighted average number of shares outstanding for the period. Diluted EPS presents the dilutive effect, if any, on a per share basis of potential shares (e.g., options, share appreciation rights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s), PSARs, restricted share units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s) and convertible securities) as if they had been exercised, vested or converted at the beginning of the periods presented.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attributable to holders of Liberty Global Shares and LiLAC Shares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3"/>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80" w:type="dxa"/>
            <w:vAlign w:val="bottom"/>
          </w:tcPr>
          <w:p>
            <w:pPr>
              <w:spacing w:after="0"/>
              <w:rPr>
                <w:sz w:val="22"/>
                <w:szCs w:val="22"/>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3"/>
              </w:rPr>
              <w:t>2016</w:t>
            </w: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holders of:</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Liberty Global Shares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LiLAC Shares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Liberty Global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reported losses attributable to holders of Liberty Global Shares for the three months ended March 31, 2017 and 2016. Therefore, the potentially dilutive effect at March 31, 2017 and 2016 of the following items were not included in the computation of diluted loss per share attributable to holders of Liberty Global Shares because their inclusion would have been anti-dilutive to the computation or, in the case of certain PSUs and, at March 31, 2016, PGUs, because such awards had not yet met the applicable performance criteria: (i) the aggregate number of shares issuable pursuant to outstanding options, SARs, PSARs and RSUs of approximately 48.7 million and 41.9 million, respectively, (ii) the aggregate number of shares issuable pursuant to PSUs and PGUs</w:t>
      </w:r>
    </w:p>
    <w:p>
      <w:pPr>
        <w:sectPr>
          <w:pgSz w:w="11900" w:h="16838" w:orient="portrait"/>
          <w:cols w:equalWidth="0" w:num="1">
            <w:col w:w="11420"/>
          </w:cols>
          <w:pgMar w:left="240" w:top="279"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9" w:right="2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approximately 7.9 million and 10.0 million, respectively, and (iii) the aggregate number of shares issuable pursuant to obligations that may be settled in cash or shares of nil and approximately 2.7 million, respectively.</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LiLAC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reported losses attributable to holders of LiLAC Shares for the three months ended March 31, 2017 and 2016. Therefore, the potentially dilutive effect at March 31, 2017 and 2016 of the following items were not included in the computation of diluted loss per share attributable to holders of LiLAC Shares because their inclusion would have been anti-dilutive to the computation or, in the case of certain PSUs and, at March 31, 2016, PGUs, because such awards had not yet met the applicable performance criteria: (i) the aggregate number of shares issuable pursuant to outstanding options, SARs, PSARs and RSUs of approximately 7.2 million and 1.4 million, respectively, and (ii) the aggregate number of shares issuable pursuant to PSUs and PGUs of approximately 1.0 million and 0.4 million, respectively.</w:t>
      </w:r>
    </w:p>
    <w:p>
      <w:pPr>
        <w:spacing w:after="0" w:line="184"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non-cancellable operating leases and other items. The following table sets forth the U.S. dollar equivalents of such commitments as of March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8"/>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2017</w:t>
            </w: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3,131.6</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2,626.9</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1,805.4</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699.0</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r>
      <w:tr>
        <w:trPr>
          <w:trHeight w:val="237"/>
        </w:trPr>
        <w:tc>
          <w:tcPr>
            <w:tcW w:w="2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8,368.6</w:t>
            </w:r>
          </w:p>
        </w:tc>
      </w:tr>
      <w:tr>
        <w:trPr>
          <w:trHeight w:val="27"/>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included in this table do not reflect any liabilities that are included in our March 31, 2017 condensed consolidated balance sheet.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Network and connectivity commitments include (i) Telenet’s commitments for certain operating costs associated with its leased network, (ii) commitments associated with our MVNO agreements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In addition, programming commitments do not include increases in future periods associated with contractual inflation or other price adjustments that are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9"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$540.3 million (including $438.6 million for the Liberty Global Group and $101.7 million for the LiLAC Group) and $599.5 million (including $534.1 million for the Liberty Global Group and $65.4 million for the LiLAC Group) during the three months ended March 31, 2017 and 2016, respectively.</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Commitments arising from acquisition agreements are not reflected in the above table. For information regarding our commitments under acquisition agreements, see note 3.</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2017 and 2016, see note 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Times New Roman" w:cs="Times New Roman" w:eastAsia="Times New Roman" w:hAnsi="Times New Roman"/>
          <w:sz w:val="18"/>
          <w:szCs w:val="18"/>
          <w:b w:val="1"/>
          <w:bCs w:val="1"/>
          <w:color w:val="auto"/>
        </w:rPr>
        <w:t>Belgian Supreme Court</w:t>
      </w:r>
      <w:r>
        <w:rPr>
          <w:rFonts w:ascii="Times New Roman" w:cs="Times New Roman" w:eastAsia="Times New Roman" w:hAnsi="Times New Roman"/>
          <w:sz w:val="18"/>
          <w:szCs w:val="18"/>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should the 2008 PICs Agreement not be rescinded.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Telenet intends to defend itself vigorously in the resumed proceedings and does not expect an outcome before the end of 2017. No assurance can be given as to the outcome of these or other proceedings. However, an unfavorable outcome of existing or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9"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($21.4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Deutsche Telekom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Deutsche Telekom</w:t>
      </w:r>
      <w:r>
        <w:rPr>
          <w:rFonts w:ascii="Times New Roman" w:cs="Times New Roman" w:eastAsia="Times New Roman" w:hAnsi="Times New Roman"/>
          <w:sz w:val="18"/>
          <w:szCs w:val="18"/>
          <w:color w:val="auto"/>
        </w:rPr>
        <w: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subsidiary of Deutsche Telekom AG, in which Unitymedia asserts that it pays excessive prices for the co-use of Deutsche Telekom’s cable ducts in Unitymedia’s footprint. The Federal Network Agency approved rates for the co-use of certain ducts of Deutsche Telekom in March 2011. Based in part on these approved rates, Unitymedia is seeking a reduction of the annual lease fees (approximately €76 million ($81 million) for 2012) by approximately two-thirds and the return of similarly calculated overpayments from 2009 through the ultimate settlement date, plus accrued interest. In October 2016, the first instance court dismissed this action. We have appealed this decision, however, the resolution of this matter may take several years and no assurance can be given that Unitymedia’s claims will be successful. Any recovery by Unitymedia will not be reflected in our consolidated financial statements until such time as the final disposition of this matter has been reached.</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Belgium Regulatory Developments. </w:t>
      </w:r>
      <w:r>
        <w:rPr>
          <w:rFonts w:ascii="Times New Roman" w:cs="Times New Roman" w:eastAsia="Times New Roman" w:hAnsi="Times New Roman"/>
          <w:sz w:val="18"/>
          <w:szCs w:val="18"/>
          <w:color w:val="auto"/>
        </w:rPr>
        <w:t>In December 2010, the Belgisch Instituut voor Post en Telecommunicatie and the regional regulators for the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sectors (together, the </w:t>
      </w:r>
      <w:r>
        <w:rPr>
          <w:rFonts w:ascii="Times New Roman" w:cs="Times New Roman" w:eastAsia="Times New Roman" w:hAnsi="Times New Roman"/>
          <w:sz w:val="18"/>
          <w:szCs w:val="18"/>
          <w:b w:val="1"/>
          <w:bCs w:val="1"/>
          <w:color w:val="auto"/>
        </w:rPr>
        <w:t>Belgium Regulatory Authorities</w:t>
      </w:r>
      <w:r>
        <w:rPr>
          <w:rFonts w:ascii="Times New Roman" w:cs="Times New Roman" w:eastAsia="Times New Roman" w:hAnsi="Times New Roman"/>
          <w:sz w:val="18"/>
          <w:szCs w:val="18"/>
          <w:color w:val="auto"/>
        </w:rPr>
        <w:t>) published their respective draft decisions reflecting the results of their joint analysis of the broadcasting market in Belgium.</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Belgium Regulatory Authorities adopted a final decision on July 1, 2011 (the </w:t>
      </w:r>
      <w:r>
        <w:rPr>
          <w:rFonts w:ascii="Times New Roman" w:cs="Times New Roman" w:eastAsia="Times New Roman" w:hAnsi="Times New Roman"/>
          <w:sz w:val="18"/>
          <w:szCs w:val="18"/>
          <w:b w:val="1"/>
          <w:bCs w:val="1"/>
          <w:color w:val="auto"/>
        </w:rPr>
        <w:t>July 2011 Decision</w:t>
      </w:r>
      <w:r>
        <w:rPr>
          <w:rFonts w:ascii="Times New Roman" w:cs="Times New Roman" w:eastAsia="Times New Roman" w:hAnsi="Times New Roman"/>
          <w:sz w:val="18"/>
          <w:szCs w:val="18"/>
          <w:color w:val="auto"/>
        </w:rPr>
        <w:t>) with some minor revisions. The regulatory obligations imposed by the July 2011 Decision include (i) an obligation to make a resale offer at “retail minus’’ of the cable analog package available to third-party operators (including Proximus), (ii) an obligation to grant third-party operators (except Proximus) access to digital television platforms (including the basic digital video package) at “retail minus” and (iii) an obligation to make a resale offer at “retail minus’’ of broadband internet access available to beneficiaries of the digital television access obligation that wish to offer bundles of digital video and broadband internet services to their customers (except Proximus).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2012, Telenet submitted draft reference offers regarding the obligations described above, and the Belgium Regulatory Authorities published the final decision on September 9, 2013. Telenet has implemented the access obligations as described in its reference offers and, on March 1, 2016, Orange Belgium NV (</w:t>
      </w:r>
      <w:r>
        <w:rPr>
          <w:rFonts w:ascii="Times New Roman" w:cs="Times New Roman" w:eastAsia="Times New Roman" w:hAnsi="Times New Roman"/>
          <w:sz w:val="18"/>
          <w:szCs w:val="18"/>
          <w:b w:val="1"/>
          <w:bCs w:val="1"/>
          <w:color w:val="auto"/>
        </w:rPr>
        <w:t>Orange Belgium</w:t>
      </w:r>
      <w:r>
        <w:rPr>
          <w:rFonts w:ascii="Times New Roman" w:cs="Times New Roman" w:eastAsia="Times New Roman" w:hAnsi="Times New Roman"/>
          <w:sz w:val="18"/>
          <w:szCs w:val="18"/>
          <w:color w:val="auto"/>
        </w:rPr>
        <w:t>), formerly known as Mobistar SA, launched a commercial offer combining a cable TV package and broadband internet access for certain of their mobile customers. In addition, as a result of the November 2014 decision by the Brussels Court of Appeal described below, on November 14, 2014, Proximus submitted a request to Telenet to commence access negotiations. Telenet contests this request and has asked the Belgium Regulatory Authorities to assess the reasonableness of the Proximus request. The timing for a decision regarding this assessment by the Belgium Regulatory Authorities is not known.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14, 2015, the Belgium Regulatory Authorities published a draft decision, which amended previously-issued decisions and sets forth the “retail minus” tariffs of minus 26% for basic television (basic analog and digital video package) and minus 18% for the bundle of basic television and broadband internet services during an initial two-year period. Following this two-year period, the tariffs would change to minus 15% and 7%, respectively. The draft decision was notified to the European Commission and a final decision was adopted on February 19, 2016. A “retail minus” method of pricing involves a wholesale tariff calculated as the retail price for the offered service by Telenet, excluding VAT and copyrights, and further deducting the retail costs avoided by offering the wholesale service (such as costs for billing, franchise, consumer service, marketing and sales).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Telenet filed an appeal against the July 2011 Decision with the Brussels Court of Appeal. On November 12, 2014, the Brussels Court of Appeal rejected Telenet’s appeal of the July 2011 Decision and accepted Proximus’s claim that Proximus should be allowed access to Telenet’s, among other operators, digital television platform and the resale of bundles of digital video and broadband internet services. On November 30, 2015, Telenet filed an appeal of this decision with the Belgian Supreme Court. In 2014, Telenet and wireless operator Orange Belgium each filed an appeal with the Brussels Court of Appeal against the initial retail minus decisions. These appeals are still pending. On April 25, 2016, Telenet also filed an appeal with the Brussels Court of Appeal challenging the February 19, 2016 retail minus decision. There can be no certainty that Telenet’s appeals will be successful.</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July 2011 Decision aims to, and in its application may, strengthen Telenet’s competitors by granting them resale access to Telenet’s network to offer competing products and services notwithstanding Telenet’s substantial historical financial outlays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9"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ultimately afforded to Telenet’s network and other competitive factors or market developments.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Transactions Tax. </w:t>
      </w:r>
      <w:r>
        <w:rPr>
          <w:rFonts w:ascii="Times New Roman" w:cs="Times New Roman" w:eastAsia="Times New Roman" w:hAnsi="Times New Roman"/>
          <w:sz w:val="18"/>
          <w:szCs w:val="18"/>
          <w:color w:val="auto"/>
        </w:rPr>
        <w:t>Certain countries in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including Germany, Austria and Slovakia, are participating in an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cooperation procedure to introduce a financial transactions tax (the </w:t>
      </w:r>
      <w:r>
        <w:rPr>
          <w:rFonts w:ascii="Times New Roman" w:cs="Times New Roman" w:eastAsia="Times New Roman" w:hAnsi="Times New Roman"/>
          <w:sz w:val="18"/>
          <w:szCs w:val="18"/>
          <w:b w:val="1"/>
          <w:bCs w:val="1"/>
          <w:color w:val="auto"/>
        </w:rPr>
        <w:t>FTT</w:t>
      </w:r>
      <w:r>
        <w:rPr>
          <w:rFonts w:ascii="Times New Roman" w:cs="Times New Roman" w:eastAsia="Times New Roman" w:hAnsi="Times New Roman"/>
          <w:sz w:val="18"/>
          <w:szCs w:val="18"/>
          <w:color w:val="auto"/>
        </w:rPr>
        <w:t>). Under the draft language of the FTT proposal, a wide range of financial transactions could be taxed at rates of at least 0.01% for derivative transactions based on the notional amount and 0.1% for other covered financial transactions based on the underlying transaction price. Each of the individual countries would be permitted to determine an exact rate, which could be higher than the proposed rates of 0.01% and 0.1%. Any implementation of the FTT could have a global impact because it would apply to all financial transactions where a financial institution is involved (including unregulated entities that engage in certain types of covered activity) and either of the parties (whether the financial institution or its counterparty) is in one of the participating countries. Although there continues to be ongoing discussions in the relevant countries around the FTT, uncertainty remains as to if and when the FTT will be implemented and the breadth of its application. Based on our understanding of the current status of the potential FTT, we do not expect that any implementation of the FTT would occur before 2018. Any imposition of the FTT could increase banking fees and introduce taxes on internal transactions that we currently perform. Due to the uncertainty regarding the FTT, we are currently unable to estimate the financial impact that the FTT could have on our results of operations, cash flows or financial position.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Virgin Media VAT Matters. </w:t>
      </w:r>
      <w:r>
        <w:rPr>
          <w:rFonts w:ascii="Times New Roman" w:cs="Times New Roman" w:eastAsia="Times New Roman" w:hAnsi="Times New Roman"/>
          <w:sz w:val="18"/>
          <w:szCs w:val="18"/>
          <w:color w:val="auto"/>
        </w:rPr>
        <w:t>Virgin Media’s application of VAT with respect to certain revenue generating activities has been challenged by the U.K.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Virgin Media has estimated its maximum exposure in the event of an unfavorable outcome to be £46.6 million ($58.4 million) as of March 31, 2017. No portion of this exposure has been accrued by Virgin Media as the likelihood of loss is not considered to be probable. A court hearing was held at the end of September 2014 in relation to the U.K. tax authorities’ challenge and the timing of the court’s decision is uncertain.</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have appealed this decision. As part of the appeal process, we were required to make aggregate payments of £67.0 million ($99.1 million at the respective transaction dates), which included the challenged amount of £63.7 million and related interest of £3.3 million. The aggregate amount paid does not include penalties, which could be significant in the unlikely event that penalties were to be assessed. This matter will likely be subject to court proceedings that could delay the ultimate resolution for an extended period of time. No portion of this potential exposure has been accrued by our company as the likelihood of loss is not considered to be probable.</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Hungary VAT Matter. </w:t>
      </w:r>
      <w:r>
        <w:rPr>
          <w:rFonts w:ascii="Times New Roman" w:cs="Times New Roman" w:eastAsia="Times New Roman" w:hAnsi="Times New Roman"/>
          <w:sz w:val="18"/>
          <w:szCs w:val="18"/>
          <w:color w:val="auto"/>
        </w:rPr>
        <w:t>In February 2016, our direct-to-home satellite (</w:t>
      </w:r>
      <w:r>
        <w:rPr>
          <w:rFonts w:ascii="Times New Roman" w:cs="Times New Roman" w:eastAsia="Times New Roman" w:hAnsi="Times New Roman"/>
          <w:sz w:val="18"/>
          <w:szCs w:val="18"/>
          <w:b w:val="1"/>
          <w:bCs w:val="1"/>
          <w:color w:val="auto"/>
        </w:rPr>
        <w:t>DTH</w:t>
      </w:r>
      <w:r>
        <w:rPr>
          <w:rFonts w:ascii="Times New Roman" w:cs="Times New Roman" w:eastAsia="Times New Roman" w:hAnsi="Times New Roman"/>
          <w:sz w:val="18"/>
          <w:szCs w:val="18"/>
          <w:color w:val="auto"/>
        </w:rPr>
        <w:t>) operations in Luxembourg received a second instance decision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Hungarian tax authorities as a result of an audit with respect to VAT payments that the Hungarian tax authorities conducted for the years 2010 through 2012. The Hungarian tax authorities assessed our DTH operations with an obligation to pay VAT for the years audited of HUF 5,413.2 million ($18.8 million), excluding interest and penalties, which could be significant. We believe that our DTH operations have operated in compliance with all applicable rules, regulations and interpretations thereof, including a binding tax ruling that we received from the Hungarian government in 2010. In October 2016 a Budapest court disagreed with the tax authorities and dismissed the assessment. On February 2, 2017, the Hungarian tax authorities appealed the Budapest court decision to the Hungarian Supreme Court. No portion of this exposure has been accrued by us as the likelihood of loss is not considered to be probable.</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Regulatory Issues. </w:t>
      </w:r>
      <w:r>
        <w:rPr>
          <w:rFonts w:ascii="Times New Roman" w:cs="Times New Roman" w:eastAsia="Times New Roman" w:hAnsi="Times New Roman"/>
          <w:sz w:val="18"/>
          <w:szCs w:val="18"/>
          <w:color w:val="auto"/>
        </w:rPr>
        <w:t>Video distribution, broadband internet,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79"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other access obligations, and restrictions or controls on content, including content provided by third parties. Failure to comply with current or future regulation could expose our businesses to various penalties.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together with a similar change in Ireland, will result in significant increases in our network infrastructure charges. We estimate that the aggregate amount of these increases will be approximately £30 million ($38 million) during 2017 and will build to a maximum aggregate increase of up to £100 million ($125 million) in 2021.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identify our reportable segments as segments for which discrete financial information is regularly reviewed by our chief operating decision maker and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w:t>
      </w:r>
      <w:r>
        <w:rPr>
          <w:rFonts w:ascii="Times New Roman" w:cs="Times New Roman" w:eastAsia="Times New Roman" w:hAnsi="Times New Roman"/>
          <w:sz w:val="18"/>
          <w:szCs w:val="18"/>
          <w:b w:val="1"/>
          <w:bCs w:val="1"/>
          <w:color w:val="auto"/>
        </w:rPr>
        <w:t>Adjusted OIBDA</w:t>
      </w:r>
      <w:r>
        <w:rPr>
          <w:rFonts w:ascii="Times New Roman" w:cs="Times New Roman" w:eastAsia="Times New Roman" w:hAnsi="Times New Roman"/>
          <w:sz w:val="18"/>
          <w:szCs w:val="18"/>
          <w:color w:val="auto"/>
        </w:rPr>
        <w:t>) is the primary measure used by our chief operating decision maker to evaluate segment operating performance. Adjusted OIBDA is also a key factor that is used by our internal decision makers to (i) determine how to allocate resources to segments and (ii) evaluate the effectiveness of our management for purposes of annual and other incentive compensation plans. As we use the term, Adjusted OIBDA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9"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2017, our reportable segments were as follows: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3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Division:</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U.K./Ireland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Germany</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Belgium</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Switzerland/Austria</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and Eastern Europe</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LiLAC Division:</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CWC</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Chile</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Puerto Rico</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Nonconsolidated:</w:t>
      </w:r>
    </w:p>
    <w:p>
      <w:pPr>
        <w:spacing w:after="0" w:line="3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VodafoneZiggo JV</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2016, we completed the VodafoneZiggo JV Transaction, whereby we contributed Ziggo Group Holding (including Ziggo Sport) to the VodafoneZiggo JV. In our segment presentation for the three months ended March 31, 2016, Ziggo Group Holding is separately reported as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Netherlands</w:t>
      </w:r>
      <w:r>
        <w:rPr>
          <w:rFonts w:ascii="Times New Roman" w:cs="Times New Roman" w:eastAsia="Times New Roman" w:hAnsi="Times New Roman"/>
          <w:sz w:val="18"/>
          <w:szCs w:val="18"/>
          <w:color w:val="auto"/>
        </w:rPr>
        <w:t>” and Ziggo Sport is included in our “</w:t>
      </w: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category. Effective January 1, 2017, following the closing of the VodafoneZiggo JV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have identified the VodafoneZiggo JV as a nonconsolidated reportable segment. Our investment in the VodafoneZiggo JV is attributed to the Liberty Global Group. For additional information regarding the VodafoneZiggo JV Transaction, see note 4.</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the reportable segments set forth above derive their revenue primarily from residential and B2B services, including video, broadband internet and fixed-line telephony services and, with the exception of Puerto Rico, mobile services. At March 31, 2017, our operations in the European Division provided residential and B2B services in 11 European countries and DTH services to customers in the Czech Republic, Hungary, Romania and Slovakia through a Luxembourg-based organization that we refer to as “</w:t>
      </w:r>
      <w:r>
        <w:rPr>
          <w:rFonts w:ascii="Times New Roman" w:cs="Times New Roman" w:eastAsia="Times New Roman" w:hAnsi="Times New Roman"/>
          <w:sz w:val="18"/>
          <w:szCs w:val="18"/>
          <w:b w:val="1"/>
          <w:bCs w:val="1"/>
          <w:color w:val="auto"/>
        </w:rPr>
        <w:t>UPC DTH</w:t>
      </w:r>
      <w:r>
        <w:rPr>
          <w:rFonts w:ascii="Times New Roman" w:cs="Times New Roman" w:eastAsia="Times New Roman" w:hAnsi="Times New Roman"/>
          <w:sz w:val="18"/>
          <w:szCs w:val="18"/>
          <w:color w:val="auto"/>
        </w:rPr>
        <w:t>.” In addition to UPC DTH, our Central and Eastern Europe segment includes our broadband communications operations in the Czech Republic, Hungary, Poland, Romania and Slovakia. The European Division’s central and other category includes (i) costs associated with certain centralized functions, including billing systems, network operations, technology, marketing, facilities, finance and other administrative functions, and (ii) intersegment eliminations within the European Division. In addition, our LiLAC Division provides residential and B2B services in (a) 18 countries, all but one of which are located in Latin America and the Caribbean, through CWC, (b) Chile through VTR and (c) Puerto Rico through Liberty Puerto Rico. CWC also provides (1) B2B services in certain other countries in Latin America and the Caribbean and (2) wholesale services over its sub-sea and terrestrial networks that connect over 30 markets in that region. The corporate and other category for the Liberty Global Group includes less significant consolidated operating segments that provide programming and other services, including Ziggo Sport through December 31, 2016. Intersegment eliminations primarily represent the elimination of intercompany transactions between our broadband communications and programming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9"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amounts presented below represent 100% of each of our reportable segment’s revenue and Adjusted OIBDA. As we have the ability to control Telenet, Liberty Puerto Rico and certain subsidiaries of CWC that are not wholly owned, we consolidate 100% of the revenue and expenses of these entities in our condensed consolidated statements of operations despite the fact that third parties own significant interests in these entities. The noncontrolling owners’ interests in the operating results of Telenet, Liberty Puerto Rico, certain subsidiaries of CWC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losses of affiliates, net, in our condensed consolidated statement of operations. For additional information, see note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1,686.5</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669.8</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3,218.6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4,017.0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4,280.7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 (c)</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4,588.0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VodafoneZiggo JV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revenue of BASE, which was acquired on February 11, 2016.</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9" w:right="2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2017 period primarily includes revenue earned from services provided to the VodafoneZiggo JV. For additional information, see note 4.</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primarily relates to transactions between our European Division and Ziggo Sport, which was contributed to the VodafoneZiggo JV as part of the VodafoneZiggo JV Transaction.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rPr>
              <w:t>Adjusted OIBDA</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2,019.8</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7"/>
        </w:trPr>
        <w:tc>
          <w:tcPr>
            <w:tcW w:w="9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2,046.4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1,993.6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Adjusted OIBDA of our consolidated reportable segments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VodafoneZiggo JV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Adjusted OIBDA of BASE, which was acquired on February 11, 2016.</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9"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total Adjusted OIBDA of our consolidated reportable segments to loss before income taxes: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Adjusted OIBDA of our consolidated reportable segments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2,115.5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 investments and debt,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losses of affiliates,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5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property and equipment additions of our consolidated reportable segments (including capital additions financed under vendor financing or capital lease arrangements) are presented below and reconciled to the capital expenditure amounts included in our condensed consolidated statements of cash flows. For additional information concerning capital additions financed under vendor financing and capital lease arrangements, see note 8.</w:t>
      </w:r>
    </w:p>
    <w:p>
      <w:pPr>
        <w:spacing w:after="0" w:line="12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 (b)</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consolidated property and equipment additions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consolidated 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additions - VodafoneZiggo JV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property and equipment additions of BASE, which was acquired on February 11, 2016.</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that represent the net impact of changes in inventory levels associated with certain centrally-procured network equipment. This equipment is ultimately transferred to operating subsidiaries within the European Division.</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9" w:right="2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for our consolidated reportable segments is set forth below:</w:t>
      </w:r>
    </w:p>
    <w:p>
      <w:pPr>
        <w:spacing w:after="0" w:line="17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 revenue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1,282.6</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3,603.9</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(b)</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3,897.1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B2B revenue (c)</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 (b) (d)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37"/>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4,429.9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4,588.0</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amounts received from subscribers for ongoing services, excluding installation fees and late fees.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80"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$76.4 million and $65.0 million during the three months ended March 31, 2017 and 2016, respectively. Mobile interconnect revenue and revenue from mobile handset sales are included in other revenue.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revenue includes revenue from business broadband internet, video, voice, mobile and data services offered to medium to large enterprises and, on a wholesale basis, to other operators. We also provide services to certain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Revenue from SOHO subscribers, which is included in subscription revenue, aggregated $114.8 million and $102.7 million during the three months ended March 31, 2017 and 2016, respectively.</w:t>
      </w:r>
    </w:p>
    <w:p>
      <w:pPr>
        <w:spacing w:after="0" w:line="18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interconnect fees, mobile handset sales, installation fees, channel carriage fees and revenue earned from services provided to the VodafoneZiggo JV..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9" w:right="239" w:bottom="1440" w:gutter="0" w:footer="0" w:header="0"/>
        </w:sectPr>
      </w:pPr>
    </w:p>
    <w:bookmarkStart w:id="52" w:name="page53"/>
    <w:bookmarkEnd w:id="5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Geographic Segments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revenue of our geographic segments is set forth below:</w:t>
      </w:r>
    </w:p>
    <w:p>
      <w:pPr>
        <w:spacing w:after="0" w:line="174"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33020</wp:posOffset>
            </wp:positionV>
            <wp:extent cx="1792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r>
      <w:tr>
        <w:trPr>
          <w:trHeight w:val="33"/>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1,578.5</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610.2</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617.1</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339.3</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Poland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Austria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Hungary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Czech Republic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Romania</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Slovakia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(b)</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669.8</w:t>
            </w:r>
          </w:p>
        </w:tc>
      </w:tr>
      <w:tr>
        <w:trPr>
          <w:trHeight w:val="237"/>
        </w:trPr>
        <w:tc>
          <w:tcPr>
            <w:tcW w:w="8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European Division</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3,518.6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4,280.7</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including 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8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3,519.0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4,284.1</w:t>
            </w:r>
          </w:p>
        </w:tc>
      </w:tr>
      <w:tr>
        <w:trPr>
          <w:trHeight w:val="27"/>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 (c):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Panama</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Jamaica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Bahamas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Barbados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Trinidad and Tobago</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CWC</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r>
      <w:tr>
        <w:trPr>
          <w:trHeight w:val="27"/>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LiLAC Division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r>
      <w:tr>
        <w:trPr>
          <w:trHeight w:val="243"/>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LiLAC Group</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r>
      <w:tr>
        <w:trPr>
          <w:trHeight w:val="237"/>
        </w:trPr>
        <w:tc>
          <w:tcPr>
            <w:tcW w:w="8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4,429.9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4,588.0</w:t>
            </w:r>
          </w:p>
        </w:tc>
      </w:tr>
      <w:tr>
        <w:trPr>
          <w:trHeight w:val="67"/>
        </w:trPr>
        <w:tc>
          <w:tcPr>
            <w:tcW w:w="8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8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VodafoneZiggo JV (the Netherlands)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1,083.8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279" w:right="339" w:bottom="1440" w:gutter="0" w:footer="0" w:header="0"/>
        </w:sectPr>
      </w:pP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20"/>
          </w:cols>
          <w:pgMar w:left="240" w:top="279"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revenue of BASE, which was acquired on February 11, 2016.</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2017 period primarily includes revenue earned from services provided to the VodafoneZiggo JV. For additional information, see note 4.</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CWC jurisdiction, the amounts presented include (i) revenue from residential and B2B operations and (ii) revenue derived from wholesale network customers, as applicable.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2017 period relates to other countries in which CWC operates, which are primarily located in Latin America and the Caribbean, and includes (i) revenue from residential and B2B operations, (ii) revenue from wholesale network customers and (iii) intercompany eliminations.</w:t>
      </w:r>
    </w:p>
    <w:p>
      <w:pPr>
        <w:spacing w:after="0" w:line="172"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Telenet Refinancing Transaction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2017, (i) Telenet International Finance S.a.r.l, a wholly-owned subsidiary of Telenet, entered into a new €1,330.0 million ($1,422.8 million) term loan facility (</w:t>
      </w:r>
      <w:r>
        <w:rPr>
          <w:rFonts w:ascii="Times New Roman" w:cs="Times New Roman" w:eastAsia="Times New Roman" w:hAnsi="Times New Roman"/>
          <w:sz w:val="18"/>
          <w:szCs w:val="18"/>
          <w:b w:val="1"/>
          <w:bCs w:val="1"/>
          <w:color w:val="auto"/>
        </w:rPr>
        <w:t>Telenet Facility AH</w:t>
      </w:r>
      <w:r>
        <w:rPr>
          <w:rFonts w:ascii="Times New Roman" w:cs="Times New Roman" w:eastAsia="Times New Roman" w:hAnsi="Times New Roman"/>
          <w:sz w:val="18"/>
          <w:szCs w:val="18"/>
          <w:color w:val="auto"/>
        </w:rPr>
        <w:t>), which was issued at 99.75% of par, matures on March 31, 2026, bears interest at a rate of EURIBOR + 3.00% and is subject to a EURIBOR floor of 0.0%, and (ii) Telenet Financing USD LLC, a wholly-owned subsidiary of Telenet, entered into a new $1,800.0 million term loan facility (</w:t>
      </w:r>
      <w:r>
        <w:rPr>
          <w:rFonts w:ascii="Times New Roman" w:cs="Times New Roman" w:eastAsia="Times New Roman" w:hAnsi="Times New Roman"/>
          <w:sz w:val="18"/>
          <w:szCs w:val="18"/>
          <w:b w:val="1"/>
          <w:bCs w:val="1"/>
          <w:color w:val="auto"/>
        </w:rPr>
        <w:t>Telenet Facility AI</w:t>
      </w:r>
      <w:r>
        <w:rPr>
          <w:rFonts w:ascii="Times New Roman" w:cs="Times New Roman" w:eastAsia="Times New Roman" w:hAnsi="Times New Roman"/>
          <w:sz w:val="18"/>
          <w:szCs w:val="18"/>
          <w:color w:val="auto"/>
        </w:rPr>
        <w:t>), which was issued at 99.75% of par, matures on June 30, 2025, bears interest at a rate of LIBOR plus 2.75% and is subject to a LIBOR floor of 0.0%. The net proceeds from Telenet Facility AH and Telenet Facility AI were used to prepay (a) the €1,600.0 million ($1,711.6 million) outstanding principal amount under Telenet Facility AE and (b) the $1,500.0 million outstanding principal amount under Telenet Facility AF.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9"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74" w:lineRule="exact"/>
        <w:rPr>
          <w:sz w:val="20"/>
          <w:szCs w:val="20"/>
          <w:color w:val="auto"/>
        </w:rPr>
      </w:pPr>
    </w:p>
    <w:p>
      <w:pPr>
        <w:ind w:left="660" w:hanging="328"/>
        <w:spacing w:after="0" w:line="28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section provides a description of certain factors that could cause actual results or events to differ materially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results or events.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Results of Operations. </w:t>
      </w:r>
      <w:r>
        <w:rPr>
          <w:rFonts w:ascii="Times New Roman" w:cs="Times New Roman" w:eastAsia="Times New Roman" w:hAnsi="Times New Roman"/>
          <w:sz w:val="18"/>
          <w:szCs w:val="18"/>
          <w:color w:val="auto"/>
        </w:rPr>
        <w:t>This section provides an analysis of our results of operations for the three months ended March 31,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2016.</w:t>
      </w:r>
    </w:p>
    <w:p>
      <w:pPr>
        <w:spacing w:after="0" w:line="5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Financial Condition. </w:t>
      </w:r>
      <w:r>
        <w:rPr>
          <w:rFonts w:ascii="Times New Roman" w:cs="Times New Roman" w:eastAsia="Times New Roman" w:hAnsi="Times New Roman"/>
          <w:sz w:val="18"/>
          <w:szCs w:val="18"/>
          <w:color w:val="auto"/>
        </w:rPr>
        <w:t>This section provides an analysis of our corporate and subsidiary liquidity,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cash flows and contractual commitments.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This section provides discussion and analysis of the foreign currency, interest 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market risk that our company faces.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as of March 31,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may contain forward-looking statements, including statements regarding our business, product,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finance strategies, our property and equipment additions (including with respect to our network extensions),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8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or our affiliates operate;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in the countries in which we or our affiliates operate, including competitor responses to our products and services;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and related fiscal reforms;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television viewing preferences and habits;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60" w:right="239" w:bottom="1440" w:gutter="0" w:footer="0" w:header="0"/>
        </w:sectPr>
      </w:pPr>
    </w:p>
    <w:bookmarkStart w:id="55" w:name="page56"/>
    <w:bookmarkEnd w:id="55"/>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technological changes;</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in the countries in which we or our affiliates operate and adverse outcomes from regulatory proceedings;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requires opening our broadband distribution networks to competitors, such as the obligations imposed in Belgium;</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realize anticipated efficiencies from and implement our business plan with respect to the businesses we have acquired, such as CWC and BASE, or that we expect to acquire;</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U.K., the U.S. or in other countries in which we or our affiliates operate;</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government regulations that may impact the availability and cost of capital and the derivative instruments that hedge certain of our financial risks;</w:t>
      </w:r>
    </w:p>
    <w:p>
      <w:pPr>
        <w:spacing w:after="0" w:line="12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providers under our MVNO arrangements) to timely deliver quality products, equipment, software, services and access;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8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forecast and plan future network requirements, including the costs and benefits associated with our planned network extensions;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for the acquisition and/or development of telecommunications networks and services;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leakage of sensitive customer data;</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availability of qualified personnel;</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8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capital structure; and</w:t>
      </w: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8"/>
          </w:cols>
          <w:pgMar w:left="572" w:top="364" w:right="239" w:bottom="1440" w:gutter="0" w:footer="0" w:header="0"/>
        </w:sectPr>
      </w:pPr>
    </w:p>
    <w:bookmarkStart w:id="56" w:name="page57"/>
    <w:bookmarkEnd w:id="56"/>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malicious human acts, natural disasters, pandemics and other similar events.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international provider of video, broadband internet, fixed-line telephony, mobile and other communications services to residential customers and businesses, with consolidated operations at March 31, 2017 in more than 30 countries. We provide residential and B2B services in (i) the U.K. and Ireland through Virgin Media, (ii) Germany through Unitymedia, (iii) Belgium through Telenet and (iv) seven other European countries through UPC Holding. In addition, through the December 31, 2016 completion of the VodafoneZiggo JV Transaction, we provided residential and B2B services in the Netherlands through Ziggo Group Holding. Following the completion of the VodafoneZiggo JV, we own a 50% noncontrolling interest in the VodafoneZiggo JV, which provides video, broadband internet, mobile and B2B services in the Netherlands. The operations of Virgin Media, Unitymedia, Telenet, UPC Holding and, through December 31, 2016, Ziggo Group Holding are collectively referred to herein as the “European Division.” In addition, we provide residential and B2B services in (a) 18 countries, predominantly in Latin America and the Caribbean, through CWC, (b) Chile through VTR and (c) Puerto Rico through Liberty Puerto Rico. CWC also provides (1) B2B services in certain other countries in Latin America and the Caribbean and (2) wholesale services over its sub-sea and terrestrial networks that connect over 30 markets in that region. The operations of CWC, VTR and Liberty Puerto Rico are collectively referred to herein as the “LiLAC Division.”</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completed a number of transactions that impact the comparability of our 2017 and 2016 results of operations, including (i) the completion of the VodafoneZiggo JV Transaction on December 31, 2016, (ii) the CWC Acquisition on May 16, 2016 and (iii) the BASE Acquisition on February 11, 2016. For further information regarding our completed and pending acquisitions, see note 3 to our condensed consolidated financial statements. For further information regarding the VodafoneZiggo JV Transaction, see note 4 to our condensed consolidated financial statements.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At March 31, 2017, we owned and operated networks that passed 50,124,600 homes and served 50,442,600 revenue generating units (</w:t>
      </w:r>
      <w:r>
        <w:rPr>
          <w:rFonts w:ascii="Times New Roman" w:cs="Times New Roman" w:eastAsia="Times New Roman" w:hAnsi="Times New Roman"/>
          <w:sz w:val="18"/>
          <w:szCs w:val="18"/>
          <w:b w:val="1"/>
          <w:bCs w:val="1"/>
          <w:color w:val="auto"/>
        </w:rPr>
        <w:t>RGUs</w:t>
      </w:r>
      <w:r>
        <w:rPr>
          <w:rFonts w:ascii="Times New Roman" w:cs="Times New Roman" w:eastAsia="Times New Roman" w:hAnsi="Times New Roman"/>
          <w:sz w:val="18"/>
          <w:szCs w:val="18"/>
          <w:color w:val="auto"/>
        </w:rPr>
        <w:t>), consisting of 20,189,600 video subscribers, 16,547,800 broadband internet subscribers and 13,705,200 fixed-line telephony subscribers. In addition, at March 31, 2017, we served 10,156,200 mobile subscribers.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64" w:right="239" w:bottom="1440" w:gutter="0" w:footer="0" w:header="0"/>
        </w:sectPr>
      </w:pPr>
    </w:p>
    <w:bookmarkStart w:id="57" w:name="page58"/>
    <w:bookmarkEnd w:id="5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details of our organic RGU and mobile subscriber changes during the three months ended March 31, 2017 and 2016. The subscriber data provided below excludes the effect of acquisitions (RGUs and mobile subscribers added on the acquisition date) and other non-organic adjustments, but includes post-acquisition date RGU and mobile subscriber additions or losses. For definitions of our RGUs and mobile subscribers, see Part I of our 10-K.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LiLAC Group</w:t>
            </w: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Liberty Global</w:t>
            </w:r>
          </w:p>
        </w:tc>
      </w:tr>
      <w:tr>
        <w:trPr>
          <w:trHeight w:val="33"/>
        </w:trPr>
        <w:tc>
          <w:tcPr>
            <w:tcW w:w="3980" w:type="dxa"/>
            <w:vAlign w:val="bottom"/>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07"/>
        </w:trPr>
        <w:tc>
          <w:tcPr>
            <w:tcW w:w="3980" w:type="dxa"/>
            <w:vAlign w:val="bottom"/>
          </w:tcPr>
          <w:p>
            <w:pPr>
              <w:spacing w:after="0"/>
              <w:rPr>
                <w:sz w:val="18"/>
                <w:szCs w:val="18"/>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3980" w:type="dxa"/>
            <w:vAlign w:val="bottom"/>
          </w:tcPr>
          <w:p>
            <w:pPr>
              <w:spacing w:after="0"/>
              <w:rPr>
                <w:sz w:val="18"/>
                <w:szCs w:val="18"/>
                <w:color w:val="auto"/>
              </w:rPr>
            </w:pPr>
          </w:p>
        </w:tc>
        <w:tc>
          <w:tcPr>
            <w:tcW w:w="1620" w:type="dxa"/>
            <w:vAlign w:val="bottom"/>
            <w:gridSpan w:val="3"/>
          </w:tcPr>
          <w:p>
            <w:pPr>
              <w:jc w:val="center"/>
              <w:ind w:left="7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18"/>
        </w:trPr>
        <w:tc>
          <w:tcPr>
            <w:tcW w:w="3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Organic RGU additions (losses):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(161,000)</w:t>
            </w:r>
          </w:p>
        </w:tc>
      </w:tr>
      <w:tr>
        <w:trPr>
          <w:trHeight w:val="27"/>
        </w:trPr>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Enhanced</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26,400</w:t>
            </w:r>
          </w:p>
        </w:tc>
      </w:tr>
      <w:tr>
        <w:trPr>
          <w:trHeight w:val="243"/>
        </w:trPr>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DTH</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3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video</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(138,300)</w:t>
            </w: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Broadband internet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152,700</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25,500</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178,200</w:t>
            </w:r>
          </w:p>
        </w:tc>
      </w:tr>
      <w:tr>
        <w:trPr>
          <w:trHeight w:val="27"/>
        </w:trPr>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Fixed-line telephony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123,700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116,000</w:t>
            </w:r>
          </w:p>
        </w:tc>
      </w:tr>
      <w:tr>
        <w:trPr>
          <w:trHeight w:val="297"/>
        </w:trPr>
        <w:tc>
          <w:tcPr>
            <w:tcW w:w="3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organic RGU additions</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244,300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134,600</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41,900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21,300</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286,200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155,900</w:t>
            </w:r>
          </w:p>
        </w:tc>
      </w:tr>
      <w:tr>
        <w:trPr>
          <w:trHeight w:val="311"/>
        </w:trPr>
        <w:tc>
          <w:tcPr>
            <w:tcW w:w="3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Organic mobile subscriber additions (losses):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Postpaid</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98,800</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99,800</w:t>
            </w:r>
          </w:p>
        </w:tc>
      </w:tr>
      <w:tr>
        <w:trPr>
          <w:trHeight w:val="27"/>
        </w:trPr>
        <w:tc>
          <w:tcPr>
            <w:tcW w:w="3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organic mobile subscriber additions</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32,300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Other External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experiencing significant competition from incumbent telecommunications operators, DTH operators and/or other providers in all of our markets, particularly in Switzerland and many of CWC’s markets. In the Bahamas, where CWC previously was the only provider of mobile services, competition has increased significantly due to the commercial launch of mobile services by a competitor during the fourth quarter of 2016. In addition, two new fixed-line competitors have entered the market in Trinidad and Tobago. In certain of its markets, CWC is also experiencing increased regulatory intervention that would, if implemented, facilitate increased competition. The significant competition we are experiencing, together with macroeconomic factors, has adversely impacted our revenue, RGUs and/or average monthly subscription revenue per average cable RGU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xml:space="preserve">), particularly in Barbados, the Bahamas and Trinidad and Tobago. In addition, the VodafoneZiggo JV is facing significant competition in the Netherlands. For additional information regarding the revenue impact of changes in the RGUs and ARPU of our consolidated reportable segments, see </w:t>
      </w:r>
      <w:r>
        <w:rPr>
          <w:rFonts w:ascii="Times New Roman" w:cs="Times New Roman" w:eastAsia="Times New Roman" w:hAnsi="Times New Roman"/>
          <w:sz w:val="18"/>
          <w:szCs w:val="18"/>
          <w:i w:val="1"/>
          <w:iCs w:val="1"/>
          <w:color w:val="auto"/>
        </w:rPr>
        <w:t>Discussion and Analysis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Segments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competition, our operations are subject to macroeconomic, political and other risks that are outside of our control. On June 23, 2016, the U.K. held a referendum in which U.K. citizens voted in favor of, on an advisory basis, an exit from the E.U. commonly referred to as “</w:t>
      </w:r>
      <w:r>
        <w:rPr>
          <w:rFonts w:ascii="Times New Roman" w:cs="Times New Roman" w:eastAsia="Times New Roman" w:hAnsi="Times New Roman"/>
          <w:sz w:val="18"/>
          <w:szCs w:val="18"/>
          <w:b w:val="1"/>
          <w:bCs w:val="1"/>
          <w:color w:val="auto"/>
        </w:rPr>
        <w:t>Brexit</w:t>
      </w:r>
      <w:r>
        <w:rPr>
          <w:rFonts w:ascii="Times New Roman" w:cs="Times New Roman" w:eastAsia="Times New Roman" w:hAnsi="Times New Roman"/>
          <w:sz w:val="18"/>
          <w:szCs w:val="18"/>
          <w:color w:val="auto"/>
        </w:rPr>
        <w:t>.” The terms of any withdrawal are subject to a negotiation period that could take until March 2019. A withdrawal could, among other outcomes, disrupt the free movement of goods, services, people and capital between the U.K. and the E.U., undermine bilateral cooperation in key geographic areas and significantly disrupt trade between the U.K. and the E.U. or other nations (including the U.S.) as the U.K. pursues independent trade relations. The initial impact of the announcement of Brexit caused significant volatility in global stock markets, including in the prices of our shares. In addition, the U.S. dollar has significantly strengthened against the British pound sterling during the period following Brexit. The effects of Brexit could adversely affect our business, results of operations, financial condition and liquidity.</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high levels of sovereign debt in the U.S. and several countries in which we or our affiliates operate, combined with weak growth and high unemployment, could potentially lead to fiscal reforms (including austerity measures), tax increases, sovereign debt restructurings, currency instability, increased counterparty credit risk, high levels of volatility and disruptions in the credit and equity markets, as well as other outcomes that might adversely impact our company. The occurrence of any of these events, especially within the eurozone countries given our significant exposure to the euro and pound sterling, could have an adverse impact on, among other matters, our liquidity and cash flows.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facing a challenging economic environment in Puerto Rico due in part to the government’s liquidity issues. In this regard, the Puerto Rico government failed to make significant portions of its scheduled debt payments during 2016 and 2017. On May 3, 2017, pursuant to a law passed in January 2016 by the U.S. Congress designed to assist with the Puerto Rico government’s debt and economic issues, the Puerto Rico government commenced a debt-restructuring process. If the fiscal and economic conditions in Puerto Rico were to worsen, the population of Puerto Rico could continue to decline and the demand and ability of customers to pay for Liberty Puerto Rico’s services could be impaired, both of which could have a negative impact on Liberty Puerto Rico’s results of operations, cash flows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As noted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the comparability of our operating results during 2017 and 2016 is affected by acquisitions, dispositions and foreign currency translation effects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As we use the term, organic growth excludes FX and the estimated impact of acquisitions and dispositions.</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the following discussion, we quantify the estimated impact of acquisitions (the </w:t>
      </w:r>
      <w:r>
        <w:rPr>
          <w:rFonts w:ascii="Times New Roman" w:cs="Times New Roman" w:eastAsia="Times New Roman" w:hAnsi="Times New Roman"/>
          <w:sz w:val="18"/>
          <w:szCs w:val="18"/>
          <w:b w:val="1"/>
          <w:bCs w:val="1"/>
          <w:color w:val="auto"/>
        </w:rPr>
        <w:t>Acquisition Impact</w:t>
      </w:r>
      <w:r>
        <w:rPr>
          <w:rFonts w:ascii="Times New Roman" w:cs="Times New Roman" w:eastAsia="Times New Roman" w:hAnsi="Times New Roman"/>
          <w:sz w:val="18"/>
          <w:szCs w:val="18"/>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six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growth percentages includes the organic growth of an acquired entity relative to the Acquisition Impact of such entity.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2016, we changed how we calculate our organic growth percentages to include the Acquisition Impact in the denominator of the calculation, as this methodology takes into account the size of the acquired entity's operations relative to our existing operations. This change has been reflected retroactively for all periods presented herein. Notwithstanding the above and due largely to the fact that CWC represents a new reportable segment, we have excluded CWC’s operating results (excluding $1.3 million of integration costs that are included in the organic change for SG&amp;A expenses and Adjusted OIBDA for the three months ended March 31, 2017) for the period from the May 16, 2016 acquisition date through March 31, 2017 from the numerator of the calculation of organic growth. In addition, in the following discussion of organic changes, we quantify the impact of the VodafoneZiggo JV Transaction on our results of operations. In this regard, the organic changes of Liberty Global are adjusted to exclude (i) the operations of Ziggo Group Holding and Ziggo Sport for the 2016 period, (ii) the revenue earned during the 2017 period from services provided to the VodafoneZiggo JV and (iii) certain operating and SG&amp;A expenses incurred during the 2017 period that were allocated to our Netherlands segment during the 2016 period.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Changes in foreign currency exchange rates have a significant impact on our reported operating results as all of our operating segments, except for Puerto Rico and most of CWC’s operating segments, have functional currencies other than the U.S. dollar. Our primary exposure to FX risk during the three months ended March 31, 2017 was to the euro and British pound sterling as 35.0% and 31.6% of our reported revenue during the period was derived from subsidiaries whose functional currencies are the euro and British pound sterling, respectively. In addition, our reported operating results are impacted by changes in the exchange rates for other local currencies in Europe, the Caribbean and Latin America.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our Consolidated Operating Results </w:t>
      </w:r>
      <w:r>
        <w:rPr>
          <w:rFonts w:ascii="Times New Roman" w:cs="Times New Roman" w:eastAsia="Times New Roman" w:hAnsi="Times New Roman"/>
          <w:sz w:val="18"/>
          <w:szCs w:val="18"/>
          <w:color w:val="auto"/>
        </w:rPr>
        <w:t>below. For information concerning our foreign currency risks and the applicable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rates in effect for the periods covered by this Quarterly Report, see </w:t>
      </w:r>
      <w:r>
        <w:rPr>
          <w:rFonts w:ascii="Times New Roman" w:cs="Times New Roman" w:eastAsia="Times New Roman" w:hAnsi="Times New Roman"/>
          <w:sz w:val="18"/>
          <w:szCs w:val="18"/>
          <w:i w:val="1"/>
          <w:iCs w:val="1"/>
          <w:color w:val="auto"/>
        </w:rPr>
        <w:t>Quantitative and Qualitative Disclosures about Market Risk —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Currency Exchange Rates </w:t>
      </w: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consolidated reportable segment’s revenue and Adjusted OIBDA. As we have the ability to control Telenet, Liberty Puerto Rico and certain subsidiaries of CWC that are not wholly owned, we consolidate 100% of the revenue and expenses of these entities in our condensed consolidated statements of operations despite the fact that third parties own significant interests in these entities. The noncontrolling owners’ interests in the operating results of Telenet, Liberty Puerto Rico, certain subsidiaries of CWC and other less significant majority-owned subsidiaries are reflected in net earnings or loss attributable to noncontrolling interests in our condensed consolidated statements of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All of the reportable segments set forth below derive their revenue primarily from (i) broadband communications services, including video, broadband internet and fixed-line telephony services, (ii) B2B services and (iii) with the exception of Puerto Rico, mobile services. For detailed information regarding the composition of our reportable segments, see note 15 to our condensed consolidated financial statements. For more information regarding the results of operations of the VodafoneZiggo JV, refer to </w:t>
      </w:r>
      <w:r>
        <w:rPr>
          <w:rFonts w:ascii="Times New Roman" w:cs="Times New Roman" w:eastAsia="Times New Roman" w:hAnsi="Times New Roman"/>
          <w:sz w:val="18"/>
          <w:szCs w:val="18"/>
          <w:i w:val="1"/>
          <w:iCs w:val="1"/>
          <w:color w:val="auto"/>
        </w:rPr>
        <w:t>Discussion and Analysis of our Consolidated Operating Results — Share of losses of affiliates</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tables presented below in this section provide a separate analysis of each of the line items that comprise Adjusted OIBDA of our consolidated reportable segments, as further discussed in note 15 to our condensed consolidated financial statements, as well as an analysis of Adjusted OIBDA of our consolidated reportable segments for the three months ended March 31, 2017 and 2016. These tables present (i) the amounts reported by each of our consolidated reportable segments for the current and comparative periods, (ii) the reported U.S. dollar change and percentage change from period to period and (iii) the organic U.S. dollar change and percentage change from period to period (percentage change after removing FX and the estimated impacts of acquisitions and dispositions). The comparisons that exclude FX assume that exchange rates remained constant at the prior-year rate during the comparative periods that are included in each table. We also provide a table showing the Adjusted OIBDA margins of our consolidated reportable segments for the three months ended March 31, 2017 and 2016 at the end of this section.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do not include share-based compensation in the discussion and analysis of the other operating and SG&amp;A expenses of our consolidated reportable segments as share-based compensation expense is not included in the performance measures of our consolidated reportable segments. Share-based compensation expense is discussed under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revenue of our consolidated reportable segments includes revenue earned from (i) subscribers to our broadband communication and other fixed-line and DTH services (collectively referred to herein as “</w:t>
      </w:r>
      <w:r>
        <w:rPr>
          <w:rFonts w:ascii="Times New Roman" w:cs="Times New Roman" w:eastAsia="Times New Roman" w:hAnsi="Times New Roman"/>
          <w:sz w:val="18"/>
          <w:szCs w:val="18"/>
          <w:b w:val="1"/>
          <w:bCs w:val="1"/>
          <w:color w:val="auto"/>
        </w:rPr>
        <w:t>cable subscription revenue</w:t>
      </w:r>
      <w:r>
        <w:rPr>
          <w:rFonts w:ascii="Times New Roman" w:cs="Times New Roman" w:eastAsia="Times New Roman" w:hAnsi="Times New Roman"/>
          <w:sz w:val="18"/>
          <w:szCs w:val="18"/>
          <w:color w:val="auto"/>
        </w:rPr>
        <w:t>”) and our mobile services and (ii) B2B services, interconnect fees, mobile handset sales, installation fees, channel carriage fees, revenue earned from the VodafoneZiggo JV, late fees and advertising revenue. Consistent with the presentation of our revenue categories in note 15 to our condensed consolidated financial statements, we use the term “subscription revenue” in the following discussion to refer to amounts received from subscribers for ongoing services, excluding installation fees and late fees. In the following tables, mobile subscription revenue excludes the related interconnect revenue.</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the U.K., Belgium and Switzerland/Austria, we offer our customers the option to purchase a mobile handset pursuant to a contract that is independent of a mobile airtime services contract (a </w:t>
      </w:r>
      <w:r>
        <w:rPr>
          <w:rFonts w:ascii="Times New Roman" w:cs="Times New Roman" w:eastAsia="Times New Roman" w:hAnsi="Times New Roman"/>
          <w:sz w:val="18"/>
          <w:szCs w:val="18"/>
          <w:b w:val="1"/>
          <w:bCs w:val="1"/>
          <w:color w:val="auto"/>
        </w:rPr>
        <w:t>Split-contract Program</w:t>
      </w:r>
      <w:r>
        <w:rPr>
          <w:rFonts w:ascii="Times New Roman" w:cs="Times New Roman" w:eastAsia="Times New Roman" w:hAnsi="Times New Roman"/>
          <w:sz w:val="18"/>
          <w:szCs w:val="18"/>
          <w:color w:val="auto"/>
        </w:rPr>
        <w:t>). Revenue associated with handsets sold under a Split-contract Program is recognized upfront and included in other non-subscription revenue. We generally recognize the full sales price for the mobile handset upon delivery, regardless of whether the sales price is received upfront or in installments. Prior to the Split-contract Programs, all revenue from handset sales that was contingent upon delivering future airtime services was recognized over the life of the customer contract as part of the monthly fee and included in subscription revenue.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OIBDA and Adjusted OIBDA margins to the extent of any such tax increases.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in many of our markets.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OIBDA would be dependent on the call or text messaging patterns that are subject to the changed termination rates.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inflationary pressures with respect to certain costs and foreign currency exchange risk with respect to costs and expenses that are denominated in currencies other than the respective functional currencies of our consolidated reportable segments (</w:t>
      </w:r>
      <w:r>
        <w:rPr>
          <w:rFonts w:ascii="Times New Roman" w:cs="Times New Roman" w:eastAsia="Times New Roman" w:hAnsi="Times New Roman"/>
          <w:sz w:val="18"/>
          <w:szCs w:val="18"/>
          <w:b w:val="1"/>
          <w:bCs w:val="1"/>
          <w:color w:val="auto"/>
        </w:rPr>
        <w:t>non-functional currency expenses</w:t>
      </w:r>
      <w:r>
        <w:rPr>
          <w:rFonts w:ascii="Times New Roman" w:cs="Times New Roman" w:eastAsia="Times New Roman" w:hAnsi="Times New Roman"/>
          <w:sz w:val="18"/>
          <w:szCs w:val="18"/>
          <w:color w:val="auto"/>
        </w:rPr>
        <w:t>). Any cost increases that we are not able to pass on to our subscribers through rate increases would result in increased pressure on our operating margins.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sectPr>
      </w:pPr>
    </w:p>
    <w:bookmarkStart w:id="60" w:name="page61"/>
    <w:bookmarkEnd w:id="6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consolidated reportable segments,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experiencing significant competition in all of our markets. This competition has an adverse impact on our ability to increase or maintain our RGUs and/or ARPU.</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20" w:type="dxa"/>
            <w:vAlign w:val="bottom"/>
          </w:tcPr>
          <w:p>
            <w:pPr>
              <w:spacing w:after="0"/>
              <w:rPr>
                <w:sz w:val="18"/>
                <w:szCs w:val="18"/>
                <w:color w:val="auto"/>
              </w:rPr>
            </w:pP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other (b)</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Intersegment eliminations (c)</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4,429.9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revenue of BASE, which was acquired on February 11, 2016.</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2017 period primarily includes the revenue earned from services provided to the VodafoneZiggo JV. For additional information, see note 4 to our condensed consolidated financial statements.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primarily relates to transactions between our European Division and Ziggo Sport, which was contributed to the VodafoneZiggo JV as part of the VodafoneZiggo JV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6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U.K./Ireland. </w:t>
      </w:r>
      <w:r>
        <w:rPr>
          <w:rFonts w:ascii="Times New Roman" w:cs="Times New Roman" w:eastAsia="Times New Roman" w:hAnsi="Times New Roman"/>
          <w:sz w:val="18"/>
          <w:szCs w:val="18"/>
          <w:color w:val="auto"/>
        </w:rPr>
        <w:t>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U.K./Ireland</w:t>
      </w:r>
      <w:r>
        <w:rPr>
          <w:rFonts w:ascii="Times New Roman" w:cs="Times New Roman" w:eastAsia="Times New Roman" w:hAnsi="Times New Roman"/>
          <w:sz w:val="18"/>
          <w:szCs w:val="18"/>
          <w:color w:val="2C2C2C"/>
        </w:rPr>
        <w:t>’s revenue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2017</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 period in 2016</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C2C2C"/>
        </w:rPr>
        <w:t xml:space="preserve">includes (i) an organic increase of $32.0 million or 1.9%, (ii) the impact of acquisitions, (iii) the impact of a disposal and (iv) the impact of </w:t>
      </w:r>
      <w:r>
        <w:rPr>
          <w:rFonts w:ascii="Times New Roman" w:cs="Times New Roman" w:eastAsia="Times New Roman" w:hAnsi="Times New Roman"/>
          <w:sz w:val="18"/>
          <w:szCs w:val="18"/>
          <w:color w:val="000000"/>
        </w:rPr>
        <w:t>FX</w:t>
      </w:r>
      <w:r>
        <w:rPr>
          <w:rFonts w:ascii="Times New Roman" w:cs="Times New Roman" w:eastAsia="Times New Roman" w:hAnsi="Times New Roman"/>
          <w:sz w:val="18"/>
          <w:szCs w:val="18"/>
          <w:color w:val="2C2C2C"/>
        </w:rPr>
        <w:t>, as set f</w:t>
      </w:r>
      <w:r>
        <w:rPr>
          <w:rFonts w:ascii="Times New Roman" w:cs="Times New Roman" w:eastAsia="Times New Roman" w:hAnsi="Times New Roman"/>
          <w:sz w:val="18"/>
          <w:szCs w:val="18"/>
          <w:color w:val="000000"/>
        </w:rPr>
        <w:t>orth</w:t>
      </w:r>
      <w:r>
        <w:rPr>
          <w:rFonts w:ascii="Times New Roman" w:cs="Times New Roman" w:eastAsia="Times New Roman" w:hAnsi="Times New Roman"/>
          <w:sz w:val="18"/>
          <w:szCs w:val="18"/>
          <w:color w:val="2C2C2C"/>
        </w:rPr>
        <w:t xml:space="preserve"> </w:t>
      </w:r>
      <w:r>
        <w:rPr>
          <w:rFonts w:ascii="Times New Roman" w:cs="Times New Roman" w:eastAsia="Times New Roman" w:hAnsi="Times New Roman"/>
          <w:sz w:val="18"/>
          <w:szCs w:val="18"/>
          <w:color w:val="000000"/>
        </w:rPr>
        <w:t>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 (c)</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 disposal</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the net effect of (i) an increase in the average number of broadband internet and fixed-line telephony RGUs in the U.K., (ii) a decline in the average number of enhanced video RGUs in Ireland, which was mostly offset by an increase in the average number of enhanced video RGUs in the U.K., and (iii) a decline in the average number of basic video RGUs in Ireland.</w:t>
      </w:r>
    </w:p>
    <w:p>
      <w:pPr>
        <w:spacing w:after="0" w:line="18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primarily attributable to the net effect of (i) a net increase primarily due to</w:t>
      </w:r>
    </w:p>
    <w:p>
      <w:pPr>
        <w:spacing w:after="0" w:line="27" w:lineRule="exact"/>
        <w:rPr>
          <w:rFonts w:ascii="Times New Roman" w:cs="Times New Roman" w:eastAsia="Times New Roman" w:hAnsi="Times New Roman"/>
          <w:sz w:val="18"/>
          <w:szCs w:val="18"/>
          <w:color w:val="auto"/>
        </w:rPr>
      </w:pPr>
    </w:p>
    <w:p>
      <w:pPr>
        <w:jc w:val="both"/>
        <w:ind w:lef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ARPU from broadband internet services and (b) lower ARPU from video services and (ii) an improvement in RGU mix, as an increase in the U.K. was only partially offset by a decrease in Ireland. In addition, ARPU from video, broadband internet and fixed-line telephony services was adversely impacted by an aggregate $8.8 million decrease in revenue associated with a change in the regulations governing payment handling fees that Virgin Media charges to its customers in the U.K.</w:t>
      </w:r>
    </w:p>
    <w:p>
      <w:pPr>
        <w:spacing w:after="0" w:line="18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mobile subscription revenue relates to the net effect of (i) lower ARPU in the U.K., including a decline of $22.9 million in postpaid mobile services revenue associated with the U.K. Split-contract Program, and (ii) an increase in the average number of mobile subscribers, as an increase in the average number of postpaid mobile subscribers more than offset the decrease in the average number of prepaid mobile subscribers in the U.K.</w:t>
      </w:r>
    </w:p>
    <w:p>
      <w:pPr>
        <w:spacing w:after="0" w:line="18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largely due to an increase in data revenue, primarily attributable to higher volumes.</w:t>
      </w:r>
    </w:p>
    <w:p>
      <w:pPr>
        <w:spacing w:after="0" w:line="225" w:lineRule="exact"/>
        <w:rPr>
          <w:rFonts w:ascii="Times New Roman" w:cs="Times New Roman" w:eastAsia="Times New Roman" w:hAnsi="Times New Roman"/>
          <w:sz w:val="18"/>
          <w:szCs w:val="18"/>
          <w:color w:val="auto"/>
        </w:rPr>
      </w:pPr>
    </w:p>
    <w:p>
      <w:pPr>
        <w:jc w:val="both"/>
        <w:ind w:left="500" w:right="20" w:hanging="492"/>
        <w:spacing w:after="0" w:line="266"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primarily due to the net effect of (i) a decrease in interconnect revenue in the U.K. of $5.4 million, primarily due to (a) a decline in mobile short message service or “SMS” termination volumes and (b) lower mobile termination rates and volumes, (ii) an increase in installation revenue in the U.K. and (iii) an increase in broadcasting revenue in Ireland.</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regulatory developments that could have an adverse impact on our revenue in the U.K., see note 14 to our condensed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0" w:right="2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Belgium. </w:t>
      </w:r>
      <w:r>
        <w:rPr>
          <w:rFonts w:ascii="Times New Roman" w:cs="Times New Roman" w:eastAsia="Times New Roman" w:hAnsi="Times New Roman"/>
          <w:sz w:val="18"/>
          <w:szCs w:val="18"/>
          <w:color w:val="auto"/>
        </w:rPr>
        <w:t>The increase in Belgium’s revenue during the three months ended March 31, 2017, as compared to the corresponding period in 2016, includes</w:t>
      </w:r>
    </w:p>
    <w:p>
      <w:pPr>
        <w:spacing w:after="0" w:line="29" w:lineRule="exact"/>
        <w:rPr>
          <w:sz w:val="20"/>
          <w:szCs w:val="20"/>
          <w:color w:val="auto"/>
        </w:rPr>
      </w:pPr>
    </w:p>
    <w:p>
      <w:pPr>
        <w:ind w:firstLine="8"/>
        <w:spacing w:after="0" w:line="261" w:lineRule="auto"/>
        <w:tabs>
          <w:tab w:leader="none" w:pos="2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organic increase of $6.4 million or 0.9%, (ii) the impact of the BASE Acquisition</w:t>
      </w:r>
      <w:r>
        <w:rPr>
          <w:rFonts w:ascii="Times New Roman" w:cs="Times New Roman" w:eastAsia="Times New Roman" w:hAnsi="Times New Roman"/>
          <w:sz w:val="18"/>
          <w:szCs w:val="18"/>
          <w:color w:val="2C2C2C"/>
        </w:rPr>
        <w:t>, (iii) the impact of disposals and (iv) the impact of</w:t>
      </w:r>
      <w:r>
        <w:rPr>
          <w:rFonts w:ascii="Times New Roman" w:cs="Times New Roman" w:eastAsia="Times New Roman" w:hAnsi="Times New Roman"/>
          <w:sz w:val="18"/>
          <w:szCs w:val="18"/>
          <w:color w:val="auto"/>
        </w:rPr>
        <w:t xml:space="preserve"> FX</w:t>
      </w:r>
      <w:r>
        <w:rPr>
          <w:rFonts w:ascii="Times New Roman" w:cs="Times New Roman" w:eastAsia="Times New Roman" w:hAnsi="Times New Roman"/>
          <w:sz w:val="18"/>
          <w:szCs w:val="18"/>
          <w:color w:val="2C2C2C"/>
        </w:rPr>
        <w:t>, as set f</w:t>
      </w:r>
      <w:r>
        <w:rPr>
          <w:rFonts w:ascii="Times New Roman" w:cs="Times New Roman" w:eastAsia="Times New Roman" w:hAnsi="Times New Roman"/>
          <w:sz w:val="18"/>
          <w:szCs w:val="18"/>
          <w:color w:val="auto"/>
        </w:rPr>
        <w:t>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 (c)</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the BASE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disposals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increases in the average number of broadband internet, fixed-line telephony and enhanced video RGUs that were mostly offset by a decline in the average number of basic video RGUs.</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a net increase due to (a) higher ARPU from broadband internet and video services and (b) lower ARPU from fixed-line telephony services and (ii) an improvement in RGU mix.</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mobile subscription revenue is primarily due to the net effect of (i) lower ARPU, largely due to a decline in usage, and (ii) an increase in the average number of subscribers, as the increase in postpaid mobile subscribers more than offset the decrease in prepaid mobile subscribers.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predominantly due to higher revenue from (i) information technology security services and related equipment sales and (ii) fixed-line telephony services.</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revenue is primarily due to the net impact of (i) a $5.5 million increase due to an adjustment recorded during the 2017 period to reflect the expected recovery of VAT paid in prior periods with respect to copyright costs, (ii) a decrease of $5.1 million in mobile handset sales, (iii) a decrease in mobile interconnect revenue, primarily due to lower mobile call volume, and (iv) a decrease in tablet sales.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concerning certain regulatory developments that could have an adverse impact on our revenue in Belgium, see note 14 to our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62" w:right="239" w:bottom="1440" w:gutter="0" w:footer="0" w:header="0"/>
        </w:sectPr>
      </w:pPr>
    </w:p>
    <w:bookmarkStart w:id="63" w:name="page64"/>
    <w:bookmarkEnd w:id="63"/>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Germany. </w:t>
      </w:r>
      <w:r>
        <w:rPr>
          <w:rFonts w:ascii="Times New Roman" w:cs="Times New Roman" w:eastAsia="Times New Roman" w:hAnsi="Times New Roman"/>
          <w:sz w:val="18"/>
          <w:szCs w:val="18"/>
          <w:color w:val="auto"/>
        </w:rPr>
        <w:t>The increase in Germany’s revenue during the three months ended March 31, 2017, as compared to the corresponding period in 2016,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an organic increase of $34.5 million or 5.6%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 (a)</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 (f)</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5"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revenue from multi-year bulk agreements with landlords or housing associations or with third parties that operate and administer the in-building networks on behalf of housing associations. These bulk agreements, which generally allow for the procurement of the basic video signals at volume-based discounts, provide access to approximately two-thirds of Germany’s video subscribers. Germany’s bulk agreements are, to a significant extent, medium- and long-term contracts. As of March 31, 2017, bulk agreements covering approximately 36% of the video subscribers that Germany serves expire by the end of 2018 or are terminable on 30-days notice. During the three months ended March 31, 2017, Germany’s 20 largest bulk agreement accounts generated approximately 9% of its total revenue (including estimated amounts billed directly to the building occupants for digital video, broadband internet and fixed-line telephony services). No assurance can be given that Germany’s bulk agreements will be renewed or extended on financially equivalent terms, or at all.</w:t>
      </w:r>
    </w:p>
    <w:p>
      <w:pPr>
        <w:spacing w:after="0" w:line="18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increases in the average number of broadband internet, fixed-line telephony and enhanced video RGUs that were only partially offset by a decline in the average number of basic video RGUs.</w:t>
      </w:r>
    </w:p>
    <w:p>
      <w:pPr>
        <w:spacing w:after="0" w:line="17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an improvement in RGU mix and (ii) a net increase due to</w:t>
      </w:r>
    </w:p>
    <w:p>
      <w:pPr>
        <w:spacing w:after="0" w:line="2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ARPU from fixed-line telephony services and (b) higher ARPU from video and broadband internet services.</w:t>
      </w:r>
    </w:p>
    <w:p>
      <w:pPr>
        <w:spacing w:after="0" w:line="20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due to higher revenue from data and voice services.</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fees received for the carriage of certain channels included in Germany’s basic and enhanced video offerings. This channel carriage fee revenue is subject to contracts that expire or are otherwise terminable by either party on various dates ranging from 2017 through 2020. The aggregate amount of revenue related to these channel carriage contracts represented approximately 4% of Germany’s total revenue during the three months ended March 31, 2017. No assurance can be given that these contracts will be renewed or extended on financially equivalent terms, or at all. In June 2017, we plan to discontinue our analog video service in Germany. We estimate that the discontinuance of this service will reduce Germany’s annual channel carriage revenue and operating income by approximately €30.0 million ($32.1 million).</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primarily due to the net effect of (i) an increase of $6.5 million in mobile handset sales, which typically generate relatively low or no margins, associated with the fourth quarter 2016 launch of a wholesale handset program, (ii) an increase in installation revenue and</w:t>
      </w:r>
    </w:p>
    <w:p>
      <w:pPr>
        <w:ind w:left="800" w:hanging="306"/>
        <w:spacing w:after="0"/>
        <w:tabs>
          <w:tab w:leader="none" w:pos="8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interconnect revenue, primarily due to lower fixed-line telephony termination rates.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62" w:right="239" w:bottom="1440" w:gutter="0" w:footer="0" w:header="0"/>
        </w:sectPr>
      </w:pPr>
    </w:p>
    <w:bookmarkStart w:id="64" w:name="page65"/>
    <w:bookmarkEnd w:id="64"/>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Switzerland/Austria. </w:t>
      </w:r>
      <w:r>
        <w:rPr>
          <w:rFonts w:ascii="Times New Roman" w:cs="Times New Roman" w:eastAsia="Times New Roman" w:hAnsi="Times New Roman"/>
          <w:sz w:val="18"/>
          <w:szCs w:val="18"/>
          <w:color w:val="auto"/>
        </w:rPr>
        <w:t>The decrease in Switzerland/Austria’s revenue during the three months ended March 31, 2017, 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2016, includes (i) an organic decrease of $4.8 million or 1.1%, (ii) the impact of acquisitions and (iii)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primarily attributable to the net effect of (i) a decline in the average number of basic video RGUs, (ii) increases in the average number of fixed-line telephony RGUs, broadband internet RGUs in Austria and enhanced video RGUs and (iii) a decrease in the average number of broadband internet RGUs in Switzerland.</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ARPU is attributable to (i) a decrease due to lower ARPU from (a) fixed-line telephony and video services and (b) broadband internet services, as a decline in Switzerland was only partially offset by an increase in Austria, and (ii) an adverse change in RGU mix in Austria.</w:t>
      </w:r>
    </w:p>
    <w:p>
      <w:pPr>
        <w:spacing w:after="0" w:line="17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mobile subscription revenue is due to an increase in the average number of mobile subscribers.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B2B revenue is largely due to the net effect of (i) higher revenue from data services and (ii) lower revenue from fixed-line telephony services.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revenue is largely due to the net effect of (i) a $3.7 million increase in Switzerland due to the release of unclaimed customer credits during the 2017 period and (ii) a decrease in installation revenue in Switzerland.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362" w:right="239" w:bottom="1440" w:gutter="0" w:footer="0" w:header="0"/>
        </w:sectPr>
      </w:pPr>
    </w:p>
    <w:bookmarkStart w:id="65" w:name="page66"/>
    <w:bookmarkEnd w:id="65"/>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Central and Eastern Europe. </w:t>
      </w:r>
      <w:r>
        <w:rPr>
          <w:rFonts w:ascii="Times New Roman" w:cs="Times New Roman" w:eastAsia="Times New Roman" w:hAnsi="Times New Roman"/>
          <w:sz w:val="18"/>
          <w:szCs w:val="18"/>
          <w:color w:val="auto"/>
        </w:rPr>
        <w:t>The increase in Central and Eastern Europe’s revenue during the three months ended March 31, 2017,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2016, includes (i) an organic increase of $13.8 million or 5.2%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8"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primarily attributable to the net effect of (i) increases in the average numbers of broadband internet, fixed-line telephony and enhanced video RGUs in Romania, Hungary, Poland and Slovakia, (ii) a decline in the average number of basic video RGUs in Hungary, Poland, Romania and Slovakia, (iii) increases in the average number of basic video and broadband internet RGUs in the Czech Republic, (iv) declines in the average number of fixed-line telephony and enhanced video RGUs in the Czech Republic and (v) an increase in the average number of DTH RGUs.</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ARPU is attributable to the net effect of (i) higher ARPU from video services, primarily in Poland, Hungary and UPC DTH, (ii) lower ARPU from fixed-line telephony services and (iii) lower ARPU from broadband internet services, primarily in Poland.</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CWC. </w:t>
      </w:r>
      <w:r>
        <w:rPr>
          <w:rFonts w:ascii="Times New Roman" w:cs="Times New Roman" w:eastAsia="Times New Roman" w:hAnsi="Times New Roman"/>
          <w:sz w:val="18"/>
          <w:szCs w:val="18"/>
          <w:color w:val="auto"/>
        </w:rPr>
        <w:t>The increase in CWC’s revenue during the three months ended March 31, 2017, as compared to the corresponding period in 2016, is entirely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attributable to the May 16, 2016 CWC Acquisition. Accordingly, we do not separately discuss the changes in the revenue for the CWC segment. As further discussed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CWC is experiencing significant competition in all of its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362" w:right="239" w:bottom="1440" w:gutter="0" w:footer="0" w:header="0"/>
        </w:sectPr>
      </w:pPr>
    </w:p>
    <w:bookmarkStart w:id="66" w:name="page67"/>
    <w:bookmarkEnd w:id="66"/>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Chile. </w:t>
      </w:r>
      <w:r>
        <w:rPr>
          <w:rFonts w:ascii="Times New Roman" w:cs="Times New Roman" w:eastAsia="Times New Roman" w:hAnsi="Times New Roman"/>
          <w:sz w:val="18"/>
          <w:szCs w:val="18"/>
          <w:color w:val="auto"/>
        </w:rPr>
        <w:t>The increase in Chile’s revenue during the three months ended March 31, 2017, as compared to the corresponding period in 2016, includes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increase of $14.1 million or 7.1% and (ii) the impact of FX,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mobile subscription revenue (c)</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other revenue (d)</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increases in the average number of broadband internet and enhanced video RGUs that were only partially offset by declines in the average number of fixed-line telephony and basic video RGUs.</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ARPU is attributable to (i) higher ARPU from video, broadband internet and fixed-line telephony services and (ii) an improvement in RGU mix. In addition, the increase in cable subscription revenue includes the $1.9 million positive impact of an adjustment recorded during the first quarter of 2016 to reflect the retroactive application of a tariff on ancillary services provided directly to customers for the period from July 2013 through February 2014.</w:t>
      </w:r>
    </w:p>
    <w:p>
      <w:pPr>
        <w:spacing w:after="0" w:line="18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mobile subscription revenue is primarily due to an increase in the average number of mobile subscribers.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revenue is predominantly due to a decrease in advertising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362" w:right="239" w:bottom="1440" w:gutter="0" w:footer="0" w:header="0"/>
        </w:sectPr>
      </w:pPr>
    </w:p>
    <w:bookmarkStart w:id="67" w:name="page68"/>
    <w:bookmarkEnd w:id="67"/>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Puerto Rico. </w:t>
      </w:r>
      <w:r>
        <w:rPr>
          <w:rFonts w:ascii="Times New Roman" w:cs="Times New Roman" w:eastAsia="Times New Roman" w:hAnsi="Times New Roman"/>
          <w:sz w:val="18"/>
          <w:szCs w:val="18"/>
          <w:color w:val="auto"/>
        </w:rPr>
        <w:t>The increase in Puerto Rico’s revenue during the three months ended March 31, 2017, as compared to the corresponding period in 2016,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Non-subscription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cable subscription revenue due to change in: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ARPU (b)</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B2B revenue</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7"/>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cable subscription revenue related to a change in the average number of RGUs is attributable to increases in the average number of fixed-line telephony and broadband internet RGUs that were only partially offset by a decline in the average number of enhanced video RGUs.</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cable subscription revenue related to a change in ARPU is attributable to the net effect of (i) an adverse change in RGU mix and (ii) a net increase due to (a) higher ARPU from broadband internet services and (b) lower ARPU from fixed-line telephony and video services.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Other Direct Costs of Services of our Reportable Segments</w:t>
      </w:r>
    </w:p>
    <w:p>
      <w:pPr>
        <w:spacing w:after="0" w:line="22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Programming and other direct costs of services include programming and copyright costs, mobile access and interconnect costs, mobile handset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equipment cost of goods sold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362" w:right="239" w:bottom="1440" w:gutter="0" w:footer="0" w:header="0"/>
        </w:sectPr>
      </w:pPr>
    </w:p>
    <w:bookmarkStart w:id="68" w:name="page69"/>
    <w:bookmarkEnd w:id="68"/>
    <w:tbl>
      <w:tblPr>
        <w:tblLayout w:type="fixed"/>
        <w:tblInd w:w="12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40" w:type="dxa"/>
            <w:vAlign w:val="bottom"/>
          </w:tcPr>
          <w:p>
            <w:pPr>
              <w:spacing w:after="0"/>
              <w:rPr>
                <w:sz w:val="18"/>
                <w:szCs w:val="18"/>
                <w:color w:val="auto"/>
              </w:rPr>
            </w:pPr>
          </w:p>
        </w:tc>
        <w:tc>
          <w:tcPr>
            <w:tcW w:w="21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r>
      <w:tr>
        <w:trPr>
          <w:trHeight w:val="3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Division:</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Belgium (a)</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Switzerland/Austria</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Netherlands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Central and other</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European Division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LiLAC Division:</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CWC</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4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Chile</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Puerto Rico</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4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0"/>
          <w:szCs w:val="20"/>
          <w:color w:val="auto"/>
        </w:rPr>
      </w:pPr>
    </w:p>
    <w:p>
      <w:pPr>
        <w:ind w:left="50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programming and other direct costs of services of BASE, which was acquired on February 11,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42" w:right="239" w:bottom="1440" w:gutter="0" w:footer="0" w:header="0"/>
        </w:sectPr>
      </w:pPr>
    </w:p>
    <w:bookmarkStart w:id="69" w:name="page70"/>
    <w:bookmarkEnd w:id="69"/>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European Division. </w:t>
      </w:r>
      <w:r>
        <w:rPr>
          <w:rFonts w:ascii="Times New Roman" w:cs="Times New Roman" w:eastAsia="Times New Roman" w:hAnsi="Times New Roman"/>
          <w:sz w:val="18"/>
          <w:szCs w:val="18"/>
          <w:color w:val="auto"/>
        </w:rPr>
        <w:t>The European Division’s programming and other direct costs of services decreased $157.8 million or 16.3%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2017, as compared to the corresponding period in 2016. This decrease includes (i) a decrease of $124.5 million attributable to the net impact of the VodafoneZiggo JV Transaction, (ii) an increase of $31.9 million attributable to the BASE Acquisition and other less significant acquisitions and (iii) a decrease of $3.0 million attributable to the impact of dispositions. Excluding the effects of the VodafoneZiggo JV Transaction, acquisitions, dispositions and FX, the European Division’s programming and other direct costs of services increased $15.3 million or 1.7%. This increase includes the following factors:</w:t>
      </w:r>
    </w:p>
    <w:p>
      <w:pPr>
        <w:spacing w:after="0" w:line="182" w:lineRule="exact"/>
        <w:rPr>
          <w:sz w:val="20"/>
          <w:szCs w:val="20"/>
          <w:color w:val="auto"/>
        </w:rPr>
      </w:pPr>
    </w:p>
    <w:p>
      <w:pPr>
        <w:jc w:val="both"/>
        <w:ind w:left="660" w:hanging="328"/>
        <w:spacing w:after="0" w:line="261" w:lineRule="auto"/>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programming and copyright costs of $36.0 million or 7.8%, primarily due to increases in U.K./Ireland and, to a lesser extent, Belgium and Hungary. These increases are primarily due to (i) higher costs for certain premium and/or basic content, including (a) an increase of $6.4 million associated with a Europe-wide programming contract that was entered into in June 2016 with retroactive impact to January 1, 2016 and (b) higher costs for sports rights in U.K./Ireland, and (ii) growth in the number of enhanced video subscribers in Belgium;</w:t>
      </w:r>
    </w:p>
    <w:p>
      <w:pPr>
        <w:spacing w:after="0" w:line="180"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mobile access and interconnect costs of $11.0 million or 4.5%, primarily due to (i) lower mobile usage in U.K./Ireland and Belgium, (ii) higher MVNO costs, primarily in U.K./Ireland, Switzerland/Austria and Belgium, (iii) lower fixed-line telephony call volumes in U.K./Ireland, Switzerland/Austria and Germany and (iv) a decline resulting from lower interconnect rates, primarily in U.K./Ireland and Germany; and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decrease in mobile handset costs of $9.2 million, primarily due to the net effect of (i) lower mobile handset sales volumes, as decreases in Belgium and U.K./Ireland were only partially offset by an increase in Germany, and (ii) a higher average cost per handset sold in U.K./Ireland. The lower number of handsets sold in Belgium is partially attributable to a reduction in subsidized handset promotions.</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LiLAC Division. </w:t>
      </w:r>
      <w:r>
        <w:rPr>
          <w:rFonts w:ascii="Times New Roman" w:cs="Times New Roman" w:eastAsia="Times New Roman" w:hAnsi="Times New Roman"/>
          <w:sz w:val="18"/>
          <w:szCs w:val="18"/>
          <w:color w:val="auto"/>
        </w:rPr>
        <w:t>The LiLAC Division’s programming and other direct costs of services increased $138.6 million or 165.0%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2017, as compared to the corresponding period in 2016. This increase includes an increase of $133.4 million attributable to the impact of the CWC Acquisition. Excluding the effects of this acquisition and FX, the LiLAC Division’s programming and other direct costs of services increased $1.1 million or 0.5%. This increase includes the following factors:</w:t>
      </w:r>
    </w:p>
    <w:p>
      <w:pPr>
        <w:spacing w:after="0" w:line="18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mobile handset costs of $1.5 million, primarily due to higher mobile handset sales in Chile;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mobile access and interconnect costs of $0.8 million or 4.9%, primarily in Chile, due to the net effect of (i) higher MVNO charges and (ii) a net decline resulting from lower interconnect rates and higher call volumes;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programming and copyright costs of $0.8 million or 1.3%, primarily associated with the net effect of (i) decreased costs for certain premium content, (ii) growth in the number of enhanced video subscribers in Chile, (iii) an increase arising from foreign currency exchange rate fluctuations, after giving effect to derivative instruments that hedge the currency exposure associated with Chile’s U.S. dollar-denominated programming contracts, and (iv) declines in the number of basic video subscribers in Chile. During 2016, CWC began broadcasting live Premier League games in a number of its markets pursuant to a new multi-year agreement. The cost of the rights to broadcast these games, which are excluded from the calculation of organic growth, represents a significant portion of CWC’s programming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362" w:right="239" w:bottom="144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of our Reportable Segments</w:t>
      </w:r>
    </w:p>
    <w:p>
      <w:pPr>
        <w:spacing w:after="0" w:line="22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Other operating expenses include network operations, customer operations, customer care, share-based compensation and other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European Division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other operating expenses excluding share-based</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688.3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8"/>
        <w:spacing w:after="0" w:line="532" w:lineRule="auto"/>
        <w:tabs>
          <w:tab w:leader="none" w:pos="4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other operating expenses of BASE, which was acquired on February 11, 2016. N.M. — Not Meaningful.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60" w:right="239" w:bottom="1440" w:gutter="0" w:footer="0" w:header="0"/>
        </w:sectPr>
      </w:pPr>
    </w:p>
    <w:bookmarkStart w:id="71" w:name="page72"/>
    <w:bookmarkEnd w:id="71"/>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European Division. </w:t>
      </w:r>
      <w:r>
        <w:rPr>
          <w:rFonts w:ascii="Times New Roman" w:cs="Times New Roman" w:eastAsia="Times New Roman" w:hAnsi="Times New Roman"/>
          <w:sz w:val="18"/>
          <w:szCs w:val="18"/>
          <w:color w:val="auto"/>
        </w:rPr>
        <w:t>The European Division’s other operating expenses (exclusive of share-based compensation expense) decreased $97.6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15.7% during the three months ended March 31, 2017, as compared to the corresponding period in 2016. This decrease includes (i) a net decrease of $82.2 million attributable to the impact of the VodafoneZiggo JV Transaction, (ii) an increase of $13.8 million attributable to the impact of the BASE Acquisition and other less significant acquisitions and (iii) a decrease of $0.3 million attributable to the impact of dispositions. Excluding the effects of the VodafoneZiggo JV Transaction, acquisitions, dispositions and FX, the European Division’s other operating expenses increased $12.4 million or 2.2%. This increase includes the following factors:</w:t>
      </w:r>
    </w:p>
    <w:p>
      <w:pPr>
        <w:spacing w:after="0" w:line="185" w:lineRule="exact"/>
        <w:rPr>
          <w:sz w:val="20"/>
          <w:szCs w:val="20"/>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network-related expenses of $15.9 million or 8.9%. This increase is primarily due to the net effect of (i) higher network maintenance costs, primarily in U.K./Ireland and Belgium, (ii) a $5.9 million increase in U.K./Ireland associated with the impact of the settlement of an operational contingency recorded during the first quarter of 2016 and (iii) lower outsourced labor costs primarily associated with customer-facing activities in Germany. For information regarding significantly increased charges for network infrastructure in U.K./Ireland that became effective April 1, 2017, see note 14 to our condensed consolidated financial statements;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costs of $13.8 million or 7.5%, due primarily to the net effect of (i) lower staffing levels, as decreases in U.K./Ireland, the European Division’s central operations, Germany and Switzerland/Austria were only partially offset by an increase in Belgium, (ii) decreased costs in U.K./Ireland resulting from higher proportions of capitalized labor costs associated with the network extension project in the U.K., (iii) annual wage increases and (iv) lower incentive compensation costs, primarily in U.K./Ireland;</w:t>
      </w:r>
    </w:p>
    <w:p>
      <w:pPr>
        <w:spacing w:after="0" w:line="1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outsourced labor and professional fees of $8.4 million or 12.3%, primarily due to higher third-party call center costs in Germany and U.K./Ireland;</w:t>
      </w:r>
    </w:p>
    <w:p>
      <w:pPr>
        <w:spacing w:after="0" w:line="161"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vehicle expenses of $1.4 million or 16.1%, primarily in U.K./Ireland and, to a lesser extent, Switzerland/Austria and Romania. This decrease is due largely to (i) a higher proportion of vehicles accounted for as capital leases, as a result of the conversion of certain operating leases to capital leases, and (ii) fewer vehicles; and</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resulting from individually insignificant changes in other operating expense categories.</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LiLAC Division. </w:t>
      </w:r>
      <w:r>
        <w:rPr>
          <w:rFonts w:ascii="Times New Roman" w:cs="Times New Roman" w:eastAsia="Times New Roman" w:hAnsi="Times New Roman"/>
          <w:sz w:val="18"/>
          <w:szCs w:val="18"/>
          <w:color w:val="auto"/>
        </w:rPr>
        <w:t>The LiLAC Division’s other operating expenses (exclusive of share-based compensation expense) increased $111.5 million or 223.9%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2017, as compared to the corresponding period in 2016. This increase includes an increase of $109.0 million attributable to the impact of the CWC Acquisition. Excluding the effects of this acquisition and FX, the LiLAC Division’s other operating expenses increased $0.2 million or 0.1%. This increase includes the following factors:</w:t>
      </w:r>
    </w:p>
    <w:p>
      <w:pPr>
        <w:spacing w:after="0" w:line="18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outsourced labor and professional fees of $1.4 million or 39.1%, primarily due to higher third-party call center costs in Chile;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costs of $1.3 million or 8.6%, predominantly in Chile, primarily due to (i) lower staffing levels and (ii) lower incentive compensation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362" w:right="239" w:bottom="1440" w:gutter="0" w:footer="0" w:header="0"/>
        </w:sectPr>
      </w:pPr>
    </w:p>
    <w:bookmarkStart w:id="72" w:name="page73"/>
    <w:bookmarkEnd w:id="7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 of our Reportable Segments</w:t>
      </w:r>
    </w:p>
    <w:p>
      <w:pPr>
        <w:spacing w:after="0" w:line="22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SG&amp;A expenses include human resources, information technology, general services, management, finance, legal, external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share-based compensation and other general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millions, except percentages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European Division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4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SG&amp;A expenses excluding share-based compensation</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40" w:firstLine="8"/>
        <w:spacing w:after="0" w:line="532" w:lineRule="auto"/>
        <w:tabs>
          <w:tab w:leader="none" w:pos="48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SG&amp;A expenses of BASE, which was acquired on February 11, 2016. N.M. — Not Meaningful.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60" w:right="239" w:bottom="1440" w:gutter="0" w:footer="0" w:header="0"/>
        </w:sectPr>
      </w:pPr>
    </w:p>
    <w:bookmarkStart w:id="73" w:name="page74"/>
    <w:bookmarkEnd w:id="73"/>
    <w:p>
      <w:pPr>
        <w:ind w:left="180"/>
        <w:spacing w:after="0"/>
        <w:rPr>
          <w:sz w:val="20"/>
          <w:szCs w:val="20"/>
          <w:color w:val="auto"/>
        </w:rPr>
      </w:pPr>
      <w:r>
        <w:rPr>
          <w:rFonts w:ascii="Times New Roman" w:cs="Times New Roman" w:eastAsia="Times New Roman" w:hAnsi="Times New Roman"/>
          <w:sz w:val="18"/>
          <w:szCs w:val="18"/>
          <w:i w:val="1"/>
          <w:iCs w:val="1"/>
          <w:color w:val="auto"/>
        </w:rPr>
        <w:t>Supplemental SG&amp;A expense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20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40" w:type="dxa"/>
            <w:vAlign w:val="bottom"/>
          </w:tcPr>
          <w:p>
            <w:pPr>
              <w:spacing w:after="0"/>
              <w:rPr>
                <w:sz w:val="18"/>
                <w:szCs w:val="18"/>
                <w:color w:val="auto"/>
              </w:rPr>
            </w:pPr>
          </w:p>
        </w:tc>
        <w:tc>
          <w:tcPr>
            <w:tcW w:w="2120" w:type="dxa"/>
            <w:vAlign w:val="bottom"/>
            <w:gridSpan w:val="3"/>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12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12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4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749.1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all personnel-related costs within our SG&amp;A expenses, including personnel-related costs associated with our sales and marketing function.</w:t>
      </w:r>
    </w:p>
    <w:p>
      <w:pPr>
        <w:spacing w:after="0" w:line="16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European Division. </w:t>
      </w:r>
      <w:r>
        <w:rPr>
          <w:rFonts w:ascii="Times New Roman" w:cs="Times New Roman" w:eastAsia="Times New Roman" w:hAnsi="Times New Roman"/>
          <w:sz w:val="18"/>
          <w:szCs w:val="18"/>
          <w:color w:val="auto"/>
        </w:rPr>
        <w:t>The European Division’s SG&amp;A expenses (exclusive of share-based compensation expense) decreased $113.6 million or 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2017, as compared to the corresponding period in 2016. This decrease includes (i) a decrease of $90.2 million attributable to the impact of the VodafoneZiggo JV Transaction, (ii) an increase of $20.8 million attributable to the impact of the BASE Acquisition and other less significant acquisitions and (iii) $0.1 million attributable to the impact of dispositions. Excluding the effects of the VodafoneZiggo JV Transaction, acquisitions, dispositions and FX, the European Division’s SG&amp;A expenses decreased $3.1 million or 0.5%. This decrease includes the following factors:</w:t>
      </w:r>
    </w:p>
    <w:p>
      <w:pPr>
        <w:spacing w:after="0" w:line="182" w:lineRule="exact"/>
        <w:rPr>
          <w:sz w:val="20"/>
          <w:szCs w:val="20"/>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external sales and marketing costs of $6.4 million or 3.4%, primarily due to (i) higher costs associated with advertising campaigns, as an increase in U.K./Ireland was only partially offset by a decrease in Belgium, and (ii) higher third-party sales commissions, primarily in U.K./Ireland and Germany;</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decrease in information technology-related expenses of $5.5 million or 23.7%, primarily due to lower software and other information technology-related maintenance costs in the European Division’s central operations and Belgium; and</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decrease in outsourced labor and professional fees of $4.5 million or 13.5%, primarily due to decreases in (i) consulting costs, primarily in the European Division’s central operations, and (ii) legal costs.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LiLAC Division. </w:t>
      </w:r>
      <w:r>
        <w:rPr>
          <w:rFonts w:ascii="Times New Roman" w:cs="Times New Roman" w:eastAsia="Times New Roman" w:hAnsi="Times New Roman"/>
          <w:sz w:val="18"/>
          <w:szCs w:val="18"/>
          <w:color w:val="auto"/>
        </w:rPr>
        <w:t>The LiLAC Division’s SG&amp;A expenses (exclusive of share-based compensation expense) increased $124.7 million or 265.3%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2017, as compared to the corresponding period in 2016. This increase includes an increase of $118.8 million attributable to the impact of the CWC Acquisition. Excluding the effects of this acquisition and FX, the LiLAC Division’s SG&amp;A expenses increased $3.3 million or 2.0%. This increase includes the following factors:</w:t>
      </w:r>
    </w:p>
    <w:p>
      <w:pPr>
        <w:spacing w:after="0" w:line="18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$1.4 million or 9.4%, primarily due to (i) annual wage increases and (ii) higher severance costs in Chile;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integration costs of $1.3 million incurred during 2017, primarily related to the integration of CWC’s operations with Liberty Global and the LiLAC Division. These costs are excluded from the CWC Acquisition effect and, accordingly, are included in our organic increases.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362" w:right="239" w:bottom="1440" w:gutter="0" w:footer="0" w:header="0"/>
        </w:sectPr>
      </w:pPr>
    </w:p>
    <w:bookmarkStart w:id="74" w:name="page75"/>
    <w:bookmarkEnd w:id="7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OIBDA of our Reportable Segments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Adjusted OIBDA is the primary measure used by our chief operating decision maker to evaluate segment operating performance.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this performance measure and for a reconciliation of total Adjusted OIBDA of our consolidated reportable segments to our loss before income taxes, see note 15 to our condensed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Pr>
          <w:p>
            <w:pPr>
              <w:spacing w:after="0"/>
              <w:rPr>
                <w:sz w:val="18"/>
                <w:szCs w:val="18"/>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00" w:type="dxa"/>
            <w:vAlign w:val="bottom"/>
          </w:tcPr>
          <w:p>
            <w:pPr>
              <w:spacing w:after="0"/>
              <w:rPr>
                <w:sz w:val="18"/>
                <w:szCs w:val="18"/>
                <w:color w:val="auto"/>
              </w:rPr>
            </w:pP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 (a)</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1,584.3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other</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European Division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LiLAC Division</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7"/>
        </w:trPr>
        <w:tc>
          <w:tcPr>
            <w:tcW w:w="3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LiLAC Group</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80" w:firstLine="8"/>
        <w:spacing w:after="0" w:line="532" w:lineRule="auto"/>
        <w:tabs>
          <w:tab w:leader="none" w:pos="4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presented for the 2016 period excludes the pre-acquisition Adjusted OIBDA of BASE, which was acquired on February 11, 2016. N.M. — Not Meaningful.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360" w:right="239" w:bottom="1440" w:gutter="0" w:footer="0" w:header="0"/>
        </w:sectPr>
      </w:pPr>
    </w:p>
    <w:bookmarkStart w:id="75" w:name="page76"/>
    <w:bookmarkEnd w:id="7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OIBDA Margin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Adjusted OIBDA margins (Adjusted OIBDA divided by revenue) of each of our consolidated reportable segments:</w:t>
      </w:r>
    </w:p>
    <w:p>
      <w:pPr>
        <w:spacing w:after="0" w:line="174"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spacing w:after="0" w:line="28"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gridSpan w:val="2"/>
          </w:tcPr>
          <w:p>
            <w:pPr>
              <w:ind w:left="9620"/>
              <w:spacing w:after="0"/>
              <w:rPr>
                <w:sz w:val="20"/>
                <w:szCs w:val="20"/>
                <w:color w:val="auto"/>
              </w:rPr>
            </w:pPr>
            <w:r>
              <w:rPr>
                <w:rFonts w:ascii="Times New Roman" w:cs="Times New Roman" w:eastAsia="Times New Roman" w:hAnsi="Times New Roman"/>
                <w:sz w:val="16"/>
                <w:szCs w:val="16"/>
                <w:b w:val="1"/>
                <w:bCs w:val="1"/>
                <w:color w:val="auto"/>
                <w:w w:val="93"/>
              </w:rPr>
              <w:t>2017</w:t>
            </w:r>
          </w:p>
        </w:tc>
        <w:tc>
          <w:tcPr>
            <w:tcW w:w="320" w:type="dxa"/>
            <w:vAlign w:val="bottom"/>
          </w:tcPr>
          <w:p>
            <w:pPr>
              <w:spacing w:after="0"/>
              <w:rPr>
                <w:sz w:val="18"/>
                <w:szCs w:val="18"/>
                <w:color w:val="auto"/>
              </w:rPr>
            </w:pPr>
          </w:p>
        </w:tc>
        <w:tc>
          <w:tcPr>
            <w:tcW w:w="1160" w:type="dxa"/>
            <w:vAlign w:val="bottom"/>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33"/>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European Division: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U.K./Ireland</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Belgium</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Switzerland/Austria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Netherlands</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7"/>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Western Europe</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49.2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Central and Eastern Europe</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European Division</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47.0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LiLAC Division:</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CWC</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Chile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9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Puerto Rico</w:t>
            </w: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LiLAC Division</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organic changes in the revenue, programming and other direct costs of services, other operating expenses and SG&amp;A expenses of our consolidated reportable segments, the Adjusted OIBDA margins presented above include the impact of (i) acquisitions, the most significant of which are the CWC Acquisition and the BASE Acquisition and (ii) the VodafoneZiggo JV Transaction. In this regard, the Adjusted OIBDA margin of the European Division for the 2017 period was adversely impacted by the contribution of our operations in the Netherlands to the VodafoneZiggo JV and the inclusion of BASE in our Belgium operations for the full period. The Adjusted OIBDA margin of the LiLAC Division for the 2017 period was adversely impacted by the inclusion of CWC. For discussion of the factors contributing to other changes in the Adjusted OIBDA margins of our consolidated reportable segments, see the above analyses of the revenue and expenses of our consolidated reportable segments.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36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and operating (including direct costs of services and other operating costs) and SG&amp;A expenses,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80" w:type="dxa"/>
            <w:vAlign w:val="bottom"/>
          </w:tcPr>
          <w:p>
            <w:pPr>
              <w:spacing w:after="0"/>
              <w:rPr>
                <w:sz w:val="18"/>
                <w:szCs w:val="18"/>
                <w:color w:val="auto"/>
              </w:rPr>
            </w:pPr>
          </w:p>
        </w:tc>
        <w:tc>
          <w:tcPr>
            <w:tcW w:w="2200" w:type="dxa"/>
            <w:vAlign w:val="bottom"/>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 revenue (a):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(b)</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B2B revenue (c)</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 (b) (d)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4,429.9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4,588.0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includes amounts received from subscribers for ongoing services, excluding installation fees and late fees.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80"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$76.4 million and $65.0 million during the three months ended March 31, 2017 and 2016, respectively. Mobile interconnect revenue and revenue from mobile handset sales are included in other revenue. On an organic basis, our total mobile revenue, including mobile interconnect revenue and revenue from mobile handset sales, decreased 3.1% for the three months ended March 31, 2017, as compared to the prior-year period.</w:t>
      </w:r>
    </w:p>
    <w:p>
      <w:pPr>
        <w:spacing w:after="0" w:line="180"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revenue includes revenue from business broadband internet, video, voice, mobile and data services offered to medium to large enterprises and, on a wholesale basis, to other operators. We also provide services to certain SOHO subscribers. SOHO subscribers pay a premium price to receive expanded service levels along with video, broadband internet, fixed-line telephony or mobile services that are the same or similar to the mass marketed products offered to our residential subscribers. Revenue from SOHO subscribers, which is included in subscription revenue, aggregated $114.8 million and $102.7 million during the three months ended March 31, 2017 and 2016, respectively. On an organic basis, our total B2B revenue, including revenue from SOHO subscribers, increased 6.2% for the three months ended March 31, 2017, as compared to the corresponding prior-year period. A portion of the increase in our SOHO revenue is attributable to the conversion of our residential subscribers to SOHO subscribers.</w:t>
      </w:r>
    </w:p>
    <w:p>
      <w:pPr>
        <w:spacing w:after="0" w:line="18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interconnect fees, mobile handset sales, installation fees, channel carriage fees and revenue earned from services provided to the VodafoneZiggo JV.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360" w:right="239" w:bottom="1440" w:gutter="0" w:footer="0" w:header="0"/>
        </w:sectPr>
      </w:pPr>
    </w:p>
    <w:bookmarkStart w:id="77" w:name="page78"/>
    <w:bookmarkEnd w:id="77"/>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decreased $158.1 million during the three months ended March 31, 2017, 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2016. This decrease includes (i) an increase of $660.1 million attributable to the impact of acquisitions, (ii) a decrease of $642.9 million attributable to the net impact of the VodafoneZiggo JV Transaction and (iii) a decrease of $6.2 million attributable to the impact of dispositions. Excluding the effects of acquisitions, the VodafoneZiggo JV Transaction, dispositions and FX, our consolidated revenue increased $97.3 million or 2.1%.</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The details of the changes in our consolidated subscription revenue for the three months ended March 31, 2017,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2016,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 in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RGUs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increase in cable subscription revenue</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mobile subscription revenue</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organic increase in subscription revenue</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acquisitions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the VodafoneZiggo JV Transaction and disposals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FX</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57"/>
        </w:trPr>
        <w:tc>
          <w:tcPr>
            <w:tcW w:w="9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Excluding the effects of the VodafoneZiggo JV Transaction, acquisitions and FX, our consolidated cable subscription revenue increased $89.8 million or 2.9% during the three months ended March 31, 2017, as compared to the corresponding period in 2016. This increase is attributable to the net effect of (i) an increase from broadband internet services of $100.0 million or 8.7% attributable to increases in the average number of broadband internet RGUs and higher ARPU from broadband internet services, (ii) decrease from video services of $17.4 million or 1.3% attributable to the net effect of (a) a decline in the average number of video RGUs and (b) higher ARPU from video services and (iii) an increase from fixed-line telephony services of $7.2 million or 1.1% attributable to the net effect of (1) an increase in the average number of fixed-line telephony RGUs and (2) lower ARPU from fixed-line telephony services.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Excluding the effects of acquisitions, the VodafoneZiggo JV Transaction, a disposition and FX, our consolidated mobile subscription revenue decreased $14.2 million or 2.9% during the three months ended March 31, 2017, as compared to the corresponding period in 2016. This decrease is primarily due to a decline in the U.K., mostly associated with the impact of the U.K. Split-contract Program.</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Excluding the effects the VodafoneZiggo JV Transaction, acquisitions and FX, our consolidated B2B revenue increased $12.1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during the three months ended March 31, 2017, as compared to the corresponding period in 2016. This increase, which excludes the organic growth in our SOHO revenue, is predominantly due to increases in the U.K., Belgium and Germany.</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Excluding the effects of acquisitions, the VodafoneZiggo JV Transaction, dispositions and FX, our consolidated other revenue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 million or 2.5% during the three months ended March 31, 2017, as compared to the corresponding period in 2016. This increase is largely attributable to the net effect of (i) a decrease in interconnect revenue, primarily in the U.K., Belgium and Germany, (ii) an increase of $5.5 million due to the expected recovery of VAT paid in prior periods with respect to copyright costs in Belgium, (iii) an increase in mobile handset sales, primarily due to an increase in Germany that was only partially offset by a decrease in Belgium, (iv) an increase in installation revenue, as increases in the U.K. and Germany were only partially offset by a decrease in Switzerland, and (v) an increase of $3.5 million in Switzerland due to the release of unclaimed customer credits.</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concerning the changes in our subscription, B2B and other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For information regarding the competitive environment in certain of our markets,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362" w:right="239" w:bottom="1440" w:gutter="0" w:footer="0" w:header="0"/>
        </w:sectPr>
      </w:pPr>
    </w:p>
    <w:bookmarkStart w:id="78" w:name="page79"/>
    <w:bookmarkEnd w:id="78"/>
    <w:p>
      <w:pPr>
        <w:ind w:left="180"/>
        <w:spacing w:after="0"/>
        <w:rPr>
          <w:sz w:val="20"/>
          <w:szCs w:val="20"/>
          <w:color w:val="auto"/>
        </w:rPr>
      </w:pPr>
      <w:r>
        <w:rPr>
          <w:rFonts w:ascii="Times New Roman" w:cs="Times New Roman" w:eastAsia="Times New Roman" w:hAnsi="Times New Roman"/>
          <w:sz w:val="18"/>
          <w:szCs w:val="18"/>
          <w:i w:val="1"/>
          <w:iCs w:val="1"/>
          <w:color w:val="auto"/>
        </w:rPr>
        <w:t>Supplemental revenue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for the Liberty Global Group is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80" w:type="dxa"/>
            <w:vAlign w:val="bottom"/>
          </w:tcPr>
          <w:p>
            <w:pPr>
              <w:spacing w:after="0"/>
              <w:rPr>
                <w:sz w:val="18"/>
                <w:szCs w:val="18"/>
                <w:color w:val="auto"/>
              </w:rPr>
            </w:pPr>
          </w:p>
        </w:tc>
        <w:tc>
          <w:tcPr>
            <w:tcW w:w="2200" w:type="dxa"/>
            <w:vAlign w:val="bottom"/>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Mobile (a)</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7"/>
        </w:trPr>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2,874.3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3,614.4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B2B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$64.0 million and $64.1 million during the three months ended March 31, 2017 and 2016, respectively. Mobile interconnect revenue and revenue from mobile handset sales are included in other revenue. On an organic basis, the Liberty Global Group’s total mobile revenue, including mobile interconnect revenue and revenue from mobile handset sales, decreased 5.0% for the three months ended March 31, 2017, as compared to the prior-year period.</w:t>
      </w:r>
    </w:p>
    <w:p>
      <w:pPr>
        <w:spacing w:after="0" w:line="180"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SOHO subscribers, which is included in subscription revenue, aggregated $105.4 million and $97.1 million during the three months ended March 31, 2017 and 2016, respectively. On an organic basis, the Liberty Global Group’s total B2B revenue, including revenue from SOHO subscribers, increased 8.8% for the three months ended March 31, 2017, as compared to the corresponding prior-year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362" w:right="2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color w:val="auto"/>
        </w:rPr>
        <w:t>Our revenue by major category for the LiLAC Group is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3"/>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Cable subscription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Mobile (a)</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B2B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subscription revenue excludes mobile interconnect revenue of $12.4 million and $0.9 million during the three months ended March 31, 2017 and 2016, respectively. Mobile interconnect revenue and revenue from mobile handset sales are included in other revenue. On an organic basis, the LiLAC Group’s total mobile revenue, including mobile interconnect revenue and revenue from mobile handset sales, increased 1.6% for the three months ended March 31, 2017, as compared to the prior-year period.</w:t>
      </w:r>
    </w:p>
    <w:p>
      <w:pPr>
        <w:spacing w:after="0" w:line="180"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SOHO subscribers, which is included in subscription revenue, aggregated $9.4 million and $5.6 million during the three months ended March 31, 2017 and 2016, respectively. On an organic basis, the LiLAC Group’s total B2B revenue, including revenue from SOHO subscribers, increased 1.9% for the three months ended March 31, 2017, as compared to the corresponding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programming and other direct costs of services decreased $22.4 million during the three months ended March 31, 2017, as compared to the corresponding period in 2016. This decrease includes (i) an increase of $165.3 million attributable to the impact of the CWC Acquisition, the BASE Acquisition, and other less significant acquisitions, (ii) a decrease of $127.0 million attributable to the net impact of the VodafoneZiggo JV Transaction and</w:t>
      </w:r>
    </w:p>
    <w:p>
      <w:pPr>
        <w:spacing w:after="0" w:line="2" w:lineRule="exact"/>
        <w:rPr>
          <w:sz w:val="20"/>
          <w:szCs w:val="20"/>
          <w:color w:val="auto"/>
        </w:rPr>
      </w:pPr>
    </w:p>
    <w:p>
      <w:pPr>
        <w:jc w:val="both"/>
        <w:ind w:firstLine="8"/>
        <w:spacing w:after="0" w:line="252" w:lineRule="auto"/>
        <w:tabs>
          <w:tab w:leader="none" w:pos="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$3.0 million attributable to the impact of dispositions. Excluding the effects of acquisitions, the VodafoneZiggo JV Transaction, dispositions and FX, our programming and other direct costs of services increased $15.8 million or 1.4% during the three months ended March 31, 2017, as compared to the corresponding period in 2016. This increase is primarily attributable to the net effect of (a) an increase in programming and copyright costs, (b) a decrease in mobile access and interconnect costs and (c) a decrease in mobile handset costs. For additional information regarding the changes in our programming and other direct costs of services, see </w:t>
      </w:r>
      <w:r>
        <w:rPr>
          <w:rFonts w:ascii="Times New Roman" w:cs="Times New Roman" w:eastAsia="Times New Roman" w:hAnsi="Times New Roman"/>
          <w:sz w:val="18"/>
          <w:szCs w:val="18"/>
          <w:i w:val="1"/>
          <w:iCs w:val="1"/>
          <w:color w:val="auto"/>
        </w:rPr>
        <w:t>Discussion and Analysis of our Reportable Segments — Programming and Other Direct Costs of Services of our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above.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other operating expenses increased $17.6 million during the three months ended March 31, 2017, as compared to the corresponding period in 2016. This increase includes (i) an increase of $122.8 million attributable to the CWC Acquisition, the BASE Acquisition and other less significant acquisitions, (ii) a decrease of $82.1 million attributable to the net impact of the VodafoneZiggo JV Transaction and (iii) a decrease of $0.3 million attributable to the impact of dispositions. Our other operating expenses include share-based compensation, which increased $0.7 million during the three months ended March 31, 2017. For additional information, see the discussion under </w:t>
      </w:r>
      <w:r>
        <w:rPr>
          <w:rFonts w:ascii="Times New Roman" w:cs="Times New Roman" w:eastAsia="Times New Roman" w:hAnsi="Times New Roman"/>
          <w:sz w:val="18"/>
          <w:szCs w:val="18"/>
          <w:i w:val="1"/>
          <w:iCs w:val="1"/>
          <w:color w:val="auto"/>
        </w:rPr>
        <w:t>Share-based compensation expense</w:t>
      </w:r>
      <w:r>
        <w:rPr>
          <w:rFonts w:ascii="Times New Roman" w:cs="Times New Roman" w:eastAsia="Times New Roman" w:hAnsi="Times New Roman"/>
          <w:sz w:val="18"/>
          <w:szCs w:val="18"/>
          <w:color w:val="auto"/>
        </w:rPr>
        <w:t xml:space="preserve"> below. Excluding the effects of acquisitions, the VodafoneZiggo JV Transaction, dispositions, FX and share-based compensation expense, our other operating expenses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364" w:right="2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increased $15.5 million or 2.2% during the three months ended March 31, 2017, as compared to the corresponding period in 2016. This increase is primarily attributable to the net effect of (a) an increase in network-related expenses, (b) a decrease in personnel costs and (c) an increase in outsourced labor and professional fees. For additional information regarding the changes in our other operating expenses,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 Other Operating Expenses of our Reportable Segments </w:t>
      </w:r>
      <w:r>
        <w:rPr>
          <w:rFonts w:ascii="Times New Roman" w:cs="Times New Roman" w:eastAsia="Times New Roman" w:hAnsi="Times New Roman"/>
          <w:sz w:val="18"/>
          <w:szCs w:val="18"/>
          <w:color w:val="auto"/>
        </w:rPr>
        <w:t>above.</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SG&amp;A expenses decreased $26.4 million during the three months ended March 31, 2017, as compared to the corresponding period in 2016. This decrease includes (i) an increase of $139.6 million attributable to the impact of the CWC Acquisition, the BASE Acquisition and other less significant acquisitions, (ii) a decrease of $91.2 million attributable to the impact of the VodafoneZiggo JV Transaction and (iii) a decrease of $0.1 million attributable to the impact of dispositions. Our SG&amp;A expenses include share-based compensation expense, which increased $30.7 million during the three months ended March 31, 2017. For additional information, see the discussion under </w:t>
      </w:r>
      <w:r>
        <w:rPr>
          <w:rFonts w:ascii="Times New Roman" w:cs="Times New Roman" w:eastAsia="Times New Roman" w:hAnsi="Times New Roman"/>
          <w:sz w:val="18"/>
          <w:szCs w:val="18"/>
          <w:i w:val="1"/>
          <w:iCs w:val="1"/>
          <w:color w:val="auto"/>
        </w:rPr>
        <w:t>Share-based compensation expense</w:t>
      </w:r>
      <w:r>
        <w:rPr>
          <w:rFonts w:ascii="Times New Roman" w:cs="Times New Roman" w:eastAsia="Times New Roman" w:hAnsi="Times New Roman"/>
          <w:sz w:val="18"/>
          <w:szCs w:val="18"/>
          <w:color w:val="auto"/>
        </w:rPr>
        <w:t xml:space="preserve"> below. Excluding the effects of acquisitions, the VodafoneZiggo JV Transaction, dispositions, FX and share-based compensation expense, our SG&amp;A expenses decreased $3.7 million or 0.5% during the three months ended March 31, 2017, as compared to the corresponding period in 2016. This decrease is primarily attributable to the net effect of (i) a decrease in outsourced labor and professional fees, (ii) an increase in personnel costs, (iii) an increase in external sales and marketing costs and (iv) a decrease in information technology-related expenses. Certain of these changes include (a) an aggregate decrease in integration-related costs in Belgium of $3.8 million and (b) an aggregate increase in costs related to the integration of CWC of $1.4 million, most of which were incurred by CWC. For additional information regarding the changes in our SG&amp;A expenses, see </w:t>
      </w:r>
      <w:r>
        <w:rPr>
          <w:rFonts w:ascii="Times New Roman" w:cs="Times New Roman" w:eastAsia="Times New Roman" w:hAnsi="Times New Roman"/>
          <w:sz w:val="18"/>
          <w:szCs w:val="18"/>
          <w:i w:val="1"/>
          <w:iCs w:val="1"/>
          <w:color w:val="auto"/>
        </w:rPr>
        <w:t>Discussion and Analysis of our Reportable Segments — SG&amp;A Expenses of our Reportable Segments</w:t>
      </w:r>
      <w:r>
        <w:rPr>
          <w:rFonts w:ascii="Times New Roman" w:cs="Times New Roman" w:eastAsia="Times New Roman" w:hAnsi="Times New Roman"/>
          <w:sz w:val="18"/>
          <w:szCs w:val="18"/>
          <w:color w:val="auto"/>
        </w:rPr>
        <w:t xml:space="preserve"> above</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 (included in other operating and SG&amp;A expenses)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0"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 March</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Liberty Global:</w:t>
            </w:r>
          </w:p>
        </w:tc>
        <w:tc>
          <w:tcPr>
            <w:tcW w:w="4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incentive awards (a)</w:t>
            </w:r>
          </w:p>
        </w:tc>
        <w:tc>
          <w:tcPr>
            <w:tcW w:w="5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share-based incentive awards</w:t>
            </w:r>
          </w:p>
        </w:tc>
        <w:tc>
          <w:tcPr>
            <w:tcW w:w="4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Liberty Global</w:t>
            </w:r>
          </w:p>
        </w:tc>
        <w:tc>
          <w:tcPr>
            <w:tcW w:w="4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Telenet share-based incentive awards</w:t>
            </w:r>
          </w:p>
        </w:tc>
        <w:tc>
          <w:tcPr>
            <w:tcW w:w="4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Included in:</w:t>
            </w: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vMerge w:val="continue"/>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w:t>
            </w:r>
          </w:p>
        </w:tc>
        <w:tc>
          <w:tcPr>
            <w:tcW w:w="4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5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4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4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operating expense</w:t>
            </w:r>
          </w:p>
        </w:tc>
        <w:tc>
          <w:tcPr>
            <w:tcW w:w="4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SG&amp;A expense:</w:t>
            </w:r>
          </w:p>
        </w:tc>
        <w:tc>
          <w:tcPr>
            <w:tcW w:w="4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Liberty Global Group</w:t>
            </w:r>
          </w:p>
        </w:tc>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LiLAC Group</w:t>
            </w:r>
          </w:p>
        </w:tc>
        <w:tc>
          <w:tcPr>
            <w:tcW w:w="4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4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SG&amp;A expense</w:t>
            </w:r>
          </w:p>
        </w:tc>
        <w:tc>
          <w:tcPr>
            <w:tcW w:w="49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related to (i) PSUs, (ii) for the 2016 period, the Challenge Performance Awards and (iii) PGUs. The decrease is due to a significant number of performance awards becoming fully vested during 2016 and a change in the expected achievement level for one of our performance-based incentive plans.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see note 11 to our condensed consolidated financial statements.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depreciation and amortization expense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8"/>
                <w:szCs w:val="18"/>
                <w:color w:val="auto"/>
              </w:rPr>
            </w:pP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270.7</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Excluding the effects of FX, depreciation and amortization expense decreased $15.4 million or 1.1% during the three months ended March 31, 2017, as compared to the corresponding period in 2016. This decrease is primarily due to the net effect of (i) a decrease associated with the VodafoneZiggo JV Transaction, (ii) an increase associated with property and equipment additions related to the installation of customer premises equipment, the expansion and upgrade of our networks and other capital initiatives, (iii) an increase associated with acquisitions, primarily as a result of the CWC Acquisition and BASE Acquisition, and (iv) a decrease associated with certain assets becoming fully depreciated, primarily in the European Division’s central operations, U.K./Ireland, Belgium and, to a lesser extent, Germany, Switzerland/Austria and Chile.</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impairment, restructuring and other operating items, net, are as follows:</w:t>
      </w:r>
    </w:p>
    <w:p>
      <w:pPr>
        <w:spacing w:after="0" w:line="174"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3"/>
              </w:rPr>
              <w:t>2016</w:t>
            </w: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for the 2017 period includes restructuring charges of $25.7 million, including $23.0 million of employee severance and termination costs related to certain reorganization activities, primarily in CWC, Germany and the European Division’s central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for the 2016 period includes (i) restructuring charges of $17.8 million, including $15.7 million of employee severance and termination costs related to certain reorganization activities, primarily in the European Division’s central operations, U.K./Ireland and the Netherlands, and (ii) direct acquisition costs of $14.1 million, primarily related to the CWC Acquisition, the VodafoneZiggo JV Transaction and the BASE Acquisition.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the CWC Acquisition and BASE Acquisition, see note 3 to our condensed consolidated financial statements. For information regarding the VodafoneZiggo JV,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364" w:right="2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restructuring charges, see note 12 to our condensed consolidated financial statements.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results of our October 1, 2016 goodwill impairment test, a hypothetical decline of 20% or more in the fair value of any of CWC’s reporting units could result in the need to record a goodwill impairment charge. If, among other factors, (i) the equity values of the LiLAC Group were to remain depressed or decline further or (ii) the adverse impacts of economic, competitive, regulatory or other factors were to cause CWC’s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interest expense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Pr>
          <w:p>
            <w:pPr>
              <w:spacing w:after="0"/>
              <w:rPr>
                <w:sz w:val="18"/>
                <w:szCs w:val="18"/>
                <w:color w:val="auto"/>
              </w:rPr>
            </w:pP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74.3</w:t>
            </w: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Excluding the effects of FX, interest expense decreased $88.9 million or 14.3% during the three months ended March 31, 2017, as compared to the corresponding period in 2016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decrease is primarily attributable to (i) a lower average outstanding debt balance, largely due to the VodafoneZiggo JV Transaction, which was partially offset by debt incurred in connection with the CWC Acquisition, and (ii) a lower weighted average interest rate related to the completion of certain refinancing transactions that resulted in extended maturities and decreases to certain of our interest rates. For additional information regarding our outstanding indebtedness, see note 8 to our condensed consolidated financial statements.</w:t>
      </w:r>
    </w:p>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5 to our condensed consolidated financial statements and under </w:t>
      </w:r>
      <w:r>
        <w:rPr>
          <w:rFonts w:ascii="Times New Roman" w:cs="Times New Roman" w:eastAsia="Times New Roman" w:hAnsi="Times New Roman"/>
          <w:sz w:val="18"/>
          <w:szCs w:val="18"/>
          <w:i w:val="1"/>
          <w:iCs w:val="1"/>
          <w:color w:val="auto"/>
        </w:rPr>
        <w:t xml:space="preserve">Qualitative and Quantitative Disclosures about Market Risk </w:t>
      </w:r>
      <w:r>
        <w:rPr>
          <w:rFonts w:ascii="Times New Roman" w:cs="Times New Roman" w:eastAsia="Times New Roman" w:hAnsi="Times New Roman"/>
          <w:sz w:val="18"/>
          <w:szCs w:val="18"/>
          <w:color w:val="auto"/>
        </w:rPr>
        <w:t>below, we use derivative instruments to manage our interest rate risks.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364" w:right="2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losses on derivative instruments, net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losses on derivative instruments, net, are as follows:</w:t>
      </w:r>
    </w:p>
    <w:p>
      <w:pPr>
        <w:spacing w:after="0" w:line="125"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cross-currency and interest rate derivative contracts (a)</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Equity-related derivative instruments – Liberty Global Group:</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ITV Collar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Sumitomo Collar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Lionsgate Forward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equity-related derivative instruments (b)</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foreign currency forward contracts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 Liberty Global Group</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7"/>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4"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during the 2017 period is primarily attributable to the net effect of (i) losses associated with increases in the values of the euro and British pound sterling relative to the U.S. dollar, (ii) gains associated with increases in the market interest rates in the euro market, (iii) losses associated with an increase in market interest rates in the U.S. dollar market and (iv) losses associated with an increase in the value of the Polish zloty relative to the euro. In addition, the loss during the 2017 period includes a net gain of $73.1 million, resulting from changes in our credit risk valuation adjustments. The loss during the 2016 period is primarily attributable to the net effect of (a) losses associated with increases in the values of the euro, Chilean peso and Swiss franc relative to the U.S. dollar, (b) losses associated with decreases in market interest rates in the euro and British pound sterling markets,</w:t>
      </w:r>
    </w:p>
    <w:p>
      <w:pPr>
        <w:jc w:val="both"/>
        <w:ind w:left="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gains associated with decreases in market interest rates in the U.S. dollar market and (d) gains associated with a decrease in the value of the British pound sterling relative to the U.S. dollar. In addition, the loss during the 2016 period includes a net gain of $21.4 million, resulting from changes in our credit risk valuation adjustments.</w:t>
      </w:r>
    </w:p>
    <w:p>
      <w:pPr>
        <w:spacing w:after="0" w:line="186"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concerning the factors that impact the valuations of our equity-related derivative instruments, see note 6 to our condensed consolidated financial statements.</w:t>
      </w:r>
    </w:p>
    <w:p>
      <w:pPr>
        <w:spacing w:after="0" w:line="16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derivative instruments, see notes 5 and 6 to our condensed consolidated financial statements and </w:t>
      </w:r>
      <w:r>
        <w:rPr>
          <w:rFonts w:ascii="Times New Roman" w:cs="Times New Roman" w:eastAsia="Times New Roman" w:hAnsi="Times New Roman"/>
          <w:sz w:val="18"/>
          <w:szCs w:val="18"/>
          <w:i w:val="1"/>
          <w:iCs w:val="1"/>
          <w:color w:val="auto"/>
        </w:rPr>
        <w:t>Quantitative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Qualitative Disclosures about Market Risk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362" w:right="23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12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33020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dollar-denominated debt issued by euro functional currency entities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dollar-denominated debt issued by British pound sterling functional currency entities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 currency</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Yen-denominated debt issued by a U.S. dollar functional currency entity</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 sterling-denominated debt issued by a U.S. dollar functional currency entity</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payables and receivables denominated in a currency other than the entity’s functional currency (a)</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Euro-denominated debt issued by British pound sterling functional currency entities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Liberty Global Group</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dollar-denominated debt issued by a Chilean peso functional currency entity</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British pound sterling-denominated debt issued by a U.S. dollar functional currency entity</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LiLAC Group</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82"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362" w:right="239" w:bottom="1440" w:gutter="0" w:footer="0" w:header="0"/>
        </w:sectPr>
      </w:pPr>
    </w:p>
    <w:bookmarkStart w:id="85" w:name="page86"/>
    <w:bookmarkEnd w:id="85"/>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due to changes in fair values of certain investments and debt, net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4, 6 and 8, respectively, to our condensed consolidated financial statements. All of our investments and debt that we account for using the fair value method are attributed to the Liberty Global Group. The details of our realized and unrealized gains (losses) due to changes in fair values of certain investments and debt, net, are as follows:</w:t>
      </w:r>
    </w:p>
    <w:p>
      <w:pPr>
        <w:spacing w:after="0" w:line="132"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Sumitomo</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Lionsgate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Losses on debt modification and extinguishment, net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recognized losses on debt modification and extinguishment, net, of $45.3 million and $4.3 million during the three months ended March 31, 2017 and 2016, respectively, with each amount attributed to the Liberty Global Group. The loss during the 2017 period is attributable to the net effect of (i) the payment of $32.6 million of redemption premium, (ii) the write-off of $14.2 million of deferred financing costs, (iii) the write-off of $2.8 million of net unamortized premiums and (iv) the payment of $1.3 million of third-party costs. The loss during the 2016 period is attributable to (a) the payment of $3.4 million of redemption premium and (b) the write-off of $0.9 million of deferred financing costs.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losses on debt modification and extinguishment, net, see note 8 to our condensed consolidated financial statements.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 of losses of affiliates,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losses of affiliates, net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VodafoneZiggo JV (a)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7"/>
        </w:trPr>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9160" w:type="dxa"/>
            <w:vAlign w:val="bottom"/>
            <w:vMerge w:val="restart"/>
          </w:tcPr>
          <w:p>
            <w:pPr>
              <w:jc w:val="right"/>
              <w:ind w:right="771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58"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 During the three months ended March 31, 2017, the VodafoneZiggo JV generated revenue of $1,083.8 million, Adjusted OIBDA of $459.5 million, operating income of $56.7 million, net non-operating expenses of $100.3 million (including $153.4 million of interest expense) and a net loss of</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362" w:right="239" w:bottom="1440" w:gutter="0" w:footer="0" w:header="0"/>
        </w:sectPr>
      </w:pPr>
    </w:p>
    <w:bookmarkStart w:id="86" w:name="page87"/>
    <w:bookmarkEnd w:id="86"/>
    <w:p>
      <w:pPr>
        <w:jc w:val="both"/>
        <w:ind w:left="500"/>
        <w:spacing w:after="0" w:line="313" w:lineRule="auto"/>
        <w:rPr>
          <w:sz w:val="20"/>
          <w:szCs w:val="20"/>
          <w:color w:val="auto"/>
        </w:rPr>
      </w:pPr>
      <w:r>
        <w:rPr>
          <w:rFonts w:ascii="Times New Roman" w:cs="Times New Roman" w:eastAsia="Times New Roman" w:hAnsi="Times New Roman"/>
          <w:sz w:val="18"/>
          <w:szCs w:val="18"/>
          <w:color w:val="auto"/>
        </w:rPr>
        <w:t>$30.6 million. The VodafoneZiggo JV’s operating income includes depreciation and amortization of $399.7 million, which is based on the preliminary fair value accounting applied to the net assets of the VodafoneZiggo JV. The VodafoneZiggo JV is experiencing significant competition, particularly with respect to its mobile services.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other income, net, are as follows: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81.2</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amounts for the 2017 and 2016 periods include interest and dividend income of $13.6 million and $13.4 million, respectively. In addition, the amount for the 2016 period includes income of $69.8 million, representing our share of the settlement of certain litigation.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income tax benefit (expense) are as follows:</w:t>
      </w:r>
    </w:p>
    <w:p>
      <w:pPr>
        <w:spacing w:after="0" w:line="17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expense during the three months ended March 31, 2017 differs from the expected income tax benefit of $23.2 million (based on the blended U.K. statutory income tax rate of 19.25%) primarily due to the net negative impact of (i) an increase in valuation allowances, (ii) non-deductible or non-taxable foreign currency exchange results and (iii) certain permanent differences between the financial and tax accounting treatment of interest and other items.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tax benefit during the three months ended March 31, 2016 differs from the expected income tax benefit of $84.3 million (based on the U.K. statutory income tax rate of 20.0%) primarily due to the net negative impact of an increase in valuation allowances. The net negative impact of this item was partially offset by the net positive impact of (i) the tax effect of intercompany financing and (ii) statutory tax rates in certain jurisdictions in which we operate that are different than the U.K. statutory income tax rate.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9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391" w:right="239" w:bottom="1440" w:gutter="0" w:footer="0" w:header="0"/>
        </w:sectPr>
      </w:pPr>
    </w:p>
    <w:bookmarkStart w:id="87" w:name="page88"/>
    <w:bookmarkEnd w:id="87"/>
    <w:p>
      <w:pPr>
        <w:ind w:left="18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are as follows:</w:t>
      </w:r>
    </w:p>
    <w:p>
      <w:pPr>
        <w:spacing w:after="0" w:line="174"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9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loss for the three months ended March 31, 2017 and 2016 consists of (i) operating income of $569.2 million and $586.6 million, respectively, (ii) net non-operating expense of $689.6 million and $1,008.2 million, respectively, and (iii) income tax benefit (expense) of ($146.8 million) and $48.9 million, respectively.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8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Capitalization </w:t>
      </w:r>
      <w:r>
        <w:rPr>
          <w:rFonts w:ascii="Times New Roman" w:cs="Times New Roman" w:eastAsia="Times New Roman" w:hAnsi="Times New Roman"/>
          <w:sz w:val="18"/>
          <w:szCs w:val="18"/>
          <w:color w:val="auto"/>
        </w:rPr>
        <w:t>below, we expect that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condensed consolidated statements of operations, see the discussion under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loss (earnings) attributable to noncontrolling interests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loss (earnings) attributable to noncontrolling interests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loss (earnings) attributable to noncontrolling interests during the three months ended March 31, 2017, as compared to the corresponding period in 2016, is primarily attributable to the results of operations of (i) Telenet and (ii) CWC following the CWC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362"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Each of our significant operating subsidiaries is included within one of our seven primary subsidiary “borrowing groups.” These borrowing groups include the respective restricted parent and subsidiary entities within Virgin Media, Unitymedia, UPC Holding, Telenet, CWC, VTR Finance and Liberty Puerto Rico. Our borrowing groups, which typically generate cash from operating activities, accounted for a significant portion of our consolidated cash and cash equivalents at March 31, 2017.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foreign currency exchange restrictions with respect to certain CWC subsidiaries and other factors.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at March 31, 2017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Global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Liberty Global Group (b) (c)</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1,887.4</w:t>
            </w:r>
          </w:p>
        </w:tc>
      </w:tr>
      <w:tr>
        <w:trPr>
          <w:trHeight w:val="243"/>
        </w:trPr>
        <w:tc>
          <w:tcPr>
            <w:tcW w:w="10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LiLAC Group (d)</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2,049.1</w:t>
            </w:r>
          </w:p>
        </w:tc>
      </w:tr>
      <w:tr>
        <w:trPr>
          <w:trHeight w:val="223"/>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 groups (e):</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10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CWC (f)</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VTR Finance</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Telenet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Virgin Media (c)</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Liberty Puerto Rico</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r>
      <w:tr>
        <w:trPr>
          <w:trHeight w:val="243"/>
        </w:trPr>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UPC Holding</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Unitymedia</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10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borrowing groups</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587.6</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10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2,109.6</w:t>
            </w:r>
          </w:p>
        </w:tc>
      </w:tr>
      <w:tr>
        <w:trPr>
          <w:trHeight w:val="243"/>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527.1</w:t>
            </w:r>
          </w:p>
        </w:tc>
      </w:tr>
      <w:tr>
        <w:trPr>
          <w:trHeight w:val="27"/>
        </w:trPr>
        <w:tc>
          <w:tcPr>
            <w:tcW w:w="10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07" w:lineRule="exact"/>
        <w:rPr>
          <w:sz w:val="20"/>
          <w:szCs w:val="20"/>
          <w:color w:val="auto"/>
        </w:rPr>
      </w:pPr>
    </w:p>
    <w:p>
      <w:pPr>
        <w:ind w:left="500" w:hanging="492"/>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 which is attributed to the Liberty Global Group.</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attributed to the Liberty Global Group that are outside of our borrowing groups.</w:t>
      </w:r>
    </w:p>
    <w:p>
      <w:pPr>
        <w:spacing w:after="0" w:line="22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Virgin Media borrowing group includes certain subsidiaries of Virgin Media, but excludes Virgin Media. The $0.3 million of cash and cash equivalents held by Virgin Media is included in the amount shown for the Liberty Global Group’s unrestricted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360" w:right="239" w:bottom="1440" w:gutter="0" w:footer="0" w:header="0"/>
        </w:sectPr>
      </w:pPr>
    </w:p>
    <w:bookmarkStart w:id="89" w:name="page90"/>
    <w:bookmarkEnd w:id="89"/>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attributed to the LiLAC Group that are outside of our borrowing groups.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represents the aggregate amounts held by the parent entity and restricted subsidiaries of our borrowing groups.</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CWC's subsidiaries hold the majority of CWC's consolidated cash. The ability of certain of these subsidiaries to loan or distribute their cash to CWC is limited by foreign exchange restrictions, the existence of noncontrolling interests, tax considerations and restrictions contained within the debt agreements of certain CWC subsidiaries. As a result, a significant portion of the cash held by CWC subsidiaries is not considered to be an immediate source of corporate liquidity for CWC.</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$67.9 million of cash and cash equivalents held by Liberty Global and, subject to certain tax and legal considerations, the $1,981.2 million of aggregate cash and cash equivalents held by the unrestricted subsidiaries attributed to the Liberty Global Group and the LiLAC Group, represented available liquidity at the corporate level at March 31, 2017. Our remaining cash and cash equivalents of $587.6 million at March 31, 2017 were held by our borrowing groups as set forth in the table above. As noted above, various factors may limit our ability to access the cash of our borrowing groups. For information regarding certain limitations imposed by our subsidiaries’ debt instruments at March 31, 2017, see note 8 to our condensed consolidated financial statements.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sources of corporate liquidity include (i) cash and cash equivalents held by Liberty Global and, subject to certain tax and legal considerations, Liberty Global’s unrestricted subsidiaries, and (ii) interest and dividend income received on our and, subject to certain tax and legal considerations, our unrestricted subsidiaries’ cash and cash equivalents and investments. In addition, our parent entity’s short-term liquidity is supplemented by interest payments that it receives on a note receivable from one of our unrestricted subsidiaries (outstanding principal of $9.6 billion at March 31, 2017, all outstanding principal due in 2021).</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On January 4, 2017, in connection with the completion of the VodafoneZiggo JV Transaction, our company received cash of €2.2 billion ($2.4 billion at transaction date). For additional information, see note 4 to our consolidated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2017, our consolidated cash and cash equivalents balance includes $2,515.7 million that is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 The U.S. dollar has significantly strengthened against the British pound sterling during the period following Brexit.</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corporate liquidity requirements include (i) corporate general and administrative expenses, (ii) interest payments on the Sumitomo Collar Loan and the Sumitomo Share Loan and (iii) principal payments on our secured borrowing arrangement with respect to our ITV shares (the </w:t>
      </w:r>
      <w:r>
        <w:rPr>
          <w:rFonts w:ascii="Times New Roman" w:cs="Times New Roman" w:eastAsia="Times New Roman" w:hAnsi="Times New Roman"/>
          <w:sz w:val="18"/>
          <w:szCs w:val="18"/>
          <w:b w:val="1"/>
          <w:bCs w:val="1"/>
          <w:color w:val="auto"/>
        </w:rPr>
        <w:t>ITV Collar Loan</w:t>
      </w:r>
      <w:r>
        <w:rPr>
          <w:rFonts w:ascii="Times New Roman" w:cs="Times New Roman" w:eastAsia="Times New Roman" w:hAnsi="Times New Roman"/>
          <w:sz w:val="18"/>
          <w:szCs w:val="18"/>
          <w:color w:val="auto"/>
        </w:rPr>
        <w:t xml:space="preserve">), the Sumitomo Collar Loan, the Sumitomo Share Loan and our secured borrowing arrangement with respect to 2.5 million of our Lionsgate shares (the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the extent not settled through the delivery of the underlying shares. In addition, Liberty Global and its unrestricted subsidiaries may require cash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 the repayment of third-party and intercompany debt, (b) the satisfaction of contingent liabilities, (c) acquisitions, (d)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364" w:right="2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the repurchase of equity and debt securities, (e) other investment opportunities or (f) income tax payments. In addition, our parent entity uses available liquidity to make interest and principal payments on notes payable to certain of our unrestricted subsidiaries (aggregate outstanding principal of $6,853.9 million at March 31, 2017 and no stated maturity). For information regarding our commitments and contingencies, see note 14 to our condensed consolidated financial statements.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we repurchased Liberty Global Shares and LiLAC Shares for an aggregate purchase price of $1,001.2 million and $18.9 million, respectively, including direct acquisition costs. At March 31, 2017, the remaining amount authorized for share repurchases of Liberty Global Shares and LiLAC Shares was $1,947.8 million and $259.8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such entities at March 31, 2017, see note 8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14 to our condensed consolidated 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below.</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Sumitomo Collar Loan, Sumitomo Share Loan and Lionsgate Loan and measured using subsidiary debt figures at swapped foreign currency exchange rates, consistent with the covenant calculation requirements of our subsidiary debt agreements) that is between four and five times our consolidated Adjusted OIBDA, although it should be noted that the timing of our acquisitions and financing transactions and the interplay of average and spot foreign currency rates may impact this ratio. The ratio of our March 31, 2017 consolidated debt to our annualized consolidated Adjusted OIBDA for the quarter ended March 31, 2017 was 5.1x. In addition, the ratio of our March 31, 2017 consolidated net debt (debt, as defined above, less cash and cash equivalents) to our annualized consolidated Adjusted OIBDA for the quarter ended March 31, 2017 was 4.8x.</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it is cost effective, we generally seek to match the denomination of the borrowings of our subsidiaries with the functional currency of the operations that support the respective borrowings. As further discussed in note 5 to our condensed consolidated financial statements, we also use derivative instruments to mitigate foreign currency and interest rate risk associated with our debt instruments.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leverage covenants contained in the various debt instruments of our borrowing groups. For example, if the Adjusted OIBDA of UPC Broadband Holding were to decline, we could be required to partially repay or limit our borrowings under the UPC Broadband Holding Bank Facility in order to maintain compliance with applicable covenants. No assurance can be given that we would have sufficient sources of liquidity, or that any external funding would be available on favorable terms, or at all, to fund any such required repayment. At March 31, 2017,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364" w:right="239" w:bottom="1440" w:gutter="0" w:footer="0" w:header="0"/>
        </w:sectPr>
      </w:pPr>
    </w:p>
    <w:bookmarkStart w:id="91" w:name="page92"/>
    <w:bookmarkEnd w:id="9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2017, the outstanding principal amount of our consolidated debt, together with our capital lease obligations, aggregated $44.6 billion, including $2,971.8 million that is classified as current in our condensed consolidated balance sheet and $39.3 billion that is not due until 2021 or thereafter. All of our consolidated debt and capital lease obligations have been borrowed or incurred by our subsidiaries at March 31, 2017. For additional information concerning our debt maturities, see note 8 to our condensed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our negative working capital position at March 31, 2017,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debt and capital lease obligations, see note 8 to our condensed consolidated financial statements.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condensed consolidated statements of cash flows for the three months ended March 31, 2017 and 2016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5"/>
          </w:tcPr>
          <w:p>
            <w:pPr>
              <w:jc w:val="center"/>
              <w:ind w:left="75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20" w:type="dxa"/>
            <w:vAlign w:val="bottom"/>
          </w:tcPr>
          <w:p>
            <w:pPr>
              <w:spacing w:after="0"/>
              <w:rPr>
                <w:sz w:val="24"/>
                <w:szCs w:val="24"/>
                <w:color w:val="auto"/>
              </w:rPr>
            </w:pP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1,007.5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flows from operating activities are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5"/>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1,020.8</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978.7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1,090.7</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total net cash provided by our operating activities is primarily attributable to the net effect of (i) a decrease in cash provided due to higher payments of taxes, (ii) a decrease in cash provided due to higher payments of interest, including higher payments due to the impact of the CWC Acquisition and lower payments due to the impact of the VodafoneZiggo JV Transaction, (iii) an increase in cash provided due to higher cash receipts related to derivative instruments, (iv) a decrease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364" w:right="2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the reported net cash provided by operating activities due to FX, (v) an increase in cash provided due to higher interest income and (vi) an increase in cash provided by our Adjusted OIBDA and related working capital items, including a decrease due to the impact of the VodafoneZiggo JV Transaction and an increase due to the impact of the CWC Acquisition.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flows from investing activities are as follows:</w:t>
      </w:r>
    </w:p>
    <w:p>
      <w:pPr>
        <w:spacing w:after="0" w:line="18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8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38735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3,688.4</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change in total net cash provided (used) by our investing activities is primarily attributable to an increase in cash of (i) $1,569.4 million related to distributions received from affiliates, (ii) $1,337.9 million associated with lower cash paid in connection with acquisitions, (iii) $840.8 million associated with the equalization payment received in connection with the completion of the VodafoneZiggo JV Transaction and (iv) $12.3 million due to lower capital expenditures. Capital expenditures decreased from $637.1 million during the first three months of 2016 to $624.8 million during the first three months of 2017 due to the net effect of (a) a decrease due to the impact of the VodafoneZiggo JV Transaction, (b) an increase due to the impact of the CWC Acquisition,</w:t>
      </w:r>
    </w:p>
    <w:p>
      <w:pPr>
        <w:spacing w:after="0" w:line="3" w:lineRule="exact"/>
        <w:rPr>
          <w:sz w:val="20"/>
          <w:szCs w:val="20"/>
          <w:color w:val="auto"/>
        </w:rPr>
      </w:pPr>
    </w:p>
    <w:p>
      <w:pPr>
        <w:ind w:firstLine="8"/>
        <w:spacing w:after="0" w:line="261" w:lineRule="auto"/>
        <w:tabs>
          <w:tab w:leader="none" w:pos="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local currency capital expenditures of our subsidiaries, including a decrease associated with higher capital-related vendor financing and an increase in related working capital items, and (d) a decrease resulting from FX.</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capital expenditures that we report in our condensed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15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47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8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997.0</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capital-related vendor financing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acquired under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106.9</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property and equipment additions attributable to the Liberty Global Group are primarily related to the European Division, which accounted for $886.8 million and $921.4 million of Liberty Global Group’s property and equipment additions during the three months ended March 31, 2017 and 2016, respectively. The decrease in the European Division’s property and equipment additions is primarily due to the net effect of (i) a decrease due to the impact of the VodafoneZiggo JV Transaction, (ii) an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364" w:right="239" w:bottom="1440" w:gutter="0" w:footer="0" w:header="0"/>
        </w:sectPr>
      </w:pPr>
    </w:p>
    <w:bookmarkStart w:id="93" w:name="page94"/>
    <w:bookmarkEnd w:id="9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 in expenditures for the purchase and installation of customer premises equipment, (iii) an increase in expenditures for new build and upgrade projects and (iv) a decrease due to FX.</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additions attributable to the LiLAC Group increased during the three months ended March 31, 2017, as compared to the corresponding period in 2016, primarily due to (i) an increase due to the impact of the CWC Acquisition, (ii) an increase in expenditures for the purchase and installation of customer premises equipment, (iii) an increase in expenditures for new build and upgrade projects and (iv) an increase due to FX.</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flows from financing activities are as follows:</w:t>
      </w:r>
    </w:p>
    <w:p>
      <w:pPr>
        <w:spacing w:after="0" w:line="18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8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38735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(2,535.2)</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change in total net cash provided (used) by our financing activities is primarily attributable to the net effect of (i) a decrease in cash of $1,409.0 million related to higher net repayments and repurchases of debt and capital lease obligations, (ii) a decrease in cash of $768.0 million due to higher repurchases of Liberty Global ordinary shares, (iii) a decrease in cash of $162.6 million related to VAT paid on behalf of the VodafoneZiggo JV, (iv) a decrease in cash of $123.3 million related to changes in cash collateral and (v) a decrease in cash of $118.5 million due to higher payments related to derivative instruments.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free cash flow as net cash provided by our operating activities,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capital leases (exclusive of the portions of the network lease in Belgium and the duct leases in Germany that we assumed in connection with certain acquisitions).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which are not deducted to arrive at this amount. Investors should view adjusted free cash flow as a supplement to, and not a substitute for, U.S. GAAP measures of liquidity included in our condensed consolidated statements of cash flows. We changed our definition of adjusted free cash flow effective January 1, 2017 to remove the add-back of excess tax benefits from share-based compensation. This change, which was given effect for all periods presented, was made to accommodate our January 1, 2017 adoption of ASU 2016-09, pursuant to which we retrospectively revised the presentation of our condensed consolidated statements of cash flows to remove the operating cash outflows and financing cash inflows associated with excess tax benefits from share-based compensation. For additional information, see note 2 to our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364" w:right="2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details of our adjusted free cash flow: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7"/>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44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3"/>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 for direct acquisition and disposition costs</w:t>
            </w: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financed by an intermediary (a)</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153.5</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payments on amounts financed by vendors and</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intermediaries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payments on certain capital leases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4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Adjusted free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07" w:lineRule="exact"/>
        <w:rPr>
          <w:sz w:val="20"/>
          <w:szCs w:val="20"/>
          <w:color w:val="auto"/>
        </w:rPr>
      </w:pPr>
    </w:p>
    <w:p>
      <w:pPr>
        <w:jc w:val="both"/>
        <w:ind w:left="500" w:hanging="492"/>
        <w:spacing w:after="0" w:line="261"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364" w:right="239" w:bottom="1440" w:gutter="0" w:footer="0" w:header="0"/>
        </w:sectPr>
      </w:pPr>
    </w:p>
    <w:bookmarkStart w:id="95" w:name="page96"/>
    <w:bookmarkEnd w:id="9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U.S. dollar equivalents of our commitments as of March 31,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2017</w:t>
            </w:r>
          </w:p>
        </w:tc>
        <w:tc>
          <w:tcPr>
            <w:tcW w:w="2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(excluding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2,278.1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31,301.9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43,301.3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 (excluding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and connectivity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w:t>
            </w:r>
          </w:p>
        </w:tc>
        <w:tc>
          <w:tcPr>
            <w:tcW w:w="1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3,131.6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Programming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2,626.9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1,805.4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commitments</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5,743.8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2,764.1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33,123.9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52,931.2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Projected cash interest payments 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and capital lease obligations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Liberty Global Group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1,677.0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13,677.0</w:t>
            </w:r>
          </w:p>
        </w:tc>
        <w:tc>
          <w:tcPr>
            <w:tcW w:w="0" w:type="dxa"/>
            <w:vAlign w:val="bottom"/>
          </w:tcPr>
          <w:p>
            <w:pPr>
              <w:spacing w:after="0"/>
              <w:rPr>
                <w:sz w:val="1"/>
                <w:szCs w:val="1"/>
                <w:color w:val="auto"/>
              </w:rPr>
            </w:pPr>
          </w:p>
        </w:tc>
      </w:tr>
      <w:tr>
        <w:trPr>
          <w:trHeight w:val="243"/>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LiLAC Group</w:t>
            </w:r>
          </w:p>
        </w:tc>
        <w:tc>
          <w:tcPr>
            <w:tcW w:w="1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2,058.9</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1,988.3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15,735.9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included in this table do not reflect any liabilities that are included in our March 31, 2017 condensed consolidated balance sheet other than debt and capital lease obligations. Our liability for uncertain tax positions in the various jurisdictions in which we operate ($461.4 million at March 31, 2017) has been excluded from the table as the amount and timing of any related payments are not subject to reasonable estimation.</w:t>
      </w:r>
    </w:p>
    <w:p>
      <w:pPr>
        <w:spacing w:after="0" w:line="17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based on interest rates, interest payment dates, commitment fees and contractual maturities in effect as of March 31, 2017.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concerning our debt and capital lease obligations, see note 8 to our condensed consolidated financial statements. For information concerning our commitments, see note 14 to our condensed consolidated financial statements.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our derivative instruments, see </w:t>
      </w:r>
      <w:r>
        <w:rPr>
          <w:rFonts w:ascii="Times New Roman" w:cs="Times New Roman" w:eastAsia="Times New Roman" w:hAnsi="Times New Roman"/>
          <w:sz w:val="18"/>
          <w:szCs w:val="18"/>
          <w:i w:val="1"/>
          <w:iCs w:val="1"/>
          <w:color w:val="auto"/>
        </w:rPr>
        <w:t>Quantitative and Qualitative Disclosures about Market Risk — Projected Cash Flows Associated with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information regarding our derivative instruments, including the net cash paid or received in connection with these instruments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2017 and 2016, see note 5 to our condensed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360"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in this section should be read in conjunction with the more complete discussion that appears under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in our 10-K. The following discussion updates selected numerical information to March 31, 2017.</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2017, $1,941.8 million or 73.6% and $393.6 million or 14.9% of our consolidated cash balances were denominated in U.S. dollars and euros, respectively.</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relationships between (i) the euro, the British pound sterling, the Swiss franc, the Hungarian forint, the Polish zloty, the Czech koruna, the Romanian lei, the Chilean peso and the Jamaican dollar and (ii) the U.S. dollar, which is our reporting currency, are shown below, per one U.S. dollar: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4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3680" w:type="dxa"/>
            <w:vAlign w:val="bottom"/>
            <w:shd w:val="clear" w:color="auto" w:fill="CCEEFF"/>
          </w:tcPr>
          <w:p>
            <w:pPr>
              <w:spacing w:after="0"/>
              <w:rPr>
                <w:sz w:val="5"/>
                <w:szCs w:val="5"/>
                <w:color w:val="auto"/>
              </w:rPr>
            </w:pPr>
          </w:p>
        </w:tc>
        <w:tc>
          <w:tcPr>
            <w:tcW w:w="49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0.9348</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0.9481</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pound sterling</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0.7973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0.8100</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Swiss franc</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0.9999</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1.0172</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Hungarian forint</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288.67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293.29</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Polish zloty</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3.9549</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4.1769</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Czech koruna</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25.623</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Romanian lei</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4.2541</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4.3077</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Chilean peso</w:t>
            </w:r>
          </w:p>
        </w:tc>
        <w:tc>
          <w:tcPr>
            <w:tcW w:w="6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660.37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670.23</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Jamaican dollar</w:t>
            </w:r>
          </w:p>
        </w:tc>
        <w:tc>
          <w:tcPr>
            <w:tcW w:w="6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128.13</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128.77</w:t>
            </w:r>
          </w:p>
        </w:tc>
      </w:tr>
      <w:tr>
        <w:trPr>
          <w:trHeight w:val="675"/>
        </w:trPr>
        <w:tc>
          <w:tcPr>
            <w:tcW w:w="3680" w:type="dxa"/>
            <w:vAlign w:val="bottom"/>
          </w:tcPr>
          <w:p>
            <w:pPr>
              <w:spacing w:after="0"/>
              <w:rPr>
                <w:sz w:val="24"/>
                <w:szCs w:val="24"/>
                <w:color w:val="auto"/>
              </w:rPr>
            </w:pPr>
          </w:p>
        </w:tc>
        <w:tc>
          <w:tcPr>
            <w:tcW w:w="490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8580" w:type="dxa"/>
            <w:vAlign w:val="bottom"/>
          </w:tcPr>
          <w:p>
            <w:pPr>
              <w:spacing w:after="0"/>
              <w:rPr>
                <w:sz w:val="22"/>
                <w:szCs w:val="22"/>
                <w:color w:val="auto"/>
              </w:rPr>
            </w:pPr>
          </w:p>
        </w:tc>
        <w:tc>
          <w:tcPr>
            <w:tcW w:w="1900" w:type="dxa"/>
            <w:vAlign w:val="bottom"/>
            <w:gridSpan w:val="3"/>
          </w:tcPr>
          <w:p>
            <w:pPr>
              <w:jc w:val="center"/>
              <w:ind w:left="87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0.9389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0.9066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British pound sterling</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0.8070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0.6984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Swiss franc</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0.9935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Hungarian forint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Polish zloty</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Czech koruna</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Romanian lei</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4.0748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Chilean peso</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Jamaican dollar</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128.58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121.07</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we seek to enter into derivative instruments to protect against increases in the interest rates on our variable-rate debt. Accordingly, we have entered into various derivative transactions to reduce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that lock in a maximum interest rate if variable rates rise, but also allow our company to benefit, to a limited extent in the case of collars, from declines in market rates. At March 31, 2017, we effectively paid a fixed interest rate on 97% of our total debt. The final maturity dates of our various portfolios of interest rate derivative instruments generally fall short of the respective maturities of the underlying variable-rate debt. In this regard, we use judgment to determine the appropriate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5 to our condensed consolidated financial statements.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5 and 6 to our condensed consolidated financial statements.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Virgin Media 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2017:</w:t>
      </w:r>
    </w:p>
    <w:p>
      <w:pPr>
        <w:spacing w:after="0" w:line="225" w:lineRule="exact"/>
        <w:rPr>
          <w:sz w:val="20"/>
          <w:szCs w:val="20"/>
          <w:color w:val="auto"/>
        </w:rPr>
      </w:pPr>
    </w:p>
    <w:p>
      <w:pPr>
        <w:ind w:left="820" w:hanging="488"/>
        <w:spacing w:after="0" w:line="282" w:lineRule="auto"/>
        <w:tabs>
          <w:tab w:leader="none" w:pos="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£607 million ($761 million);</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Virgin Media cross-currency and interest rate derivative contracts by approximately £120 million ($151 million);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Virgin Media cross-currency derivative contracts by approximately £37 million ($46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542" w:right="2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i w:val="1"/>
          <w:iCs w:val="1"/>
          <w:color w:val="auto"/>
        </w:rPr>
        <w:t>UPC Broadband Holding Cross-currency and Interest Rate Derivative Contracts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2017:</w:t>
      </w:r>
    </w:p>
    <w:p>
      <w:pPr>
        <w:spacing w:after="0" w:line="225" w:lineRule="exact"/>
        <w:rPr>
          <w:sz w:val="20"/>
          <w:szCs w:val="20"/>
          <w:color w:val="auto"/>
        </w:rPr>
      </w:pPr>
    </w:p>
    <w:p>
      <w:pPr>
        <w:jc w:val="both"/>
        <w:ind w:left="820" w:hanging="488"/>
        <w:spacing w:after="0" w:line="266"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Polish zloty, Hungarian forint, Czech koruna and Romanian lei relative to the euro would have decreased (increased) the aggregate fair value of the UPC Broadband Holding cross-currency and interest rate derivative contracts by approximately €514 million ($550 million);</w:t>
      </w:r>
    </w:p>
    <w:p>
      <w:pPr>
        <w:spacing w:after="0" w:line="176"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UPC Broadband Holding cross-currency and interest rate derivative contracts by approximately €241 million ($258 million);</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UPC Broadband Holding cross-currency and interest rate derivative contracts by approximately €132 million ($141 million); and</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relative to the U.S. dollar would have decreased (increased) the aggregate fair value of the UPC Broadband Holding cross-currency and interest rate derivative contracts by approximately €100 million ($107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Unitymedia Cross-currency and Interest Rate Derivative Contracts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2017, an instantaneous increase (decrease) of 10% in the value of the euro relative to the U.S. dollar would have decreased (increased) the aggregate value of the Unitymedia cross-currency and interest rate derivative contracts by approximately €234 million ($250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Telenet Cross-currency and Interest Rate Derivative Contracts and Interest Rate Caps, Collars and Swaps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March 31, 2017:</w:t>
      </w:r>
    </w:p>
    <w:p>
      <w:pPr>
        <w:spacing w:after="0" w:line="225" w:lineRule="exact"/>
        <w:rPr>
          <w:sz w:val="20"/>
          <w:szCs w:val="20"/>
          <w:color w:val="auto"/>
        </w:rPr>
      </w:pPr>
    </w:p>
    <w:p>
      <w:pPr>
        <w:ind w:left="820" w:hanging="488"/>
        <w:spacing w:after="0" w:line="282" w:lineRule="auto"/>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Telenet cross-currency derivative contracts by approximately €166 million ($178 million);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Telenet interest rate cap, collar and swap contracts by approximately €116 million ($124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CWC Cross-currency and Interest Rate Derivative Contracts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2017, an instantaneous increase (decrease) in the relevant base rate of 50 basis points (0.50%) would have increased (decreased) the aggregate fair value of the CWC cross-currency and interest rate derivative contracts by approximately JMD 4 billion ($32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VTR Cross-currency Derivative Contracts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2017, an instantaneous increase (decrease) of 10% in the value of the Chilean peso relative to the U.S. dollar would have decreased (increased) the aggregate fair value of the VTR cross-currency derivative contracts by approximately CLP 109 billion ($165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362" w:right="239" w:bottom="1440" w:gutter="0" w:footer="0" w:header="0"/>
        </w:sectPr>
      </w:pPr>
    </w:p>
    <w:bookmarkStart w:id="99" w:name="page100"/>
    <w:bookmarkEnd w:id="99"/>
    <w:p>
      <w:pPr>
        <w:ind w:left="340"/>
        <w:spacing w:after="0"/>
        <w:rPr>
          <w:sz w:val="20"/>
          <w:szCs w:val="20"/>
          <w:color w:val="auto"/>
        </w:rPr>
      </w:pPr>
      <w:r>
        <w:rPr>
          <w:rFonts w:ascii="Times New Roman" w:cs="Times New Roman" w:eastAsia="Times New Roman" w:hAnsi="Times New Roman"/>
          <w:sz w:val="18"/>
          <w:szCs w:val="18"/>
          <w:i w:val="1"/>
          <w:iCs w:val="1"/>
          <w:color w:val="auto"/>
        </w:rPr>
        <w:t>ITV Collar</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March 31, 2017, an instantaneous increase of 10% in the per share market price of ITV’s ordinary shares would have decreased the fair value of the ITV Collar by approximately £85 million ($107 million) and, conversely, a decrease of 10% in the per share market price of ITV’s ordinary shares would have increased the aggregate fair value by approximately £84 million ($105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Sumitomo Collar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Holding all other factors constant, at March 31, 2017, an instantaneous increase (decrease) of 10% in the per share market price of Sumitomo’s common stock would have decreased (increased) the fair value of the Sumitomo Collar by approximately ¥4 billion ($36 million).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projected cash flows associated with our derivative instruments. The U.S. dollar equivalents presented below are based on interest rates and exchange rates that were in effect as of March 31, 2017. These amounts are presented for illustrative purposes only and will likely differ from the actual cash payments required in future periods. For additional information regarding our derivative instruments, including our counterparty credit risk, see note 5 to our condensed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80" w:type="dxa"/>
            <w:vAlign w:val="bottom"/>
          </w:tcPr>
          <w:p>
            <w:pPr>
              <w:spacing w:after="0"/>
              <w:rPr>
                <w:sz w:val="24"/>
                <w:szCs w:val="24"/>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derivative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(receipts), net: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Liberty Global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Interest-related (a)</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Principal-related (b)</w:t>
            </w:r>
          </w:p>
        </w:tc>
        <w:tc>
          <w:tcPr>
            <w:tcW w:w="2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05"/>
        </w:trPr>
        <w:tc>
          <w:tcPr>
            <w:tcW w:w="208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Total Liberty Global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LiLAC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Interest-related (a)</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Principal-related (b)</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LiLAC Group</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37"/>
        </w:trPr>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(2,540.5)</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collar and swap contracts and (ii) the interest-related cash flows of our cross-currency and interest rate swap contracts.</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swap contracts.</w:t>
      </w:r>
    </w:p>
    <w:p>
      <w:pPr>
        <w:spacing w:after="0" w:line="225" w:lineRule="exact"/>
        <w:rPr>
          <w:rFonts w:ascii="Times New Roman" w:cs="Times New Roman" w:eastAsia="Times New Roman" w:hAnsi="Times New Roman"/>
          <w:sz w:val="18"/>
          <w:szCs w:val="18"/>
          <w:color w:val="auto"/>
        </w:rPr>
      </w:pPr>
    </w:p>
    <w:p>
      <w:pPr>
        <w:ind w:left="500" w:hanging="492"/>
        <w:spacing w:after="0" w:line="313" w:lineRule="auto"/>
        <w:tabs>
          <w:tab w:leader="none" w:pos="5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related to our equity-related derivative instruments and foreign currency forward contracts. We may elect to use cash or the collective value of the related shares and equity-related derivative instrument to settle the ITV Collar Loan, the Sumitomo Collar Loan and the Lionsgate Loan.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362"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March 31, 2017.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March 31, 2017, in timely making known to them material information relating to us and our consolidated subsidiaries required to be disclosed in our reports filed or submitted under the Securities Exchange Act of 1934.</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360" w:right="239" w:bottom="1440" w:gutter="0" w:footer="0" w:header="0"/>
        </w:sectPr>
      </w:pPr>
    </w:p>
    <w:bookmarkStart w:id="101" w:name="page102"/>
    <w:bookmarkEnd w:id="101"/>
    <w:p>
      <w:pPr>
        <w:ind w:left="42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our company’s purchase of its own equity securities during the three months ended March 31, 2017: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paid per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2"/>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 (a)</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33"/>
        </w:trPr>
        <w:tc>
          <w:tcPr>
            <w:tcW w:w="70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0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Liberty Global Shares: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2017 through January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491,000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2,851,900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2,851,900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1, 2017 through February 28, 2017:</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2,305,600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2,305,600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4,246,000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4,246,000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2017 through March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7,779,600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7,779,600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10,721,000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10,721,000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2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Liberty Global Shares — January 1, 2017 through March 31,</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10,576,200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10,576,200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17,818,900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17,818,900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0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LiLAC Shares: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2017 through January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212,572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1, 2017 through February 28, 2017:</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145,300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73,000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 2017 through March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316,900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316,900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LiLAC Shares — January 1, 2017 through March 31, 2017:</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542,200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542,200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Class C</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285,572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285,572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98" w:lineRule="exact"/>
        <w:rPr>
          <w:sz w:val="20"/>
          <w:szCs w:val="20"/>
          <w:color w:val="auto"/>
        </w:rPr>
      </w:pPr>
    </w:p>
    <w:p>
      <w:pPr>
        <w:ind w:left="500" w:hanging="492"/>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 and the effects of derivative instruments, where applicable.</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2017, the remaining amount authorized for repurchases of Liberty Global Shares was $1,947.8 million.</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2017, the remaining amount authorized for repurchases of LiLAC Shares was $259.8 million.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360"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 — Instruments Defining the Rights of Securities Holders, including Indentures:</w:t>
      </w:r>
    </w:p>
    <w:p>
      <w:pPr>
        <w:spacing w:after="0" w:line="63" w:lineRule="exact"/>
        <w:rPr>
          <w:sz w:val="20"/>
          <w:szCs w:val="20"/>
          <w:color w:val="auto"/>
        </w:rPr>
      </w:pPr>
    </w:p>
    <w:p>
      <w:pPr>
        <w:jc w:val="both"/>
        <w:ind w:left="1420" w:hanging="996"/>
        <w:spacing w:after="0" w:line="261" w:lineRule="auto"/>
        <w:tabs>
          <w:tab w:leader="none" w:pos="1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Additional Facility AP Accession Agreement dated February 2, 2017, between, among others, UPC Financing as the Borrower, UPC Broadband Holding and The Bank of Nova Scotia as the Facility Agent and Security Agent under the UPC Broadband Holding Bank Facility (incorporated by reference to Exhibit 4.2 to the Registrant’s Current Report on Form 8-K filed February 7, 2017 (File No. 001-35961) (the February 2017 8-K)).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J Facility Accession Deed dated February 2, 2017, between Virgin Media Investment Holdings Limited as the Company,</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Virgin Media SFA Finance Limited as the Borrower, The Bank of Nova Scotia as the Facility Agent and The Bank of Nova Scotia as</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J Facility Lender under the VMF Senior Facilities Agreement (incorporated by reference to Exhibit 4.1 to the February 2017</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r>
      <w:tr>
        <w:trPr>
          <w:trHeight w:val="373"/>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4.3</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Telenet Additional Facility AH Accession Agreement dated April 4, 2017 and entered into between, among others, Telenet International</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S.á.r.l. and The Bank of Nova Scotia (incorporated by reference to Exhibit 4.1 to the Registrant’s Current Report on Form 8-K</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April 10, 2017 (File No. 001-35961)(the April 2017 8-K)).</w:t>
            </w:r>
          </w:p>
        </w:tc>
      </w:tr>
      <w:tr>
        <w:trPr>
          <w:trHeight w:val="414"/>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4.4</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Telenet Additional Facility AI Accession Agreement dated April 4, 2017 and entered into between, among others, Telenet Financing USD</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LLC and The Bank of Nova Scotia (incorporated by reference to Exhibit 4.2 to the April 2017 8-K).</w:t>
            </w:r>
          </w:p>
        </w:tc>
      </w:tr>
      <w:tr>
        <w:trPr>
          <w:trHeight w:val="414"/>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4.5</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Facilities Agreement dated June 7, 2013, as amended on June 14, 2013 and as amended and restated on July 30, 2015, as further</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December 16, 2016 and as further amended and restated on April 19, 2017, among, inter alia, Virgin Media Finance PLC and</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other subsidiaries of Virgin Media Inc. as borrowers and/or guarantors and The Bank of Nova Scotia as facility agent, Deutsche</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AG, London Branch, as security trustee, and the lenders thereto (incorporated by reference to Exhibit 4.1 to the Registrant’s Current</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filed April 28, 2017 (File No. 001-35961)).</w:t>
            </w:r>
          </w:p>
        </w:tc>
      </w:tr>
      <w:tr>
        <w:trPr>
          <w:trHeight w:val="648"/>
        </w:trPr>
        <w:tc>
          <w:tcPr>
            <w:tcW w:w="1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 Material Contracts:</w:t>
            </w:r>
          </w:p>
        </w:tc>
      </w:tr>
      <w:tr>
        <w:trPr>
          <w:trHeight w:val="414"/>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Liberty Global 2017 Annual Cash Performance Award Program for executive officers under the Incentive Plan (a description of said plan</w:t>
            </w:r>
          </w:p>
        </w:tc>
      </w:tr>
      <w:tr>
        <w:trPr>
          <w:trHeight w:val="216"/>
        </w:trPr>
        <w:tc>
          <w:tcPr>
            <w:tcW w:w="1380" w:type="dxa"/>
            <w:vAlign w:val="bottom"/>
          </w:tcPr>
          <w:p>
            <w:pPr>
              <w:spacing w:after="0"/>
              <w:rPr>
                <w:sz w:val="18"/>
                <w:szCs w:val="18"/>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 incorporated by reference to the description thereof included in Item 5.02(e) of the Registrant’s Current Report on Form 8-K filed</w:t>
            </w:r>
          </w:p>
        </w:tc>
      </w:tr>
      <w:tr>
        <w:trPr>
          <w:trHeight w:val="234"/>
        </w:trPr>
        <w:tc>
          <w:tcPr>
            <w:tcW w:w="1380" w:type="dxa"/>
            <w:vAlign w:val="bottom"/>
          </w:tcPr>
          <w:p>
            <w:pPr>
              <w:spacing w:after="0"/>
              <w:rPr>
                <w:sz w:val="20"/>
                <w:szCs w:val="20"/>
                <w:color w:val="auto"/>
              </w:rPr>
            </w:pP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2017 (File No. 001-35961)).</w:t>
            </w:r>
          </w:p>
        </w:tc>
      </w:tr>
      <w:tr>
        <w:trPr>
          <w:trHeight w:val="392"/>
        </w:trPr>
        <w:tc>
          <w:tcPr>
            <w:tcW w:w="1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 Rule 13a-14(a)/15d-14(a) Certification:</w:t>
            </w:r>
          </w:p>
        </w:tc>
      </w:tr>
      <w:tr>
        <w:trPr>
          <w:trHeight w:val="392"/>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31.1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392"/>
        </w:trPr>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31.2</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Executive Vice President and Chief Financial Officer*</w:t>
            </w:r>
          </w:p>
        </w:tc>
      </w:tr>
      <w:tr>
        <w:trPr>
          <w:trHeight w:val="392"/>
        </w:trPr>
        <w:tc>
          <w:tcPr>
            <w:tcW w:w="1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 — Section 1350 Certification**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Unaudited Attributed Financial Information*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20" w:type="dxa"/>
            <w:vAlign w:val="bottom"/>
          </w:tcPr>
          <w:p>
            <w:pPr>
              <w:spacing w:after="0"/>
              <w:rPr>
                <w:sz w:val="21"/>
                <w:szCs w:val="21"/>
                <w:color w:val="auto"/>
              </w:rPr>
            </w:pPr>
          </w:p>
        </w:tc>
      </w:tr>
    </w:tbl>
    <w:p>
      <w:pPr>
        <w:spacing w:after="0" w:line="144" w:lineRule="exact"/>
        <w:rPr>
          <w:sz w:val="20"/>
          <w:szCs w:val="20"/>
          <w:color w:val="auto"/>
        </w:rPr>
      </w:pPr>
    </w:p>
    <w:p>
      <w:pPr>
        <w:ind w:left="720" w:hanging="685"/>
        <w:spacing w:after="0"/>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400"/>
          </w:cols>
          <w:pgMar w:left="240" w:top="3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00"/>
          </w:cols>
          <w:pgMar w:left="240" w:top="360" w:right="259" w:bottom="1440"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LIBERTY GLOBAL PLC</w:t>
      </w:r>
    </w:p>
    <w:p>
      <w:pPr>
        <w:spacing w:after="0" w:line="387" w:lineRule="exact"/>
        <w:rPr>
          <w:sz w:val="20"/>
          <w:szCs w:val="20"/>
          <w:color w:val="auto"/>
        </w:rPr>
      </w:pPr>
    </w:p>
    <w:p>
      <w:pPr>
        <w:ind w:left="200"/>
        <w:spacing w:after="0"/>
        <w:tabs>
          <w:tab w:leader="none" w:pos="7100" w:val="left"/>
          <w:tab w:leader="none" w:pos="7460" w:val="left"/>
        </w:tabs>
        <w:rPr>
          <w:sz w:val="20"/>
          <w:szCs w:val="20"/>
          <w:color w:val="auto"/>
        </w:rPr>
      </w:pPr>
      <w:r>
        <w:rPr>
          <w:rFonts w:ascii="Times New Roman" w:cs="Times New Roman" w:eastAsia="Times New Roman" w:hAnsi="Times New Roman"/>
          <w:sz w:val="18"/>
          <w:szCs w:val="18"/>
          <w:color w:val="auto"/>
        </w:rPr>
        <w:t>Dated: May 8, 2017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color w:val="auto"/>
        </w:rPr>
        <w:t>Michael T. Fries</w:t>
      </w:r>
    </w:p>
    <w:p>
      <w:pPr>
        <w:spacing w:after="0" w:line="27"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2" w:lineRule="exact"/>
        <w:rPr>
          <w:sz w:val="20"/>
          <w:szCs w:val="20"/>
          <w:color w:val="auto"/>
        </w:rPr>
      </w:pPr>
    </w:p>
    <w:p>
      <w:pPr>
        <w:ind w:left="200"/>
        <w:spacing w:after="0"/>
        <w:tabs>
          <w:tab w:leader="none" w:pos="6860" w:val="left"/>
          <w:tab w:leader="none" w:pos="7220" w:val="left"/>
        </w:tabs>
        <w:rPr>
          <w:sz w:val="20"/>
          <w:szCs w:val="20"/>
          <w:color w:val="auto"/>
        </w:rPr>
      </w:pPr>
      <w:r>
        <w:rPr>
          <w:rFonts w:ascii="Times New Roman" w:cs="Times New Roman" w:eastAsia="Times New Roman" w:hAnsi="Times New Roman"/>
          <w:sz w:val="18"/>
          <w:szCs w:val="18"/>
          <w:color w:val="auto"/>
        </w:rPr>
        <w:t>Dated: May 8, 2017</w:t>
      </w:r>
      <w:r>
        <w:rPr>
          <w:sz w:val="20"/>
          <w:szCs w:val="20"/>
          <w:color w:val="auto"/>
        </w:rPr>
        <w:tab/>
      </w: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H.R. B</w:t>
      </w:r>
      <w:r>
        <w:rPr>
          <w:rFonts w:ascii="Times New Roman" w:cs="Times New Roman" w:eastAsia="Times New Roman" w:hAnsi="Times New Roman"/>
          <w:sz w:val="14"/>
          <w:szCs w:val="14"/>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27"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360"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99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67"/>
        </w:trPr>
        <w:tc>
          <w:tcPr>
            <w:tcW w:w="1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 — Instruments Defining the Rights of Securities Holders, including Indentures:</w:t>
            </w:r>
          </w:p>
        </w:tc>
      </w:tr>
      <w:tr>
        <w:trPr>
          <w:trHeight w:val="252"/>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Facility AP Accession Agreement dated February 2, 2017, between, among others, UPC Financing as the Borrower, UPC</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Holding and The Bank of Nova Scotia as the Facility Agent and Security Agent under the UPC Broadband Holding Bank</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(incorporated by reference to Exhibit 4.2 to the Registrant’s Current Report on Form 8-K filed February 7, 2017 (File No. 001-</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35961) (the February 2017 8-K)).</w:t>
            </w:r>
          </w:p>
        </w:tc>
      </w:tr>
      <w:tr>
        <w:trPr>
          <w:trHeight w:val="373"/>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J Facility Accession Deed dated February 2, 2017, between Virgin Media Investment Holdings Limited as the Company,</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 Media SFA Finance Limited as the Borrower, The Bank of Nova Scotia as the Facility Agent and The Bank of Nova Scotia as</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J Facility Lender under the VMF Senior Facilities Agreement (incorporated by reference to Exhibit 4.1 to the February 2017</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r>
      <w:tr>
        <w:trPr>
          <w:trHeight w:val="373"/>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4.3</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Additional Facility AH Accession Agreement dated April 4, 2017 and entered into between, among others, Telenet International</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S.á.r.l. and The Bank of Nova Scotia (incorporated by reference to Exhibit 4.1 to the Registrant’s Current Report on Form 8-K</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April 10, 2017 (File No. 001-35961)(the April 2017 8-K)).</w:t>
            </w:r>
          </w:p>
        </w:tc>
      </w:tr>
      <w:tr>
        <w:trPr>
          <w:trHeight w:val="373"/>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4.4</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Additional Facility AI Accession Agreement dated April 4, 2017 and entered into between, among others, Telenet Financing</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LLC and The Bank of Nova Scotia (incorporated by reference to Exhibit 4.2 to the April 2017 8-K).</w:t>
            </w:r>
          </w:p>
        </w:tc>
      </w:tr>
      <w:tr>
        <w:trPr>
          <w:trHeight w:val="373"/>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4.5</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Facilities Agreement dated June 7, 2013, as amended on June 14, 2013 and as amended and restated on July 30, 2015, as further</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December 16, 2016 and as further amended and restated on April 19, 2017, among, inter alia, Virgin Media Finance PLC and</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other subsidiaries of Virgin Media Inc. as borrowers and/or guarantors and The Bank of Nova Scotia as facility agent, Deutsche</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AG, London Branch, as security trustee, and the lenders thereto (incorporated by reference to Exhibit 4.1 to the Registrant’s</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April 28, 2017 (File No. 001-35961)).</w:t>
            </w:r>
          </w:p>
        </w:tc>
      </w:tr>
      <w:tr>
        <w:trPr>
          <w:trHeight w:val="392"/>
        </w:trPr>
        <w:tc>
          <w:tcPr>
            <w:tcW w:w="1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 Material Contracts:</w:t>
            </w:r>
          </w:p>
        </w:tc>
      </w:tr>
      <w:tr>
        <w:trPr>
          <w:trHeight w:val="373"/>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Liberty Global 2017 Annual Cash Performance Award Program for executive officers under the Incentive Plan (a description of said plan</w:t>
            </w:r>
          </w:p>
        </w:tc>
      </w:tr>
      <w:tr>
        <w:trPr>
          <w:trHeight w:val="216"/>
        </w:trPr>
        <w:tc>
          <w:tcPr>
            <w:tcW w:w="138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 incorporated by reference to the description thereof included in Item 5.02(e) of the Registrant’s Current Report on Form 8-K filed</w:t>
            </w:r>
          </w:p>
        </w:tc>
      </w:tr>
      <w:tr>
        <w:trPr>
          <w:trHeight w:val="234"/>
        </w:trPr>
        <w:tc>
          <w:tcPr>
            <w:tcW w:w="138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2017 (File No. 001-35961)).</w:t>
            </w:r>
          </w:p>
        </w:tc>
      </w:tr>
      <w:tr>
        <w:trPr>
          <w:trHeight w:val="392"/>
        </w:trPr>
        <w:tc>
          <w:tcPr>
            <w:tcW w:w="1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 Rule 13a-14(a)/15d-14(a) Certification:</w:t>
            </w:r>
          </w:p>
        </w:tc>
      </w:tr>
      <w:tr>
        <w:trPr>
          <w:trHeight w:val="392"/>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r>
      <w:tr>
        <w:trPr>
          <w:trHeight w:val="392"/>
        </w:trPr>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Executive Vice President and Chief Financial Officer*</w:t>
            </w:r>
          </w:p>
        </w:tc>
      </w:tr>
      <w:tr>
        <w:trPr>
          <w:trHeight w:val="392"/>
        </w:trPr>
        <w:tc>
          <w:tcPr>
            <w:tcW w:w="1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 — Section 1350 Certification**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Attributed Financial Information*</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9920" w:type="dxa"/>
            <w:vAlign w:val="bottom"/>
          </w:tcPr>
          <w:p>
            <w:pPr>
              <w:spacing w:after="0"/>
              <w:rPr>
                <w:sz w:val="21"/>
                <w:szCs w:val="21"/>
                <w:color w:val="auto"/>
              </w:rPr>
            </w:pPr>
          </w:p>
        </w:tc>
      </w:tr>
    </w:tbl>
    <w:p>
      <w:pPr>
        <w:spacing w:after="0" w:line="144" w:lineRule="exact"/>
        <w:rPr>
          <w:sz w:val="20"/>
          <w:szCs w:val="20"/>
          <w:color w:val="auto"/>
        </w:rPr>
      </w:pPr>
    </w:p>
    <w:p>
      <w:pPr>
        <w:ind w:left="720" w:hanging="685"/>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300"/>
          </w:cols>
          <w:pgMar w:left="240" w:top="360" w:right="3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plc;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52"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34290</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plc;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2017</w:t>
      </w:r>
    </w:p>
    <w:p>
      <w:pPr>
        <w:spacing w:after="0" w:line="252"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34290</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Quarterly Report on Form 10-Q for the period ended March 31, 2017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2017 and December 31, 2016, and for the three months ended March 31, 2017 and 2016.</w:t>
      </w:r>
    </w:p>
    <w:p>
      <w:pPr>
        <w:spacing w:after="0" w:line="342" w:lineRule="exact"/>
        <w:rPr>
          <w:sz w:val="20"/>
          <w:szCs w:val="20"/>
          <w:color w:val="auto"/>
        </w:rPr>
      </w:pPr>
    </w:p>
    <w:p>
      <w:pPr>
        <w:ind w:left="1180"/>
        <w:spacing w:after="0"/>
        <w:tabs>
          <w:tab w:leader="none" w:pos="6060" w:val="left"/>
          <w:tab w:leader="none" w:pos="6440" w:val="left"/>
        </w:tabs>
        <w:rPr>
          <w:sz w:val="20"/>
          <w:szCs w:val="20"/>
          <w:color w:val="auto"/>
        </w:rPr>
      </w:pPr>
      <w:r>
        <w:rPr>
          <w:rFonts w:ascii="Times New Roman" w:cs="Times New Roman" w:eastAsia="Times New Roman" w:hAnsi="Times New Roman"/>
          <w:sz w:val="18"/>
          <w:szCs w:val="18"/>
          <w:color w:val="auto"/>
        </w:rPr>
        <w:t>Dated: May 8, 2017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701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80"/>
        <w:spacing w:after="0"/>
        <w:tabs>
          <w:tab w:leader="none" w:pos="6060" w:val="left"/>
          <w:tab w:leader="none" w:pos="6440" w:val="left"/>
        </w:tabs>
        <w:rPr>
          <w:sz w:val="20"/>
          <w:szCs w:val="20"/>
          <w:color w:val="auto"/>
        </w:rPr>
      </w:pPr>
      <w:r>
        <w:rPr>
          <w:rFonts w:ascii="Times New Roman" w:cs="Times New Roman" w:eastAsia="Times New Roman" w:hAnsi="Times New Roman"/>
          <w:sz w:val="18"/>
          <w:szCs w:val="18"/>
          <w:color w:val="auto"/>
        </w:rPr>
        <w:t>Dated: May 8, 2017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701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ATTRIBUTED FINANCIAL INFORMATION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defined herein, the capitalized terms used herein are defined in the notes to our March 31, 2017 condensed consolidated financial statements included in this Quarterly Report on Form 10-Q (our </w:t>
      </w:r>
      <w:r>
        <w:rPr>
          <w:rFonts w:ascii="Times New Roman" w:cs="Times New Roman" w:eastAsia="Times New Roman" w:hAnsi="Times New Roman"/>
          <w:sz w:val="18"/>
          <w:szCs w:val="18"/>
          <w:b w:val="1"/>
          <w:bCs w:val="1"/>
          <w:color w:val="auto"/>
        </w:rPr>
        <w:t>March 31, 2017 Quarterly Report</w:t>
      </w:r>
      <w:r>
        <w:rPr>
          <w:rFonts w:ascii="Times New Roman" w:cs="Times New Roman" w:eastAsia="Times New Roman" w:hAnsi="Times New Roman"/>
          <w:sz w:val="18"/>
          <w:szCs w:val="18"/>
          <w:color w:val="auto"/>
        </w:rPr>
        <w:t>). The financial information presented herein should be read in conjunction with the financial information and related discussion and analysis included in our March 31, 2017 Quarterly Report and our 10-K. In the following text, the terms “we,” “our,” “our company” and “us” may refer, as the context requires, to Liberty Global or collectively to Liberty Global and its subsidiaries.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 expenses and cash flows that are intended to track and reflect the separate economic performance of the businesses and assets attributed to (i) the Liberty Global Group and (ii) the LiLAC Group. For additional information regarding our tracking shares, see note 1 to the March 31, 2017 condensed consolidated financial statements included in our March 31, 2017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117" w:right="239" w:bottom="1440" w:gutter="0" w:footer="0" w:header="0"/>
        </w:sectPr>
      </w:pPr>
    </w:p>
    <w:bookmarkStart w:id="109" w:name="page110"/>
    <w:bookmarkEnd w:id="109"/>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2,636.7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693.1</w:t>
            </w: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5,741.6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6,613.9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21,403.8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23,505.5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3,600.6</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6,865.5</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53,546.4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67,730.9</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41" w:right="239" w:bottom="1440" w:gutter="0" w:footer="0" w:header="0"/>
        </w:sectPr>
      </w:pPr>
    </w:p>
    <w:bookmarkStart w:id="110" w:name="page111"/>
    <w:bookmarkEnd w:id="110"/>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3"/>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1,208.3</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1,343.0</w:t>
            </w: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2,967.5</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568.2</w:t>
            </w: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379.6</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357.0</w:t>
            </w: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2,354.7</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7,959.0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9,178.3</w:t>
            </w: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41,400.0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3,351.7</w:t>
            </w:r>
          </w:p>
        </w:tc>
      </w:tr>
      <w:tr>
        <w:trPr>
          <w:trHeight w:val="27"/>
        </w:trPr>
        <w:tc>
          <w:tcPr>
            <w:tcW w:w="53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45,538.6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53,930.0</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Liberty Global shareholders</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8,477.7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12,671.6</w:t>
            </w:r>
          </w:p>
        </w:tc>
      </w:tr>
      <w:tr>
        <w:trPr>
          <w:trHeight w:val="27"/>
        </w:trPr>
        <w:tc>
          <w:tcPr>
            <w:tcW w:w="5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1,129.3</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13,800.9</w:t>
            </w:r>
          </w:p>
        </w:tc>
      </w:tr>
      <w:tr>
        <w:trPr>
          <w:trHeight w:val="27"/>
        </w:trPr>
        <w:tc>
          <w:tcPr>
            <w:tcW w:w="53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14,217.1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67,730.9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7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F-3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1" w:name="page112"/>
    <w:bookmarkEnd w:id="111"/>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1,629.2</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1,906.5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412.7</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from the VodafoneZiggo JV</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2,346.6</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547.4</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7,051.8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6,483.7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21,110.2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23,366.3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3,657.7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7,014.4</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54,517.9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68,684.1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41" w:right="239" w:bottom="1440" w:gutter="0" w:footer="0" w:header="0"/>
        </w:sectPr>
      </w:pPr>
    </w:p>
    <w:bookmarkStart w:id="112" w:name="page113"/>
    <w:bookmarkEnd w:id="112"/>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ATTRIBUTED BALANCE SHEET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1,168.2</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 payments from subscribers and others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1,240.1</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debt and capital lease obligations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2,775.1</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765.4</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457.9</w:t>
            </w: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671.4</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2,644.7</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8,397.3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9,722.8</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40,783.6</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3,445.7</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45,519.3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53,952.1</w:t>
            </w:r>
          </w:p>
        </w:tc>
      </w:tr>
      <w:tr>
        <w:trPr>
          <w:trHeight w:val="237"/>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Liberty Global shareholders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9,508.7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13,761.3</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970.7</w:t>
            </w: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8,998.6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14,732.0</w:t>
            </w:r>
          </w:p>
        </w:tc>
      </w:tr>
      <w:tr>
        <w:trPr>
          <w:trHeight w:val="27"/>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54,517.9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68,684.1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94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F-5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3" w:name="page114"/>
    <w:bookmarkEnd w:id="113"/>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ATTRIBUTED STATEMENT OF OPERATIONS AND COMPREHENSIVE LOSS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4,429.9</w:t>
            </w:r>
          </w:p>
        </w:tc>
        <w:tc>
          <w:tcPr>
            <w:tcW w:w="0" w:type="dxa"/>
            <w:vAlign w:val="bottom"/>
          </w:tcPr>
          <w:p>
            <w:pPr>
              <w:spacing w:after="0"/>
              <w:rPr>
                <w:sz w:val="1"/>
                <w:szCs w:val="1"/>
                <w:color w:val="auto"/>
              </w:rPr>
            </w:pPr>
          </w:p>
        </w:tc>
      </w:tr>
      <w:tr>
        <w:trPr>
          <w:trHeight w:val="205"/>
        </w:trPr>
        <w:tc>
          <w:tcPr>
            <w:tcW w:w="7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 separately below) (note</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3,860.7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569.2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and debt,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earnings (losses) of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(note 2)</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311"/>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noncontrolling interests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Comprehensive loss attributable to Liberty Global</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F-6</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14" w:name="page115"/>
    <w:bookmarkEnd w:id="114"/>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ATTRIBUTED STATEMENT OF OPERATIONS AND COMPREHENSIVE LOSS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Global Group</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4,588.0</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 separately below):</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SG&amp;A</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813.1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4,001.4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 investments,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losses of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(note 2)</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Liberty Global shareholders</w:t>
            </w: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Comprehensive loss attributable to Liberty Global</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F-7</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15" w:name="page116"/>
    <w:bookmarkEnd w:id="115"/>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744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269.1</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7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and debt,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including impact of dividends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 of losses (earnings) of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benefits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37"/>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978.7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received from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1,569.4</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Equalization payment related to the VodafoneZiggo JV Transaction</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1,760.9</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41" w:right="239" w:bottom="1440" w:gutter="0" w:footer="0" w:header="0"/>
        </w:sectPr>
      </w:pPr>
    </w:p>
    <w:bookmarkStart w:id="116" w:name="page117"/>
    <w:bookmarkEnd w:id="116"/>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7"/>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20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LiLAC</w:t>
            </w:r>
          </w:p>
        </w:tc>
        <w:tc>
          <w:tcPr>
            <w:tcW w:w="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2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4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Liberty Global</w:t>
            </w:r>
          </w:p>
        </w:tc>
      </w:tr>
      <w:tr>
        <w:trPr>
          <w:trHeight w:val="33"/>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 obligations</w:t>
            </w:r>
          </w:p>
        </w:tc>
        <w:tc>
          <w:tcPr>
            <w:tcW w:w="2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(3,024.7)</w:t>
            </w:r>
          </w:p>
        </w:tc>
      </w:tr>
      <w:tr>
        <w:trPr>
          <w:trHeight w:val="27"/>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2,664.1</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w:t>
            </w:r>
          </w:p>
        </w:tc>
      </w:tr>
      <w:tr>
        <w:trPr>
          <w:trHeight w:val="27"/>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VAT paid on behalf of the VodafoneZiggo JV</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by subsidiaries to noncontrolling interest owners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52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w:t>
            </w:r>
          </w:p>
        </w:tc>
      </w:tr>
      <w:tr>
        <w:trPr>
          <w:trHeight w:val="318"/>
        </w:trPr>
        <w:tc>
          <w:tcPr>
            <w:tcW w:w="5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r>
      <w:tr>
        <w:trPr>
          <w:trHeight w:val="318"/>
        </w:trPr>
        <w:tc>
          <w:tcPr>
            <w:tcW w:w="5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1,007.5</w:t>
            </w: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2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1,629.2</w:t>
            </w:r>
          </w:p>
        </w:tc>
      </w:tr>
      <w:tr>
        <w:trPr>
          <w:trHeight w:val="237"/>
        </w:trPr>
        <w:tc>
          <w:tcPr>
            <w:tcW w:w="5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42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2,636.7</w:t>
            </w:r>
          </w:p>
        </w:tc>
      </w:tr>
      <w:tr>
        <w:trPr>
          <w:trHeight w:val="67"/>
        </w:trPr>
        <w:tc>
          <w:tcPr>
            <w:tcW w:w="524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52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853.3</w:t>
            </w:r>
          </w:p>
        </w:tc>
      </w:tr>
      <w:tr>
        <w:trPr>
          <w:trHeight w:val="67"/>
        </w:trPr>
        <w:tc>
          <w:tcPr>
            <w:tcW w:w="524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5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26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5240" w:type="dxa"/>
            <w:vAlign w:val="bottom"/>
          </w:tcPr>
          <w:p>
            <w:pPr>
              <w:spacing w:after="0"/>
              <w:rPr>
                <w:sz w:val="24"/>
                <w:szCs w:val="24"/>
                <w:color w:val="auto"/>
              </w:rPr>
            </w:pPr>
          </w:p>
        </w:tc>
        <w:tc>
          <w:tcPr>
            <w:tcW w:w="2660" w:type="dxa"/>
            <w:vAlign w:val="bottom"/>
            <w:gridSpan w:val="2"/>
          </w:tcPr>
          <w:p>
            <w:pPr>
              <w:jc w:val="right"/>
              <w:ind w:right="1974"/>
              <w:spacing w:after="0"/>
              <w:rPr>
                <w:sz w:val="20"/>
                <w:szCs w:val="20"/>
                <w:color w:val="auto"/>
              </w:rPr>
            </w:pPr>
            <w:r>
              <w:rPr>
                <w:rFonts w:ascii="Times New Roman" w:cs="Times New Roman" w:eastAsia="Times New Roman" w:hAnsi="Times New Roman"/>
                <w:sz w:val="18"/>
                <w:szCs w:val="18"/>
                <w:color w:val="auto"/>
              </w:rPr>
              <w:t>F-9</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7" w:name="page118"/>
    <w:bookmarkEnd w:id="117"/>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Inter-group fees and allocations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investments, net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Losses on debt modification and extinguishment, 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 of losses of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 expense (benefits)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dispositions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1,020.8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and loans to affiliates and others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Inter-group payments,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F-10</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18" w:name="page119"/>
    <w:bookmarkEnd w:id="118"/>
    <w:p>
      <w:pPr>
        <w:ind w:left="4700"/>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9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ATTRIBUTED STATEMENT OF CASH FLOWS INFORMATION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Attributed to: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Inter-group</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LiLAC Group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Liberty Global</w:t>
            </w: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4"/>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and repurchases of debt and capital lease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Pr>
          <w:p>
            <w:pPr>
              <w:spacing w:after="0"/>
              <w:rPr>
                <w:sz w:val="20"/>
                <w:szCs w:val="20"/>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of debt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2,642.0</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Liberty Global ordinary shares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cash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5"/>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paid associated with call option contracts on Liberty Global ordinary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Inter-group receipts,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 —</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781.0</w:t>
            </w:r>
          </w:p>
        </w:tc>
        <w:tc>
          <w:tcPr>
            <w:tcW w:w="0" w:type="dxa"/>
            <w:vAlign w:val="bottom"/>
          </w:tcPr>
          <w:p>
            <w:pPr>
              <w:spacing w:after="0"/>
              <w:rPr>
                <w:sz w:val="1"/>
                <w:szCs w:val="1"/>
                <w:color w:val="auto"/>
              </w:rPr>
            </w:pPr>
          </w:p>
        </w:tc>
      </w:tr>
      <w:tr>
        <w:trPr>
          <w:trHeight w:val="318"/>
        </w:trPr>
        <w:tc>
          <w:tcPr>
            <w:tcW w:w="5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97"/>
        </w:trPr>
        <w:tc>
          <w:tcPr>
            <w:tcW w:w="59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311"/>
        </w:trPr>
        <w:tc>
          <w:tcPr>
            <w:tcW w:w="5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67"/>
        </w:trPr>
        <w:tc>
          <w:tcPr>
            <w:tcW w:w="5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w w:val="99"/>
              </w:rPr>
              <w:t>F-11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Attributed Financial Information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“LiLAC Group” and “Liberty Global Group” do not represent separate legal entities, rather they represent those businesses, assets and liabilities that have been attributed to each group. The LiLAC Group comprises our businesses, assets and liabilities in Latin America and the Caribbean and has attributed to it (i) LGE Coral and its subsidiaries, which include CWC, (ii) VTR Finance and its subsidiaries, which include VTR, (iii) Lila Chile Holding, which is the parent entity of VTR Finance and (iv) LiLAC Communications and its subsidiaries, which include Liberty Puerto Rico. The Liberty Global Group comprises our businesses, assets and liabilities not attributed to the LiLAC Group, including Virgin Media, Ziggo Group Holding (through December 31, 2016), Unitymedia, Telenet, UPC Holding, our corporate entities (excluding LiLAC Communications) and certain other less significant entities. Accordingly, the accompanying attributed financial information for the Liberty Global Group and the LiLAC Group includes the assets, liabilities, revenue, expenses and cash flows of the respective entities within each group. Any business that we may acquire in the future that we do not attribute to the LiLAC Group will be attributed to the Liberty Global Group.</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vested with discretion to reattribute businesses, assets and liabilities that are attributed to either the Liberty Global Group or the LiLAC Group to the other group, without the approval of any of our shareholders, and may use the liquidity of one group to fund the liquidity and capital resource requirements of the other group. Accordingly, shareholders may have difficulty evaluating the future prospects and liquidity and capital resources of each group.</w:t>
      </w:r>
    </w:p>
    <w:p>
      <w:pPr>
        <w:spacing w:after="0" w:line="136" w:lineRule="exact"/>
        <w:rPr>
          <w:sz w:val="20"/>
          <w:szCs w:val="20"/>
          <w:color w:val="auto"/>
        </w:rPr>
      </w:pPr>
    </w:p>
    <w:p>
      <w:pPr>
        <w:ind w:left="500" w:hanging="492"/>
        <w:spacing w:after="0"/>
        <w:tabs>
          <w:tab w:leader="none" w:pos="5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have accounted for income taxes for the Liberty Global Group and the LiLAC Group in the accompanying attributed financial information on a separate return basis, as adjusted to reflect the consolidated view of the tax asset, liability, benefit or expense (tax attribute) of each group. Accordingly, except as otherwise noted below, any tax attribute associated with an entity attributed to the Liberty Global Group has been allocated to the Liberty Global Group and any tax attribute associated with an entity attributed to the LiLAC Group has been allocated to the LiLAC Group.</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Liberty Global owns consolidated interests in a number of entities that are included in combined or consolidated tax returns, including tax returns in the Netherlands (the </w:t>
      </w:r>
      <w:r>
        <w:rPr>
          <w:rFonts w:ascii="Times New Roman" w:cs="Times New Roman" w:eastAsia="Times New Roman" w:hAnsi="Times New Roman"/>
          <w:sz w:val="18"/>
          <w:szCs w:val="18"/>
          <w:b w:val="1"/>
          <w:bCs w:val="1"/>
          <w:color w:val="auto"/>
        </w:rPr>
        <w:t>Dutch Fiscal Unity</w:t>
      </w:r>
      <w:r>
        <w:rPr>
          <w:rFonts w:ascii="Times New Roman" w:cs="Times New Roman" w:eastAsia="Times New Roman" w:hAnsi="Times New Roman"/>
          <w:sz w:val="18"/>
          <w:szCs w:val="18"/>
          <w:color w:val="auto"/>
        </w:rPr>
        <w:t xml:space="preserve">), the U.K. (the </w:t>
      </w:r>
      <w:r>
        <w:rPr>
          <w:rFonts w:ascii="Times New Roman" w:cs="Times New Roman" w:eastAsia="Times New Roman" w:hAnsi="Times New Roman"/>
          <w:sz w:val="18"/>
          <w:szCs w:val="18"/>
          <w:b w:val="1"/>
          <w:bCs w:val="1"/>
          <w:color w:val="auto"/>
        </w:rPr>
        <w:t>U.K. Tax Group</w:t>
      </w:r>
      <w:r>
        <w:rPr>
          <w:rFonts w:ascii="Times New Roman" w:cs="Times New Roman" w:eastAsia="Times New Roman" w:hAnsi="Times New Roman"/>
          <w:sz w:val="18"/>
          <w:szCs w:val="18"/>
          <w:color w:val="auto"/>
        </w:rPr>
        <w:t xml:space="preserve">) and the U.S (the </w:t>
      </w:r>
      <w:r>
        <w:rPr>
          <w:rFonts w:ascii="Times New Roman" w:cs="Times New Roman" w:eastAsia="Times New Roman" w:hAnsi="Times New Roman"/>
          <w:sz w:val="18"/>
          <w:szCs w:val="18"/>
          <w:b w:val="1"/>
          <w:bCs w:val="1"/>
          <w:color w:val="auto"/>
        </w:rPr>
        <w:t>U.S. Tax Group</w:t>
      </w:r>
      <w:r>
        <w:rPr>
          <w:rFonts w:ascii="Times New Roman" w:cs="Times New Roman" w:eastAsia="Times New Roman" w:hAnsi="Times New Roman"/>
          <w:sz w:val="18"/>
          <w:szCs w:val="18"/>
          <w:color w:val="auto"/>
        </w:rPr>
        <w:t>). Different members of the Liberty Global Group file combined tax returns for the Dutch Fiscal Unity and U.K. tax returns, where sharing of certain tax attributes is permitted, and consolidated tax returns for the U.S. Tax Group. Certain entities included in the Dutch Fiscal Unity, the U.K. Tax Group and the U.S. Tax Group are attributed to the LiLAC Group. As a result, we record inter-group tax allocations to recognize changes in the tax attributes of certain members of the LiLAC Group that are included in the Dutch Fiscal Unity, the U.K. Tax Group or the U.S. Tax Group. Prior to July 1, 2015, the inter-group tax allocations reflected in the attributed financial information were not cash settled and were not the subject of tax sharing agreements. Accordingly, inter-group tax allocations prior to July 1, 2015 are reflected in the attributed financial information as adjustments of equity. Following the adoption of the tax sharing policy described below, certain inter-group tax allocations are expected to be cash settled.</w:t>
      </w:r>
    </w:p>
    <w:p>
      <w:pPr>
        <w:spacing w:after="0" w:line="1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Effective July 1, 2015 (the date we distributed the LiLAC Shares), the allocation of tax attributes between the Liberty Global Group and the LiLAC Group is based on a tax sharing policy. This tax sharing policy, which may be changed in future periods at the discretion of the board of directors of Liberty Global, generally results in the allocation of Liberty Global’s tax attributes to the Liberty Global Group and the LiLAC Group based on the tax attributes of the legal entities attributed to each of the groups. Nevertheless, to the extent that Liberty Global management concludes the actions or results of one group give rise to changes in the tax attributes of the other group, the change in those tax attributes are generally allocated to the group whose actions or results gave rise to such changes. Similarly, in cases where legal entities in one group join in a common tax filing with members of the other group, changes in the tax attributes of the group that includes the filing entity that are the result of the actions or financial results of one or more members of the other group are allocated to the group that does not include the filing entity. In addition, the allocation of any taxes and losses resulting from the ultimate tax treatment of Liberty Global tax attributes related to the distribution of the LiLAC Shares are allocated in proportion to each group’s respective number of “liquidation units.” Pursuant to the terms of our articles of association, the liquidation units for each Liberty Global Share and each LiLAC Share are 1 and 0.94893, respectively. For periods beginning on and after July 1, 2015, we will record non-interest bearing inter-group payables and receivables in connection with the allocation of tax attributes to the extent that tax assets are utilized or taxable income is included in the return for the applicable tax year. These inter-group payables and receivables are expected to be cash settled annually within 90 days following the filing of the relevant tax return. Changes to previously filed tax returns will be reflected in the inter-group payables and receivables, and any prior settlement of payables and receivables will be adjusted to reflect amended tax filings.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117"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Liberty Global Group</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(expense) attributable to our loss before income taxes differs from the amounts computed using the applicable income tax rate as a result of the following factors: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Liberty Global Group</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of intercompany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of previously unrecognized tax benefits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500" w:hanging="492"/>
        <w:spacing w:after="0" w:line="266"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19.25% for 2017 and 20.0% for 2016. The 2017 statutory rate represents the blended rate that will be in effect for the year ended December 31, 2017 based on the 20.0% statutory rate that will be in effect for the first quarter of 2017 and the 19.0% rate that will be in effect for the remainder of 2017.</w:t>
      </w:r>
    </w:p>
    <w:p>
      <w:pPr>
        <w:spacing w:after="0" w:line="13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to the “expected” tax benefit for statutory rates in jurisdictions in which we operate outside of the U.K.</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LiLAC Group</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Income tax benefit (expense) attributable to our earnings (loss) before income taxes differs from the amounts computed using the applicable income tax rate as a result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LiLAC Group</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37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3"/>
              </w:rPr>
              <w:t>2016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“expected” tax benefit (expense)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Enacted tax law and rate change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 subsidiaries and affiliates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F-13</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5" w:lineRule="exact"/>
        <w:rPr>
          <w:sz w:val="20"/>
          <w:szCs w:val="20"/>
          <w:color w:val="auto"/>
        </w:rPr>
      </w:pPr>
    </w:p>
    <w:p>
      <w:pPr>
        <w:jc w:val="both"/>
        <w:ind w:left="500" w:hanging="492"/>
        <w:spacing w:after="0" w:line="266" w:lineRule="auto"/>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19.25% for 2017 and 20.0% for 2016. The 2017 statutory rate represents the blended rate that will be in effect for the year ended December 31, 2017 based on the 20.0% statutory rate that will be in effect for the first quarter of 2017 and the 19.0% statutory rate that will be in effect for the remainder of 2017.</w:t>
      </w:r>
    </w:p>
    <w:p>
      <w:pPr>
        <w:spacing w:after="0" w:line="13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to the “expected” tax benefit (expense) for statutory rates in jurisdictions in which we operate outside of the U.K.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17" w:right="2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Attributed Financial Information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Allocated Expenses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allocate a portion of the Liberty Global Group’s corporate functions, excluding share-based compensation expense, to the LiLAC Group based primarily on the estimated percentage of time spent by corporate personnel providing services for each group. The allocated costs, which are cash settled and are periodically re-evaluated, are presented as inter-group fees and allocations in the attributed statements of operations information.</w:t>
      </w:r>
    </w:p>
    <w:p>
      <w:pPr>
        <w:spacing w:after="0" w:line="13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reflected in the accompanying attributed statements of operations information is based on the share incentive awards held by the employees of the respective entities comprising the Liberty Global Group and the LiLAC Group.</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benefit and expense of the Liberty Global Group and the LiLAC Group includes inter-group tax allocations. For additional information concerning our inter-group tax allocations, see note 2 to this attributed financial information.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we believe that our allocation methodologies are reasonable, we may elect to change these allocation methodologies or the percentages used to allocate operating and SG&amp;A expenses in the future.</w:t>
      </w:r>
    </w:p>
    <w:p>
      <w:pPr>
        <w:spacing w:after="0" w:line="117" w:lineRule="exact"/>
        <w:rPr>
          <w:sz w:val="20"/>
          <w:szCs w:val="20"/>
          <w:color w:val="auto"/>
        </w:rPr>
      </w:pPr>
    </w:p>
    <w:p>
      <w:pPr>
        <w:ind w:left="500" w:hanging="492"/>
        <w:spacing w:after="0"/>
        <w:tabs>
          <w:tab w:leader="none" w:pos="5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Inter-group Transactions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Lila Chile Note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July 11, 2014, Lila Chile Holding and Liberty Global Holding B.V., an entity attributed to the Liberty Global Group, entered into a loan agreement (the </w:t>
      </w:r>
      <w:r>
        <w:rPr>
          <w:rFonts w:ascii="Times New Roman" w:cs="Times New Roman" w:eastAsia="Times New Roman" w:hAnsi="Times New Roman"/>
          <w:sz w:val="18"/>
          <w:szCs w:val="18"/>
          <w:b w:val="1"/>
          <w:bCs w:val="1"/>
          <w:color w:val="auto"/>
        </w:rPr>
        <w:t>Lila Chile Note</w:t>
      </w:r>
      <w:r>
        <w:rPr>
          <w:rFonts w:ascii="Times New Roman" w:cs="Times New Roman" w:eastAsia="Times New Roman" w:hAnsi="Times New Roman"/>
          <w:sz w:val="18"/>
          <w:szCs w:val="18"/>
          <w:color w:val="auto"/>
        </w:rPr>
        <w:t>). During the fourth quarter of 2016, the outstanding principal and interest on the Lila Chile Note was cash settled. The Lila Chile Note bore interest at 5.90% per annum. The net increase in the Lila Chile Note during the three months ended March 31, 2016 includes (i) cash loans of $6.8 million and (ii) the transfer of $0.4 million in non-cash accrued interest to the principal balance.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1)"/>
      <w:numFmt w:val="decimal"/>
      <w:start w:val="2"/>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3"/>
    </w:lvl>
  </w:abstractNum>
  <w:abstractNum w:abstractNumId="6">
    <w:nsid w:val="70C6A529"/>
    <w:multiLevelType w:val="hybridMultilevel"/>
    <w:lvl w:ilvl="0">
      <w:lvlJc w:val="left"/>
      <w:lvlText w:val="(%1)"/>
      <w:numFmt w:val="lowerLetter"/>
      <w:start w:val="1"/>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1"/>
    </w:lvl>
  </w:abstractNum>
  <w:abstractNum w:abstractNumId="9">
    <w:nsid w:val="4F4EF005"/>
    <w:multiLevelType w:val="hybridMultilevel"/>
    <w:lvl w:ilvl="0">
      <w:lvlJc w:val="left"/>
      <w:lvlText w:val="(%1)"/>
      <w:numFmt w:val="decimal"/>
      <w:start w:val="5"/>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2"/>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lowerLetter"/>
      <w:start w:val="1"/>
    </w:lvl>
  </w:abstractNum>
  <w:abstractNum w:abstractNumId="15">
    <w:nsid w:val="180115BE"/>
    <w:multiLevelType w:val="hybridMultilevel"/>
    <w:lvl w:ilvl="0">
      <w:lvlJc w:val="left"/>
      <w:lvlText w:val="(%1)"/>
      <w:numFmt w:val="decimal"/>
      <w:start w:val="6"/>
    </w:lvl>
  </w:abstractNum>
  <w:abstractNum w:abstractNumId="16">
    <w:nsid w:val="235BA861"/>
    <w:multiLevelType w:val="hybridMultilevel"/>
    <w:lvl w:ilvl="0">
      <w:lvlJc w:val="left"/>
      <w:lvlText w:val="(%1)"/>
      <w:numFmt w:val="lowerLetter"/>
      <w:start w:val="1"/>
    </w:lvl>
  </w:abstractNum>
  <w:abstractNum w:abstractNumId="17">
    <w:nsid w:val="47398C89"/>
    <w:multiLevelType w:val="hybridMultilevel"/>
    <w:lvl w:ilvl="0">
      <w:lvlJc w:val="left"/>
      <w:lvlText w:val="(%1)"/>
      <w:numFmt w:val="lowerLetter"/>
      <w:start w:val="1"/>
    </w:lvl>
  </w:abstractNum>
  <w:abstractNum w:abstractNumId="18">
    <w:nsid w:val="354FE9F9"/>
    <w:multiLevelType w:val="hybridMultilevel"/>
    <w:lvl w:ilvl="0">
      <w:lvlJc w:val="left"/>
      <w:lvlText w:val="(%1)"/>
      <w:numFmt w:val="decimal"/>
      <w:start w:val="8"/>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1"/>
    </w:lvl>
    <w:lvl w:ilvl="1">
      <w:lvlJc w:val="left"/>
      <w:lvlText w:val="(%2)"/>
      <w:numFmt w:val="decimal"/>
      <w:start w:val="1"/>
    </w:lvl>
  </w:abstractNum>
  <w:abstractNum w:abstractNumId="21">
    <w:nsid w:val="D34B6A8"/>
    <w:multiLevelType w:val="hybridMultilevel"/>
    <w:lvl w:ilvl="0">
      <w:lvlJc w:val="left"/>
      <w:lvlText w:val="(%1)"/>
      <w:numFmt w:val="lowerLetter"/>
      <w:start w:val="3"/>
    </w:lvl>
    <w:lvl w:ilvl="1">
      <w:lvlJc w:val="left"/>
      <w:lvlText w:val="%2"/>
      <w:numFmt w:val="decimal"/>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decimal"/>
      <w:start w:val="9"/>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decimal"/>
      <w:start w:val="10"/>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1)"/>
      <w:numFmt w:val="decimal"/>
      <w:start w:val="1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decimal"/>
      <w:start w:val="12"/>
    </w:lvl>
  </w:abstractNum>
  <w:abstractNum w:abstractNumId="30">
    <w:nsid w:val="2F305DEF"/>
    <w:multiLevelType w:val="hybridMultilevel"/>
    <w:lvl w:ilvl="0">
      <w:lvlJc w:val="left"/>
      <w:lvlText w:val="(%1)"/>
      <w:numFmt w:val="decimal"/>
      <w:start w:val="13"/>
    </w:lvl>
  </w:abstractNum>
  <w:abstractNum w:abstractNumId="31">
    <w:nsid w:val="25A70BF7"/>
    <w:multiLevelType w:val="hybridMultilevel"/>
    <w:lvl w:ilvl="0">
      <w:lvlJc w:val="left"/>
      <w:lvlText w:val="(%1)"/>
      <w:numFmt w:val="decimal"/>
      <w:start w:val="14"/>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decimal"/>
      <w:start w:val="15"/>
    </w:lvl>
  </w:abstractNum>
  <w:abstractNum w:abstractNumId="34">
    <w:nsid w:val="1F48EAA1"/>
    <w:multiLevelType w:val="hybridMultilevel"/>
    <w:lvl w:ilvl="0">
      <w:lvlJc w:val="left"/>
      <w:lvlText w:val="•"/>
      <w:numFmt w:val="bullet"/>
      <w:start w:val="1"/>
    </w:lvl>
    <w:lvl w:ilvl="1">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2"/>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decimal"/>
      <w:start w:val="16"/>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1)"/>
      <w:numFmt w:val="lowerRoman"/>
      <w:start w:val="1"/>
    </w:lvl>
  </w:abstractNum>
  <w:abstractNum w:abstractNumId="50">
    <w:nsid w:val="7BD3EE7B"/>
    <w:multiLevelType w:val="hybridMultilevel"/>
    <w:lvl w:ilvl="0">
      <w:lvlJc w:val="left"/>
      <w:lvlText w:val="(%1)"/>
      <w:numFmt w:val="lowerLetter"/>
      <w:start w:val="1"/>
    </w:lvl>
  </w:abstractNum>
  <w:abstractNum w:abstractNumId="51">
    <w:nsid w:val="51D9C564"/>
    <w:multiLevelType w:val="hybridMultilevel"/>
    <w:lvl w:ilvl="0">
      <w:lvlJc w:val="left"/>
      <w:lvlText w:val="(%1)"/>
      <w:numFmt w:val="lowerLetter"/>
      <w:start w:val="1"/>
    </w:lvl>
    <w:lvl w:ilvl="1">
      <w:lvlJc w:val="left"/>
      <w:lvlText w:val="(%2)"/>
      <w:numFmt w:val="lowerLetter"/>
      <w:start w:val="1"/>
    </w:lvl>
  </w:abstractNum>
  <w:abstractNum w:abstractNumId="52">
    <w:nsid w:val="613EFDC5"/>
    <w:multiLevelType w:val="hybridMultilevel"/>
    <w:lvl w:ilvl="0">
      <w:lvlJc w:val="left"/>
      <w:lvlText w:val="%1"/>
      <w:numFmt w:val="lowerLetter"/>
      <w:start w:val="1"/>
    </w:lvl>
    <w:lvl w:ilvl="1">
      <w:lvlJc w:val="left"/>
      <w:lvlText w:val="(%2)"/>
      <w:numFmt w:val="lowerLetter"/>
      <w:start w:val="61"/>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Roman"/>
      <w:start w:val="3"/>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4"/>
    </w:lvl>
  </w:abstractNum>
  <w:abstractNum w:abstractNumId="78">
    <w:nsid w:val="3222E7CD"/>
    <w:multiLevelType w:val="hybridMultilevel"/>
    <w:lvl w:ilvl="0">
      <w:lvlJc w:val="left"/>
      <w:lvlText w:val="(%1)"/>
      <w:numFmt w:val="lowerLetter"/>
      <w:start w:val="3"/>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Roman"/>
      <w:start w:val="1"/>
    </w:lvl>
  </w:abstractNum>
  <w:abstractNum w:abstractNumId="82">
    <w:nsid w:val="46B7D447"/>
    <w:multiLevelType w:val="hybridMultilevel"/>
    <w:lvl w:ilvl="0">
      <w:lvlJc w:val="left"/>
      <w:lvlText w:val="(%1)"/>
      <w:numFmt w:val="lowerRoman"/>
      <w:start w:val="1"/>
    </w:lvl>
  </w:abstractNum>
  <w:abstractNum w:abstractNumId="83">
    <w:nsid w:val="4A2AC315"/>
    <w:multiLevelType w:val="hybridMultilevel"/>
    <w:lvl w:ilvl="0">
      <w:lvlJc w:val="left"/>
      <w:lvlText w:val="(%1)"/>
      <w:numFmt w:val="lowerRoman"/>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3"/>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1"/>
    </w:lvl>
    <w:lvl w:ilvl="1">
      <w:lvlJc w:val="left"/>
      <w:lvlText w:val="%2)"/>
      <w:numFmt w:val="lowerLetter"/>
      <w:start w:val="1"/>
    </w:lvl>
  </w:abstractNum>
  <w:abstractNum w:abstractNumId="92">
    <w:nsid w:val="7055A5F5"/>
    <w:multiLevelType w:val="hybridMultilevel"/>
    <w:lvl w:ilvl="0">
      <w:lvlJc w:val="left"/>
      <w:lvlText w:val="%1."/>
      <w:numFmt w:val="decimal"/>
      <w:start w:val="1"/>
    </w:lvl>
    <w:lvl w:ilvl="1">
      <w:lvlJc w:val="left"/>
      <w:lvlText w:val="%2)"/>
      <w:numFmt w:val="lowerLetter"/>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decimal"/>
      <w:start w:val="2"/>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3"/>
    </w:lvl>
  </w:abstractNum>
  <w:abstractNum w:abstractNumId="98">
    <w:nsid w:val="7672BD2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2019-12-29T06:48:03Z</dcterms:created>
  <dcterms:modified xsi:type="dcterms:W3CDTF">2019-12-29T06:48:03Z</dcterms:modified>
</cp:coreProperties>
</file>