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-199390</wp:posOffset>
            </wp:positionV>
            <wp:extent cx="2905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186055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180340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163195</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276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England and Wales</w:t>
            </w:r>
          </w:p>
        </w:tc>
        <w:tc>
          <w:tcPr>
            <w:tcW w:w="4100" w:type="dxa"/>
            <w:vAlign w:val="bottom"/>
          </w:tcPr>
          <w:p>
            <w:pPr>
              <w:jc w:val="right"/>
              <w:ind w:right="1699"/>
              <w:spacing w:after="0"/>
              <w:rPr>
                <w:sz w:val="20"/>
                <w:szCs w:val="20"/>
                <w:color w:val="auto"/>
              </w:rPr>
            </w:pPr>
            <w:r>
              <w:rPr>
                <w:rFonts w:ascii="Arial" w:cs="Arial" w:eastAsia="Arial" w:hAnsi="Arial"/>
                <w:sz w:val="16"/>
                <w:szCs w:val="16"/>
                <w:b w:val="1"/>
                <w:bCs w:val="1"/>
                <w:color w:val="auto"/>
              </w:rPr>
              <w:t>001-35961</w:t>
            </w:r>
          </w:p>
        </w:tc>
        <w:tc>
          <w:tcPr>
            <w:tcW w:w="2300" w:type="dxa"/>
            <w:vAlign w:val="bottom"/>
          </w:tcPr>
          <w:p>
            <w:pPr>
              <w:jc w:val="center"/>
              <w:ind w:left="1179"/>
              <w:spacing w:after="0"/>
              <w:rPr>
                <w:sz w:val="20"/>
                <w:szCs w:val="20"/>
                <w:color w:val="auto"/>
              </w:rPr>
            </w:pPr>
            <w:r>
              <w:rPr>
                <w:rFonts w:ascii="Arial" w:cs="Arial" w:eastAsia="Arial" w:hAnsi="Arial"/>
                <w:sz w:val="16"/>
                <w:szCs w:val="16"/>
                <w:b w:val="1"/>
                <w:bCs w:val="1"/>
                <w:color w:val="auto"/>
                <w:w w:val="88"/>
              </w:rPr>
              <w:t>98-1112770</w:t>
            </w:r>
          </w:p>
        </w:tc>
      </w:tr>
      <w:tr>
        <w:trPr>
          <w:trHeight w:val="253"/>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3"/>
              </w:rPr>
              <w:t>(State or other jurisdiction</w:t>
            </w:r>
          </w:p>
        </w:tc>
        <w:tc>
          <w:tcPr>
            <w:tcW w:w="4100" w:type="dxa"/>
            <w:vAlign w:val="bottom"/>
          </w:tcPr>
          <w:p>
            <w:pPr>
              <w:jc w:val="center"/>
              <w:ind w:right="99"/>
              <w:spacing w:after="0"/>
              <w:rPr>
                <w:sz w:val="20"/>
                <w:szCs w:val="20"/>
                <w:color w:val="auto"/>
              </w:rPr>
            </w:pPr>
            <w:r>
              <w:rPr>
                <w:rFonts w:ascii="Arial" w:cs="Arial" w:eastAsia="Arial" w:hAnsi="Arial"/>
                <w:sz w:val="16"/>
                <w:szCs w:val="16"/>
                <w:color w:val="auto"/>
                <w:w w:val="94"/>
              </w:rPr>
              <w:t>(Commission File Number)</w:t>
            </w: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6"/>
              </w:rPr>
              <w:t>(IRS Employer</w:t>
            </w:r>
          </w:p>
        </w:tc>
      </w:tr>
      <w:tr>
        <w:trPr>
          <w:trHeight w:val="206"/>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5"/>
              </w:rPr>
              <w:t>of incorporation)</w:t>
            </w:r>
          </w:p>
        </w:tc>
        <w:tc>
          <w:tcPr>
            <w:tcW w:w="4100" w:type="dxa"/>
            <w:vAlign w:val="bottom"/>
          </w:tcPr>
          <w:p>
            <w:pPr>
              <w:spacing w:after="0"/>
              <w:rPr>
                <w:sz w:val="17"/>
                <w:szCs w:val="17"/>
                <w:color w:val="auto"/>
              </w:rPr>
            </w:pP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5"/>
              </w:rPr>
              <w:t>Identification #)</w:t>
            </w:r>
          </w:p>
        </w:tc>
      </w:tr>
    </w:tbl>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220" w:type="dxa"/>
            <w:vAlign w:val="bottom"/>
          </w:tcPr>
          <w:p>
            <w:pPr>
              <w:jc w:val="center"/>
              <w:ind w:right="599"/>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78"/>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A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6"/>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B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7"/>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C ordinary shares</w:t>
            </w:r>
          </w:p>
        </w:tc>
        <w:tc>
          <w:tcPr>
            <w:tcW w:w="2460" w:type="dxa"/>
            <w:vAlign w:val="bottom"/>
          </w:tcPr>
          <w:p>
            <w:pPr>
              <w:jc w:val="center"/>
              <w:ind w:left="7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bl>
    <w:p>
      <w:pPr>
        <w:spacing w:after="0" w:line="3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Compensatory Arrangements of Certain Officers.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Liberty Global plc’s compensation arrangements with its management consist of cash compensation by salary, an annual bonus plan and multiyear long term equity incentive plans which have included awards of performance share units, restricted share units and share appreciation rights (</w:t>
      </w:r>
      <w:r>
        <w:rPr>
          <w:rFonts w:ascii="Arial" w:cs="Arial" w:eastAsia="Arial" w:hAnsi="Arial"/>
          <w:sz w:val="16"/>
          <w:szCs w:val="16"/>
          <w:b w:val="1"/>
          <w:bCs w:val="1"/>
          <w:color w:val="auto"/>
        </w:rPr>
        <w:t>SAR</w:t>
      </w:r>
      <w:r>
        <w:rPr>
          <w:rFonts w:ascii="Arial" w:cs="Arial" w:eastAsia="Arial" w:hAnsi="Arial"/>
          <w:sz w:val="16"/>
          <w:szCs w:val="16"/>
          <w:color w:val="auto"/>
        </w:rPr>
        <w:t>s). The Company’s long-term incentive plans serve the goals of incentivizing management to achieve share price growth aligned with the Company’s shareholders and promoting employee retention. References to “we”, “our”, “our company”, the “Company” and “us” refers to Liberty Global plc.</w:t>
      </w:r>
    </w:p>
    <w:p>
      <w:pPr>
        <w:spacing w:after="0" w:line="157"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The Company’s SARs have historically been issued with seven-year contractual terms. In 2019, the Company changed its policy to provide that all new equity grants would have ten-year contractual terms in order to more closely align with common market practice. Effective on April 21, 2020, the Company’s Compensation Committee and its Board of Directors approved the extension of the expiration dates of SARs and director options granted in 2013 from the seventh anniversary to the tenth anniversary of the original grants to align with the terms of more recent grants of SARs and options and to further incentivize the achievement of Company objectives. The extension of the SAR expiration dates applies to SARs owned by individuals who were employees of the Company as of April 21, 2020. The exercise prices of the 2013 SARs and options will not change; they have exercise prices ranging from $27.71 to $32.20 in Class A ordinary shares and $25.84 to $31.76 in Class C ordinary shares (after taking into account adjustments for stock splits, share dividends, etc.). For the Company’s executive officers, the exact number of SARs and their exercise prices are shown in Form 4 filings previously made.</w:t>
      </w:r>
    </w:p>
    <w:p>
      <w:pPr>
        <w:sectPr>
          <w:pgSz w:w="11900" w:h="16838" w:orient="portrait"/>
          <w:cols w:equalWidth="0" w:num="1">
            <w:col w:w="11240"/>
          </w:cols>
          <w:pgMar w:left="320" w:top="553"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8"/>
          <w:szCs w:val="18"/>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31750</wp:posOffset>
            </wp:positionV>
            <wp:extent cx="2768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Randy L. Lazzell</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2020</w:t>
      </w:r>
    </w:p>
    <w:sectPr>
      <w:pgSz w:w="11900" w:h="16838" w:orient="portrait"/>
      <w:cols w:equalWidth="0" w:num="1">
        <w:col w:w="10680"/>
      </w:cols>
      <w:pgMar w:left="320" w:top="55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2020-04-23T15:36:12Z</dcterms:created>
  <dcterms:modified xsi:type="dcterms:W3CDTF">2020-04-23T15:36:12Z</dcterms:modified>
</cp:coreProperties>
</file>