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3"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58"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8" w:lineRule="exact"/>
        <w:rPr>
          <w:sz w:val="24"/>
          <w:szCs w:val="24"/>
          <w:color w:val="auto"/>
        </w:rPr>
      </w:pPr>
    </w:p>
    <w:p>
      <w:pPr>
        <w:ind w:left="880"/>
        <w:spacing w:after="0"/>
        <w:tabs>
          <w:tab w:leader="none" w:pos="38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47625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Liberty Global Ltd.</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7" w:lineRule="exact"/>
        <w:rPr>
          <w:sz w:val="24"/>
          <w:szCs w:val="24"/>
          <w:color w:val="auto"/>
        </w:rPr>
      </w:pPr>
    </w:p>
    <w:tbl>
      <w:tblPr>
        <w:tblLayout w:type="fixed"/>
        <w:tblInd w:w="3020" w:type="dxa"/>
        <w:tblCellMar>
          <w:top w:w="0" w:type="dxa"/>
          <w:left w:w="0" w:type="dxa"/>
          <w:bottom w:w="0" w:type="dxa"/>
          <w:right w:w="0" w:type="dxa"/>
        </w:tblCellMar>
      </w:tblPr>
      <w:tr>
        <w:trPr>
          <w:trHeight w:val="178"/>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b w:val="1"/>
                <w:bCs w:val="1"/>
                <w:color w:val="auto"/>
              </w:rPr>
              <w:t>Bermuda</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b w:val="1"/>
                <w:bCs w:val="1"/>
                <w:color w:val="auto"/>
              </w:rPr>
              <w:t>98-1750381</w:t>
            </w:r>
          </w:p>
        </w:tc>
      </w:tr>
      <w:tr>
        <w:trPr>
          <w:trHeight w:val="149"/>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i w:val="1"/>
                <w:iCs w:val="1"/>
                <w:color w:val="auto"/>
              </w:rPr>
              <w:t>(I.R.S. Employer</w:t>
            </w:r>
          </w:p>
        </w:tc>
      </w:tr>
      <w:tr>
        <w:trPr>
          <w:trHeight w:val="176"/>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p>
        </w:tc>
        <w:tc>
          <w:tcPr>
            <w:tcW w:w="2100" w:type="dxa"/>
            <w:vAlign w:val="bottom"/>
          </w:tcPr>
          <w:p>
            <w:pPr>
              <w:jc w:val="center"/>
              <w:ind w:left="1033"/>
              <w:spacing w:after="0"/>
              <w:rPr>
                <w:sz w:val="20"/>
                <w:szCs w:val="20"/>
                <w:color w:val="auto"/>
              </w:rPr>
            </w:pPr>
            <w:r>
              <w:rPr>
                <w:rFonts w:ascii="Times New Roman" w:cs="Times New Roman" w:eastAsia="Times New Roman" w:hAnsi="Times New Roman"/>
                <w:sz w:val="13"/>
                <w:szCs w:val="13"/>
                <w:i w:val="1"/>
                <w:iCs w:val="1"/>
                <w:color w:val="auto"/>
              </w:rPr>
              <w:t>Identification No.)</w:t>
            </w:r>
          </w:p>
        </w:tc>
      </w:tr>
    </w:tbl>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Clarendon House, 2 Church Street, Hamilton HM 11, Bermuda</w:t>
      </w:r>
    </w:p>
    <w:p>
      <w:pPr>
        <w:spacing w:after="0" w:line="9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10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+1.303.220.6600</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6" w:lineRule="exact"/>
        <w:rPr>
          <w:sz w:val="24"/>
          <w:szCs w:val="24"/>
          <w:color w:val="auto"/>
        </w:rPr>
      </w:pPr>
    </w:p>
    <w:tbl>
      <w:tblPr>
        <w:tblLayout w:type="fixed"/>
        <w:tblInd w:w="1740" w:type="dxa"/>
        <w:tblCellMar>
          <w:top w:w="0" w:type="dxa"/>
          <w:left w:w="0" w:type="dxa"/>
          <w:bottom w:w="0" w:type="dxa"/>
          <w:right w:w="0" w:type="dxa"/>
        </w:tblCellMar>
      </w:tblPr>
      <w:tr>
        <w:trPr>
          <w:trHeight w:val="212"/>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70"/>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A common shares</w:t>
            </w:r>
          </w:p>
        </w:tc>
        <w:tc>
          <w:tcPr>
            <w:tcW w:w="2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LBTYA</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B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LBTYB</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C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LBTYK</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49"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p>
      <w:pPr>
        <w:ind w:left="31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3460"/>
        <w:spacing w:after="0" w:line="219" w:lineRule="exact"/>
        <w:tabs>
          <w:tab w:leader="none" w:pos="568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9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1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number of outstanding common shares of Liberty Global Ltd. as of July 18, 2024 was: 172,675,438 class A common shares, 12,988,658 class B common shares and 179,780,765 class C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00" w:type="dxa"/>
            <w:vAlign w:val="bottom"/>
            <w:gridSpan w:val="10"/>
            <w:vMerge w:val="restart"/>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700" w:type="dxa"/>
            <w:vAlign w:val="bottom"/>
            <w:gridSpan w:val="10"/>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70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 as of June 30, 2024 and December 31, 2023 (unaudited)</w:t>
            </w:r>
          </w:p>
        </w:tc>
        <w:tc>
          <w:tcPr>
            <w:tcW w:w="2280" w:type="dxa"/>
            <w:vAlign w:val="bottom"/>
            <w:gridSpan w:val="5"/>
          </w:tcPr>
          <w:p>
            <w:pPr>
              <w:spacing w:after="0"/>
              <w:rPr>
                <w:sz w:val="16"/>
                <w:szCs w:val="16"/>
                <w:color w:val="auto"/>
              </w:rPr>
            </w:pPr>
          </w:p>
        </w:tc>
        <w:tc>
          <w:tcPr>
            <w:tcW w:w="480" w:type="dxa"/>
            <w:vAlign w:val="bottom"/>
            <w:gridSpan w:val="2"/>
          </w:tcPr>
          <w:p>
            <w:pPr>
              <w:jc w:val="center"/>
              <w:ind w:left="311"/>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 (unaudited)</w:t>
            </w: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tcPr>
          <w:p>
            <w:pPr>
              <w:spacing w:after="0"/>
              <w:rPr>
                <w:sz w:val="19"/>
                <w:szCs w:val="19"/>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 for the Three and Six Months Ended June 30, 2024 and</w:t>
            </w:r>
          </w:p>
        </w:tc>
        <w:tc>
          <w:tcPr>
            <w:tcW w:w="480" w:type="dxa"/>
            <w:vAlign w:val="bottom"/>
            <w:gridSpan w:val="2"/>
            <w:vMerge w:val="restart"/>
          </w:tcPr>
          <w:p>
            <w:pPr>
              <w:jc w:val="center"/>
              <w:ind w:left="311"/>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640" w:type="dxa"/>
            <w:vAlign w:val="bottom"/>
            <w:tcBorders>
              <w:top w:val="single" w:sz="8" w:color="0000FF"/>
            </w:tcBorders>
            <w:gridSpan w:val="5"/>
          </w:tcPr>
          <w:p>
            <w:pPr>
              <w:spacing w:after="0" w:line="136" w:lineRule="exact"/>
              <w:rPr>
                <w:sz w:val="20"/>
                <w:szCs w:val="20"/>
                <w:color w:val="auto"/>
              </w:rPr>
            </w:pPr>
            <w:r>
              <w:rPr>
                <w:rFonts w:ascii="Times New Roman" w:cs="Times New Roman" w:eastAsia="Times New Roman" w:hAnsi="Times New Roman"/>
                <w:sz w:val="15"/>
                <w:szCs w:val="15"/>
                <w:color w:val="0000FF"/>
              </w:rPr>
              <w:t>2023 (unaudited)</w:t>
            </w:r>
          </w:p>
        </w:tc>
        <w:tc>
          <w:tcPr>
            <w:tcW w:w="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2180" w:type="dxa"/>
            <w:vAlign w:val="bottom"/>
            <w:tcBorders>
              <w:top w:val="single" w:sz="8" w:color="0000FF"/>
            </w:tcBorders>
            <w:gridSpan w:val="2"/>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1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86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for the Three and Six Months Ended June 30, 2024 and 2023 (unaudited)</w:t>
            </w:r>
          </w:p>
        </w:tc>
        <w:tc>
          <w:tcPr>
            <w:tcW w:w="640" w:type="dxa"/>
            <w:vAlign w:val="bottom"/>
            <w:gridSpan w:val="3"/>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 (unaudited)</w:t>
            </w:r>
          </w:p>
        </w:tc>
        <w:tc>
          <w:tcPr>
            <w:tcW w:w="40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4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380" w:type="dxa"/>
            <w:vAlign w:val="bottom"/>
            <w:gridSpan w:val="4"/>
          </w:tcPr>
          <w:p>
            <w:pPr>
              <w:spacing w:after="0"/>
              <w:rPr>
                <w:sz w:val="18"/>
                <w:szCs w:val="18"/>
                <w:color w:val="auto"/>
              </w:rPr>
            </w:pPr>
          </w:p>
        </w:tc>
        <w:tc>
          <w:tcPr>
            <w:tcW w:w="1040" w:type="dxa"/>
            <w:vAlign w:val="bottom"/>
            <w:gridSpan w:val="4"/>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380" w:type="dxa"/>
            <w:vAlign w:val="bottom"/>
            <w:gridSpan w:val="2"/>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2"/>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6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6700" w:type="dxa"/>
            <w:vAlign w:val="bottom"/>
            <w:gridSpan w:val="10"/>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LEGAL PROCEEDINGS</w:t>
            </w:r>
          </w:p>
        </w:tc>
        <w:tc>
          <w:tcPr>
            <w:tcW w:w="7420" w:type="dxa"/>
            <w:vAlign w:val="bottom"/>
            <w:gridSpan w:val="11"/>
          </w:tcPr>
          <w:p>
            <w:pPr>
              <w:spacing w:after="0"/>
              <w:rPr>
                <w:sz w:val="16"/>
                <w:szCs w:val="16"/>
                <w:color w:val="auto"/>
              </w:rPr>
            </w:pPr>
          </w:p>
        </w:tc>
        <w:tc>
          <w:tcPr>
            <w:tcW w:w="8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20" w:type="dxa"/>
            <w:vAlign w:val="bottom"/>
            <w:gridSpan w:val="6"/>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42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1"/>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1229"/>
        </w:trPr>
        <w:tc>
          <w:tcPr>
            <w:tcW w:w="10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receivables, net (note 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(measured at fair value on a recurring basis) (note 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 (notes 3 and 4)</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5,641.6</w:t>
            </w:r>
          </w:p>
        </w:tc>
      </w:tr>
      <w:tr>
        <w:trPr>
          <w:trHeight w:val="176"/>
        </w:trPr>
        <w:tc>
          <w:tcPr>
            <w:tcW w:w="8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and related notes receivable (including $3,465.0 million and $3,408.5 million, respectively, measured</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 on a recurring basis) (note 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(notes 7 and 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7,360.2</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(note 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 assets (note 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 (notes 3 and 5)</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42,087.9</w:t>
            </w: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(note 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 (notes 8 and 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 (note 9)</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(notes 8 and 9)</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14,959.1</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(note 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(notes 3 and 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2,136.5</w:t>
            </w:r>
          </w:p>
        </w:tc>
      </w:tr>
      <w:tr>
        <w:trPr>
          <w:trHeight w:val="223"/>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23,080.5</w:t>
            </w:r>
          </w:p>
        </w:tc>
      </w:tr>
      <w:tr>
        <w:trPr>
          <w:trHeight w:val="196"/>
        </w:trPr>
        <w:tc>
          <w:tcPr>
            <w:tcW w:w="8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5, 8, 9, 10 and 14)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(note 11):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shares, $0.01 nominal value. Issued and outstanding 172,674,174 and 171,463,760 shares,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5"/>
        </w:trPr>
        <w:tc>
          <w:tcPr>
            <w:tcW w:w="8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shares, $0.01 nominal value. Issued and outstanding 12,988,658 and 12,988,658 shares,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C common shares, $0.01 nominal value. Issued and outstanding 181,568,240 and 198,153,613 shares,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15,566.0</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shares, at cost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19,062.6</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3"/>
        </w:trPr>
        <w:tc>
          <w:tcPr>
            <w:tcW w:w="8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19,007.4</w:t>
            </w:r>
          </w:p>
        </w:tc>
      </w:tr>
      <w:tr>
        <w:trPr>
          <w:trHeight w:val="248"/>
        </w:trPr>
        <w:tc>
          <w:tcPr>
            <w:tcW w:w="84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42,087.9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6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(notes 3, 4 and 15)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155"/>
        </w:trPr>
        <w:tc>
          <w:tcPr>
            <w:tcW w:w="61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w:t>
            </w: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other direct costs of services (note 9)</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0" w:type="dxa"/>
            <w:vAlign w:val="bottom"/>
          </w:tcPr>
          <w:p>
            <w:pPr>
              <w:spacing w:after="0"/>
              <w:rPr>
                <w:sz w:val="1"/>
                <w:szCs w:val="1"/>
                <w:color w:val="auto"/>
              </w:rPr>
            </w:pP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(notes 9 and 12)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(notes 9 and 12)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0" w:type="dxa"/>
            <w:vAlign w:val="bottom"/>
          </w:tcPr>
          <w:p>
            <w:pPr>
              <w:spacing w:after="0"/>
              <w:rPr>
                <w:sz w:val="1"/>
                <w:szCs w:val="1"/>
                <w:color w:val="auto"/>
              </w:rPr>
            </w:pP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 9)</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3,728.2</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 (note 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176"/>
        </w:trPr>
        <w:tc>
          <w:tcPr>
            <w:tcW w:w="6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net (notes 4 and 6)</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 (note 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All3Media (note 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(note 10)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Basic earnings (loss) attributable to Liberty Global shareholders per share (note 13)</w:t>
            </w:r>
          </w:p>
        </w:tc>
        <w:tc>
          <w:tcPr>
            <w:tcW w:w="28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0.72</w:t>
            </w:r>
          </w:p>
        </w:tc>
        <w:tc>
          <w:tcPr>
            <w:tcW w:w="460" w:type="dxa"/>
            <w:vAlign w:val="bottom"/>
            <w:gridSpan w:val="2"/>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60"/>
              <w:spacing w:after="0" w:line="163" w:lineRule="exact"/>
              <w:rPr>
                <w:sz w:val="20"/>
                <w:szCs w:val="20"/>
                <w:color w:val="auto"/>
              </w:rPr>
            </w:pPr>
            <w:r>
              <w:rPr>
                <w:rFonts w:ascii="Times New Roman" w:cs="Times New Roman" w:eastAsia="Times New Roman" w:hAnsi="Times New Roman"/>
                <w:sz w:val="18"/>
                <w:szCs w:val="18"/>
                <w:color w:val="auto"/>
              </w:rPr>
              <w:t>Diluted earnings (loss) attributable to Liberty Global shareholders per share (note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120" w:type="dxa"/>
            <w:vAlign w:val="bottom"/>
            <w:vMerge w:val="continue"/>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06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r>
      <w:tr>
        <w:trPr>
          <w:trHeight w:val="229"/>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included in net earnings (loss)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w:t>
            </w:r>
          </w:p>
        </w:tc>
      </w:tr>
      <w:tr>
        <w:trPr>
          <w:trHeight w:val="223"/>
        </w:trPr>
        <w:tc>
          <w:tcPr>
            <w:tcW w:w="6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(earnings)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62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Comprehensive earnings (loss) attributable to Liberty Global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2"/>
                <w:szCs w:val="12"/>
                <w:color w:val="auto"/>
              </w:rPr>
            </w:pPr>
          </w:p>
        </w:tc>
        <w:tc>
          <w:tcPr>
            <w:tcW w:w="68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2023</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22,573.4</w:t>
            </w:r>
          </w:p>
        </w:tc>
        <w:tc>
          <w:tcPr>
            <w:tcW w:w="0" w:type="dxa"/>
            <w:vAlign w:val="bottom"/>
          </w:tcPr>
          <w:p>
            <w:pPr>
              <w:spacing w:after="0"/>
              <w:rPr>
                <w:sz w:val="1"/>
                <w:szCs w:val="1"/>
                <w:color w:val="auto"/>
              </w:rPr>
            </w:pPr>
          </w:p>
        </w:tc>
      </w:tr>
      <w:tr>
        <w:trPr>
          <w:trHeight w:val="213"/>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0" w:type="dxa"/>
            <w:vAlign w:val="bottom"/>
          </w:tcPr>
          <w:p>
            <w:pPr>
              <w:spacing w:after="0"/>
              <w:rPr>
                <w:sz w:val="1"/>
                <w:szCs w:val="1"/>
                <w:color w:val="auto"/>
              </w:rPr>
            </w:pPr>
          </w:p>
        </w:tc>
      </w:tr>
      <w:tr>
        <w:trPr>
          <w:trHeight w:val="213"/>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 11)</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12)</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3"/>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18,896.3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22,369.5</w:t>
            </w:r>
          </w:p>
        </w:tc>
        <w:tc>
          <w:tcPr>
            <w:tcW w:w="0" w:type="dxa"/>
            <w:vAlign w:val="bottom"/>
          </w:tcPr>
          <w:p>
            <w:pPr>
              <w:spacing w:after="0"/>
              <w:rPr>
                <w:sz w:val="1"/>
                <w:szCs w:val="1"/>
                <w:color w:val="auto"/>
              </w:rPr>
            </w:pPr>
          </w:p>
        </w:tc>
      </w:tr>
      <w:tr>
        <w:trPr>
          <w:trHeight w:val="214"/>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0" w:type="dxa"/>
            <w:vAlign w:val="bottom"/>
          </w:tcPr>
          <w:p>
            <w:pPr>
              <w:spacing w:after="0"/>
              <w:rPr>
                <w:sz w:val="1"/>
                <w:szCs w:val="1"/>
                <w:color w:val="auto"/>
              </w:rPr>
            </w:pPr>
          </w:p>
        </w:tc>
      </w:tr>
      <w:tr>
        <w:trPr>
          <w:trHeight w:val="164"/>
        </w:trPr>
        <w:tc>
          <w:tcPr>
            <w:tcW w:w="268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0" w:type="dxa"/>
            <w:vAlign w:val="bottom"/>
          </w:tcPr>
          <w:p>
            <w:pPr>
              <w:spacing w:after="0"/>
              <w:rPr>
                <w:sz w:val="1"/>
                <w:szCs w:val="1"/>
                <w:color w:val="auto"/>
              </w:rPr>
            </w:pPr>
          </w:p>
        </w:tc>
      </w:tr>
      <w:tr>
        <w:trPr>
          <w:trHeight w:val="213"/>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 11)</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12)</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62"/>
        </w:trPr>
        <w:tc>
          <w:tcPr>
            <w:tcW w:w="26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Dividend distributions by subsidiaries</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3"/>
        </w:trPr>
        <w:tc>
          <w:tcPr>
            <w:tcW w:w="2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 non-controlling interest owners</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18,396.7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21,856.2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21,940.7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6"/>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78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$ 19,007.4</w:t>
            </w:r>
          </w:p>
        </w:tc>
        <w:tc>
          <w:tcPr>
            <w:tcW w:w="0" w:type="dxa"/>
            <w:vAlign w:val="bottom"/>
          </w:tcPr>
          <w:p>
            <w:pPr>
              <w:spacing w:after="0"/>
              <w:rPr>
                <w:sz w:val="1"/>
                <w:szCs w:val="1"/>
                <w:color w:val="auto"/>
              </w:rPr>
            </w:pPr>
          </w:p>
        </w:tc>
      </w:tr>
      <w:tr>
        <w:trPr>
          <w:trHeight w:val="214"/>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12)</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18,391.4</w:t>
            </w:r>
          </w:p>
        </w:tc>
        <w:tc>
          <w:tcPr>
            <w:tcW w:w="0" w:type="dxa"/>
            <w:vAlign w:val="bottom"/>
          </w:tcPr>
          <w:p>
            <w:pPr>
              <w:spacing w:after="0"/>
              <w:rPr>
                <w:sz w:val="1"/>
                <w:szCs w:val="1"/>
                <w:color w:val="auto"/>
              </w:rPr>
            </w:pPr>
          </w:p>
        </w:tc>
      </w:tr>
      <w:tr>
        <w:trPr>
          <w:trHeight w:val="214"/>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12)</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$ 18,316.8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w:t>
            </w:r>
          </w:p>
        </w:tc>
      </w:tr>
      <w:tr>
        <w:trPr>
          <w:trHeight w:val="230"/>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29"/>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29"/>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 investments,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All3Media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9"/>
        </w:trPr>
        <w:tc>
          <w:tcPr>
            <w:tcW w:w="8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r>
      <w:tr>
        <w:trPr>
          <w:trHeight w:val="250"/>
        </w:trPr>
        <w:tc>
          <w:tcPr>
            <w:tcW w:w="8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from the sale of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(5,383.6)</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in connection with the sale of All3Media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distributions received from the VMO2 JV</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30"/>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 w:name="page10"/>
    <w:bookmarkEnd w:id="9"/>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5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r>
      <w:tr>
        <w:trPr>
          <w:trHeight w:val="166"/>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of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and repurchases of debt and finance lease obligations: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Debt (excluding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29"/>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paid related to derivative instruments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distributions by subsidiaries to noncontrolling interest owners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37"/>
        </w:trPr>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30"/>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w:t>
            </w:r>
          </w:p>
        </w:tc>
      </w:tr>
      <w:tr>
        <w:trPr>
          <w:trHeight w:val="229"/>
        </w:trPr>
        <w:tc>
          <w:tcPr>
            <w:tcW w:w="8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increase (decrease)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8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8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468.1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428.8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cash paid for taxes</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Details of end of period cash and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w:t>
            </w:r>
          </w:p>
        </w:tc>
      </w:tr>
      <w:tr>
        <w:trPr>
          <w:trHeight w:val="23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assets,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Liberty Global Ltd.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an international provider of broadband internet, video, fixed-line telephony and mobile communications services to residential customers and businesses in Europe.</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 w:cs="Times New Roman" w:eastAsia="Times New Roman" w:hAnsi="Times New Roman"/>
          <w:sz w:val="18"/>
          <w:szCs w:val="18"/>
          <w:b w:val="1"/>
          <w:bCs w:val="1"/>
          <w:color w:val="auto"/>
        </w:rPr>
        <w:t>Virgin Media</w:t>
      </w:r>
      <w:r>
        <w:rPr>
          <w:rFonts w:ascii="Times New Roman" w:cs="Times New Roman" w:eastAsia="Times New Roman" w:hAnsi="Times New Roman"/>
          <w:sz w:val="18"/>
          <w:szCs w:val="18"/>
          <w:color w:val="auto"/>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 w:cs="Times New Roman" w:eastAsia="Times New Roman" w:hAnsi="Times New Roman"/>
          <w:sz w:val="18"/>
          <w:szCs w:val="18"/>
          <w:b w:val="1"/>
          <w:bCs w:val="1"/>
          <w:color w:val="auto"/>
        </w:rPr>
        <w:t>Redomiciliation</w:t>
      </w:r>
      <w:r>
        <w:rPr>
          <w:rFonts w:ascii="Times New Roman" w:cs="Times New Roman" w:eastAsia="Times New Roman" w:hAnsi="Times New Roman"/>
          <w:sz w:val="18"/>
          <w:szCs w:val="18"/>
          <w:color w:val="auto"/>
        </w:rPr>
        <w:t>). The Redomiciliation resulted in the Liberty Global group parent company changing its jurisdiction of incorporation from England and Wales to Bermuda. In these notes, except where context dictates otherwise, the terms “we”, “our”, “our company” and “us” may refer, as the context requires, to Liberty Global (or its predecessors) or collectively to Liberty Global (or its predecessors) and its subsidiaries and any of its joint ventures.</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businesses provide residential and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communications services in (i) Switzerland, which we refer to as “</w:t>
      </w:r>
      <w:r>
        <w:rPr>
          <w:rFonts w:ascii="Times New Roman" w:cs="Times New Roman" w:eastAsia="Times New Roman" w:hAnsi="Times New Roman"/>
          <w:sz w:val="18"/>
          <w:szCs w:val="18"/>
          <w:b w:val="1"/>
          <w:bCs w:val="1"/>
          <w:color w:val="auto"/>
        </w:rPr>
        <w:t>Sunrise</w:t>
      </w:r>
      <w:r>
        <w:rPr>
          <w:rFonts w:ascii="Times New Roman" w:cs="Times New Roman" w:eastAsia="Times New Roman" w:hAnsi="Times New Roman"/>
          <w:sz w:val="18"/>
          <w:szCs w:val="18"/>
          <w:color w:val="auto"/>
        </w:rPr>
        <w:t>”, and Slovakia through certain wholly-owned subsidiaries that we collectively refer to as “</w:t>
      </w:r>
      <w:r>
        <w:rPr>
          <w:rFonts w:ascii="Times New Roman" w:cs="Times New Roman" w:eastAsia="Times New Roman" w:hAnsi="Times New Roman"/>
          <w:sz w:val="18"/>
          <w:szCs w:val="18"/>
          <w:b w:val="1"/>
          <w:bCs w:val="1"/>
          <w:color w:val="auto"/>
        </w:rPr>
        <w:t>Sunrise Holding</w:t>
      </w:r>
      <w:r>
        <w:rPr>
          <w:rFonts w:ascii="Times New Roman" w:cs="Times New Roman" w:eastAsia="Times New Roman" w:hAnsi="Times New Roman"/>
          <w:sz w:val="18"/>
          <w:szCs w:val="18"/>
          <w:color w:val="auto"/>
        </w:rPr>
        <w:t>”, (ii) Belgium and Luxembourg through certain wholly-owned subsidiaries that we collectively refer to as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and (iii) Ireland through another wholly-owned subsidiary (</w:t>
      </w:r>
      <w:r>
        <w:rPr>
          <w:rFonts w:ascii="Times New Roman" w:cs="Times New Roman" w:eastAsia="Times New Roman" w:hAnsi="Times New Roman"/>
          <w:sz w:val="18"/>
          <w:szCs w:val="18"/>
          <w:b w:val="1"/>
          <w:bCs w:val="1"/>
          <w:color w:val="auto"/>
        </w:rPr>
        <w:t>VM Ireland</w:t>
      </w:r>
      <w:r>
        <w:rPr>
          <w:rFonts w:ascii="Times New Roman" w:cs="Times New Roman" w:eastAsia="Times New Roman" w:hAnsi="Times New Roman"/>
          <w:sz w:val="18"/>
          <w:szCs w:val="18"/>
          <w:color w:val="auto"/>
        </w:rPr>
        <w:t xml:space="preserve">). In addition, we own 50% noncontrolling interests in (a) a 50:50 joint venture (the </w:t>
      </w:r>
      <w:r>
        <w:rPr>
          <w:rFonts w:ascii="Times New Roman" w:cs="Times New Roman" w:eastAsia="Times New Roman" w:hAnsi="Times New Roman"/>
          <w:sz w:val="18"/>
          <w:szCs w:val="18"/>
          <w:b w:val="1"/>
          <w:bCs w:val="1"/>
          <w:color w:val="auto"/>
        </w:rPr>
        <w:t>VMO2 JV</w:t>
      </w:r>
      <w:r>
        <w:rPr>
          <w:rFonts w:ascii="Times New Roman" w:cs="Times New Roman" w:eastAsia="Times New Roman" w:hAnsi="Times New Roman"/>
          <w:sz w:val="18"/>
          <w:szCs w:val="18"/>
          <w:color w:val="auto"/>
        </w:rPr>
        <w:t>) with Telefónica SA (</w:t>
      </w:r>
      <w:r>
        <w:rPr>
          <w:rFonts w:ascii="Times New Roman" w:cs="Times New Roman" w:eastAsia="Times New Roman" w:hAnsi="Times New Roman"/>
          <w:sz w:val="18"/>
          <w:szCs w:val="18"/>
          <w:b w:val="1"/>
          <w:bCs w:val="1"/>
          <w:color w:val="auto"/>
        </w:rPr>
        <w:t>Telefónica</w:t>
      </w:r>
      <w:r>
        <w:rPr>
          <w:rFonts w:ascii="Times New Roman" w:cs="Times New Roman" w:eastAsia="Times New Roman" w:hAnsi="Times New Roman"/>
          <w:sz w:val="18"/>
          <w:szCs w:val="18"/>
          <w:color w:val="auto"/>
        </w:rPr>
        <w:t>), which provides residential and B2B communications services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and (b) a 50:50 joint venture (the </w:t>
      </w:r>
      <w:r>
        <w:rPr>
          <w:rFonts w:ascii="Times New Roman" w:cs="Times New Roman" w:eastAsia="Times New Roman" w:hAnsi="Times New Roman"/>
          <w:sz w:val="18"/>
          <w:szCs w:val="18"/>
          <w:b w:val="1"/>
          <w:bCs w:val="1"/>
          <w:color w:val="auto"/>
        </w:rPr>
        <w:t>VodafoneZiggo JV</w:t>
      </w:r>
      <w:r>
        <w:rPr>
          <w:rFonts w:ascii="Times New Roman" w:cs="Times New Roman" w:eastAsia="Times New Roman" w:hAnsi="Times New Roman"/>
          <w:sz w:val="18"/>
          <w:szCs w:val="18"/>
          <w:color w:val="auto"/>
        </w:rPr>
        <w:t>)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 xml:space="preserve">), which provides residential and B2B communications services in the Netherlands. We also own (1) a 50% noncontrolling voting interest in a joint venture (the </w:t>
      </w:r>
      <w:r>
        <w:rPr>
          <w:rFonts w:ascii="Times New Roman" w:cs="Times New Roman" w:eastAsia="Times New Roman" w:hAnsi="Times New Roman"/>
          <w:sz w:val="18"/>
          <w:szCs w:val="18"/>
          <w:b w:val="1"/>
          <w:bCs w:val="1"/>
          <w:color w:val="auto"/>
        </w:rPr>
        <w:t>AtlasEdge JV</w:t>
      </w:r>
      <w:r>
        <w:rPr>
          <w:rFonts w:ascii="Times New Roman" w:cs="Times New Roman" w:eastAsia="Times New Roman" w:hAnsi="Times New Roman"/>
          <w:sz w:val="18"/>
          <w:szCs w:val="18"/>
          <w:color w:val="auto"/>
        </w:rPr>
        <w:t xml:space="preserve">), which is a leading European Edge data center platform, and (2) a 25% noncontrolling interest in a joint venture (the </w:t>
      </w:r>
      <w:r>
        <w:rPr>
          <w:rFonts w:ascii="Times New Roman" w:cs="Times New Roman" w:eastAsia="Times New Roman" w:hAnsi="Times New Roman"/>
          <w:sz w:val="18"/>
          <w:szCs w:val="18"/>
          <w:b w:val="1"/>
          <w:bCs w:val="1"/>
          <w:color w:val="auto"/>
        </w:rPr>
        <w:t>nexfibre JV</w:t>
      </w:r>
      <w:r>
        <w:rPr>
          <w:rFonts w:ascii="Times New Roman" w:cs="Times New Roman" w:eastAsia="Times New Roman" w:hAnsi="Times New Roman"/>
          <w:sz w:val="18"/>
          <w:szCs w:val="18"/>
          <w:color w:val="auto"/>
        </w:rPr>
        <w:t>), which is constructing a new fiber network in the U.K. outside of the existing footprint of the VMO2 JV.</w:t>
      </w:r>
    </w:p>
    <w:p>
      <w:pPr>
        <w:spacing w:after="0" w:line="21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We have announced our intention to spin-off our operations at Sunrise and certain other Liberty Global subsidiaries (together, the </w:t>
      </w:r>
      <w:r>
        <w:rPr>
          <w:rFonts w:ascii="Times New Roman" w:cs="Times New Roman" w:eastAsia="Times New Roman" w:hAnsi="Times New Roman"/>
          <w:sz w:val="18"/>
          <w:szCs w:val="18"/>
          <w:b w:val="1"/>
          <w:bCs w:val="1"/>
          <w:color w:val="auto"/>
        </w:rPr>
        <w:t>Sunrise Entities</w:t>
      </w:r>
      <w:r>
        <w:rPr>
          <w:rFonts w:ascii="Times New Roman" w:cs="Times New Roman" w:eastAsia="Times New Roman" w:hAnsi="Times New Roman"/>
          <w:sz w:val="18"/>
          <w:szCs w:val="18"/>
          <w:color w:val="auto"/>
        </w:rPr>
        <w:t>), which is expected to close during the fourth quarter of 2024.</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Telenet Takeover Bid (as defined and described in note 11), pursuant to which we increased our ownership interest in Telenet to 100%.</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2023 consolidated financial statements and notes thereto included in our 2023 Annual Report on Form 10-K, as amended (our </w:t>
      </w:r>
      <w:r>
        <w:rPr>
          <w:rFonts w:ascii="Times New Roman" w:cs="Times New Roman" w:eastAsia="Times New Roman" w:hAnsi="Times New Roman"/>
          <w:sz w:val="18"/>
          <w:szCs w:val="18"/>
          <w:b w:val="1"/>
          <w:bCs w:val="1"/>
          <w:color w:val="auto"/>
        </w:rPr>
        <w:t>10-K</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June 30,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2023-09</w:t>
      </w: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2023-09,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2023-09</w:t>
      </w:r>
      <w:r>
        <w:rPr>
          <w:rFonts w:ascii="Times New Roman" w:cs="Times New Roman" w:eastAsia="Times New Roman" w:hAnsi="Times New Roman"/>
          <w:sz w:val="18"/>
          <w:szCs w:val="18"/>
          <w:color w:val="auto"/>
        </w:rPr>
        <w:t>), which is intended to enhance the transparency of income tax matters within financial statements,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2023-07</w:t>
      </w: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2023-07</w:t>
      </w:r>
      <w:r>
        <w:rPr>
          <w:rFonts w:ascii="Times New Roman" w:cs="Times New Roman" w:eastAsia="Times New Roman" w:hAnsi="Times New Roman"/>
          <w:sz w:val="18"/>
          <w:szCs w:val="18"/>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2023-05</w:t>
      </w:r>
    </w:p>
    <w:p>
      <w:pPr>
        <w:spacing w:after="0" w:line="25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7"/>
          <w:szCs w:val="17"/>
          <w:color w:val="auto"/>
        </w:rPr>
        <w:t>In August 2023, the FASB issued ASU No. 2023-05</w:t>
      </w:r>
      <w:r>
        <w:rPr>
          <w:rFonts w:ascii="Times New Roman" w:cs="Times New Roman" w:eastAsia="Times New Roman" w:hAnsi="Times New Roman"/>
          <w:sz w:val="17"/>
          <w:szCs w:val="17"/>
          <w:i w:val="1"/>
          <w:iCs w:val="1"/>
          <w:color w:val="auto"/>
        </w:rPr>
        <w:t>, Business Combinations — Joint Venture Formations: Recognition and Initial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2023-05</w:t>
      </w:r>
      <w:r>
        <w:rPr>
          <w:rFonts w:ascii="Times New Roman" w:cs="Times New Roman" w:eastAsia="Times New Roman" w:hAnsi="Times New Roman"/>
          <w:sz w:val="17"/>
          <w:szCs w:val="17"/>
          <w:color w:val="auto"/>
        </w:rPr>
        <w:t>), which outlines updates to the formation of entities that meet the definition of a joint venture as defined by the FASB. ASU 2023-05 requires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joint venture to measure its assets and liabilities at fair value upon formation. ASU 2023-05 is effective prospectively for joint venture formations with a formation date on or after January 1, 2025. We do not expect ASU 2023-05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 and Related Costs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$52.5 million and $58.0 million at June 30, 2024 and December 31, 2023, respectively.</w:t>
      </w:r>
    </w:p>
    <w:p>
      <w:pPr>
        <w:spacing w:after="0" w:line="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$40.9 million and $45.8 million as of June 30, 2024 and December 31, 2023,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$301.0 million and $267.6 million as of June 30, 2024 and December 31, 2023, respectively. The increase in deferred revenue for the six months ended June 30, 2024 is primarily due to the net effect of (a) the impact of additions during the period and (b) the recognition of $192.0 million of revenue that was included in our deferred revenue balance at December 31, 2023. The long-term portions of our deferred revenue balances are included within other long-term liabilities on our condensed consolidated balance sheets.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aggregate assets associated with incremental costs to obtain and fulfill our contracts were $83.7 million and $84.1 million at June 30, 2024 and December 31, 2023, respectively. The current and long-term portions of our assets related to contract costs are included within other current assets and other assets, net, respectively, on our condensed consolidated balance sheets. We amortized $20.6 million and $41.5 million during the three and six months ended June 30, 2024, respectively, and $20.1 million and $39.5 million during the three and six months ended June 30, 2023, respectively, to operating costs and expenses related to these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Unsatisfied Performance Obligations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investments are set forth below:</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Accounting Method</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 (a)</w:t>
            </w:r>
          </w:p>
        </w:tc>
        <w:tc>
          <w:tcPr>
            <w:tcW w:w="0" w:type="dxa"/>
            <w:vAlign w:val="bottom"/>
          </w:tcPr>
          <w:p>
            <w:pPr>
              <w:spacing w:after="0"/>
              <w:rPr>
                <w:sz w:val="1"/>
                <w:szCs w:val="1"/>
                <w:color w:val="auto"/>
              </w:rPr>
            </w:pPr>
          </w:p>
        </w:tc>
      </w:tr>
      <w:tr>
        <w:trPr>
          <w:trHeight w:val="214"/>
        </w:trPr>
        <w:tc>
          <w:tcPr>
            <w:tcW w:w="70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VMO2 JV</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VodafoneZiggo JV (c)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AtlasEdge JV</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Formula E Holdings Ltd (</w:t>
            </w:r>
            <w:r>
              <w:rPr>
                <w:rFonts w:ascii="Times New Roman" w:cs="Times New Roman" w:eastAsia="Times New Roman" w:hAnsi="Times New Roman"/>
                <w:sz w:val="18"/>
                <w:szCs w:val="18"/>
                <w:b w:val="1"/>
                <w:bCs w:val="1"/>
                <w:color w:val="auto"/>
              </w:rPr>
              <w:t>Formula E</w:t>
            </w:r>
            <w:r>
              <w:rPr>
                <w:rFonts w:ascii="Times New Roman" w:cs="Times New Roman" w:eastAsia="Times New Roman" w:hAnsi="Times New Roman"/>
                <w:sz w:val="18"/>
                <w:szCs w:val="18"/>
                <w:color w:val="auto"/>
              </w:rPr>
              <w:t>) (d)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nexfibre JV</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All3Media Group (</w:t>
            </w:r>
            <w:r>
              <w:rPr>
                <w:rFonts w:ascii="Times New Roman" w:cs="Times New Roman" w:eastAsia="Times New Roman" w:hAnsi="Times New Roman"/>
                <w:sz w:val="18"/>
                <w:szCs w:val="18"/>
                <w:b w:val="1"/>
                <w:bCs w:val="1"/>
                <w:color w:val="auto"/>
              </w:rPr>
              <w:t>All3Media</w:t>
            </w:r>
            <w:r>
              <w:rPr>
                <w:rFonts w:ascii="Times New Roman" w:cs="Times New Roman" w:eastAsia="Times New Roman" w:hAnsi="Times New Roman"/>
                <w:sz w:val="18"/>
                <w:szCs w:val="18"/>
                <w:color w:val="auto"/>
              </w:rPr>
              <w:t>) (e)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 equity</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Separately-managed accounts (</w:t>
            </w:r>
            <w:r>
              <w:rPr>
                <w:rFonts w:ascii="Times New Roman" w:cs="Times New Roman" w:eastAsia="Times New Roman" w:hAnsi="Times New Roman"/>
                <w:sz w:val="18"/>
                <w:szCs w:val="18"/>
                <w:b w:val="1"/>
                <w:bCs w:val="1"/>
                <w:color w:val="auto"/>
              </w:rPr>
              <w:t>SMAs</w:t>
            </w:r>
            <w:r>
              <w:rPr>
                <w:rFonts w:ascii="Times New Roman" w:cs="Times New Roman" w:eastAsia="Times New Roman" w:hAnsi="Times New Roman"/>
                <w:sz w:val="18"/>
                <w:szCs w:val="18"/>
                <w:color w:val="auto"/>
              </w:rPr>
              <w:t>) (f)</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Vodafone - subject to re-use rights (g)</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EdgeConneX, Inc. (</w:t>
            </w:r>
            <w:r>
              <w:rPr>
                <w:rFonts w:ascii="Times New Roman" w:cs="Times New Roman" w:eastAsia="Times New Roman" w:hAnsi="Times New Roman"/>
                <w:sz w:val="18"/>
                <w:szCs w:val="18"/>
                <w:b w:val="1"/>
                <w:bCs w:val="1"/>
                <w:color w:val="auto"/>
              </w:rPr>
              <w:t>EdgeConneX</w:t>
            </w: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Televisa Univision, Inc. (</w:t>
            </w:r>
            <w:r>
              <w:rPr>
                <w:rFonts w:ascii="Times New Roman" w:cs="Times New Roman" w:eastAsia="Times New Roman" w:hAnsi="Times New Roman"/>
                <w:sz w:val="18"/>
                <w:szCs w:val="18"/>
                <w:b w:val="1"/>
                <w:bCs w:val="1"/>
                <w:color w:val="auto"/>
              </w:rPr>
              <w:t>Televisa Univision</w:t>
            </w: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SMAs (f)</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Plume Design, Inc. (</w:t>
            </w:r>
            <w:r>
              <w:rPr>
                <w:rFonts w:ascii="Times New Roman" w:cs="Times New Roman" w:eastAsia="Times New Roman" w:hAnsi="Times New Roman"/>
                <w:sz w:val="18"/>
                <w:szCs w:val="18"/>
                <w:b w:val="1"/>
                <w:bCs w:val="1"/>
                <w:color w:val="auto"/>
              </w:rPr>
              <w:t>Plume</w:t>
            </w:r>
            <w:r>
              <w:rPr>
                <w:rFonts w:ascii="Times New Roman" w:cs="Times New Roman" w:eastAsia="Times New Roman" w:hAnsi="Times New Roman"/>
                <w:sz w:val="18"/>
                <w:szCs w:val="18"/>
                <w:color w:val="auto"/>
              </w:rPr>
              <w:t>) (h)</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Pax8, Inc.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CANAL+ Polska S.A.</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Lions Gate Entertainment Corp.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Aviatrix Systems, Inc. (</w:t>
            </w:r>
            <w:r>
              <w:rPr>
                <w:rFonts w:ascii="Times New Roman" w:cs="Times New Roman" w:eastAsia="Times New Roman" w:hAnsi="Times New Roman"/>
                <w:sz w:val="18"/>
                <w:szCs w:val="18"/>
                <w:b w:val="1"/>
                <w:bCs w:val="1"/>
                <w:color w:val="auto"/>
              </w:rPr>
              <w:t>Aviatrix</w:t>
            </w: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Lacework, Inc. (</w:t>
            </w:r>
            <w:r>
              <w:rPr>
                <w:rFonts w:ascii="Times New Roman" w:cs="Times New Roman" w:eastAsia="Times New Roman" w:hAnsi="Times New Roman"/>
                <w:sz w:val="18"/>
                <w:szCs w:val="18"/>
                <w:b w:val="1"/>
                <w:bCs w:val="1"/>
                <w:color w:val="auto"/>
              </w:rPr>
              <w:t>Lacework</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 fair value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investments (i)</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15,386.6</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13,260.0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13,396.1</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economic ownership based on total shares owned as a percentage of total shares outstanding as of the most recent balance sheet date or the most recent publicly-available information.</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June 30, 2024 and December 31, 2023, the aggregate carrying amounts of our equity method investments exceeded our proportionate share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of the respective investee’s net assets by $1,056.6 million and $1,234.7 million, respectively, which primarily includes amounts associated with the VodafoneZiggo JV Receivables, as defined below, and for December 31, 2023, amounts we were owed under long-term notes receivable from All3Media.</w:t>
      </w:r>
    </w:p>
    <w:p>
      <w:pPr>
        <w:spacing w:after="0" w:line="203" w:lineRule="exact"/>
        <w:rPr>
          <w:sz w:val="20"/>
          <w:szCs w:val="20"/>
          <w:color w:val="auto"/>
        </w:rPr>
      </w:pPr>
    </w:p>
    <w:p>
      <w:pPr>
        <w:jc w:val="both"/>
        <w:ind w:left="500" w:hanging="492"/>
        <w:spacing w:after="0" w:line="255"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include certain notes receivable due from a subsidiary of the VodafoneZiggo JV to a subsidiary of Liberty Global comprising (i) a euro-denominated note receivable with a principal amount of $750.1 million and $774.5 million at June 30, 2024 and December 31, 2023, respectively, (the </w:t>
      </w:r>
      <w:r>
        <w:rPr>
          <w:rFonts w:ascii="Times New Roman" w:cs="Times New Roman" w:eastAsia="Times New Roman" w:hAnsi="Times New Roman"/>
          <w:sz w:val="18"/>
          <w:szCs w:val="18"/>
          <w:b w:val="1"/>
          <w:bCs w:val="1"/>
          <w:color w:val="auto"/>
        </w:rPr>
        <w:t>VodafoneZiggo JV Receivable I</w:t>
      </w:r>
      <w:r>
        <w:rPr>
          <w:rFonts w:ascii="Times New Roman" w:cs="Times New Roman" w:eastAsia="Times New Roman" w:hAnsi="Times New Roman"/>
          <w:sz w:val="18"/>
          <w:szCs w:val="18"/>
          <w:color w:val="auto"/>
        </w:rPr>
        <w:t xml:space="preserve">) and (ii) a euro-denominated note receivable with a principal amount of $222.8 million and $230.0 million at June 30, 2024 and December 31, 2023, respectively, (the </w:t>
      </w:r>
      <w:r>
        <w:rPr>
          <w:rFonts w:ascii="Times New Roman" w:cs="Times New Roman" w:eastAsia="Times New Roman" w:hAnsi="Times New Roman"/>
          <w:sz w:val="18"/>
          <w:szCs w:val="18"/>
          <w:b w:val="1"/>
          <w:bCs w:val="1"/>
          <w:color w:val="auto"/>
        </w:rPr>
        <w:t>VodafoneZiggo JV Receivable II</w:t>
      </w:r>
      <w:r>
        <w:rPr>
          <w:rFonts w:ascii="Times New Roman" w:cs="Times New Roman" w:eastAsia="Times New Roman" w:hAnsi="Times New Roman"/>
          <w:sz w:val="18"/>
          <w:szCs w:val="18"/>
          <w:color w:val="auto"/>
        </w:rPr>
        <w:t xml:space="preserve"> and, together with the VodafoneZiggo JV Receivable I, the </w:t>
      </w:r>
      <w:r>
        <w:rPr>
          <w:rFonts w:ascii="Times New Roman" w:cs="Times New Roman" w:eastAsia="Times New Roman" w:hAnsi="Times New Roman"/>
          <w:sz w:val="18"/>
          <w:szCs w:val="18"/>
          <w:b w:val="1"/>
          <w:bCs w:val="1"/>
          <w:color w:val="auto"/>
        </w:rPr>
        <w:t>VodafoneZiggo JV Receivables</w:t>
      </w:r>
      <w:r>
        <w:rPr>
          <w:rFonts w:ascii="Times New Roman" w:cs="Times New Roman" w:eastAsia="Times New Roman" w:hAnsi="Times New Roman"/>
          <w:sz w:val="18"/>
          <w:szCs w:val="18"/>
          <w:color w:val="auto"/>
        </w:rPr>
        <w:t>). The VodafoneZiggo JV Receivables bear interest at a rate of 5.55% and have a final maturity date of December 31, 2030. During the six months ended June 30, 2024, interest accrued on the VodafoneZiggo JV Receivables was $27.5 million, all of which has been cash settled.</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62"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Liberty Global announced an agreement to acquire the Formula E shares held by Warner Bros. Discovery, Inc. (</w:t>
      </w:r>
      <w:r>
        <w:rPr>
          <w:rFonts w:ascii="Times New Roman" w:cs="Times New Roman" w:eastAsia="Times New Roman" w:hAnsi="Times New Roman"/>
          <w:sz w:val="18"/>
          <w:szCs w:val="18"/>
          <w:b w:val="1"/>
          <w:bCs w:val="1"/>
          <w:color w:val="auto"/>
        </w:rPr>
        <w:t>Warner Bros.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Discovery</w:t>
      </w:r>
      <w:r>
        <w:rPr>
          <w:rFonts w:ascii="Times New Roman" w:cs="Times New Roman" w:eastAsia="Times New Roman" w:hAnsi="Times New Roman"/>
          <w:sz w:val="18"/>
          <w:szCs w:val="18"/>
          <w:color w:val="auto"/>
        </w:rPr>
        <w:t>), which will increase Liberty Global’s ownership in Formula E to 64.9%. The expected purchase consideration is €145.9 million ($156.3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The transaction is currently pending regulatory approval, which is expected to take three to six months from the signing date of the sale agreement. Upon completion of the transaction, Formula E will be consolidated by Liberty Global.</w:t>
      </w:r>
    </w:p>
    <w:p>
      <w:pPr>
        <w:spacing w:after="0" w:line="20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16, 2024, Liberty Global, together with joint owner Warner Bros. Discovery, completed the sale of All3Media to RedBird IMI. We received £330.8 million ($419.3 million at the transaction date) of total cash in connection with the sale, including the repayment of the principal and accrued interest associated with long-term notes receivable from All3Media. We recognized a gain on the sale of All3Media of £212.3 million ($242.9 million at the transaction date).</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4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classified as available-for-sale debt securities as of June 30, 2024. Our SMA held in a leveraged structured note is accounted for at fair value and the associated gains or losses are included in realized and unrealized gains (losses) due to changes in fair values of certain investments, net, in our condensed consolidated statements of operations. At June 30, 2024 and December 31, 2023, interest accrued on our debt securities, which is included in other current assets on our condensed consolidated balance sheets, was $31.9 million and $34.6 million, respectively.</w:t>
      </w:r>
    </w:p>
    <w:p>
      <w:pPr>
        <w:spacing w:after="0" w:line="211"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our investment in Vodafone, we entered into a share collar (the </w:t>
      </w:r>
      <w:r>
        <w:rPr>
          <w:rFonts w:ascii="Times New Roman" w:cs="Times New Roman" w:eastAsia="Times New Roman" w:hAnsi="Times New Roman"/>
          <w:sz w:val="18"/>
          <w:szCs w:val="18"/>
          <w:b w:val="1"/>
          <w:bCs w:val="1"/>
          <w:color w:val="auto"/>
        </w:rPr>
        <w:t>Vodafone Collar</w:t>
      </w:r>
      <w:r>
        <w:rPr>
          <w:rFonts w:ascii="Times New Roman" w:cs="Times New Roman" w:eastAsia="Times New Roman" w:hAnsi="Times New Roman"/>
          <w:sz w:val="18"/>
          <w:szCs w:val="18"/>
          <w:color w:val="auto"/>
        </w:rPr>
        <w:t xml:space="preserve">) with respect to the Vodafone shares held by our company. The aggregate purchase price paid to acquire our investment in Vodafone was partially financed through borrowings under a secured borrowing agreement (the </w:t>
      </w:r>
      <w:r>
        <w:rPr>
          <w:rFonts w:ascii="Times New Roman" w:cs="Times New Roman" w:eastAsia="Times New Roman" w:hAnsi="Times New Roman"/>
          <w:sz w:val="18"/>
          <w:szCs w:val="18"/>
          <w:b w:val="1"/>
          <w:bCs w:val="1"/>
          <w:color w:val="auto"/>
        </w:rPr>
        <w:t>Vodafone Collar Loan</w:t>
      </w:r>
      <w:r>
        <w:rPr>
          <w:rFonts w:ascii="Times New Roman" w:cs="Times New Roman" w:eastAsia="Times New Roman" w:hAnsi="Times New Roman"/>
          <w:sz w:val="18"/>
          <w:szCs w:val="18"/>
          <w:color w:val="auto"/>
        </w:rPr>
        <w:t>) collateralized by the Vodafone shares. Under the terms of the Vodafone Collar, the counterparty has the right to re-use pledged Vodafone shares. At June 30, 2024 and December 31, 2023, the net fair value of our investment in Vodafone was $109.3 million and $115.5 million, respectively.</w:t>
      </w:r>
    </w:p>
    <w:p>
      <w:pPr>
        <w:spacing w:after="0" w:line="210"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Plume includes warrants with a fair value of $50.4 million and $61.3 million at June 30, 2024 and December 31, 2023, respectively.</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All3Media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100% of the interest income earned on the VodafoneZiggo JV Receivables.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VMO2 JV</w:t>
      </w:r>
    </w:p>
    <w:p>
      <w:pPr>
        <w:spacing w:after="0" w:line="2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U.K. JV Framework Agreement</w:t>
      </w:r>
      <w:r>
        <w:rPr>
          <w:rFonts w:ascii="Times New Roman" w:cs="Times New Roman" w:eastAsia="Times New Roman" w:hAnsi="Times New Roman"/>
          <w:sz w:val="18"/>
          <w:szCs w:val="18"/>
          <w:color w:val="auto"/>
        </w:rPr>
        <w:t xml:space="preserve">), Liberty Global provides certain services to the VMO2 JV on a transitional or ongoing basis (collectively, the </w:t>
      </w:r>
      <w:r>
        <w:rPr>
          <w:rFonts w:ascii="Times New Roman" w:cs="Times New Roman" w:eastAsia="Times New Roman" w:hAnsi="Times New Roman"/>
          <w:sz w:val="18"/>
          <w:szCs w:val="18"/>
          <w:b w:val="1"/>
          <w:bCs w:val="1"/>
          <w:color w:val="auto"/>
        </w:rPr>
        <w:t>U.K. JV Services</w:t>
      </w:r>
      <w:r>
        <w:rPr>
          <w:rFonts w:ascii="Times New Roman" w:cs="Times New Roman" w:eastAsia="Times New Roman" w:hAnsi="Times New Roman"/>
          <w:sz w:val="18"/>
          <w:szCs w:val="18"/>
          <w:color w:val="auto"/>
        </w:rPr>
        <w:t>).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 We recorded revenue from the VMO2 JV of $91.2 million and $55.4 million during the three months ended June 30, 2024 and 2023, respectively, and $203.5 million and $121.2 million during the six months ended June 30, 2024 and 2023, respectively, primarily related to (a) the U.K. JV Services and (b) beginning in 2024, the sale of customer premises equipment (</w:t>
      </w:r>
      <w:r>
        <w:rPr>
          <w:rFonts w:ascii="Times New Roman" w:cs="Times New Roman" w:eastAsia="Times New Roman" w:hAnsi="Times New Roman"/>
          <w:sz w:val="18"/>
          <w:szCs w:val="18"/>
          <w:b w:val="1"/>
          <w:bCs w:val="1"/>
          <w:color w:val="auto"/>
        </w:rPr>
        <w:t>CPE</w:t>
      </w:r>
      <w:r>
        <w:rPr>
          <w:rFonts w:ascii="Times New Roman" w:cs="Times New Roman" w:eastAsia="Times New Roman" w:hAnsi="Times New Roman"/>
          <w:sz w:val="18"/>
          <w:szCs w:val="18"/>
          <w:color w:val="auto"/>
        </w:rPr>
        <w:t>) to the VMO2 JV at a mark-up. At June 30, 2024 and December 31, 2023, $47.3 million and $18.6 million, respectively, was due from the VMO2 JV related to the aforementioned transactions. The amounts due from the VMO2 JV, which are periodically cash settled, are included in other current assets on our condensed consolidated balance sheets. In addition, during the six months ended June 30, 2023, we received a dividend distribution from the VMO2 JV aggregating $403.5 million, which was accounted for as a return of capital for purposes of our condensed consolidated statement of cash flows.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VMO2 JV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VodafoneZiggo JV</w:t>
      </w:r>
    </w:p>
    <w:p>
      <w:pPr>
        <w:spacing w:after="0" w:line="25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NL JV Framework Agreement</w:t>
      </w:r>
      <w:r>
        <w:rPr>
          <w:rFonts w:ascii="Times New Roman" w:cs="Times New Roman" w:eastAsia="Times New Roman" w:hAnsi="Times New Roman"/>
          <w:sz w:val="18"/>
          <w:szCs w:val="18"/>
          <w:color w:val="auto"/>
        </w:rPr>
        <w:t xml:space="preserve">), Liberty Global provides certain services to the VodafoneZiggo JV (collectively, the </w:t>
      </w:r>
      <w:r>
        <w:rPr>
          <w:rFonts w:ascii="Times New Roman" w:cs="Times New Roman" w:eastAsia="Times New Roman" w:hAnsi="Times New Roman"/>
          <w:sz w:val="18"/>
          <w:szCs w:val="18"/>
          <w:b w:val="1"/>
          <w:bCs w:val="1"/>
          <w:color w:val="auto"/>
        </w:rPr>
        <w:t>NL JV Services</w:t>
      </w:r>
      <w:r>
        <w:rPr>
          <w:rFonts w:ascii="Times New Roman" w:cs="Times New Roman" w:eastAsia="Times New Roman" w:hAnsi="Times New Roman"/>
          <w:sz w:val="18"/>
          <w:szCs w:val="18"/>
          <w:color w:val="auto"/>
        </w:rPr>
        <w:t>). The NL JV Services provided by Liberty Global consist primarily of (i) technology and other services and (ii) capital-related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for assets that will be used by, or will otherwise benefit, the VodafoneZiggo JV. Liberty Global charges both fixed and usage-based fees to the VodafoneZiggo JV for the NL JV Services provided pursuant to the NL JV Framework Agreement. We recorded revenue from the VodafoneZiggo JV of $59.6 million and $55.5 million during the three months ended June 30, 2024 and 2023, respectively, and $121.7 million and $120.5 million during the six months ended June 30, 2024 and 2023, respectively, primarily related to (a) the NL JV Services and (b) the sale of CPE to the VodafoneZiggo JV at a mark-up. At June 30, 2024 and December 31, 2023, $27.7 million and $24.2 million, respectively, was due from the VodafoneZiggo JV related to the aforementioned transactions. The amounts due from the VodafoneZiggo JV, which are periodically cash settled, are included in other current assets on our condensed consolidated balance sheets.</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VodafoneZiggo JV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realized and unrealized gains (losses) due to changes in fair values of certain investments,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52"/>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Lionsgate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a summary of our debt securities at June 30, 2024 and December 31,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08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7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unrealized losses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Structured note (a)</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8"/>
        </w:trPr>
        <w:tc>
          <w:tcPr>
            <w:tcW w:w="72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right="60" w:hanging="492"/>
        <w:spacing w:after="0" w:line="254" w:lineRule="auto"/>
        <w:tabs>
          <w:tab w:leader="none" w:pos="4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an investment in a leveraged structured note issued by a third-party investment bank, which is accounted for at fair value.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During the six months ended June 30, 2024, we invested an additional $46.6 million in the leveraged structured note. At June 30, 2024, the proportionate amount of debt issued by Liberty Global consolidated subsidiaries and affiliates associated with the return on the leveraged structured note is summarized in the following table:</w:t>
      </w:r>
    </w:p>
    <w:p>
      <w:pPr>
        <w:spacing w:after="0" w:line="9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Proportion of debt</w:t>
            </w:r>
          </w:p>
        </w:tc>
      </w:tr>
      <w:tr>
        <w:trPr>
          <w:trHeight w:val="162"/>
        </w:trPr>
        <w:tc>
          <w:tcPr>
            <w:tcW w:w="894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 with the</w:t>
            </w:r>
          </w:p>
        </w:tc>
      </w:tr>
      <w:tr>
        <w:trPr>
          <w:trHeight w:val="162"/>
        </w:trPr>
        <w:tc>
          <w:tcPr>
            <w:tcW w:w="894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return on the leveraged</w:t>
            </w:r>
          </w:p>
        </w:tc>
      </w:tr>
      <w:tr>
        <w:trPr>
          <w:trHeight w:val="214"/>
        </w:trPr>
        <w:tc>
          <w:tcPr>
            <w:tcW w:w="894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structured note</w:t>
            </w:r>
          </w:p>
        </w:tc>
      </w:tr>
      <w:tr>
        <w:trPr>
          <w:trHeight w:val="198"/>
        </w:trPr>
        <w:tc>
          <w:tcPr>
            <w:tcW w:w="8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1700" w:type="dxa"/>
            <w:vAlign w:val="bottom"/>
            <w:shd w:val="clear" w:color="auto" w:fill="CCEEFF"/>
          </w:tcPr>
          <w:p>
            <w:pPr>
              <w:spacing w:after="0"/>
              <w:rPr>
                <w:sz w:val="19"/>
                <w:szCs w:val="19"/>
                <w:color w:val="auto"/>
              </w:rPr>
            </w:pPr>
          </w:p>
        </w:tc>
      </w:tr>
      <w:tr>
        <w:trPr>
          <w:trHeight w:val="230"/>
        </w:trPr>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Sunrise Holding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40.23 %</w:t>
            </w:r>
          </w:p>
        </w:tc>
      </w:tr>
      <w:tr>
        <w:trPr>
          <w:trHeight w:val="230"/>
        </w:trPr>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Telenet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19.14 %</w:t>
            </w:r>
          </w:p>
        </w:tc>
      </w:tr>
      <w:tr>
        <w:trPr>
          <w:trHeight w:val="270"/>
        </w:trPr>
        <w:tc>
          <w:tcPr>
            <w:tcW w:w="89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1700" w:type="dxa"/>
            <w:vAlign w:val="bottom"/>
            <w:shd w:val="clear" w:color="auto" w:fill="CCEEFF"/>
          </w:tcPr>
          <w:p>
            <w:pPr>
              <w:spacing w:after="0"/>
              <w:rPr>
                <w:sz w:val="19"/>
                <w:szCs w:val="19"/>
                <w:color w:val="auto"/>
              </w:rPr>
            </w:pPr>
          </w:p>
        </w:tc>
      </w:tr>
      <w:tr>
        <w:trPr>
          <w:trHeight w:val="230"/>
        </w:trPr>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VMO2 JV</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21.11 %</w:t>
            </w:r>
          </w:p>
        </w:tc>
      </w:tr>
      <w:tr>
        <w:trPr>
          <w:trHeight w:val="230"/>
        </w:trPr>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VodafoneZiggo JV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19.52 %</w:t>
            </w:r>
          </w:p>
        </w:tc>
      </w:tr>
      <w:tr>
        <w:trPr>
          <w:trHeight w:val="223"/>
        </w:trPr>
        <w:tc>
          <w:tcPr>
            <w:tcW w:w="8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8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0" w:right="27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Government bonds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Certificates of deposit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Structured note (a)</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debt securities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debt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0"/>
          <w:szCs w:val="20"/>
          <w:color w:val="auto"/>
        </w:rPr>
      </w:pPr>
      <w:r>
        <w:rPr>
          <w:sz w:val="20"/>
          <w:szCs w:val="20"/>
          <w:color w:val="auto"/>
        </w:rPr>
        <w:br w:type="column"/>
      </w: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4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8" w:lineRule="exact"/>
        <w:rPr>
          <w:sz w:val="20"/>
          <w:szCs w:val="20"/>
          <w:color w:val="auto"/>
        </w:rPr>
      </w:pPr>
    </w:p>
    <w:tbl>
      <w:tblPr>
        <w:tblLayout w:type="fixed"/>
        <w:tblInd w:w="4320" w:type="dxa"/>
        <w:tblCellMar>
          <w:top w:w="0" w:type="dxa"/>
          <w:left w:w="0" w:type="dxa"/>
          <w:bottom w:w="0" w:type="dxa"/>
          <w:right w:w="0" w:type="dxa"/>
        </w:tblCellMar>
      </w:tblPr>
      <w:tr>
        <w:trPr>
          <w:trHeight w:val="162"/>
        </w:trPr>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basis</w:t>
            </w: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-1062355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-770890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-479425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83" w:lineRule="exact"/>
        <w:rPr>
          <w:sz w:val="20"/>
          <w:szCs w:val="20"/>
          <w:color w:val="auto"/>
        </w:rPr>
      </w:pPr>
    </w:p>
    <w:p>
      <w:pPr>
        <w:sectPr>
          <w:pgSz w:w="11900" w:h="16838" w:orient="portrait"/>
          <w:cols w:equalWidth="0" w:num="2">
            <w:col w:w="2180" w:space="720"/>
            <w:col w:w="8400"/>
          </w:cols>
          <w:pgMar w:left="320" w:top="360" w:right="279" w:bottom="1440" w:gutter="0" w:footer="0" w:header="0"/>
        </w:sectPr>
      </w:pPr>
    </w:p>
    <w:p>
      <w:pPr>
        <w:spacing w:after="0" w:line="52" w:lineRule="exact"/>
        <w:rPr>
          <w:sz w:val="20"/>
          <w:szCs w:val="20"/>
          <w:color w:val="auto"/>
        </w:rPr>
      </w:pPr>
    </w:p>
    <w:p>
      <w:pPr>
        <w:jc w:val="both"/>
        <w:ind w:left="500" w:right="80" w:hanging="492"/>
        <w:spacing w:after="0" w:line="266" w:lineRule="auto"/>
        <w:tabs>
          <w:tab w:leader="none" w:pos="4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an investment in a leveraged structured note issued by a third-party investment bank, which is accounted for at fair value. At December 31, 2023, the proportionate amount of debt issued by Liberty Global consolidated subsidiaries and affiliates associated with the return on the leveraged structured note is summarized in the following table:</w:t>
      </w:r>
    </w:p>
    <w:tbl>
      <w:tblPr>
        <w:tblLayout w:type="fixed"/>
        <w:tblInd w:w="660" w:type="dxa"/>
        <w:tblCellMar>
          <w:top w:w="0" w:type="dxa"/>
          <w:left w:w="0" w:type="dxa"/>
          <w:bottom w:w="0" w:type="dxa"/>
          <w:right w:w="0" w:type="dxa"/>
        </w:tblCellMar>
      </w:tblPr>
      <w:tr>
        <w:trPr>
          <w:trHeight w:val="167"/>
        </w:trPr>
        <w:tc>
          <w:tcPr>
            <w:tcW w:w="8940" w:type="dxa"/>
            <w:vAlign w:val="bottom"/>
          </w:tcPr>
          <w:p>
            <w:pPr>
              <w:spacing w:after="0"/>
              <w:rPr>
                <w:sz w:val="14"/>
                <w:szCs w:val="14"/>
                <w:color w:val="auto"/>
              </w:rPr>
            </w:pPr>
          </w:p>
        </w:tc>
        <w:tc>
          <w:tcPr>
            <w:tcW w:w="170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Proportion of debt</w:t>
            </w:r>
          </w:p>
        </w:tc>
      </w:tr>
      <w:tr>
        <w:trPr>
          <w:trHeight w:val="162"/>
        </w:trPr>
        <w:tc>
          <w:tcPr>
            <w:tcW w:w="894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associated with the</w:t>
            </w:r>
          </w:p>
        </w:tc>
      </w:tr>
      <w:tr>
        <w:trPr>
          <w:trHeight w:val="162"/>
        </w:trPr>
        <w:tc>
          <w:tcPr>
            <w:tcW w:w="894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return on the leveraged</w:t>
            </w:r>
          </w:p>
        </w:tc>
      </w:tr>
      <w:tr>
        <w:trPr>
          <w:trHeight w:val="214"/>
        </w:trPr>
        <w:tc>
          <w:tcPr>
            <w:tcW w:w="894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structured note</w:t>
            </w:r>
          </w:p>
        </w:tc>
      </w:tr>
      <w:tr>
        <w:trPr>
          <w:trHeight w:val="198"/>
        </w:trPr>
        <w:tc>
          <w:tcPr>
            <w:tcW w:w="89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w:t>
            </w:r>
          </w:p>
        </w:tc>
        <w:tc>
          <w:tcPr>
            <w:tcW w:w="1700" w:type="dxa"/>
            <w:vAlign w:val="bottom"/>
            <w:shd w:val="clear" w:color="auto" w:fill="CCEEFF"/>
          </w:tcPr>
          <w:p>
            <w:pPr>
              <w:spacing w:after="0"/>
              <w:rPr>
                <w:sz w:val="19"/>
                <w:szCs w:val="19"/>
                <w:color w:val="auto"/>
              </w:rPr>
            </w:pPr>
          </w:p>
        </w:tc>
      </w:tr>
      <w:tr>
        <w:trPr>
          <w:trHeight w:val="230"/>
        </w:trPr>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Sunrise Holding</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32.91 %</w:t>
            </w:r>
          </w:p>
        </w:tc>
      </w:tr>
      <w:tr>
        <w:trPr>
          <w:trHeight w:val="230"/>
        </w:trPr>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Telenet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28.23 %</w:t>
            </w:r>
          </w:p>
        </w:tc>
      </w:tr>
      <w:tr>
        <w:trPr>
          <w:trHeight w:val="270"/>
        </w:trPr>
        <w:tc>
          <w:tcPr>
            <w:tcW w:w="89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1700" w:type="dxa"/>
            <w:vAlign w:val="bottom"/>
            <w:shd w:val="clear" w:color="auto" w:fill="CCEEFF"/>
          </w:tcPr>
          <w:p>
            <w:pPr>
              <w:spacing w:after="0"/>
              <w:rPr>
                <w:sz w:val="19"/>
                <w:szCs w:val="19"/>
                <w:color w:val="auto"/>
              </w:rPr>
            </w:pPr>
          </w:p>
        </w:tc>
      </w:tr>
      <w:tr>
        <w:trPr>
          <w:trHeight w:val="229"/>
        </w:trPr>
        <w:tc>
          <w:tcPr>
            <w:tcW w:w="8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VMO2 JV</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31.49 %</w:t>
            </w:r>
          </w:p>
        </w:tc>
      </w:tr>
      <w:tr>
        <w:trPr>
          <w:trHeight w:val="230"/>
        </w:trPr>
        <w:tc>
          <w:tcPr>
            <w:tcW w:w="8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VodafoneZiggo JV</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r>
      <w:tr>
        <w:trPr>
          <w:trHeight w:val="223"/>
        </w:trPr>
        <w:tc>
          <w:tcPr>
            <w:tcW w:w="8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1"/>
        </w:trPr>
        <w:tc>
          <w:tcPr>
            <w:tcW w:w="8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received proceeds from the sale and maturities of debt securities of $1.2 billion and $1.8 billion during the three months ended June 30, 2024 and 2023, respectively, and $2.3 billion and $4.2 billion during the six months ended June 30, 2024 and 2023, respectively, the majority of which were reinvested in new debt securities held under SMAs. The sale of debt securities resulted in realized net gains (losses) of $1.1 million and ($13.5 million) during the three months ended June 30, 2024 and 2023, respectively, and ($10.1 million) and ($32.7 million) during the six months ended June 30, 2024 and 2023, respectively.</w:t>
      </w:r>
    </w:p>
    <w:p>
      <w:pPr>
        <w:sectPr>
          <w:pgSz w:w="11900" w:h="16838" w:orient="portrait"/>
          <w:cols w:equalWidth="0" w:num="1">
            <w:col w:w="11300"/>
          </w:cols>
          <w:pgMar w:left="320" w:top="360" w:right="279" w:bottom="1440" w:gutter="0" w:footer="0" w:header="0"/>
          <w:type w:val="continuous"/>
        </w:sect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fair values of our debt securities as of June 30, 2024 by contractual maturity are shown below (in millions):</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in 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Due in five to ten years</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of our total debt securities was 0.8 years as of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99" w:hanging="699"/>
        <w:spacing w:after="0"/>
        <w:tabs>
          <w:tab w:leader="none" w:pos="6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1,204.5</w:t>
      </w:r>
    </w:p>
    <w:p>
      <w:pPr>
        <w:spacing w:after="0" w:line="27" w:lineRule="exact"/>
        <w:rPr>
          <w:rFonts w:ascii="Times New Roman" w:cs="Times New Roman" w:eastAsia="Times New Roman" w:hAnsi="Times New Roman"/>
          <w:sz w:val="18"/>
          <w:szCs w:val="18"/>
          <w:color w:val="auto"/>
        </w:rPr>
      </w:pPr>
    </w:p>
    <w:p>
      <w:pPr>
        <w:ind w:left="8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251.3</w:t>
      </w:r>
    </w:p>
    <w:p>
      <w:pPr>
        <w:spacing w:after="0" w:line="34" w:lineRule="exact"/>
        <w:rPr>
          <w:rFonts w:ascii="Times New Roman" w:cs="Times New Roman" w:eastAsia="Times New Roman" w:hAnsi="Times New Roman"/>
          <w:sz w:val="18"/>
          <w:szCs w:val="18"/>
          <w:color w:val="auto"/>
        </w:rPr>
      </w:pPr>
    </w:p>
    <w:p>
      <w:pPr>
        <w:ind w:left="9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848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3" w:lineRule="exact"/>
        <w:rPr>
          <w:sz w:val="20"/>
          <w:szCs w:val="20"/>
          <w:color w:val="auto"/>
        </w:rPr>
      </w:pPr>
    </w:p>
    <w:p>
      <w:pPr>
        <w:ind w:left="699" w:hanging="699"/>
        <w:spacing w:after="0"/>
        <w:tabs>
          <w:tab w:leader="none" w:pos="6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483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483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023" w:lineRule="exact"/>
        <w:rPr>
          <w:sz w:val="20"/>
          <w:szCs w:val="20"/>
          <w:color w:val="auto"/>
        </w:rPr>
      </w:pPr>
    </w:p>
    <w:p>
      <w:pPr>
        <w:sectPr>
          <w:pgSz w:w="11900" w:h="16838" w:orient="portrait"/>
          <w:cols w:equalWidth="0" w:num="2">
            <w:col w:w="9201" w:space="720"/>
            <w:col w:w="1379"/>
          </w:cols>
          <w:pgMar w:left="320" w:top="360" w:right="27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0" w:right="27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199"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Swiss franc (</w:t>
      </w:r>
      <w:r>
        <w:rPr>
          <w:rFonts w:ascii="Times New Roman" w:cs="Times New Roman" w:eastAsia="Times New Roman" w:hAnsi="Times New Roman"/>
          <w:sz w:val="18"/>
          <w:szCs w:val="18"/>
          <w:b w:val="1"/>
          <w:bCs w:val="1"/>
          <w:color w:val="auto"/>
        </w:rPr>
        <w:t>CHF</w:t>
      </w:r>
      <w:r>
        <w:rPr>
          <w:rFonts w:ascii="Times New Roman" w:cs="Times New Roman" w:eastAsia="Times New Roman" w:hAnsi="Times New Roman"/>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condensed consolidated statements of operations.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4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6"/>
        </w:trPr>
        <w:tc>
          <w:tcPr>
            <w:tcW w:w="4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96"/>
        </w:trPr>
        <w:tc>
          <w:tcPr>
            <w:tcW w:w="4120" w:type="dxa"/>
            <w:vAlign w:val="bottom"/>
          </w:tcPr>
          <w:p>
            <w:pPr>
              <w:jc w:val="center"/>
              <w:ind w:right="2950"/>
              <w:spacing w:after="0" w:line="196" w:lineRule="exact"/>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776.1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738.8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1,256.9</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120" w:type="dxa"/>
            <w:vAlign w:val="bottom"/>
            <w:shd w:val="clear" w:color="auto" w:fill="CCEEFF"/>
          </w:tcPr>
          <w:p>
            <w:pPr>
              <w:jc w:val="center"/>
              <w:ind w:right="2950"/>
              <w:spacing w:after="0" w:line="196" w:lineRule="exact"/>
              <w:rPr>
                <w:sz w:val="20"/>
                <w:szCs w:val="20"/>
                <w:color w:val="auto"/>
              </w:rPr>
            </w:pPr>
            <w:r>
              <w:rPr>
                <w:rFonts w:ascii="Times New Roman" w:cs="Times New Roman" w:eastAsia="Times New Roman" w:hAnsi="Times New Roman"/>
                <w:sz w:val="18"/>
                <w:szCs w:val="18"/>
                <w:color w:val="auto"/>
              </w:rPr>
              <w:t>Liabilities (a):</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76"/>
        </w:trPr>
        <w:tc>
          <w:tcPr>
            <w:tcW w:w="4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Equity-related derivative instruments (c)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8"/>
        </w:trPr>
        <w:tc>
          <w:tcPr>
            <w:tcW w:w="4120" w:type="dxa"/>
            <w:vAlign w:val="bottom"/>
            <w:tcBorders>
              <w:bottom w:val="single" w:sz="8" w:color="CCEEFF"/>
            </w:tcBorders>
            <w:shd w:val="clear" w:color="auto" w:fill="CCEEFF"/>
          </w:tcPr>
          <w:p>
            <w:pPr>
              <w:jc w:val="center"/>
              <w:ind w:right="2950"/>
              <w:spacing w:after="0"/>
              <w:rPr>
                <w:sz w:val="20"/>
                <w:szCs w:val="20"/>
                <w:color w:val="auto"/>
              </w:rPr>
            </w:pPr>
            <w:r>
              <w:rPr>
                <w:rFonts w:ascii="Times New Roman" w:cs="Times New Roman" w:eastAsia="Times New Roman" w:hAnsi="Times New Roman"/>
                <w:sz w:val="18"/>
                <w:szCs w:val="18"/>
                <w:color w:val="auto"/>
                <w:w w:val="94"/>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derivative assets and long-term derivative liabilities are included in other assets, net, and other long-term liabilities, respectively, on our condensed consolidated balance sheets.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4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8). The changes in the credit risk valuation adjustments associated with our cross-currency and interest rate derivative contracts resulted in net gains (losses) of $7.3 million and $43.6 million during the three months ended June 30, 2024 and 2023, respectively, and ($41.5 million) and $22.2 million during the six months ended June 30, 2024 and 2023, respectively. These amounts are included in realized and unrealized gains on derivative instruments, net, in our condensed consolidated statements of operations. For further information regarding our fair value measurements, see note 6.</w:t>
      </w:r>
    </w:p>
    <w:p>
      <w:pPr>
        <w:spacing w:after="0" w:line="21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equity-related derivative instruments primarily include the Vodafone Collar. The fair value of the Vodafone Collar does not include credit risk valuation adjustments as we assume that any losses incurred by our company in the event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nonperformance by the respective counterparty would be, subject to relevant insolvency laws, fully offset against amounts we owe to such counterparty pursuant to the related secured borrowing arrangements.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realized and unrealized gains on derivative instruments, net,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0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Vodafone Collar</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equity-related derivative instruments</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6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9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166"/>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3"/>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June 30, 2024, our exposure to counterparty credit risk included derivative assets with an aggregate fair value of $402.5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Contracts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June 30, 2024,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June 30,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540" w:type="dxa"/>
            <w:vAlign w:val="bottom"/>
          </w:tcPr>
          <w:p>
            <w:pPr>
              <w:spacing w:after="0"/>
              <w:rPr>
                <w:sz w:val="16"/>
                <w:szCs w:val="16"/>
                <w:color w:val="auto"/>
              </w:rPr>
            </w:pPr>
          </w:p>
        </w:tc>
        <w:tc>
          <w:tcPr>
            <w:tcW w:w="14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4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due from counterparty</w:t>
            </w:r>
          </w:p>
        </w:tc>
        <w:tc>
          <w:tcPr>
            <w:tcW w:w="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due to counterparty</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06"/>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250.0</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r>
      <w:tr>
        <w:trPr>
          <w:trHeight w:val="229"/>
        </w:trPr>
        <w:tc>
          <w:tcPr>
            <w:tcW w:w="45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4,275.0</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3,912.7</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230"/>
        </w:trPr>
        <w:tc>
          <w:tcPr>
            <w:tcW w:w="45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1,952.6</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CHF</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3,555.0</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r>
      <w:tr>
        <w:trPr>
          <w:trHeight w:val="234"/>
        </w:trPr>
        <w:tc>
          <w:tcPr>
            <w:tcW w:w="45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are “forward-starting,” such that the initial exchange occurs at a date subsequent to June 30, 2024. These instruments are typically entered into in order to extend existing hedges without the need to amend existing contracts.</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U.S. dollar equivalents of the notional amounts and the related weighted average remaining contractual lives of our interest rate swap contracts at June 30,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Receives fixed rate</w:t>
            </w:r>
          </w:p>
        </w:tc>
      </w:tr>
      <w:tr>
        <w:trPr>
          <w:trHeight w:val="158"/>
        </w:trPr>
        <w:tc>
          <w:tcPr>
            <w:tcW w:w="3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8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3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3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6"/>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3,235.9</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r>
      <w:tr>
        <w:trPr>
          <w:trHeight w:val="162"/>
        </w:trPr>
        <w:tc>
          <w:tcPr>
            <w:tcW w:w="3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r>
        <w:trPr>
          <w:trHeight w:val="3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2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forward-starting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Swaps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June 30, 2024:</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 due from</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7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6"/>
        </w:trPr>
        <w:tc>
          <w:tcPr>
            <w:tcW w:w="7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5,779.5</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r>
        <w:trPr>
          <w:trHeight w:val="216"/>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 Floors and Collars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June 30, 2024, we had no interest rate collar agreements, and the total U.S. dollar equivalents of the notional amounts of our purchased interest rate caps and floors were $1.2 billion and $4.5 billion, respectively.</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Borrowing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impact of the derivative instruments that mitigate our foreign currency and interest rate risk, as described above, on our borrowing costs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Decrease to</w:t>
            </w:r>
          </w:p>
        </w:tc>
      </w:tr>
      <w:tr>
        <w:trPr>
          <w:trHeight w:val="162"/>
        </w:trPr>
        <w:tc>
          <w:tcPr>
            <w:tcW w:w="940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borrowing costs at</w:t>
            </w:r>
          </w:p>
        </w:tc>
      </w:tr>
      <w:tr>
        <w:trPr>
          <w:trHeight w:val="214"/>
        </w:trPr>
        <w:tc>
          <w:tcPr>
            <w:tcW w:w="940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 (a)</w:t>
            </w:r>
          </w:p>
        </w:tc>
      </w:tr>
      <w:tr>
        <w:trPr>
          <w:trHeight w:val="198"/>
        </w:trPr>
        <w:tc>
          <w:tcPr>
            <w:tcW w:w="9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8"/>
        </w:trPr>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decrease to borrowing costs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derivative instruments in effect at June 30, 2024 and does not include forward-starting derivative instruments.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 and Options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subsidiaries enter into foreign currency forward and option contracts with respect to non-functional currency exposure. As of June 30, 2024, the total U.S. dollar equivalent of the notional amounts of our foreign currency forward and option contracts was $2.2 billion.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and (ii) our derivative instruments. The reported fair values of these investments and derivative instruments as of June 30, 2024 are unlikely to represent the value that will be paid or received upon the ultimate settlement or disposition of these assets and liabilities.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5.</w:t>
      </w: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property and equipment and the implied value of goodwill. The valuation of reporting units is based on an income-based approach (discounted cash flows) based on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15),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six months ended June 30, 2024 and 2023, we did not perform any significant nonrecurring fair value measurements.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fair value measurements, see note 9 to the consolidated financial statements included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7"/>
          </w:tcPr>
          <w:p>
            <w:pPr>
              <w:jc w:val="center"/>
              <w:ind w:left="893"/>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 using:</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60" w:type="dxa"/>
            <w:vAlign w:val="bottom"/>
          </w:tcPr>
          <w:p>
            <w:pPr>
              <w:spacing w:after="0"/>
              <w:rPr>
                <w:sz w:val="13"/>
                <w:szCs w:val="13"/>
                <w:color w:val="auto"/>
              </w:rPr>
            </w:pPr>
          </w:p>
        </w:tc>
        <w:tc>
          <w:tcPr>
            <w:tcW w:w="110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60" w:type="dxa"/>
            <w:vAlign w:val="bottom"/>
          </w:tcPr>
          <w:p>
            <w:pPr>
              <w:spacing w:after="0"/>
              <w:rPr>
                <w:sz w:val="14"/>
                <w:szCs w:val="14"/>
                <w:color w:val="auto"/>
              </w:rPr>
            </w:pPr>
          </w:p>
        </w:tc>
        <w:tc>
          <w:tcPr>
            <w:tcW w:w="110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6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8"/>
                <w:szCs w:val="18"/>
                <w:color w:val="auto"/>
              </w:rPr>
            </w:pPr>
          </w:p>
        </w:tc>
        <w:tc>
          <w:tcPr>
            <w:tcW w:w="110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0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SMAs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0" w:type="dxa"/>
            <w:vAlign w:val="bottom"/>
          </w:tcPr>
          <w:p>
            <w:pPr>
              <w:spacing w:after="0"/>
              <w:rPr>
                <w:sz w:val="1"/>
                <w:szCs w:val="1"/>
                <w:color w:val="auto"/>
              </w:rPr>
            </w:pPr>
          </w:p>
        </w:tc>
      </w:tr>
      <w:tr>
        <w:trPr>
          <w:trHeight w:val="223"/>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shd w:val="clear" w:color="auto" w:fill="CCEEFF"/>
          </w:tcPr>
          <w:p>
            <w:pPr>
              <w:spacing w:after="0"/>
              <w:rPr>
                <w:sz w:val="14"/>
                <w:szCs w:val="14"/>
                <w:color w:val="auto"/>
              </w:rPr>
            </w:pPr>
          </w:p>
        </w:tc>
        <w:tc>
          <w:tcPr>
            <w:tcW w:w="4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3"/>
                <w:szCs w:val="13"/>
                <w:color w:val="auto"/>
              </w:rPr>
            </w:pPr>
          </w:p>
        </w:tc>
        <w:tc>
          <w:tcPr>
            <w:tcW w:w="1120" w:type="dxa"/>
            <w:vAlign w:val="bottom"/>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223"/>
        </w:trPr>
        <w:tc>
          <w:tcPr>
            <w:tcW w:w="5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223"/>
        </w:trPr>
        <w:tc>
          <w:tcPr>
            <w:tcW w:w="5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our assets and liabilities measured at fair value on a recurring basis using significant unobservable, or Level 3, inputs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Equity-related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7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net assets 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included in net earnings (a):</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Realized and unrealized losses on derivative instruments, net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and unrealized losses due to changes in fair values of certain investments,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net assets at June 30, 2024 (b)</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assets and liabilities that we continue to carry on our condensed consolidated balance sheet as of June 30, 2024.</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$389.9 million of our Level 3 investments were accounted for under the measurement alternative at cost less impairment, adjusted for observable price changes.</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8"/>
          <w:szCs w:val="18"/>
          <w:b w:val="1"/>
          <w:bCs w:val="1"/>
          <w:u w:val="single" w:color="auto"/>
          <w:color w:val="auto"/>
        </w:rPr>
        <w:t>Long-lived Assets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06"/>
        </w:trPr>
        <w:tc>
          <w:tcPr>
            <w:tcW w:w="8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10,638.0</w:t>
            </w: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4,116.0</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premises equipment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16,108.7</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(8,748.5)</w:t>
            </w:r>
          </w:p>
        </w:tc>
      </w:tr>
      <w:tr>
        <w:trPr>
          <w:trHeight w:val="223"/>
        </w:trPr>
        <w:tc>
          <w:tcPr>
            <w:tcW w:w="8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7,360.2</w:t>
            </w: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we recorded non-cash increases to our property and equipment related to vendor financing arrangements of $66.3 million and $98.3 million, respectively, which exclude related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of $7.3 million and $9.9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the carrying amount of our goodwill during the six months ended June 30, 2024 are set forth below:</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c>
          <w:tcPr>
            <w:tcW w:w="18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40" w:type="dxa"/>
            <w:vAlign w:val="bottom"/>
          </w:tcPr>
          <w:p>
            <w:pPr>
              <w:spacing w:after="0"/>
              <w:rPr>
                <w:sz w:val="14"/>
                <w:szCs w:val="14"/>
                <w:color w:val="auto"/>
              </w:rPr>
            </w:pPr>
          </w:p>
        </w:tc>
        <w:tc>
          <w:tcPr>
            <w:tcW w:w="106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 2024</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related</w:t>
            </w:r>
          </w:p>
        </w:tc>
        <w:tc>
          <w:tcPr>
            <w:tcW w:w="13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and</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00" w:type="dxa"/>
            <w:vAlign w:val="bottom"/>
          </w:tcPr>
          <w:p>
            <w:pPr>
              <w:spacing w:after="0"/>
              <w:rPr>
                <w:sz w:val="18"/>
                <w:szCs w:val="18"/>
                <w:color w:val="auto"/>
              </w:rPr>
            </w:pPr>
          </w:p>
        </w:tc>
        <w:tc>
          <w:tcPr>
            <w:tcW w:w="140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8"/>
        </w:trPr>
        <w:tc>
          <w:tcPr>
            <w:tcW w:w="5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(a)</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60" w:hanging="492"/>
        <w:spacing w:after="0" w:line="256" w:lineRule="auto"/>
        <w:tabs>
          <w:tab w:leader="none" w:pos="5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1, 2023, Telenet and Fluvius System Operator CV created an independent, self-funding infrastructure company within their combined geographic footprint in Belgium (the </w:t>
      </w:r>
      <w:r>
        <w:rPr>
          <w:rFonts w:ascii="Times New Roman" w:cs="Times New Roman" w:eastAsia="Times New Roman" w:hAnsi="Times New Roman"/>
          <w:sz w:val="18"/>
          <w:szCs w:val="18"/>
          <w:b w:val="1"/>
          <w:bCs w:val="1"/>
          <w:color w:val="auto"/>
        </w:rPr>
        <w:t>Telenet Wyre Transaction</w:t>
      </w:r>
      <w:r>
        <w:rPr>
          <w:rFonts w:ascii="Times New Roman" w:cs="Times New Roman" w:eastAsia="Times New Roman" w:hAnsi="Times New Roman"/>
          <w:sz w:val="18"/>
          <w:szCs w:val="18"/>
          <w:color w:val="auto"/>
        </w:rPr>
        <w:t>). Our June 30, 2024 condensed consolidated balance sheet reflects the final purchase price allocation for the Telenet Wyre Transaction. In connection with the final purchase price allocation, we recorded a net reduction to goodwill of €126.8 million ($138.4 million at the applicable rate) in June 2024, with corresponding increases to certain network-related and other intangible assets. As a result, the final goodwill balance associated with the Telenet Wyre Transaction is €389.4 million ($425.2 million at the applicable rate).</w:t>
      </w:r>
    </w:p>
    <w:p>
      <w:pPr>
        <w:spacing w:after="0" w:line="214" w:lineRule="exact"/>
        <w:rPr>
          <w:sz w:val="20"/>
          <w:szCs w:val="20"/>
          <w:color w:val="auto"/>
        </w:rPr>
      </w:pPr>
    </w:p>
    <w:p>
      <w:pPr>
        <w:jc w:val="both"/>
        <w:ind w:left="60"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8"/>
        </w:trPr>
        <w:tc>
          <w:tcPr>
            <w:tcW w:w="3500" w:type="dxa"/>
            <w:vAlign w:val="bottom"/>
          </w:tcPr>
          <w:p>
            <w:pPr>
              <w:spacing w:after="0"/>
              <w:rPr>
                <w:sz w:val="13"/>
                <w:szCs w:val="13"/>
                <w:color w:val="auto"/>
              </w:rPr>
            </w:pPr>
          </w:p>
        </w:tc>
        <w:tc>
          <w:tcPr>
            <w:tcW w:w="1280" w:type="dxa"/>
            <w:vAlign w:val="bottom"/>
            <w:gridSpan w:val="3"/>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3"/>
                <w:szCs w:val="13"/>
                <w:color w:val="auto"/>
              </w:rPr>
            </w:pPr>
          </w:p>
        </w:tc>
        <w:tc>
          <w:tcPr>
            <w:tcW w:w="1040" w:type="dxa"/>
            <w:vAlign w:val="bottom"/>
          </w:tcPr>
          <w:p>
            <w:pPr>
              <w:jc w:val="right"/>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6"/>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48"/>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36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equivalents of the components of our debt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4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3"/>
          </w:tcPr>
          <w:p>
            <w:pPr>
              <w:jc w:val="right"/>
              <w:ind w:right="632"/>
              <w:spacing w:after="0" w:line="158" w:lineRule="exact"/>
              <w:rPr>
                <w:sz w:val="20"/>
                <w:szCs w:val="20"/>
                <w:color w:val="auto"/>
              </w:rPr>
            </w:pPr>
            <w:r>
              <w:rPr>
                <w:rFonts w:ascii="Times New Roman" w:cs="Times New Roman" w:eastAsia="Times New Roman" w:hAnsi="Times New Roman"/>
                <w:sz w:val="16"/>
                <w:szCs w:val="16"/>
                <w:b w:val="1"/>
                <w:bCs w:val="1"/>
                <w:color w:val="auto"/>
              </w:rPr>
              <w:t>Unused borrowing</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2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80" w:type="dxa"/>
            <w:vAlign w:val="bottom"/>
            <w:gridSpan w:val="3"/>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capacity (b)</w:t>
            </w:r>
          </w:p>
        </w:tc>
        <w:tc>
          <w:tcPr>
            <w:tcW w:w="10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400" w:type="dxa"/>
            <w:vAlign w:val="bottom"/>
            <w:gridSpan w:val="4"/>
            <w:vMerge w:val="restart"/>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3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U.S. $</w:t>
            </w:r>
          </w:p>
        </w:tc>
        <w:tc>
          <w:tcPr>
            <w:tcW w:w="360" w:type="dxa"/>
            <w:vAlign w:val="bottom"/>
          </w:tcPr>
          <w:p>
            <w:pPr>
              <w:spacing w:after="0" w:line="20" w:lineRule="exact"/>
              <w:rPr>
                <w:sz w:val="1"/>
                <w:szCs w:val="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line="20" w:lineRule="exact"/>
              <w:rPr>
                <w:sz w:val="1"/>
                <w:szCs w:val="1"/>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line="20" w:lineRule="exact"/>
              <w:rPr>
                <w:sz w:val="1"/>
                <w:szCs w:val="1"/>
                <w:color w:val="auto"/>
              </w:rPr>
            </w:pPr>
          </w:p>
        </w:tc>
      </w:tr>
      <w:tr>
        <w:trPr>
          <w:trHeight w:val="162"/>
        </w:trPr>
        <w:tc>
          <w:tcPr>
            <w:tcW w:w="424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 (a)</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 Bank Facility (c)</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707.0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Sunrise Holding SPE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 Holding Senior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Credit Facility (d)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615.0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Senior Secured Notes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 Credit Facility (e)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 Collar Loan (f)</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financing (g)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(h)</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156"/>
        </w:trPr>
        <w:tc>
          <w:tcPr>
            <w:tcW w:w="424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Total debt before deferred financing costs, discounts</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15,580.0</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15,857.6</w:t>
            </w:r>
          </w:p>
        </w:tc>
        <w:tc>
          <w:tcPr>
            <w:tcW w:w="0" w:type="dxa"/>
            <w:vAlign w:val="bottom"/>
          </w:tcPr>
          <w:p>
            <w:pPr>
              <w:spacing w:after="0"/>
              <w:rPr>
                <w:sz w:val="1"/>
                <w:szCs w:val="1"/>
                <w:color w:val="auto"/>
              </w:rPr>
            </w:pPr>
          </w:p>
        </w:tc>
      </w:tr>
      <w:tr>
        <w:trPr>
          <w:trHeight w:val="221"/>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premiums (i)</w:t>
            </w: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total debt before deferred financing costs, discounts and premiums to total debt and finance lease obligations: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6"/>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before deferred financing costs, discounts and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15,857.6</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amount of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 (note 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15,765.9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5" w:lineRule="auto"/>
        <w:tabs>
          <w:tab w:leader="none" w:pos="4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June 30, 2024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3.45% at June 30, 2024. The weighted average interest rate calculation includes principal amounts outstanding associated with all of our secured and unsecured borrowings. For information regarding our derivative instruments, see note 5.</w:t>
      </w:r>
    </w:p>
    <w:p>
      <w:pPr>
        <w:spacing w:after="0" w:line="21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June 30, 2024 without regard to covenant compliance calculations or other conditions precedent to borrowing. The following table provides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borrowing availability and amounts available to loan or distribute in accordance with the terms of the respective subsidiary facilities (i) at June 30, 2024 and (ii) upon completion of the relevant June 30, 2024 compliance reporting requirements. These amounts do not consider any actual or potential changes to our borrowing levels or any amounts loaned or distributed subsequent to June 30, 2024, or the full impact of additional amounts that may be available to borrow, loan or distribute under certain defined baskets within each respective facility.</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right"/>
              <w:ind w:right="834"/>
              <w:spacing w:after="0"/>
              <w:rPr>
                <w:sz w:val="20"/>
                <w:szCs w:val="20"/>
                <w:color w:val="auto"/>
              </w:rPr>
            </w:pPr>
            <w:r>
              <w:rPr>
                <w:rFonts w:ascii="Times New Roman" w:cs="Times New Roman" w:eastAsia="Times New Roman" w:hAnsi="Times New Roman"/>
                <w:sz w:val="16"/>
                <w:szCs w:val="16"/>
                <w:b w:val="1"/>
                <w:bCs w:val="1"/>
                <w:color w:val="auto"/>
              </w:rPr>
              <w:t>Availability</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00" w:type="dxa"/>
            <w:vAlign w:val="bottom"/>
            <w:gridSpan w:val="6"/>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Upon completion of the relevant June 30,</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3"/>
            <w:vMerge w:val="restart"/>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372"/>
              <w:spacing w:after="0" w:line="162" w:lineRule="exact"/>
              <w:rPr>
                <w:sz w:val="20"/>
                <w:szCs w:val="20"/>
                <w:color w:val="auto"/>
              </w:rPr>
            </w:pPr>
            <w:r>
              <w:rPr>
                <w:rFonts w:ascii="Times New Roman" w:cs="Times New Roman" w:eastAsia="Times New Roman" w:hAnsi="Times New Roman"/>
                <w:sz w:val="16"/>
                <w:szCs w:val="16"/>
                <w:b w:val="1"/>
                <w:bCs w:val="1"/>
                <w:color w:val="auto"/>
              </w:rPr>
              <w:t>2024 compliance reporting</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requirements</w:t>
            </w:r>
          </w:p>
        </w:tc>
        <w:tc>
          <w:tcPr>
            <w:tcW w:w="0" w:type="dxa"/>
            <w:vAlign w:val="bottom"/>
          </w:tcPr>
          <w:p>
            <w:pPr>
              <w:spacing w:after="0"/>
              <w:rPr>
                <w:sz w:val="1"/>
                <w:szCs w:val="1"/>
                <w:color w:val="auto"/>
              </w:rPr>
            </w:pPr>
          </w:p>
        </w:tc>
      </w:tr>
      <w:tr>
        <w:trPr>
          <w:trHeight w:val="157"/>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73"/>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280" w:type="dxa"/>
            <w:vAlign w:val="bottom"/>
          </w:tcPr>
          <w:p>
            <w:pPr>
              <w:spacing w:after="0"/>
              <w:rPr>
                <w:sz w:val="13"/>
                <w:szCs w:val="13"/>
                <w:color w:val="auto"/>
              </w:rPr>
            </w:pPr>
          </w:p>
        </w:tc>
        <w:tc>
          <w:tcPr>
            <w:tcW w:w="1020" w:type="dxa"/>
            <w:vAlign w:val="bottom"/>
          </w:tcPr>
          <w:p>
            <w:pPr>
              <w:jc w:val="right"/>
              <w:ind w:right="294"/>
              <w:spacing w:after="0" w:line="158" w:lineRule="exact"/>
              <w:rPr>
                <w:sz w:val="20"/>
                <w:szCs w:val="20"/>
                <w:color w:val="auto"/>
              </w:rPr>
            </w:pPr>
            <w:r>
              <w:rPr>
                <w:rFonts w:ascii="Times New Roman" w:cs="Times New Roman" w:eastAsia="Times New Roman" w:hAnsi="Times New Roman"/>
                <w:sz w:val="16"/>
                <w:szCs w:val="16"/>
                <w:b w:val="1"/>
                <w:bCs w:val="1"/>
                <w:color w:val="auto"/>
              </w:rPr>
              <w:t>U.S.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14"/>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300" w:type="dxa"/>
            <w:vAlign w:val="bottom"/>
          </w:tcPr>
          <w:p>
            <w:pPr>
              <w:spacing w:after="0"/>
              <w:rPr>
                <w:sz w:val="13"/>
                <w:szCs w:val="13"/>
                <w:color w:val="auto"/>
              </w:rPr>
            </w:pPr>
          </w:p>
        </w:tc>
        <w:tc>
          <w:tcPr>
            <w:tcW w:w="1120" w:type="dxa"/>
            <w:vAlign w:val="bottom"/>
          </w:tcPr>
          <w:p>
            <w:pPr>
              <w:jc w:val="right"/>
              <w:ind w:right="372"/>
              <w:spacing w:after="0" w:line="158" w:lineRule="exact"/>
              <w:rPr>
                <w:sz w:val="20"/>
                <w:szCs w:val="20"/>
                <w:color w:val="auto"/>
              </w:rPr>
            </w:pPr>
            <w:r>
              <w:rPr>
                <w:rFonts w:ascii="Times New Roman" w:cs="Times New Roman" w:eastAsia="Times New Roman" w:hAnsi="Times New Roman"/>
                <w:sz w:val="16"/>
                <w:szCs w:val="16"/>
                <w:b w:val="1"/>
                <w:bCs w:val="1"/>
                <w:color w:val="auto"/>
              </w:rPr>
              <w:t>U.S. $</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Sunrise Holding Bank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707.0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30"/>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loan or distribute: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Sunrise Holding Bank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9"/>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500" w:hanging="492"/>
        <w:spacing w:after="0" w:line="253" w:lineRule="auto"/>
        <w:tabs>
          <w:tab w:leader="none" w:pos="4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Sunrise Holding Bank Facility relates to an equivalent €707.0 million ($757.7 million) under the Sunrise Holding Revolving Facility, comprising (i) €697.0 million ($747.0 million) under Sunrise Holding Revolving Facility B and (ii) €10.0 million ($10.7 million) under Sunrise Holding Revolving Facility A. With the exception of €23.0 million ($24.6 million) of borrowings under the ancillary facilities, the Sunrise Holding Revolving Facility was undrawn at June 30, 2024. In February 2024, commitments under the Sunrise Holding Revolving Facility were reduced by €18.0 million ($19.3 million) and €60.0 million ($64.3 million) of commitments under Sunrise Holding Revolving Facility A were extended and redesignated under Sunrise Holding Revolving Facility B. As a result, the Sunrise Holding Revolving Facility now provides for maximum borrowing capacity of €730.0 million ($782.3 million), including €60.0 million under the related ancillary facilities. Sunrise Holding Revolving Facility A has a maximum borrowing capacity of €10.0 million and a final maturity date of May 31, 2026 and Sunrise Holding Revolving Facility B has a maximum borrowing capacity of €720.0 million ($771.6 million), including €60.0 million under the ancillary facilities, and a final maturity date of September 30, 2029. In April 2024, Sunrise Holding Revolving Facility B was amended to include an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)-linked margin ratchet. The interest rate on Sunrise Holding Revolving Facility B is now subject to adjustment based on the achievement or otherwise of certain ESG metrics.</w:t>
      </w:r>
    </w:p>
    <w:p>
      <w:pPr>
        <w:spacing w:after="0" w:line="21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Telenet Credit Facility comprises (i) €570.0 million ($610.8 million) under Telenet Revolving Facility B, (ii) €25.0 million ($26.8 million) under the Telenet Overdraft Facility and (iii) €20.0 million ($21.4 million) under the Telenet Revolving Facility, each of which were undrawn at June 30, 2024. In February 2024, the €30.0 million ($32.1 million) of commitments under Telenet Revolving Facility A were cancelled in full.</w:t>
      </w:r>
    </w:p>
    <w:p>
      <w:pPr>
        <w:spacing w:after="0" w:line="206"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VM Ireland Credit Facility relates to €100.0 million ($107.2 million) under the VM Ireland Revolving Facility, which was undrawn at June 30, 2024.</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regarding the Vodafone Collar Loan, see note 4.</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six months ended June 30, 2024 and 2023, the constructive cash outflow included in cash flows from operating activities and the corresponding constructive cash inflow included in cash flows from financing activities related to these operating expenses were $324.4 million and $276.7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19" w:lineRule="exact"/>
        <w:rPr>
          <w:sz w:val="20"/>
          <w:szCs w:val="20"/>
          <w:color w:val="auto"/>
        </w:rPr>
      </w:pPr>
    </w:p>
    <w:p>
      <w:pPr>
        <w:ind w:left="500" w:hanging="492"/>
        <w:spacing w:after="0" w:line="282"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$410.9 million and $430.8 million at June 30, 2024 and December 31, 2023, respectively, of liabilities related to Telenet’s acquisition of mobile spectrum licenses. Telenet will make annual payments for the license fees over the terms of the respective licenses.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and December 31, 2023, our debt had an estimated fair value of $15.2 billion and $15.5 billion, respectively. The estimated fair values of our debt instruments are generally determined using the average of applicable bid and ask prices (mostly Level 1 of the fair value hierarchy). For additional information regarding fair value hierarchies, see note 6.</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June 30, 2024, most of our outstanding debt had been incurred by one of our three subsidiary “borrowing groups.” References to these borrowing groups, which comprise Sunrise Holding, Telenet and VM Ireland, include their respective restricted parent and subsidiary entities. For information regarding the general terms and conditions of our debt and capitalized terms not defined herein, see note 11 to the consolidated financial statements included in our 10-K.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our debt as of June 30, 2024 are presented below for the named entity and its subsidiaries, unless otherwise noted, and represent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equivalents based on June 30, 2024 exchange rates.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Sunrise</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14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VM Ireland</w:t>
            </w:r>
          </w:p>
        </w:tc>
        <w:tc>
          <w:tcPr>
            <w:tcW w:w="16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(b)</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 (a)</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 maturities (c)</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15,580.0</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15,459.9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portion</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2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certain senior secured notes issued by special purpose financing entities that are consolidated by Sunrise Holding and Liberty Global.</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hanging="492"/>
        <w:spacing w:after="0" w:line="282"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$1,348.0 million related to the Vodafone Collar Loan, which has settlement dates in 2025 and 2026 consistent with the Vodafone Collar. We may elect to use cash or the collective value of the related shares and Vodafone Collar to settle amounts under the Vodafone Collar Loan.</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vendor financing obligations of $738.0 million, as set forth below:</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Sunrise</w:t>
            </w:r>
          </w:p>
        </w:tc>
        <w:tc>
          <w:tcPr>
            <w:tcW w:w="20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320" w:type="dxa"/>
            <w:vAlign w:val="bottom"/>
          </w:tcPr>
          <w:p>
            <w:pPr>
              <w:spacing w:after="0"/>
              <w:rPr>
                <w:sz w:val="16"/>
                <w:szCs w:val="16"/>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6"/>
                <w:szCs w:val="16"/>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23"/>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vendor financing maturities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Long-term portion</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Obligations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vendor financing obligations for the indicated periods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30"/>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8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at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enter into operating and finance leases for network equipment, real estate, mobile site sharing and vehicles. We provide residual value guarantees on certain of our vehicle leases.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 Balances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ROU assets and lease liabilities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2"/>
        </w:trPr>
        <w:tc>
          <w:tcPr>
            <w:tcW w:w="8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(b)</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 (c)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leases (d)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1,803.9</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finance lease ROU assets are included in property and equipment, net, on our condensed consolidated balance sheets. At June 30, 2024, the weighted average remaining lease term for finance leases was 11.2 years and the weighted average discount rate was 4.9%. During the six months ended June 30, 2024 and 2023, we recorded non-cash additions to our finance lease ROU assets of $0.6 million and $16.9 million, respectively.</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the weighted average remaining lease term for operating leases was 8.8 years and the weighted average discount rate was 3.3%. During the six months ended June 30, 2024 and 2023, we recorded non-cash additions to our operating lease ROU assets of $48.3 million and $29.8 million, respectively.</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long-term portions of our finance lease liabilities are included within current portion of debt and finance lease obligations and long-term debt and finance lease obligations, respectively, on our condensed consolidated balance sheets.</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portions of our operating lease liabilities are included within other accrued and current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aggregate lease expense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140" w:type="dxa"/>
            <w:vAlign w:val="bottom"/>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6"/>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 (a)</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5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1"/>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condensed consolidated statements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cash outflows from operating and finance leases is set forth below:</w:t>
      </w:r>
    </w:p>
    <w:p>
      <w:pPr>
        <w:spacing w:after="0" w:line="14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5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8"/>
                <w:szCs w:val="18"/>
                <w:color w:val="auto"/>
              </w:rPr>
            </w:pPr>
          </w:p>
        </w:tc>
      </w:tr>
      <w:tr>
        <w:trPr>
          <w:trHeight w:val="206"/>
        </w:trPr>
        <w:tc>
          <w:tcPr>
            <w:tcW w:w="8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finance leases (interest component)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 (principal component)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outflows from operating and finance leases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Maturities of our operating and finance lease liabilities as of June 30, 2024 are presented below. Amounts represent U.S. dollar equivalents based on June 30, 2024 exchange rates.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14"/>
        </w:trPr>
        <w:tc>
          <w:tcPr>
            <w:tcW w:w="8480" w:type="dxa"/>
            <w:vAlign w:val="bottom"/>
          </w:tcPr>
          <w:p>
            <w:pPr>
              <w:spacing w:after="0"/>
              <w:rPr>
                <w:sz w:val="18"/>
                <w:szCs w:val="18"/>
                <w:color w:val="auto"/>
              </w:rPr>
            </w:pPr>
          </w:p>
        </w:tc>
        <w:tc>
          <w:tcPr>
            <w:tcW w:w="14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80" w:hanging="472"/>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attributable to our earnings (loss) before income taxes differs from the amounts computed using the applicable income tax rate as a result of the following factors: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“expected” tax benefit (expense)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or non-taxable interest and other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175"/>
        </w:trPr>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Basis and other differences in the treatment of items associated with investments in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and affiliates (b)</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rate differences (c)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1"/>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25.0% for the 2024 periods and 23.5% for the 2023 periods. The statutory rate for the 2023 periods represents the blended rate in effect for the year ended December 31, 2023 based on the 19.0% statutory rate that was in effect for the first quarter of 2023 and the 25.0% statutory rate that is in effect from April 1, 2023. Although we are domiciled in Bermuda, we use the U.K. statutory rate to compute our “expected” tax benefit (expense) as management believes it is more meaningful.</w:t>
      </w:r>
    </w:p>
    <w:p>
      <w:pPr>
        <w:spacing w:after="0" w:line="206"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net impact of differences in the treatment of income and loss items between financial reporting and tax accounting related to investments in subsidiaries and affiliates, including the effects of foreign earnings.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 w:hanging="492"/>
        <w:spacing w:after="0" w:line="282" w:lineRule="auto"/>
        <w:tabs>
          <w:tab w:leader="none" w:pos="4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benefit (expense) for statutory rates in jurisdictions in which we operate outside of the U.K.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in the U.S. Although this legislation does not increase the U.S. corporate income tax rate, it includes, among other provisions, a corporate alternative minimum tax (</w:t>
      </w:r>
      <w:r>
        <w:rPr>
          <w:rFonts w:ascii="Times New Roman" w:cs="Times New Roman" w:eastAsia="Times New Roman" w:hAnsi="Times New Roman"/>
          <w:sz w:val="18"/>
          <w:szCs w:val="18"/>
          <w:b w:val="1"/>
          <w:bCs w:val="1"/>
          <w:color w:val="auto"/>
        </w:rPr>
        <w:t>CAMT</w:t>
      </w:r>
      <w:r>
        <w:rPr>
          <w:rFonts w:ascii="Times New Roman" w:cs="Times New Roman" w:eastAsia="Times New Roman" w:hAnsi="Times New Roman"/>
          <w:sz w:val="18"/>
          <w:szCs w:val="18"/>
          <w:color w:val="auto"/>
        </w:rPr>
        <w:t>) on “adjusted financial statement income” that is effective for tax years beginning after December 31, 2022. CAMT did not have an impact on our consolidated financial statements through June 30, 2024, although we will continue to monitor additional guidance as it is issued to assess the impact to our tax position. We will disregard our CAMT status when evaluating our deferred tax assets under the regular U.S. tax system.</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our unrecognized tax benefits were $483.3 million, of which $385.9 million would have a favorable impact on our effective income tax rate if ultimately recognized, after considering amounts that we would expect to be offset by valuation allowances and other factors. During the next 12 months it is reasonably possible that the resolution of ongoing tax controversies, as well as the expiration of statutes of limitation and other items, could result in reductions to our unrecognized tax benefits related to tax positions taken as of June 30, 2024. The amount of such reductions could range up to $388.0 million. No assurance can be given as to the nature or impact of any changes in our unrecognized tax positions during the next 12 months.</w:t>
      </w:r>
    </w:p>
    <w:p>
      <w:pPr>
        <w:spacing w:after="0" w:line="20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w:t>
      </w:r>
      <w:r>
        <w:rPr>
          <w:rFonts w:ascii="Times New Roman" w:cs="Times New Roman" w:eastAsia="Times New Roman" w:hAnsi="Times New Roman"/>
          <w:sz w:val="18"/>
          <w:szCs w:val="18"/>
          <w:b w:val="1"/>
          <w:bCs w:val="1"/>
          <w:color w:val="auto"/>
        </w:rPr>
        <w:t>OECD</w:t>
      </w:r>
      <w:r>
        <w:rPr>
          <w:rFonts w:ascii="Times New Roman" w:cs="Times New Roman" w:eastAsia="Times New Roman" w:hAnsi="Times New Roman"/>
          <w:sz w:val="18"/>
          <w:szCs w:val="18"/>
          <w:color w:val="auto"/>
        </w:rPr>
        <w:t>)/G20 Inclusive Framework on Base Erosion and Profit Shifting (</w:t>
      </w:r>
      <w:r>
        <w:rPr>
          <w:rFonts w:ascii="Times New Roman" w:cs="Times New Roman" w:eastAsia="Times New Roman" w:hAnsi="Times New Roman"/>
          <w:sz w:val="18"/>
          <w:szCs w:val="18"/>
          <w:b w:val="1"/>
          <w:bCs w:val="1"/>
          <w:color w:val="auto"/>
        </w:rPr>
        <w:t>BEPS</w:t>
      </w:r>
      <w:r>
        <w:rPr>
          <w:rFonts w:ascii="Times New Roman" w:cs="Times New Roman" w:eastAsia="Times New Roman" w:hAnsi="Times New Roman"/>
          <w:sz w:val="18"/>
          <w:szCs w:val="18"/>
          <w:color w:val="auto"/>
        </w:rPr>
        <w:t>) released Model Global Anti-Base Erosion (</w:t>
      </w:r>
      <w:r>
        <w:rPr>
          <w:rFonts w:ascii="Times New Roman" w:cs="Times New Roman" w:eastAsia="Times New Roman" w:hAnsi="Times New Roman"/>
          <w:sz w:val="18"/>
          <w:szCs w:val="18"/>
          <w:b w:val="1"/>
          <w:bCs w:val="1"/>
          <w:color w:val="auto"/>
        </w:rPr>
        <w:t>GLoBE</w:t>
      </w:r>
      <w:r>
        <w:rPr>
          <w:rFonts w:ascii="Times New Roman" w:cs="Times New Roman" w:eastAsia="Times New Roman" w:hAnsi="Times New Roman"/>
          <w:sz w:val="18"/>
          <w:szCs w:val="18"/>
          <w:color w:val="auto"/>
        </w:rPr>
        <w:t>) rules under Pillar Two. These rules provide for the taxation of certain large multinational corporations at a minimum rate of 15.0%, calculated on a jurisdictional basis. Numerous countries in which we operate, including the U.K. and certain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member states, have enacted legislation to implement many aspects of the Pillar Two rules beginning on January 1, 2024, with certain remaining impacts to be effective from January 1, 2025. We do not currently anticipate that Pillar Two legislation will have a material impact on our consolidated financial statements, but we will continue to monitor future legislation and any additional guidance that is issued.</w:t>
      </w:r>
    </w:p>
    <w:p>
      <w:pPr>
        <w:spacing w:after="0" w:line="21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tax returns filed by our company or our subsidiaries for years prior to 2016 are no longer subject to examination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tax authorities. Certain of our subsidiaries are currently involved in income tax examinations in various jurisdictions in which we operate, including Switzerland, Ireland and Luxembourg.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7, 2022, the U.S. Department of Justice filed suit against Liberty Global, Inc. (</w:t>
      </w:r>
      <w:r>
        <w:rPr>
          <w:rFonts w:ascii="Times New Roman" w:cs="Times New Roman" w:eastAsia="Times New Roman" w:hAnsi="Times New Roman"/>
          <w:sz w:val="18"/>
          <w:szCs w:val="18"/>
          <w:b w:val="1"/>
          <w:bCs w:val="1"/>
          <w:color w:val="auto"/>
        </w:rPr>
        <w:t>LGI</w:t>
      </w:r>
      <w:r>
        <w:rPr>
          <w:rFonts w:ascii="Times New Roman" w:cs="Times New Roman" w:eastAsia="Times New Roman" w:hAnsi="Times New Roman"/>
          <w:sz w:val="18"/>
          <w:szCs w:val="18"/>
          <w:color w:val="auto"/>
        </w:rPr>
        <w:t>), a wholly-owned U.S. subsidiary of Liberty Global, in the U.S. District Court of Colorado for unpaid federal income taxes and penalties for the 2018 tax year of approximately $284 million. This action by the U.S. Department of Justice is related to the November 2020 complaint filed by LGI in the District Court of Colorado seeking a refund of approximately $110 million of taxes, penalties and interest associated with the application of certain temporary Treasury regulations issued in June 2019. In October 2023, the U.S. District Court of Colorado entered judgement against LGI with respect to the refund claim and we appealed this decision to the U.S. Court of Appeals for the Tenth Circuit (</w:t>
      </w:r>
      <w:r>
        <w:rPr>
          <w:rFonts w:ascii="Times New Roman" w:cs="Times New Roman" w:eastAsia="Times New Roman" w:hAnsi="Times New Roman"/>
          <w:sz w:val="18"/>
          <w:szCs w:val="18"/>
          <w:b w:val="1"/>
          <w:bCs w:val="1"/>
          <w:color w:val="auto"/>
        </w:rPr>
        <w:t>Court of Appeals</w:t>
      </w:r>
      <w:r>
        <w:rPr>
          <w:rFonts w:ascii="Times New Roman" w:cs="Times New Roman" w:eastAsia="Times New Roman" w:hAnsi="Times New Roman"/>
          <w:sz w:val="18"/>
          <w:szCs w:val="18"/>
          <w:color w:val="auto"/>
        </w:rPr>
        <w:t>) in December 2023. No amounts have been accrued by LGI with respect to this matter. We will vigorously defend this matter and continue to actively pursue our claim for refund.</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2021, we petitioned the U.S. Tax Court with respect to unresolved issues related to our 2010 tax year for which we had already recognized an accrued liability for an uncertain tax position. In November 2023, we received an unfavorable decision which we will appeal to the Court of Appeals. In December 2023, we made a payment of the disputed tax in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of $315.0 million, which reduced our accrued liability for uncertain tax benefits on our consolidated balance sheet but will continue to be included in our inventory of unrecognized tax benefits as the position is not yet settled. We will continue to vigorously defend our position, however, due to the inherent uncertainty involved in the litigation process, there can be no assurance that the Court of Appeals will rule in our favor.</w:t>
      </w:r>
    </w:p>
    <w:p>
      <w:pPr>
        <w:spacing w:after="0" w:line="199"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repurchased 18,532,112 of our Class C common shares at an average price per share of $18.24, for an aggregate purchase price of $337.9 million, including direct acquisition costs.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current share repurchase program, we are authorized during 2024 to repurchase up to 10% of our total outstanding shares as of December 31, 2023. As of June 30, 2024, the remaining number of our Class A and/or Class C common shares that we are authorized to repurchase during 2024 was 19.7 million. Based on the average of the respective closing share prices as of June 30, 2024, this would equate to additional share repurchases during the remainder of 2024 of approximately $347.5 million. However, the actual U.S. dollar amount of our share repurchases during the remainder of 2024 will be determined by the actual transaction date share prices during the year and could differ significantly from this amount.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Telenet Takeover Bid</w:t>
      </w:r>
    </w:p>
    <w:p>
      <w:pPr>
        <w:spacing w:after="0" w:line="25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On October 19, 2023, Liberty Global Belgium Holding B.V. (</w:t>
      </w:r>
      <w:r>
        <w:rPr>
          <w:rFonts w:ascii="Times New Roman" w:cs="Times New Roman" w:eastAsia="Times New Roman" w:hAnsi="Times New Roman"/>
          <w:sz w:val="18"/>
          <w:szCs w:val="18"/>
          <w:b w:val="1"/>
          <w:bCs w:val="1"/>
          <w:color w:val="auto"/>
        </w:rPr>
        <w:t>LGBH</w:t>
      </w:r>
      <w:r>
        <w:rPr>
          <w:rFonts w:ascii="Times New Roman" w:cs="Times New Roman" w:eastAsia="Times New Roman" w:hAnsi="Times New Roman"/>
          <w:sz w:val="18"/>
          <w:szCs w:val="18"/>
          <w:color w:val="auto"/>
        </w:rPr>
        <w:t xml:space="preserve">), an indirect wholly-owned subsidiary of Liberty Global, completed its public takeover bid for all of the shares of Telenet that we did not already own or that were not held by Telenet (the </w:t>
      </w:r>
      <w:r>
        <w:rPr>
          <w:rFonts w:ascii="Times New Roman" w:cs="Times New Roman" w:eastAsia="Times New Roman" w:hAnsi="Times New Roman"/>
          <w:sz w:val="18"/>
          <w:szCs w:val="18"/>
          <w:b w:val="1"/>
          <w:bCs w:val="1"/>
          <w:color w:val="auto"/>
        </w:rPr>
        <w:t>Telenet Takeover Bid</w:t>
      </w:r>
      <w:r>
        <w:rPr>
          <w:rFonts w:ascii="Times New Roman" w:cs="Times New Roman" w:eastAsia="Times New Roman" w:hAnsi="Times New Roman"/>
          <w:sz w:val="18"/>
          <w:szCs w:val="18"/>
          <w:color w:val="auto"/>
        </w:rPr>
        <w:t>). Telenet is now 100% owned by LGBH and Telenet shares have been delisted from Euronext Brussels.</w:t>
      </w:r>
    </w:p>
    <w:p>
      <w:pPr>
        <w:spacing w:after="0" w:line="198"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080" w:type="dxa"/>
            <w:vAlign w:val="bottom"/>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w:t>
            </w:r>
          </w:p>
        </w:tc>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 (b)</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amounts include share-based compensation expense related to certain Telenet Replacement Awards.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amounts include share-based compensation expense related to the 2024 PSUs, as defined and described below.</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3"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The following table provides the aggregate number of options, share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and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with respect to awards issued by Liberty Global that were (i) outstanding and (ii) exercisable as of June 30,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 underlying</w:t>
            </w:r>
          </w:p>
        </w:tc>
        <w:tc>
          <w:tcPr>
            <w:tcW w:w="1420" w:type="dxa"/>
            <w:vAlign w:val="bottom"/>
            <w:gridSpan w:val="3"/>
            <w:vMerge w:val="continue"/>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26,761,002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59,016,170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20,452,234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47,637,730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784,609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split-off or disposal transactions. Although future exercises of these awards by former employees will not result in the recognition of share-based compensation expense, such exercises will increase the number of our outstanding common shares.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aggregate number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that were outstanding as of June 30, 2024. The number of shares to be issued on the vesting date of these awards will be reduced by the amount of the employee’s required income tax withholding.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3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45"/>
        </w:trPr>
        <w:tc>
          <w:tcPr>
            <w:tcW w:w="8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3,208,640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5,305,231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2,092,968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(a):</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split-off or disposal transactions. The future vesting of these RSUs and PSUs will increase the number of our outstanding common shares.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2024 PSUs</w:t>
      </w:r>
    </w:p>
    <w:p>
      <w:pPr>
        <w:spacing w:after="0" w:line="24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 xml:space="preserve">In May 2024, the compensation committee of our board of directors approved the grant of PSUs to executive officers and other key employees (the </w:t>
      </w:r>
      <w:r>
        <w:rPr>
          <w:rFonts w:ascii="Times New Roman" w:cs="Times New Roman" w:eastAsia="Times New Roman" w:hAnsi="Times New Roman"/>
          <w:sz w:val="18"/>
          <w:szCs w:val="18"/>
          <w:b w:val="1"/>
          <w:bCs w:val="1"/>
          <w:color w:val="auto"/>
        </w:rPr>
        <w:t>2024 PSUs</w:t>
      </w:r>
      <w:r>
        <w:rPr>
          <w:rFonts w:ascii="Times New Roman" w:cs="Times New Roman" w:eastAsia="Times New Roman" w:hAnsi="Times New Roman"/>
          <w:sz w:val="18"/>
          <w:szCs w:val="18"/>
          <w:color w:val="auto"/>
        </w:rPr>
        <w:t>). The performance metric for the 2024 PSUs is based on Liberty Global’s relative total shareholder return (</w:t>
      </w:r>
      <w:r>
        <w:rPr>
          <w:rFonts w:ascii="Times New Roman" w:cs="Times New Roman" w:eastAsia="Times New Roman" w:hAnsi="Times New Roman"/>
          <w:sz w:val="18"/>
          <w:szCs w:val="18"/>
          <w:b w:val="1"/>
          <w:bCs w:val="1"/>
          <w:color w:val="auto"/>
        </w:rPr>
        <w:t>rTSR</w:t>
      </w:r>
      <w:r>
        <w:rPr>
          <w:rFonts w:ascii="Times New Roman" w:cs="Times New Roman" w:eastAsia="Times New Roman" w:hAnsi="Times New Roman"/>
          <w:sz w:val="18"/>
          <w:szCs w:val="18"/>
          <w:color w:val="auto"/>
        </w:rPr>
        <w:t>) during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commencing May 10, 2024 and ending December 31, 2026, calculated based on a comparison of Liberty Global’s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compared to the TSR of a comparator group of companies, which comprises all companies continuously listed in the NASDAQ Telecommunications Index or the Stoxx Europe 600 Telecom Index during the performance period. The market condition related to Liberty Global’s rTSR performance relative to the comparator group of companies is incorporated into the measurement of the grant date fair value of the award. The 2024 PSUs include over- and under-performance payout opportunities should the rTSR exceed or fail to meet the target, as applicable. Achieving an rTSR between the 25th percentile to at or above the 75th percentile will generally result in award recipients earning 25% to 200% of their target 2024 PSUs, subject to forfeitures. The 2024 PSUs have a maximum payout of 100% should the TSR be negative. In addition, 50% of the 2024 PSUs will be earned if Liberty Global’s rTSR is equal to or greater than the median TSR for the comparator group of companies as of December 31, 2025. The earned 2024 PSUs will fully vest on or around February 15,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Basic earnings or loss per share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earnings or loss by the weighted average number of shares outstanding for the period. Diluted EPS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basic and diluted weighted average common shares outstanding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4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9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gridSpan w:val="3"/>
          </w:tcPr>
          <w:p>
            <w:pPr>
              <w:jc w:val="center"/>
              <w:ind w:left="9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740" w:type="dxa"/>
            <w:vAlign w:val="bottom"/>
          </w:tcPr>
          <w:p>
            <w:pPr>
              <w:spacing w:after="0"/>
              <w:rPr>
                <w:sz w:val="18"/>
                <w:szCs w:val="18"/>
                <w:color w:val="auto"/>
              </w:rPr>
            </w:pPr>
          </w:p>
        </w:tc>
        <w:tc>
          <w:tcPr>
            <w:tcW w:w="12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EPS computation)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371,200,838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441,780,412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374,473,934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448,052,831</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shares (a)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6,253,176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 EPS computation)</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377,454,014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441,780,412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381,281,829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448,052,831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treasury stock method in order to calculate our incremental shares attributable to the assumed exercise or release of outstanding share-based incentive awards upon vesting. Certain of our share incentive plans include performance and/or other features such that the associated shares are contingently issuable. For purposes of applying the treasury stock method, the dilutive effect of these awards is calculated based on the number of the shares that would be issuable as if the end of the reporting period was the end of the contingency period.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calculation of diluted EPS excludes aggregate share-based incentive awards of 79.3 million and 77.9 million for the three and six months ended June 30, 2024, respectively, because their effect would have been anti-dilutive.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reported net losses attributable to Liberty Global shareholders for the three and six months ended June 30, 2023. Therefore, the potentially dilutive effect at June 30, 2023 excludes 97.5 million shares issuable pursuant to outstanding share-based incentive awards in the computation of diluted net loss attributable to Liberty Global shareholders per share because their inclusion would have been anti-dilutive to the computation.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earnings (loss) attributable to Liberty Global shareholders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noncontrolling interests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6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June 30, 2024. The commitments included in this table do not reflect any liabilities that are included on our June 30, 2024 condensed consolidated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8"/>
                <w:szCs w:val="18"/>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commitments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Network and connectivity</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certain service-related commitments, including software development, information technology, maintenance and call center services and (ii) the purchase of network and other equipment and CPE.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$278.7 million and $275.8 million during the six months ended June 30, 2024 and 2023, respectively.</w:t>
      </w:r>
    </w:p>
    <w:p>
      <w:pPr>
        <w:spacing w:after="0" w:line="2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Network and connectivity commitments include (i) certain equipment and service-related commitments at Telenet and (ii) certain network capacity arrangements at Sunrise.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commitments include (i) our share of the funding commitment associated with the nexfibre JV and (ii) various sports sponsorships.</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5.</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($1.5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 It is likely that it will take the Court of Appeal of Brussels several years to decide on the matter.</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Telekom Deutschland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Telekom Deutschland</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8"/>
          <w:szCs w:val="18"/>
          <w:b w:val="1"/>
          <w:bCs w:val="1"/>
          <w:color w:val="auto"/>
        </w:rPr>
        <w:t>Vodafone Disposal Group</w:t>
      </w:r>
      <w:r>
        <w:rPr>
          <w:rFonts w:ascii="Times New Roman" w:cs="Times New Roman" w:eastAsia="Times New Roman" w:hAnsi="Times New Roman"/>
          <w:sz w:val="18"/>
          <w:szCs w:val="18"/>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Swisscom MVNO Matter. </w:t>
      </w:r>
      <w:r>
        <w:rPr>
          <w:rFonts w:ascii="Times New Roman" w:cs="Times New Roman" w:eastAsia="Times New Roman" w:hAnsi="Times New Roman"/>
          <w:sz w:val="18"/>
          <w:szCs w:val="18"/>
          <w:color w:val="auto"/>
        </w:rPr>
        <w:t>On December 8, 2017, one of our subsidiaries, Sunrise GmbH, formerly known as UPC Schweiz GmbH,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mobile virtual network operator (</w:t>
      </w:r>
      <w:r>
        <w:rPr>
          <w:rFonts w:ascii="Times New Roman" w:cs="Times New Roman" w:eastAsia="Times New Roman" w:hAnsi="Times New Roman"/>
          <w:sz w:val="18"/>
          <w:szCs w:val="18"/>
          <w:b w:val="1"/>
          <w:bCs w:val="1"/>
          <w:color w:val="auto"/>
        </w:rPr>
        <w:t>MVNO</w:t>
      </w:r>
      <w:r>
        <w:rPr>
          <w:rFonts w:ascii="Times New Roman" w:cs="Times New Roman" w:eastAsia="Times New Roman" w:hAnsi="Times New Roman"/>
          <w:sz w:val="18"/>
          <w:szCs w:val="18"/>
          <w:color w:val="auto"/>
        </w:rPr>
        <w:t>) agreement with Swisscom (Schweiz) AG (</w:t>
      </w:r>
      <w:r>
        <w:rPr>
          <w:rFonts w:ascii="Times New Roman" w:cs="Times New Roman" w:eastAsia="Times New Roman" w:hAnsi="Times New Roman"/>
          <w:sz w:val="18"/>
          <w:szCs w:val="18"/>
          <w:b w:val="1"/>
          <w:bCs w:val="1"/>
          <w:color w:val="auto"/>
        </w:rPr>
        <w:t>Swisscom</w:t>
      </w:r>
      <w:r>
        <w:rPr>
          <w:rFonts w:ascii="Times New Roman" w:cs="Times New Roman" w:eastAsia="Times New Roman" w:hAnsi="Times New Roman"/>
          <w:sz w:val="18"/>
          <w:szCs w:val="18"/>
          <w:color w:val="auto"/>
        </w:rPr>
        <w:t xml:space="preserve">), as subsequently amended (the </w:t>
      </w:r>
      <w:r>
        <w:rPr>
          <w:rFonts w:ascii="Times New Roman" w:cs="Times New Roman" w:eastAsia="Times New Roman" w:hAnsi="Times New Roman"/>
          <w:sz w:val="18"/>
          <w:szCs w:val="18"/>
          <w:b w:val="1"/>
          <w:bCs w:val="1"/>
          <w:color w:val="auto"/>
        </w:rPr>
        <w:t>Swisscom MVNO</w:t>
      </w:r>
      <w:r>
        <w:rPr>
          <w:rFonts w:ascii="Times New Roman" w:cs="Times New Roman" w:eastAsia="Times New Roman" w:hAnsi="Times New Roman"/>
          <w:sz w:val="18"/>
          <w:szCs w:val="18"/>
          <w:color w:val="auto"/>
        </w:rPr>
        <w:t>), for the provision of mobile network services to certain of Sunrise GmbH’s end customers. In January 2023, Swisscom filed a formal lawsuit against Sunrise GmbH, asserting that it is in breach of the Swisscom MVNO and claiming approximately CHF 90 million ($100 million) in damages. In April 2024, we agreed with Swisscom to resolve the matter, the terms of which are not material to us and, as a result, the lawsuit against Sunrise GmbH has been withdrawn.</w:t>
      </w:r>
    </w:p>
    <w:p>
      <w:pPr>
        <w:spacing w:after="0" w:line="2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Contingency Matters. </w:t>
      </w:r>
      <w:r>
        <w:rPr>
          <w:rFonts w:ascii="Times New Roman" w:cs="Times New Roman" w:eastAsia="Times New Roman" w:hAnsi="Times New Roman"/>
          <w:sz w:val="18"/>
          <w:szCs w:val="18"/>
          <w:color w:val="auto"/>
        </w:rPr>
        <w:t>In connection with the dispositions of certain of our operations, we provided tax indemnities to the counterparties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Regulatory Matters. </w:t>
      </w:r>
      <w:r>
        <w:rPr>
          <w:rFonts w:ascii="Times New Roman" w:cs="Times New Roman" w:eastAsia="Times New Roman" w:hAnsi="Times New Roman"/>
          <w:sz w:val="18"/>
          <w:szCs w:val="18"/>
          <w:color w:val="auto"/>
        </w:rPr>
        <w:t>Broadband internet, video distribution,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4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The significant accounting policies of our reportable segments are principally the same as those described in note 3 to the consolidated financial statements included in our 10-K. In addition, we review non-financial measures such as customer growth, as appropriate.</w:t>
      </w:r>
    </w:p>
    <w:p>
      <w:pPr>
        <w:spacing w:after="0" w:line="21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total consolidated reportable segment Adjusted EBITDA to earnings (loss) before income taxes is presented below.</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our reportable segments are as follows: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Sunrise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Telenet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 Ireland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and Other</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VMO2 JV</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VodafoneZiggo JV</w:t>
      </w:r>
    </w:p>
    <w:p>
      <w:pPr>
        <w:spacing w:after="0" w:line="2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Sunrise, Telenet and VM Ireland reportable segments derive their revenue primarily from residential and B2B communications services, including broadband internet, video, fixed-line telephony and mobile services.</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Our “</w:t>
      </w:r>
      <w:r>
        <w:rPr>
          <w:rFonts w:ascii="Times New Roman" w:cs="Times New Roman" w:eastAsia="Times New Roman" w:hAnsi="Times New Roman"/>
          <w:sz w:val="18"/>
          <w:szCs w:val="18"/>
          <w:b w:val="1"/>
          <w:bCs w:val="1"/>
          <w:color w:val="auto"/>
        </w:rPr>
        <w:t>Central and Other</w:t>
      </w:r>
      <w:r>
        <w:rPr>
          <w:rFonts w:ascii="Times New Roman" w:cs="Times New Roman" w:eastAsia="Times New Roman" w:hAnsi="Times New Roman"/>
          <w:sz w:val="18"/>
          <w:szCs w:val="18"/>
          <w:color w:val="auto"/>
        </w:rPr>
        <w:t>” reportable segment primarily includes (i) revenue associated with services provided to the VMO2 JV, the VodafoneZiggo JV and various third parties related to service agreements, (ii) sales of CPE to the VMO2 JV and the VodafoneZiggo JV, (iii) certain centralized functions, including billing systems, network operations, technology, marketing, facilities, finance and other administrative functions, and (iv) our operations in Slovakia.</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Our centrally-managed technology and innovation function (our </w:t>
      </w:r>
      <w:r>
        <w:rPr>
          <w:rFonts w:ascii="Times New Roman" w:cs="Times New Roman" w:eastAsia="Times New Roman" w:hAnsi="Times New Roman"/>
          <w:sz w:val="18"/>
          <w:szCs w:val="18"/>
          <w:b w:val="1"/>
          <w:bCs w:val="1"/>
          <w:color w:val="auto"/>
        </w:rPr>
        <w:t>T&amp;I Function</w:t>
      </w:r>
      <w:r>
        <w:rPr>
          <w:rFonts w:ascii="Times New Roman" w:cs="Times New Roman" w:eastAsia="Times New Roman" w:hAnsi="Times New Roman"/>
          <w:sz w:val="18"/>
          <w:szCs w:val="18"/>
          <w:color w:val="auto"/>
        </w:rPr>
        <w:t xml:space="preserve">) provides, and allocates charges for, certain products and services to our consolidated reportable segments and, beginning in 2024, the VMO2 JV (the </w:t>
      </w:r>
      <w:r>
        <w:rPr>
          <w:rFonts w:ascii="Times New Roman" w:cs="Times New Roman" w:eastAsia="Times New Roman" w:hAnsi="Times New Roman"/>
          <w:sz w:val="18"/>
          <w:szCs w:val="18"/>
          <w:b w:val="1"/>
          <w:bCs w:val="1"/>
          <w:color w:val="auto"/>
        </w:rPr>
        <w:t>Tech Framework</w:t>
      </w:r>
      <w:r>
        <w:rPr>
          <w:rFonts w:ascii="Times New Roman" w:cs="Times New Roman" w:eastAsia="Times New Roman" w:hAnsi="Times New Roman"/>
          <w:sz w:val="18"/>
          <w:szCs w:val="18"/>
          <w:color w:val="auto"/>
        </w:rPr>
        <w:t>). These products and services include CPE hardware and related essential software, maintenance, hosting and other services. Our consolidated reportable segments and the VMO2 JV capitalize the combined cost of the CPE hardware and essential software as property and equipment additions and the corresponding amounts charged by our T&amp;I Function are reflected as revenue when earned.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were applied against the net book value of our existing internally-developed capitalized software. As of December 31, 2023, the net book value of our existing internally-developed software was reduced to zero, after which time we began recognizing revenue for such licensing and related sale of products. Further, from May 2023, we expense the costs of development of such software due to the fact that it is able to be externally marketed to third parties. During the three and six months ended June 30, 2023, revenue within Central and Other was reduced by $30.7 million, including $15.7 million and $9.8 million from the VMO2 JV and the VodafoneZiggo JV, respectively, as a result of this change and the associated accounting treatment.</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amounts presented below represent 100% of each of our consolidated and nonconsolidated reportable segment’s revenue and Adjusted EBITDA,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condensed consolidated statements of operations. The noncontrolling owners’ interests in the operating results of Telenet, prior to the Telenet Takeover Bid, and other less significant majority-owned subsidiaries are reflected in net earnings or loss attributable to noncontrolling interests in our condensed 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3"/>
                <w:szCs w:val="13"/>
                <w:color w:val="auto"/>
              </w:rPr>
            </w:pPr>
          </w:p>
        </w:tc>
        <w:tc>
          <w:tcPr>
            <w:tcW w:w="2120" w:type="dxa"/>
            <w:vAlign w:val="bottom"/>
            <w:gridSpan w:val="4"/>
          </w:tcPr>
          <w:p>
            <w:pPr>
              <w:jc w:val="right"/>
              <w:ind w:right="531"/>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Central and Other (a)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consolidated reportable segment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 (b)</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revenue (c)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1,088.4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2,205.6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services agreements revenue from the VMO2 JV ($91.2 million, $55.4 million, $203.5 million and $121.2 million, respectively) and the VodafoneZiggo JV ($59.6 million, $55.5 million, $121.7 million and $120.5 million, respectively), our nonconsolidated reportable segments, as further described in note 4. The remaining revenue is derived from other consolidated reportable segments, which is disclosed as intersegment eliminations pursuant to footnote (b), external parties and other affiliates.</w:t>
      </w:r>
    </w:p>
    <w:p>
      <w:pPr>
        <w:spacing w:after="0" w:line="206"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revenue recognized within Central and Other from other consolidated reportable segments associated with the Tech Framework.</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revenue does not include the revenue of our nonconsolidated reportable segments, which are separately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3"/>
                <w:szCs w:val="13"/>
                <w:color w:val="auto"/>
              </w:rPr>
            </w:pPr>
          </w:p>
        </w:tc>
        <w:tc>
          <w:tcPr>
            <w:tcW w:w="2120" w:type="dxa"/>
            <w:vAlign w:val="bottom"/>
            <w:gridSpan w:val="4"/>
          </w:tcPr>
          <w:p>
            <w:pPr>
              <w:jc w:val="right"/>
              <w:ind w:right="531"/>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Central and Other (a)</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consolidated reportable segment Adjusted EBITDA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 (b)</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Adjusted EBITDA (c)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1,037.7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development costs related to our internally-developed software subsequent to our decision in May 2023 to externally market such software.</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the Adjusted EBITDA impact within Central and Other related to the Tech Framework.</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Adjusted EBITDA does not include the Adjusted EBITDA of our nonconsolidated reportable segments, which are separately shown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total consolidated reportable segment Adjusted EBITDA to earnings (loss) before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0"/>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66"/>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reportable segment Adjusted EBITDA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184"/>
        </w:trPr>
        <w:tc>
          <w:tcPr>
            <w:tcW w:w="6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All3Media</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7 and 9, respectively.</w:t>
      </w:r>
    </w:p>
    <w:p>
      <w:pPr>
        <w:spacing w:after="0" w:line="99"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Central and Other (a)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consolidated reportable segment property and equipment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eliminations (b)</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property and equipment additions (c)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 expenditures,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VMO2 JV</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VodafoneZiggo JV</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1" w:lineRule="auto"/>
        <w:tabs>
          <w:tab w:leader="none" w:pos="4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property and equipment additions representing centrally-owned assets that benefit our operating segments, including development costs related to our internally-developed software prior to our decision to externally market such software during the second quarter of 2023, (ii) the net impact of certain centrally-procured network equipment that is ultimately transferred to our operating segments and (iii) property and equipment additions of our operations in Slovakia.</w:t>
      </w:r>
    </w:p>
    <w:p>
      <w:pPr>
        <w:spacing w:after="0" w:line="206"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charge under the Tech Framework to each respective consolidated reportable segment related to the value attributed to centrally-held internally developed technology that is embedded within our various CPE, as well as any applicable markup.</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property and equipment additions does not include the property and equipment additions of our nonconsolidated reportable segments, which are separately shown below.</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for our consolidated reportable segments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12"/>
        </w:trPr>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r>
      <w:tr>
        <w:trPr>
          <w:trHeight w:val="22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3"/>
        </w:trPr>
        <w:tc>
          <w:tcPr>
            <w:tcW w:w="6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6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r>
      <w:tr>
        <w:trPr>
          <w:trHeight w:val="209"/>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29"/>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r>
      <w:tr>
        <w:trPr>
          <w:trHeight w:val="223"/>
        </w:trPr>
        <w:tc>
          <w:tcPr>
            <w:tcW w:w="61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30"/>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23"/>
        </w:trPr>
        <w:tc>
          <w:tcPr>
            <w:tcW w:w="6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4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enterprises and, fixed-line and mobile services on a wholesale basis, to other operators and (b) revenue from long-term leases of portions of our network.</w:t>
      </w:r>
    </w:p>
    <w:p>
      <w:pPr>
        <w:spacing w:after="0" w:line="189" w:lineRule="exact"/>
        <w:rPr>
          <w:sz w:val="20"/>
          <w:szCs w:val="20"/>
          <w:color w:val="auto"/>
        </w:rPr>
      </w:pPr>
    </w:p>
    <w:p>
      <w:pPr>
        <w:ind w:left="500" w:hanging="492"/>
        <w:spacing w:after="0" w:line="282" w:lineRule="auto"/>
        <w:tabs>
          <w:tab w:leader="none" w:pos="4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broadcasting revenue at Telenet, VM Ireland and Sunrise, (ii) revenue earned from the U.K. JV Services and NL JV Services and (iii) revenue earned from the sale of CPE to the VMO2 JV and VodafoneZiggo JV.</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Geographic Segments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revenue of our geographic segments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Slovakia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intersegment eliminations (a)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(U.K.)</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 (Netherlands)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10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other geographic segments relates to (i) our Central functions, most of which are located in the Netherlands and the U.K., and (ii) certain other operations at Telenet, primarily in the U.S. and Luxembourg.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consolidated financial statements and the discussion and analysis included in our 10-K, is intended to assist in providing an understanding of changes in our results of operations and financial condition and is organized as follows:</w:t>
      </w:r>
    </w:p>
    <w:p>
      <w:pPr>
        <w:spacing w:after="0" w:line="201" w:lineRule="exact"/>
        <w:rPr>
          <w:sz w:val="20"/>
          <w:szCs w:val="20"/>
          <w:color w:val="auto"/>
        </w:rPr>
      </w:pPr>
    </w:p>
    <w:p>
      <w:pPr>
        <w:ind w:left="660" w:hanging="328"/>
        <w:spacing w:after="0" w:line="284"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section provides a description of certain factors that could cause actual results or events to differ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anticipated results or events.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Results of Operations. </w:t>
      </w:r>
      <w:r>
        <w:rPr>
          <w:rFonts w:ascii="Times New Roman" w:cs="Times New Roman" w:eastAsia="Times New Roman" w:hAnsi="Times New Roman"/>
          <w:sz w:val="18"/>
          <w:szCs w:val="18"/>
          <w:color w:val="auto"/>
        </w:rPr>
        <w:t>This section provides an analysis of our results of operations for the three and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and 2023.</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Financial Condition. </w:t>
      </w:r>
      <w:r>
        <w:rPr>
          <w:rFonts w:ascii="Times New Roman" w:cs="Times New Roman" w:eastAsia="Times New Roman" w:hAnsi="Times New Roman"/>
          <w:sz w:val="18"/>
          <w:szCs w:val="18"/>
          <w:color w:val="auto"/>
        </w:rPr>
        <w:t>This section provides an analysis of our corporate and subsidiary liquidity and our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cash flows.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ind w:right="8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indicated, convenience translations into U.S. dollars are calculated, and operational data is presented, as of June 30, 2024. </w:t>
      </w: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and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xml:space="preserve"> 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10-K, as well as the following list of some, but not all, of the factors that could cause actual results or events (including with respect to affiliates) to differ materially from anticipated results or events:</w:t>
      </w:r>
    </w:p>
    <w:p>
      <w:pPr>
        <w:spacing w:after="0" w:line="223"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or our affiliates operate;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and in the countries in which we or our affiliates operate, including competitor responses to our products and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currency instability and related fiscal reforms;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 as a result of, among other things, inflationary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television viewing, mobile and broadband usage preferences and habits;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ind w:left="328" w:right="20"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rapid technological changes, including our ability to adequately manage our legacy technologies and transformation, and the rate at which our current technology becomes obsolete;</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the number of subscriptions to our broadband internet, video, fixed-line telephony and mobile service offerings and our average revenue per household;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1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 including with respect to our significant property and equipment additions, as a result of, among other things, inflationary pressures;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11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and legislation in the countries in which we or our affiliates operate and adverse outcomes from regulatory proceedings;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requires opening our broadband distribution networks to competitors, such as certain regulatory obligations imposed in Belgium;</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develop our direct and indirect distribution channels;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perceived health risks associated with electromagnetic radiation from base stations and associated equipment;</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businesses of strikes or collective action by certain of our employees that are represented by trade unions;</w:t>
      </w:r>
    </w:p>
    <w:p>
      <w:pPr>
        <w:spacing w:after="0" w:line="11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and shareholder approval and satisfy other conditions necessary to close acquisitions, dispositions, combinations or joint ventures and the impact of conditions imposed by competition and other regulatory authorities in connection with acquisitions, combinations and joint ventures;</w:t>
      </w:r>
    </w:p>
    <w:p>
      <w:pPr>
        <w:spacing w:after="0" w:line="6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or form joint ventures and, if acquired or joined, to integrate, realize anticipated efficiencies from, and implement our business plan with respect to, the businesses we have acquired or joined or that we expect to acquire or join;</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U.K., the U.S. or in other countries in which we or our affiliates operate;</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monetary policies and government regulations that may impact the availability or cost of capital and the derivative instruments that hedge certain of our financial risks;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navigate the potential impacts on our business resulting from the U.K.’s departure from the E.U.;</w:t>
      </w:r>
    </w:p>
    <w:p>
      <w:pPr>
        <w:spacing w:after="0" w:line="117" w:lineRule="exact"/>
        <w:rPr>
          <w:rFonts w:ascii="Times New Roman" w:cs="Times New Roman" w:eastAsia="Times New Roman" w:hAnsi="Times New Roman"/>
          <w:sz w:val="18"/>
          <w:szCs w:val="18"/>
          <w:i w:val="1"/>
          <w:iCs w:val="1"/>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 Three (Hutchison), under our MVNO arrangement at VM Ireland) to timely deliver quality products, equipment, software, services and access;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device manufacturers, and our operating companies’ ability to secure adequate and timely supply of handsets that experience high demand;</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video services and the costs associated with such programming, including, but not limited to, production costs, retransmission and copyright fees payable to public and private broadcasters;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forecast and plan future network requirements;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the acquisition, maintenance and/or development of telecommunications networks, products and services;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regulation of spectrum;</w:t>
      </w:r>
    </w:p>
    <w:p>
      <w:pPr>
        <w:spacing w:after="0" w:line="11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processes, of businesses we acquire;</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businesses or operations that we acquire or partner with on the timelines or within the budgets estimated for such integrations;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1" w:name="page52"/>
    <w:bookmarkEnd w:id="51"/>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synergies from our acquisitions and joint ventures in the amounts anticipated or on the anticipated timelines;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profit from investments, such as our joint ventures, that we do not solely control;</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protect against, mitigate and contain loss of our and our customers’ data as a result of cyber attacks on us or any of our operating companies;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leakage of sensitive customer or company data or the failure to comply with applicable data protection laws, regulations and rules;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network and information systems, whether caused by a natural failure or a security breach, and unauthorized access to our networks;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availability of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default by counterparties to our cash investments, derivative and other financial instruments and undrawn debt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factors related to our debt arrangements;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Israeli-Palestinian conflict.</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international provider of broadband internet, video, fixed-line telephony and mobile communications services to residential customers and businesses in Europe. Our businesses provide residential and B2B communications services in (i) Switzerland, which we refer to as Sunrise, and Slovakia through Sunrise Holding, (ii) Belgium and Luxembourg through Telenet and (iii) Ireland through VM Ireland. In addition, we own 50% noncontrolling interests in (a) the VMO2 JV, which provides residential and B2B communications services in the U.K., and (b) the VodafoneZiggo JV, which provides residential and B2B communications services in the Netherlands. We also own (1) a 50% noncontrolling voting interest in the AtlasEdge JV, which is a leading European Edge data center platform, and (2) a 25% noncontrolling interest in the nexfibre JV, which is constructing a new fiber network in the U.K. outside of the existing footprint of the VMO2 JV.</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announced our intention to spin-off the Sunrise Entities, which is expected to close during the fourth quarter of 2024.</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we completed the Telenet Takeover Bid, pursuant to which we increased our ownership interest in Telenet to 100%.</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June 30, 2024, we owned and operated networks that passed 8,573,400 homes and served 4,017,500 fixed-line customers and 5,906,000 mobile subscribers.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Other External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xml:space="preserve">). For additional information regarding the revenue impact of changes in the fixed-line customers and ARPU of our consolidated reportable segments,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which remain elevated,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following discussion, we quantify the estimated impact of material acquisitions (the </w:t>
      </w:r>
      <w:r>
        <w:rPr>
          <w:rFonts w:ascii="Times New Roman" w:cs="Times New Roman" w:eastAsia="Times New Roman" w:hAnsi="Times New Roman"/>
          <w:sz w:val="18"/>
          <w:szCs w:val="18"/>
          <w:b w:val="1"/>
          <w:bCs w:val="1"/>
          <w:color w:val="auto"/>
        </w:rPr>
        <w:t>Acquisition Impact</w:t>
      </w:r>
      <w:r>
        <w:rPr>
          <w:rFonts w:ascii="Times New Roman" w:cs="Times New Roman" w:eastAsia="Times New Roman" w:hAnsi="Times New Roman"/>
          <w:sz w:val="18"/>
          <w:szCs w:val="18"/>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risk during the three months ended June 30, 2024 was to the euro and Swiss franc, as 58.7% and 43.5% of our reported revenue during the period was derived from subsidiaries whose functional currencies are the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 xml:space="preserve">Discussion and Analysis of our Reportable Segments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Discussion and Analysis of our Consolidated Operating Results </w:t>
      </w:r>
      <w:r>
        <w:rPr>
          <w:rFonts w:ascii="Times New Roman" w:cs="Times New Roman" w:eastAsia="Times New Roman" w:hAnsi="Times New Roman"/>
          <w:sz w:val="18"/>
          <w:szCs w:val="18"/>
          <w:color w:val="auto"/>
        </w:rPr>
        <w:t>below. For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foreign currency risks and the applicable foreign currency exchange rates in effect for the periods covered by this Quarterly Report, see Part I, Item 3. </w:t>
      </w:r>
      <w:r>
        <w:rPr>
          <w:rFonts w:ascii="Times New Roman" w:cs="Times New Roman" w:eastAsia="Times New Roman" w:hAnsi="Times New Roman"/>
          <w:sz w:val="18"/>
          <w:szCs w:val="18"/>
          <w:i w:val="1"/>
          <w:iCs w:val="1"/>
          <w:color w:val="auto"/>
        </w:rPr>
        <w:t xml:space="preserve">Quantitative and Qualitative Disclosures about Market Risk — Foreign Currency Risk </w:t>
      </w:r>
      <w:r>
        <w:rPr>
          <w:rFonts w:ascii="Times New Roman" w:cs="Times New Roman" w:eastAsia="Times New Roman" w:hAnsi="Times New Roman"/>
          <w:sz w:val="18"/>
          <w:szCs w:val="18"/>
          <w:color w:val="auto"/>
        </w:rPr>
        <w:t>below.</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of our consolidated and nonconsolidated reportable segment’s results of operations, despite only holding a 50% noncontrolling interest in both the VMO2 JV and the VodafoneZiggo JV. We account for our 50% interest in both the VMO2 JV and the VodafoneZiggo JV as an equity method investment and as such, our share of the operating results of the VMO2 JV and the VodafoneZiggo JV is included in share of results of affiliates, net, in our condensed consolidated statements of operations. The noncontrolling owners’ interests at Telenet and other less significant majority-owned subsidiaries are reflected in net earnings or loss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Sunrise, Telenet and VM Ireland reportable segments derive their revenue primarily from residential and B2B communications services. Our Central and Other reportable segment primarily includes (i) revenue associated with services provided to the VMO2 JV, the VodafoneZiggo JV and various third parties related to service agreements, (ii) sales of CPE to the VMO2 JV and the VodafoneZiggo JV, (iii) certain centralized functions, including billing systems, network operations, technology, marketing, facilities, finance and other administrative functions, and (iv) our operations in Slovakia. For detailed information regarding the composition of our reportable segments and how we define and categorize our revenue components, see note 15 to our condensed consolidated financial statements. For information regarding the results of operations of the VMO2 JV and the VodafoneZiggo JV, refer to </w:t>
      </w:r>
      <w:r>
        <w:rPr>
          <w:rFonts w:ascii="Times New Roman" w:cs="Times New Roman" w:eastAsia="Times New Roman" w:hAnsi="Times New Roman"/>
          <w:sz w:val="18"/>
          <w:szCs w:val="18"/>
          <w:i w:val="1"/>
          <w:iCs w:val="1"/>
          <w:color w:val="auto"/>
        </w:rPr>
        <w:t xml:space="preserve">Discussion and Analysis of our Consolidated Operating Results — Share of results of affiliates, net </w:t>
      </w:r>
      <w:r>
        <w:rPr>
          <w:rFonts w:ascii="Times New Roman" w:cs="Times New Roman" w:eastAsia="Times New Roman" w:hAnsi="Times New Roman"/>
          <w:sz w:val="18"/>
          <w:szCs w:val="18"/>
          <w:color w:val="auto"/>
        </w:rPr>
        <w:t>below.</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tables presented below in this section provide the details of the revenue and Adjusted EBITDA of our reportable segments for the three and six months ended June 30, 2024, as compared to the corresponding periods in 2023.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six months ended June 30, 2024 and 2023 at the end of this section.</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earnings (loss) to Adjusted EBITDA: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06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6"/>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(1,224.8)</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All3Media Sale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175"/>
        </w:trPr>
        <w:tc>
          <w:tcPr>
            <w:tcW w:w="62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on derivative instruments,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23"/>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reportable segments, we are experiencing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in all of our markets. This competition has an adverse impact on our ability to increase or maintain our total number of customers and/or our ARPU.</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06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06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Sunrise. </w:t>
      </w:r>
      <w:r>
        <w:rPr>
          <w:rFonts w:ascii="Times New Roman" w:cs="Times New Roman" w:eastAsia="Times New Roman" w:hAnsi="Times New Roman"/>
          <w:sz w:val="18"/>
          <w:szCs w:val="18"/>
          <w:color w:val="auto"/>
        </w:rPr>
        <w:t>The details of the changes in Sunrise’s revenue during the three and six months ended June 30, 2024</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periods in </w:t>
      </w:r>
      <w:r>
        <w:rPr>
          <w:rFonts w:ascii="Times New Roman" w:cs="Times New Roman" w:eastAsia="Times New Roman" w:hAnsi="Times New Roman"/>
          <w:sz w:val="18"/>
          <w:szCs w:val="18"/>
          <w:color w:val="2C2C2C"/>
        </w:rPr>
        <w:t>2023</w:t>
      </w:r>
      <w:r>
        <w:rPr>
          <w:rFonts w:ascii="Times New Roman" w:cs="Times New Roman" w:eastAsia="Times New Roman" w:hAnsi="Times New Roman"/>
          <w:sz w:val="18"/>
          <w:szCs w:val="18"/>
          <w:color w:val="auto"/>
        </w:rPr>
        <w:t>, are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Three-month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3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residential fixed subscription revenue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change in: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residential fixed non-subscription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8"/>
              </w:rPr>
              <w:t>(8.3)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175"/>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mobile revenue</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 (b)</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color w:val="auto"/>
                <w:w w:val="98"/>
              </w:rPr>
              <w:t>(4.7)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8"/>
        </w:trPr>
        <w:tc>
          <w:tcPr>
            <w:tcW w:w="3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residential mobile subscription revenue are primarily attributable to increases in the average number of mobile subscribers.</w:t>
      </w:r>
    </w:p>
    <w:p>
      <w:pPr>
        <w:spacing w:after="0" w:line="2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B2B non-subscription revenue are primarily due to higher interconnect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6" w:name="page57"/>
    <w:bookmarkEnd w:id="56"/>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Telenet. </w:t>
      </w:r>
      <w:r>
        <w:rPr>
          <w:rFonts w:ascii="Times New Roman" w:cs="Times New Roman" w:eastAsia="Times New Roman" w:hAnsi="Times New Roman"/>
          <w:sz w:val="18"/>
          <w:szCs w:val="18"/>
          <w:color w:val="auto"/>
        </w:rPr>
        <w:t>The details of the decreases in Telenet’s revenue during the three and six months ended June 30, 2024</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periods in </w:t>
      </w:r>
      <w:r>
        <w:rPr>
          <w:rFonts w:ascii="Times New Roman" w:cs="Times New Roman" w:eastAsia="Times New Roman" w:hAnsi="Times New Roman"/>
          <w:sz w:val="18"/>
          <w:szCs w:val="18"/>
          <w:color w:val="2C2C2C"/>
        </w:rPr>
        <w:t>2023</w:t>
      </w:r>
      <w:r>
        <w:rPr>
          <w:rFonts w:ascii="Times New Roman" w:cs="Times New Roman" w:eastAsia="Times New Roman" w:hAnsi="Times New Roman"/>
          <w:sz w:val="18"/>
          <w:szCs w:val="18"/>
          <w:color w:val="auto"/>
        </w:rPr>
        <w:t>, are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Three-month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3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fixed</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revenue due to change in: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residential fixed non-subscription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56"/>
        </w:trPr>
        <w:tc>
          <w:tcPr>
            <w:tcW w:w="3740" w:type="dxa"/>
            <w:vAlign w:val="bottom"/>
            <w:tcBorders>
              <w:top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243"/>
        </w:trPr>
        <w:tc>
          <w:tcPr>
            <w:tcW w:w="3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 (a)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B2B subscription revenue are primarily due to increases in the average number of customers. The decreases in B2B non-subscription revenue are primarily attributable to (i) decreases in revenue from wholesale services and (ii) lower interconnect revenue.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7" w:name="page58"/>
    <w:bookmarkEnd w:id="57"/>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VM Ireland. </w:t>
      </w:r>
      <w:r>
        <w:rPr>
          <w:rFonts w:ascii="Times New Roman" w:cs="Times New Roman" w:eastAsia="Times New Roman" w:hAnsi="Times New Roman"/>
          <w:sz w:val="18"/>
          <w:szCs w:val="18"/>
          <w:color w:val="auto"/>
        </w:rPr>
        <w:t>The details of the decreases in VM Ireland’s revenue during the three and six months ended June 30,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periods in </w:t>
      </w:r>
      <w:r>
        <w:rPr>
          <w:rFonts w:ascii="Times New Roman" w:cs="Times New Roman" w:eastAsia="Times New Roman" w:hAnsi="Times New Roman"/>
          <w:sz w:val="18"/>
          <w:szCs w:val="18"/>
          <w:color w:val="2C2C2C"/>
        </w:rPr>
        <w:t>2023</w:t>
      </w:r>
      <w:r>
        <w:rPr>
          <w:rFonts w:ascii="Times New Roman" w:cs="Times New Roman" w:eastAsia="Times New Roman" w:hAnsi="Times New Roman"/>
          <w:sz w:val="18"/>
          <w:szCs w:val="18"/>
          <w:color w:val="auto"/>
        </w:rPr>
        <w:t>, are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Three-month period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Six-month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3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3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fixed</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revenue due to change in: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Decrease in residential fixed non-subscription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7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7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Other Direct Costs of Services, Other Operating Expenses and SG&amp;A Expenses of our Consolidated Reportable Segments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of our Reportable Segments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r>
      <w:tr>
        <w:trPr>
          <w:trHeight w:val="211"/>
        </w:trPr>
        <w:tc>
          <w:tcPr>
            <w:tcW w:w="4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Adjusted EBITDA margins (Adjusted EBITDA divided by revenue) of each of our reportable segments: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74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57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and the analysis of our expenses included in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For discussion of the factors contributing to the changes in the Adjusted EBITDA margins of the VMO2 JV and the VodafoneZiggo JV, see </w:t>
      </w:r>
      <w:r>
        <w:rPr>
          <w:rFonts w:ascii="Times New Roman" w:cs="Times New Roman" w:eastAsia="Times New Roman" w:hAnsi="Times New Roman"/>
          <w:sz w:val="18"/>
          <w:szCs w:val="18"/>
          <w:i w:val="1"/>
          <w:iCs w:val="1"/>
          <w:color w:val="auto"/>
        </w:rPr>
        <w:t>Discussion and Analysis of our Consolidated Operating Results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of results of affiliates, net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4" w:lineRule="exact"/>
        <w:rPr>
          <w:sz w:val="20"/>
          <w:szCs w:val="20"/>
          <w:color w:val="auto"/>
        </w:rPr>
      </w:pPr>
    </w:p>
    <w:p>
      <w:pPr>
        <w:ind w:left="180" w:right="2140" w:hanging="161"/>
        <w:spacing w:after="0" w:line="262" w:lineRule="auto"/>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Revenue</w:t>
      </w: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0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2100" w:type="dxa"/>
            <w:vAlign w:val="bottom"/>
            <w:gridSpan w:val="3"/>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4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80" w:type="dxa"/>
            <w:vAlign w:val="bottom"/>
          </w:tcPr>
          <w:p>
            <w:pPr>
              <w:spacing w:after="0"/>
              <w:rPr>
                <w:sz w:val="16"/>
                <w:szCs w:val="16"/>
                <w:color w:val="auto"/>
              </w:rPr>
            </w:pPr>
          </w:p>
        </w:tc>
        <w:tc>
          <w:tcPr>
            <w:tcW w:w="20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4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$29.3 million and $27.2 million during the three months ended June 30, 2024 and 2023, respectively, and $59.9 million and $60.5 million during the six months ended June 30, 2024 and 2023, respectively.</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4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A portion of the change in our B2B subscription revenue is attributable to the conversion of certain residential subscribers to SOHO subscribers. B2B non-subscription revenue includes</w:t>
      </w:r>
    </w:p>
    <w:p>
      <w:pPr>
        <w:spacing w:after="0" w:line="2" w:lineRule="exact"/>
        <w:rPr>
          <w:rFonts w:ascii="Times New Roman" w:cs="Times New Roman" w:eastAsia="Times New Roman" w:hAnsi="Times New Roman"/>
          <w:sz w:val="18"/>
          <w:szCs w:val="18"/>
          <w:color w:val="auto"/>
        </w:rPr>
      </w:pPr>
    </w:p>
    <w:p>
      <w:pPr>
        <w:ind w:lef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1" w:name="page62"/>
    <w:bookmarkEnd w:id="61"/>
    <w:p>
      <w:pPr>
        <w:ind w:left="500" w:hanging="492"/>
        <w:spacing w:after="0" w:line="282" w:lineRule="auto"/>
        <w:tabs>
          <w:tab w:leader="none" w:pos="4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broadcasting revenue at Telenet, VM Ireland and Sunrise, (ii) revenue earned from the U.K. JV Services and NL JV Services and (iii) revenue earned from the sale of CPE to the VMO2 JV and VodafoneZiggo JV.</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increased $25.7 million or 1.4% and $102.4 million or 2.8% during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as compared to the corresponding periods in 2023. On an organic basis, our consolidated revenue increased $39.6 million or 2.1% and $75.0 million or 2.0%, respectively.</w:t>
      </w:r>
    </w:p>
    <w:p>
      <w:pPr>
        <w:spacing w:after="0" w:line="20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Residential revenue. </w:t>
      </w:r>
      <w:r>
        <w:rPr>
          <w:rFonts w:ascii="Times New Roman" w:cs="Times New Roman" w:eastAsia="Times New Roman" w:hAnsi="Times New Roman"/>
          <w:sz w:val="18"/>
          <w:szCs w:val="18"/>
          <w:color w:val="auto"/>
        </w:rPr>
        <w:t>The details of the changes in our consolidated residential revenue during the three and six months ended June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corresponding periods in 2023,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Three-month</w:t>
            </w: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9"/>
        </w:trPr>
        <w:tc>
          <w:tcPr>
            <w:tcW w:w="8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Six-month period</w:t>
            </w:r>
          </w:p>
        </w:tc>
      </w:tr>
      <w:tr>
        <w:trPr>
          <w:trHeight w:val="212"/>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subscription revenue due to change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ARPU</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non-subscription revenue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mobile subscription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non-subscription revenue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organic decrease in residential revenue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increase (decrease) in residential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organic basis, our consolidated residential fixed subscription revenue decreased $8.6 million or 1.2% and $24.5 million or 1.7% during the three and six months ended June 30, 2024, respectively, as compared to the corresponding periods in 2023, primarily attributable to decreases at Sunrise</w:t>
      </w:r>
      <w:r>
        <w:rPr>
          <w:rFonts w:ascii="Times New Roman" w:cs="Times New Roman" w:eastAsia="Times New Roman" w:hAnsi="Times New Roman"/>
          <w:sz w:val="18"/>
          <w:szCs w:val="18"/>
          <w:color w:val="2C2C2C"/>
        </w:rPr>
        <w: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organic basis, our consolidated residential fixed non-subscription revenue decreased $4.6 million or 25.3% and $5.8 million or 17.8% during the three and six months ended June 30, 2024, respectively, as compared to the corresponding periods in 2023, primarily due to decreases at Telenet.</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organic basis, our consolidated residential mobile subscription revenue increased $2.6 million or 0.7% and $7.4 million or 1.0% during the three and six months ended June 30, 2024, respectively, as compared to the corresponding periods in 2023, primarily attributable to increases at Sunrise.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 organic basis, our consolidated residential mobile non-subscription revenue increased (decreased) $2.0 million or 1.6% and ($0.2 million) or (0.1%) during the three and six months ended June 30, 2024, respectively, as compared to the corresponding periods in 2023, primarily due to changes at Sunrise and Telenet.</w:t>
      </w:r>
    </w:p>
    <w:p>
      <w:pPr>
        <w:spacing w:after="0" w:line="20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B2B revenue. </w:t>
      </w:r>
      <w:r>
        <w:rPr>
          <w:rFonts w:ascii="Times New Roman" w:cs="Times New Roman" w:eastAsia="Times New Roman" w:hAnsi="Times New Roman"/>
          <w:sz w:val="18"/>
          <w:szCs w:val="18"/>
          <w:color w:val="auto"/>
        </w:rPr>
        <w:t>On an organic basis, our consolidated B2B subscription revenue increased $2.7 million or 1.9% and $11.0 million or 4.0%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30, 2024, respectively, as compared to the corresponding periods in 2023, primarily attributable to increases at Telenet.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 organic basis, our consolidated B2B non-subscription revenue increased (decreased) $2.9 million or 1.2% and ($2.2 million) or (0.5%) during the three and six months ended June 30, 2024, respectively, as compared to the corresponding periods in 2023, primarily due to the net effect of (i) decreases at Telenet and (ii) increases at Sunrise.</w:t>
      </w:r>
    </w:p>
    <w:p>
      <w:pPr>
        <w:spacing w:after="0" w:line="20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On an organic basis, our consolidated other revenue increased $42.6 million or 18.2% and $89.3 million or 17.3%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respectively, as compared to the corresponding periods in 2023, primarily due to increases at Central and Other related to revenue earned from the sale of CPE to the VMO2 JV beginning in 2024.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ind w:right="1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For additional information regarding the changes in our residential, B2B and other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programming and other direct costs of services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7"/>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7"/>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7"/>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8"/>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programming and other direct costs of services increased $5.8 million or 1.0% and $107.2 million or 9.3% during the three and six months ended June 30, 2024, respectively, as compared to the corresponding periods in 2023. On an organic basis, our programming and other direct costs of services increased $13.8 million or 2.4% and $95.3 million or 8.2%, respectively. These increases include the following factors:</w:t>
      </w:r>
    </w:p>
    <w:p>
      <w:pPr>
        <w:spacing w:after="0" w:line="203" w:lineRule="exact"/>
        <w:rPr>
          <w:sz w:val="20"/>
          <w:szCs w:val="20"/>
          <w:color w:val="auto"/>
        </w:rPr>
      </w:pPr>
    </w:p>
    <w:p>
      <w:pPr>
        <w:ind w:left="66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$27.1 million and $72.3 million, respectively, at Central and Other related to the sale of CPE to the VMO2 JV beginning in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six-month comparison, an increase in costs of $42.5 million at Central and Other due to lower capitalization as a result of our decision in May 2023 to market and sell certain of our internally-developed software to third parties, as further described in note 15 to our condensed consolidated financial statements;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programming and copyright costs of $3.1 million or 1.9% and $8.9 million or 2.5%, respectively, primarily attributable to lower costs for certain content at Telenet and VM Ireland.</w:t>
      </w:r>
    </w:p>
    <w:p>
      <w:pPr>
        <w:sectPr>
          <w:pgSz w:w="11900" w:h="16838" w:orient="portrait"/>
          <w:cols w:equalWidth="0" w:num="1">
            <w:col w:w="11240"/>
          </w:cols>
          <w:pgMar w:left="320" w:top="91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type w:val="continuous"/>
        </w:sectPr>
      </w:pPr>
    </w:p>
    <w:bookmarkStart w:id="63" w:name="page64"/>
    <w:bookmarkEnd w:id="63"/>
    <w:p>
      <w:pPr>
        <w:ind w:left="18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other operating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1960" w:type="dxa"/>
            <w:vAlign w:val="bottom"/>
            <w:gridSpan w:val="3"/>
            <w:vMerge w:val="restart"/>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other operating expenses excluding share-based</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00" w:type="dxa"/>
            <w:vAlign w:val="bottom"/>
          </w:tcPr>
          <w:p>
            <w:pPr>
              <w:spacing w:after="0"/>
              <w:rPr>
                <w:sz w:val="24"/>
                <w:szCs w:val="24"/>
                <w:color w:val="auto"/>
              </w:rPr>
            </w:pPr>
          </w:p>
        </w:tc>
        <w:tc>
          <w:tcPr>
            <w:tcW w:w="1960" w:type="dxa"/>
            <w:vAlign w:val="bottom"/>
            <w:gridSpan w:val="3"/>
            <w:vMerge w:val="restart"/>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4"/>
        </w:trPr>
        <w:tc>
          <w:tcPr>
            <w:tcW w:w="420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Total other operating expenses excluding share-based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7"/>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other operating expenses (exclusive of share-based compensation expense) decreased $7.2 million or 2.4% and $3.3 million or 0.6% during the three and six months ended June 30, 2024, respectively, as compared to the corresponding periods in 2023. On an organic basis, our other operating expenses decreased $4.5 million or 1.5% and $11.3 million or 1.9%, respectively. These decreases include the following factors:</w:t>
      </w:r>
    </w:p>
    <w:p>
      <w:pPr>
        <w:spacing w:after="0" w:line="203" w:lineRule="exact"/>
        <w:rPr>
          <w:sz w:val="20"/>
          <w:szCs w:val="20"/>
          <w:color w:val="auto"/>
        </w:rPr>
      </w:pPr>
    </w:p>
    <w:p>
      <w:pPr>
        <w:ind w:left="6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core network and information technology-related costs of $7.9 million or 11.2% and $15.3 million or 13.0%, respectively, primarily at Central and Other;</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 million increase in costs at Telenet associated with the one-time benefit from expected settlements of certain operational contingencies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4" w:name="page65"/>
    <w:bookmarkEnd w:id="64"/>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customer service costs of $3.2 million or 8.7% and $7.8 million or 10.4%, respectively, primarily related to lower call center costs at Sunrise and Telenet;</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outsourced labor costs of $3.7 million or 12.8% and $6.2 million or 10.9%, respectively, primarily associated with customer facing activities at Telenet; and</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business service costs of $5.9 million or 9.4% and $5.9 million or 5.7%, respectively, primarily due to (i) lower consulting costs at Telenet and Sunrise and (ii) lower energy costs, as decreases at Telenet were only partially offset by increases at Sunrise.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SG&amp;A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5"/>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SG&amp;A expenses excluding share-based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5"/>
            <w:vMerge w:val="restart"/>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Sunrise</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Central and Other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08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164"/>
        </w:trPr>
        <w:tc>
          <w:tcPr>
            <w:tcW w:w="420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Total SG&amp;A expenses excluding share-based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7"/>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compensation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ind w:left="180"/>
        <w:spacing w:after="0"/>
        <w:rPr>
          <w:sz w:val="20"/>
          <w:szCs w:val="20"/>
          <w:color w:val="auto"/>
        </w:rPr>
      </w:pPr>
      <w:r>
        <w:rPr>
          <w:rFonts w:ascii="Times New Roman" w:cs="Times New Roman" w:eastAsia="Times New Roman" w:hAnsi="Times New Roman"/>
          <w:sz w:val="18"/>
          <w:szCs w:val="18"/>
          <w:i w:val="1"/>
          <w:iCs w:val="1"/>
          <w:color w:val="auto"/>
        </w:rPr>
        <w:t>Supplemental SG&amp;A expense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Organic increase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2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Organic increase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all personnel-related costs within our SG&amp;A expenses, including personnel-related costs associated with our sales and marketing function.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SG&amp;A expenses (exclusive of share-based compensation expense) increased $23.8 million or 6.5% and $38.3 million or 5.2% during the three and six months ended June 30, 2024, respectively, as compared to the corresponding periods in 2023. On an organic basis, our SG&amp;A expenses increased $27.1 million and 7.3% or $28.3 million or 3.8%, respectively. These increases include the following factors:</w:t>
      </w:r>
    </w:p>
    <w:p>
      <w:pPr>
        <w:spacing w:after="0" w:line="203" w:lineRule="exact"/>
        <w:rPr>
          <w:sz w:val="20"/>
          <w:szCs w:val="20"/>
          <w:color w:val="auto"/>
        </w:rPr>
      </w:pPr>
    </w:p>
    <w:p>
      <w:pPr>
        <w:jc w:val="both"/>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personnel costs of $12.6 million or 7.0% and $17.0 million or 4.9%, respectively, primarily due to the net effect of (i) increases in temporary personnel costs at Telenet, (ii) higher average costs per employee, primarily at Central and Other, and (iii) lower staffing levels, primarily at Central and Other;</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core network and information technology-related costs of $2.7 million or 9.4% and $7.9 million or 13.7%, respectively, primarily due to higher information technology-related expenses at Sunrise and Telenet;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external sales and marketing costs of $6.6 million or 8.5% and $5.9 million or 3.6%, respectively, primarily due to (i) increases in third-party sales commissions at Telenet, VM Ireland and, for the six-month comparison, Sunrise and (ii) higher costs associated with advertising campaigns, as increases at Telenet and VM Ireland were only partially offset by decreases at Sunrise.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080" w:type="dxa"/>
            <w:vAlign w:val="bottom"/>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 based incentive awards</w:t>
            </w:r>
          </w:p>
        </w:tc>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based incentive awards (b)</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78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amounts include share-based compensation expense related to certain Telenet Replacement Awards.</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amounts include share-based compensation expense related to the 2024 PSUs.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with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expense, see note 12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depreciation and amortization expense was $531.4 million and $1,012.1 million for the three and six months ended June 30, 2024, respectively, and $570.9 million and $1,097.8 million for the three and six months ended June 30, 2023, respectively. Excluding the effects of FX, depreciation and amortization expense decreased $32.6 million or 5.7% and $93.0 million or 8.5% during the three and six months ended June 30, 2024, respectively, as compared to the corresponding periods in 2023. These decreases are primarily due to the net effect of (i) decreases associated with certain assets becoming fully depreciated, primarily at Central and Other, Sunrise and Telenet, (ii) increases associated with property and equipment additions related to the installation of CPE, the expansion and upgrade of our networks and other capital initiatives, primarily at Telenet, Sunrise and VM Ireland, and (iii) increases associated with acquisitions, primarily related to the Telenet Wyre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impairment, restructuring and other operating items, net, of $4.7 million and $38.2 million during the three and six months ended June 30, 2024, respectively, and $3.9 million and $20.3 million during the three and six months ended June 30, 2023, respectively.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amounts for the 2024 periods include (i) restructuring costs of $4.0 million and $19.2 million, respectively, primarily at Central and Other, and (ii) a provision for legal contingencies of $17.5 million at Central and Other during the first quarter of 2024.</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amounts for the 2023 periods include (i) a $21.7 million credit to abandoned lease expense at Sunrise during the second quarter of 2023, (ii) restructuring costs of $18.4 million during the second quarter of 2023, primarily at Sunrise, and (iii) direct acquisition and disposition costs of $7.6 million and $21.5 million, respectively, primarily at Telenet and Central and Other.</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recognized interest expense of $251.5 million and $505.0 million during the three and six months ended June 30, 2024, respectively, and $213.7 million and $414.6 million during the three and six months ended June 30, 2023, respectively. Excluding the effects of FX, interest expense increased $40.9 million or 19.1% and $89.9 million or 21.7% during the three and six months ended June 30, 2024, respectively, as compared to the corresponding periods in 2023. These increases are primarily attributable to higher weighted average interest rates. For additional information regarding our outstanding indebtedness, see note 8 to our condensed consolidated financial statements.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5 to our condensed consolidated financial statements and under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below, we use derivative instruments to manage our interest rate risks.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on derivative instruments, net</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on derivative instruments, net,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60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 (a)</w:t>
            </w: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Vodafone Collar</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equity-related derivative instruments (b)</w:t>
            </w:r>
          </w:p>
        </w:tc>
        <w:tc>
          <w:tcPr>
            <w:tcW w:w="8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(7.6)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6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 for the 2024 periods are primarily attributable to the net effect of (i) a net loss for the three-month period and a net gain for the six-month period associated with the value of certain currencies and (ii) net gains associated with certain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8" w:name="page69"/>
    <w:bookmarkEnd w:id="68"/>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market interest rates. In addition, the gains for the 2024 periods include a net gain (loss) of $7.3 million and ($41.5 million), respectively, resulting from changes in our credit risk valuation adjustments. The losses for the 2023 periods are primarily attributable to the net effect of (a) net losses associated with changes in the relative value of certain currencies and (b) net gains associated with changes in certain market interest rates. In addition, the losses for the 2023 periods include net gains of $43.6 million and $22.2 million, respectively, resulting from changes in our credit risk valuation adjustments.</w:t>
      </w:r>
    </w:p>
    <w:p>
      <w:pPr>
        <w:spacing w:after="0" w:line="210" w:lineRule="exact"/>
        <w:rPr>
          <w:sz w:val="20"/>
          <w:szCs w:val="20"/>
          <w:color w:val="auto"/>
        </w:rPr>
      </w:pPr>
    </w:p>
    <w:p>
      <w:pPr>
        <w:ind w:left="480" w:hanging="472"/>
        <w:spacing w:after="0"/>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fair value measurements of our equity-related derivative instruments are based on Black-Scholes pricing models.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derivative instruments, see notes 5 and 6 to our condensed consolidated financial statements and Part I, Item</w:t>
      </w:r>
    </w:p>
    <w:p>
      <w:pPr>
        <w:spacing w:after="0" w:line="27"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below.</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(losses),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120" w:type="dxa"/>
            <w:vAlign w:val="bottom"/>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6"/>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5"/>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 balances denominated in a currency other than the entity’s functional</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dollar-denominated debt issued by euro functional currency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176"/>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(i) loans between certain of our non-operating subsidiaries in Europe and (ii) loans between certain of our non-operating and operating subsidiaries in Europe, which generally are denominated in the currency of the applicable operating subsidiary.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due to changes in fair values of certain investments,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4 and 6, respectively, to our condensed consolidated financial statements. The details of our realized and unrealized gains (losses) due to changes in fair values of certain investments, net,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Lacework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Aviatrix</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Lionsgate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 of results of affiliates,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 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All3Media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VodafoneZiggo JV and (ii) interest income of $13.7 million, $13.9 million, $27.5 million and $27.4 million in the respective periods shown, representing 100% of the interest earned on the VodafoneZiggo JV Receivables. The summarized results of operations of the VodafoneZiggo JV are set forth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0" w:name="page71"/>
    <w:bookmarkEnd w:id="70"/>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08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518.7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1,037.7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Non-operating expense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$204.8 million, $195.8 million, $411.2 million and $376.4 million, in the respective periods shown.</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changes in the VodafoneZiggo JV’s revenue during the three and six months ended June 30, 2024, as compared to the corresponding periods in 2023, are primarily due to the net effect of (i) increases in residential mobile revenue, (ii) increases in B2B fixed revenue and (iii) decreases in residential fixed revenue. The changes in the VodafoneZiggo JV’s Adjusted EBITDA during the three and six months ended June 30, 2024, as compared to the corresponding periods in 2023, are primarily due to (a) the aforementioned changes in revenue and (b) lower energy and consulting costs. In addition, the reported revenue and Adjusted EBITDA amounts are impacted by FX.</w:t>
      </w:r>
    </w:p>
    <w:p>
      <w:pPr>
        <w:spacing w:after="0" w:line="210" w:lineRule="exact"/>
        <w:rPr>
          <w:sz w:val="20"/>
          <w:szCs w:val="20"/>
          <w:color w:val="auto"/>
        </w:rPr>
      </w:pPr>
    </w:p>
    <w:p>
      <w:pPr>
        <w:jc w:val="both"/>
        <w:ind w:left="500" w:hanging="492"/>
        <w:spacing w:after="0" w:line="266" w:lineRule="auto"/>
        <w:tabs>
          <w:tab w:leader="none" w:pos="4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our 50% share of the results of operations of the VMO2 JV and (ii)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7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08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1,138.8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2,206.0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2,164.7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Non-operating income (expense) (1)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260"/>
              <w:spacing w:after="0" w:line="203" w:lineRule="exact"/>
              <w:rPr>
                <w:sz w:val="20"/>
                <w:szCs w:val="20"/>
                <w:color w:val="auto"/>
              </w:rPr>
            </w:pPr>
            <w:r>
              <w:rPr>
                <w:rFonts w:ascii="Times New Roman" w:cs="Times New Roman" w:eastAsia="Times New Roman" w:hAnsi="Times New Roman"/>
                <w:sz w:val="18"/>
                <w:szCs w:val="18"/>
                <w:color w:val="auto"/>
                <w:w w:val="98"/>
              </w:rPr>
              <w:t>(444.8)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$415.2 million, $364.9 million, $833.1 million and $692.6 million, in the respective periods shown.</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changes in the VMO2 JV’s revenue during the three and six months ended June 30, 2024, as compared to the corresponding periods in 2023, are primarily due to the net effect of (i) decreases in mobile revenue due to lower handset sales, (ii) increases in other revenue related to low-margin construction revenue from the nexfibre JV, (iii) increases in residential fixed revenue and (iv) decreases in B2B fixed revenue, with each revenue category as defined and reported by the VMO2 JV. The changes in the VMO2 JV’s Adjusted EBITDA during the three and six months ended June 30, 2024, as compared to the corresponding periods in 2023, are primarily due to the net effect of (a) the benefit of approximately $13 million and $28 million during the three and six months ended June 30, 2024, respectively, related to higher capitalized costs by the VMO2 JV due to a change in the terms of a related-party contract under which Liberty Global now sells CPE hardware and embedded essential software to the VMO2 JV and (b) investment in information technology and digital efficiency programs. In addition, the reported revenue and Adjusted EBITDA amounts are impacted by FX.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1" w:name="page72"/>
    <w:bookmarkEnd w:id="71"/>
    <w:p>
      <w:pPr>
        <w:ind w:left="180"/>
        <w:spacing w:after="0"/>
        <w:rPr>
          <w:sz w:val="20"/>
          <w:szCs w:val="20"/>
          <w:color w:val="auto"/>
        </w:rPr>
      </w:pPr>
      <w:r>
        <w:rPr>
          <w:rFonts w:ascii="Times New Roman" w:cs="Times New Roman" w:eastAsia="Times New Roman" w:hAnsi="Times New Roman"/>
          <w:sz w:val="18"/>
          <w:szCs w:val="18"/>
          <w:i w:val="1"/>
          <w:iCs w:val="1"/>
          <w:color w:val="auto"/>
        </w:rPr>
        <w:t>Gain on sale of All3Media</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sale of All3Media, we recognized a gain of $242.9 million during the six months ended June 30, 2024. For additional information, see note 4 to our condensed consolidated financial statements.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recognized other income, net, of $83.7 million and $75.8 million during the three months ended June 30, 2024 and 2023, respectively, and $127.2 million and $119.7 million during the six months ended June 30, 2024 and 2023, respectively. These amounts include (i) interest and dividend income of $75.8 million and $70.6 million during the three-month periods, respectively, and $112.6 million and $104.2 million during the six-month periods, respectively, and (ii) credits related to the non-service component of our net periodic pension costs of $6.9 million and $5.2 million during the three-month periods, respectively, and $14.3 million and $9.4 million during the six-month periods, respectively.</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income tax expense of $60.7 million and $87.6 million during the three and six months ended June 30, 2024, respectively, and $159.2 million and $171.7 million during the three and six months ended June 30, 2023, respectively.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expense during the three months ended June 30, 2024 differs from the expected income tax expense of $84.0 million (based on the U.K. statutory income tax rate of 25.0%), primarily due to the net positive impact of (i) certain permanent differences between the financial and tax accounting treatment of items associated with investments in subsidiaries and affiliates, including the non-taxable gain on sale of All3Media, and (ii) non-deductible or non-taxable foreign currency exchange results. The positive impact of these items was partially offset by the net negative impact of certain permanent differences between the financial and tax accounting treatment of interest and other expenses.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income tax expense during the six months ended June 30, 2024 differs from the expected income tax expense of $222.5 million (based on the U.K. statutory income tax rate of 25.0%), primarily due to the net positive impact of non-deductible or non-taxable foreign currency exchange results, partially offset by the net negative impact of certain permanent differences between the financial and tax accounting treatment of interest and other expenses.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during the three months ended June 30, 2023 differs from the expected income tax benefit of $82.8 million (based on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blended income tax rate of 23.5%), primarily due to the net negative impact of a net increase in valuation allowances.</w:t>
      </w:r>
    </w:p>
    <w:p>
      <w:pPr>
        <w:spacing w:after="0" w:line="2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income tax expense during the six months ended June 30, 2023 differs from the expected income tax benefit of $247.5 million (based on the U.K. blended income tax rate of 23.5%), primarily due to the net negative impact of (i) a net increase in valuation allowances and (ii) non-deductible or non-taxable foreign currency exchange results.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10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earnings (loss)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and 2023, we reported net earnings (loss) of $275.2 million and ($511.3 million), respectively, consisting of (i) operating income (loss) of $19.1 million and ($49.2 million), respectively, (ii) net non-operating income (expense) of $316.8 million and ($302.9 million), respectively, and (iii) income tax expense of $60.7 million and $159.2 million, respectively.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2023, we reported net earnings (loss) of $802.2 million and ($1,224.8 million), respectively, consisting of (i) operating income (loss) of $41.7 million and ($11.8 million), respectively, (ii) net non-operating income (expense) of $848.1 million and ($1,041.3 million), respectively, and (iii) income tax expense of $87.6 million and $171.7 million, respectively.</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2" w:name="page73"/>
    <w:bookmarkEnd w:id="72"/>
    <w:p>
      <w:pPr>
        <w:jc w:val="both"/>
        <w:spacing w:after="0" w:line="282" w:lineRule="auto"/>
        <w:rPr>
          <w:sz w:val="20"/>
          <w:szCs w:val="20"/>
          <w:color w:val="auto"/>
        </w:rPr>
      </w:pPr>
      <w:r>
        <w:rPr>
          <w:rFonts w:ascii="Times New Roman" w:cs="Times New Roman" w:eastAsia="Times New Roman" w:hAnsi="Times New Roman"/>
          <w:sz w:val="18"/>
          <w:szCs w:val="18"/>
          <w:color w:val="auto"/>
        </w:rPr>
        <w:t>our aggregate operating income to a level that more than offsets the aggregate amount of our (a) interest expense, (b) other non-operating expenses and (c) income tax expense.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Capitalization </w:t>
      </w:r>
      <w:r>
        <w:rPr>
          <w:rFonts w:ascii="Times New Roman" w:cs="Times New Roman" w:eastAsia="Times New Roman" w:hAnsi="Times New Roman"/>
          <w:sz w:val="18"/>
          <w:szCs w:val="18"/>
          <w:color w:val="auto"/>
        </w:rPr>
        <w:t>below, we expect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condensed consolidated statements of operations,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above.</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loss (earnings) attributable to noncontrolling interests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loss (earnings) attributable to noncontrolling interests was ($7.1 million) and $11.7 million during the three months ended June 30, 2024 and 2023, respectively, and ($24.1 million) and $3.8 million during the six months ended June 30, 2024 and 2023, respectively, primarily attributable to certain noncontrolling interests at Telenet.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Sunrise Holding,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cash equivalents and SMAs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at June 30, 2024 are set forth in the following table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Liberty Global (a)</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Unrestricted subsidiaries (b)</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23"/>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1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groups (c):</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w:t>
            </w:r>
          </w:p>
        </w:tc>
      </w:tr>
      <w:tr>
        <w:trPr>
          <w:trHeight w:val="230"/>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Sunrise Holding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VM Ireland</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borrowing groups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w:t>
            </w:r>
          </w:p>
        </w:tc>
      </w:tr>
      <w:tr>
        <w:trPr>
          <w:trHeight w:val="223"/>
        </w:trPr>
        <w:tc>
          <w:tcPr>
            <w:tcW w:w="9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cash and cash equivalents (d)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 held under SMAs (e)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 and investments held under SMAs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that are outside of our borrowing groups.</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amounts held by the parent entity and restricted subsidiaries of our borrowing groups.</w:t>
      </w:r>
    </w:p>
    <w:p>
      <w:pPr>
        <w:spacing w:after="0" w:line="27" w:lineRule="exact"/>
        <w:rPr>
          <w:rFonts w:ascii="Times New Roman" w:cs="Times New Roman" w:eastAsia="Times New Roman" w:hAnsi="Times New Roman"/>
          <w:sz w:val="18"/>
          <w:szCs w:val="18"/>
          <w:color w:val="auto"/>
        </w:rPr>
      </w:pPr>
    </w:p>
    <w:p>
      <w:pPr>
        <w:ind w:left="500" w:hanging="492"/>
        <w:spacing w:after="0" w:line="260" w:lineRule="auto"/>
        <w:tabs>
          <w:tab w:leader="none" w:pos="4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and cash equivalents balance includes $1,255.2 million or 62.4% and $716.6 million or 35.6% denominated in euros and U.S. dollars, respectively.</w:t>
      </w:r>
    </w:p>
    <w:p>
      <w:pPr>
        <w:spacing w:after="0" w:line="208" w:lineRule="exact"/>
        <w:rPr>
          <w:rFonts w:ascii="Times New Roman" w:cs="Times New Roman" w:eastAsia="Times New Roman" w:hAnsi="Times New Roman"/>
          <w:sz w:val="18"/>
          <w:szCs w:val="18"/>
          <w:color w:val="auto"/>
        </w:rPr>
      </w:pPr>
    </w:p>
    <w:p>
      <w:pPr>
        <w:ind w:left="500" w:right="20" w:hanging="492"/>
        <w:spacing w:after="0" w:line="261" w:lineRule="auto"/>
        <w:tabs>
          <w:tab w:leader="none" w:pos="4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our investments held under SMAs is held by unrestricted subsidiaries of Liberty Global and includes $1,451.2 million or 96.4% denominated in U.S. dollars.</w:t>
      </w: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cash and cash equivalents and investments held under SMAs, see the discussion under Part I, Item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Quantitative and Qualitative Disclosures about Market Risk — Cash and Investments </w:t>
      </w:r>
      <w:r>
        <w:rPr>
          <w:rFonts w:ascii="Times New Roman" w:cs="Times New Roman" w:eastAsia="Times New Roman" w:hAnsi="Times New Roman"/>
          <w:sz w:val="18"/>
          <w:szCs w:val="18"/>
          <w:color w:val="auto"/>
        </w:rPr>
        <w:t>below.</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$9.4 million of cash held by Liberty Global and, subject to certain tax and legal considerations, the $967.6 million of aggregate cash and cash equivalents held by unrestricted subsidiaries, together with the $1,505.7 million of investments held under SMAs, represented available liquidity at the corporate level at June 30, 2024. Our remaining cash and cash equivalents of $1,034.3 million at June 30, 2024 were held by our borrowing groups, as set forth in the table above. As noted above, various factors may limit our ability to access the cash of our borrowing groups. For information regarding certain limitations imposed by our subsidiaries’ debt instruments at June 30, 2024, see note 8 to our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4" w:name="page75"/>
    <w:bookmarkEnd w:id="7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short-term sources of corporate liquidity include (i) cash and cash equivalents held by Liberty Global and, subject to certain tax and legal considerations, Liberty Global’s unrestricted subsidiaries, (ii) investments held under SMAs, (iii) interest and dividend income received on our and, subject to certain tax and legal considerations, our unrestricted subsidiaries’ cash and cash equivalents and investments, including dividend distributions received from the VMO2 JV or the VodafoneZiggo JV, (iv) cash received with respect to transitional and other services provided to various third parties and (v) interest payments received with respect to the VodafoneZiggo JV Receivables.</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June 30, 2024, our consolidated cash and cash equivalents include $2,001.9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amount of cash we receive from our subsidiaries and affiliates to satisfy U.S. dollar-denominated liquidity requirements is impacted by fluctuations in exchange rates, particularly with regard to the translation of euros, British pound sterling and Swiss francs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short- and long-term liquidity requirements include (i) corporate general and administrative expenses, (ii) interest payments on the Vodafone Collar Loan and (iii) principal payments on the Vodafone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aggregate amount of our share repurchases, including direct acquisition costs, was $337.9 million. Under our current share repurchase program, we are authorized during 2024 to repurchase up to 10% of our total outstanding shares as of December 31, 2023. For additional information regarding our share repurchase programs, see note 11 to our condensed consolidated financial statements.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June 30, 2024, see note 8 to our condensed consolidated financial statements. The aforementioned sources of liquidity may be supplemented in certain cases by contributions and/or loans from Liberty Global and its unrestricted subsidiaries.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liquidity of our borrowing groups generally is used to fund (i) property and equipment additions, (ii) debt service requirements and (iii) income tax payments, as well as to settle certain obligations that are not included on our June 30, 2024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5" w:name="page76"/>
    <w:bookmarkEnd w:id="7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below.</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Vodafone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1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June 30, 2024,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June 30, 2024, the outstanding principal amount of our consolidated debt, together with our finance lease obligations, aggregated $15.6 billion, including $0.8 billion that is classified as current on our condensed consolidated balance sheet and $1.6 billion that is not due until 2030 or thereafter. All of our consolidated debt and finance lease obligations have been borrowed or incurred by our subsidiaries at June 30, 2024.</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debt and finance lease obligations, see notes 8 and 9,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The condensed consolidated statements of cash flows for the six months ended June 30, 2024 and 2023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66"/>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decrease in net cash provided by operating activities is primarily attributable to the net effect of (i) a decrease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our Adjusted EBITDA and related working capital items, (ii) a decrease in cash provided due to higher payments of interest, (iii) an increase in cash provided due to higher net cash receipts related to derivative instruments and (iv) an increase in cash provided due to higher receipts of interest. Consolidated Adjusted EBITDA is a non-GAAP measure, which investors should view as a supplement to, and not a substitute for, GAAP measures of performance included in our condensed consolidated statements of operations.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change in net cash provided (used) by investing activities is primarily attributable to the net effect of (i) an increase in cash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$1,663.4 million associated with (a) lower net cash paid for investments primarily related to our investment in Vodafone in 2023 and (b) higher net cash received from the sale of our investments held under SMAs, (ii) an increase in cash of $411.7 million in connection with the sale of our investment in All3Media during the second quarter of 2024, (iii) a decrease in cash of $403.5 million due to lower dividend distributions received from the VMO2 JV and (iv) an increase in cash of $86.5 million associated with lower net cash paid for acquisitions.</w:t>
      </w:r>
    </w:p>
    <w:p>
      <w:pPr>
        <w:spacing w:after="0" w:line="21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15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1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r>
      <w:tr>
        <w:trPr>
          <w:trHeight w:val="166"/>
        </w:trPr>
        <w:tc>
          <w:tcPr>
            <w:tcW w:w="8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decrease in our property and equipment additions during the six months ended June 30, 2024, as compared to the corresponding period in 2023, is due to the net effect of (i) a decrease in local currency expenditures of our subsidiaries due to the net effect of (a) an increase in new build and upgrade projects, (b) a decrease in expenditures to support new customer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jc w:val="both"/>
        <w:spacing w:after="0" w:line="266" w:lineRule="auto"/>
        <w:rPr>
          <w:sz w:val="20"/>
          <w:szCs w:val="20"/>
          <w:color w:val="auto"/>
        </w:rPr>
      </w:pPr>
      <w:r>
        <w:rPr>
          <w:rFonts w:ascii="Times New Roman" w:cs="Times New Roman" w:eastAsia="Times New Roman" w:hAnsi="Times New Roman"/>
          <w:sz w:val="18"/>
          <w:szCs w:val="18"/>
          <w:color w:val="auto"/>
        </w:rPr>
        <w:t>products and operational efficiency initiatives, (c) a decrease in expenditures for the purchase and installation of CPE and (d) an increase in baseline expenditures, including network improvements and expenditures for property and facilities and information technology systems, and (ii) an increase due to FX .</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change in net cash provided (used) by financing activities is primarily attributable to the net effect of (i) a decrease in cash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$1,204.3 million due to higher net repayments of debt, including with respect to our borrowings related to the Vodafone Collar Loan in 2023, (ii) an increase in cash of $261.8 million due to lower repurchases of Liberty Global common shares, (iii) an increase in cash of $81.4 million due to lower net repayments of vendor financing and (iv) an increase in cash of $61.1 million due to lower net payments related to derivatives.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$5.9 million and $16.1 million during the six months ended June 30, 2024 and 2023, respectively.</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details of our adjusted free cash flow: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0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Operating-related vendor financing additions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jc w:val="both"/>
        <w:ind w:left="500" w:hanging="492"/>
        <w:spacing w:after="0" w:line="255" w:lineRule="auto"/>
        <w:tabs>
          <w:tab w:leader="none" w:pos="4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0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in this section should be read in conjunction with the more complete discussion that appears under Part II, Item 7A.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our 10-K. The following discussion updates selected numerical information to June 30, 2024.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as of June 30, 2024.</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June 30, 2024, $1,255.2 million or 62.4% and $716.6 million or 35.6% of our consolidated cash balance was denominated in euros and U.S. dollars, respectively, and $1,451.2 million or 96.4% of our consolidated balance of investments held under SMAs was denominated in U.S. dollars.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price fluctuations related to our investment in Vodafone shares, which had an aggregate value of $1,177.0 million at June 30, 2024. Our exposure to market risk is limited for our Vodafone shares, all which are held through the Vodafone Collar. For information regarding the Vodafone Collar, Vodafone Collar Loan and our investment in Vodafone shares, see note 4 to our condensed consolidated financial statements.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5 to our condensed consolidated financial statements.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relationships between the primary currencies of the countries in which we operate and the U.S. dollar, which is our reporting currency, are shown below, per one U.S. dollar: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13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4"/>
        </w:trPr>
        <w:tc>
          <w:tcPr>
            <w:tcW w:w="8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0.9038</w:t>
            </w:r>
          </w:p>
        </w:tc>
      </w:tr>
      <w:tr>
        <w:trPr>
          <w:trHeight w:val="230"/>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Swiss franc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0.8392</w:t>
            </w:r>
          </w:p>
        </w:tc>
      </w:tr>
      <w:tr>
        <w:trPr>
          <w:trHeight w:val="230"/>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0.7835</w:t>
            </w:r>
          </w:p>
        </w:tc>
      </w:tr>
      <w:tr>
        <w:trPr>
          <w:trHeight w:val="230"/>
        </w:trPr>
        <w:tc>
          <w:tcPr>
            <w:tcW w:w="8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Polish zloty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7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84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2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44"/>
        </w:trPr>
        <w:tc>
          <w:tcPr>
            <w:tcW w:w="5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0.9183</w:t>
            </w:r>
          </w:p>
        </w:tc>
        <w:tc>
          <w:tcPr>
            <w:tcW w:w="120" w:type="dxa"/>
            <w:vAlign w:val="bottom"/>
          </w:tcPr>
          <w:p>
            <w:pPr>
              <w:spacing w:after="0"/>
              <w:rPr>
                <w:sz w:val="19"/>
                <w:szCs w:val="19"/>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0.9250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0.9252</w:t>
            </w:r>
          </w:p>
        </w:tc>
      </w:tr>
      <w:tr>
        <w:trPr>
          <w:trHeight w:val="229"/>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Swiss franc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0.8988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0.8894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0.9120</w:t>
            </w:r>
          </w:p>
        </w:tc>
      </w:tr>
      <w:tr>
        <w:trPr>
          <w:trHeight w:val="229"/>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0.7987</w:t>
            </w:r>
          </w:p>
        </w:tc>
        <w:tc>
          <w:tcPr>
            <w:tcW w:w="120" w:type="dxa"/>
            <w:vAlign w:val="bottom"/>
          </w:tcPr>
          <w:p>
            <w:pPr>
              <w:spacing w:after="0"/>
              <w:rPr>
                <w:sz w:val="19"/>
                <w:szCs w:val="19"/>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0.7904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0.8108</w:t>
            </w:r>
          </w:p>
        </w:tc>
      </w:tr>
      <w:tr>
        <w:trPr>
          <w:trHeight w:val="230"/>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Polish zloty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3.9925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4.2811</w:t>
            </w: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Inflation and Foreign Investment Risk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which remain elevated,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5 to our condensed consolidated financial statements.</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been significant changes in the benchmark interest rates used to set floating rates on our debt and derivative instruments. ICE Benchmark Administration (the entity that administers LIBOR) ceased to publish CHF and GBP LIBOR rates after December 31, 2021, and it ceased to publish USD LIBOR rates after June 30, 2023. The methodology for EURIBOR has been reformed and EURIBOR has been granted regulatory approval to continue to be used.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amendments in respect of all of our debt and derivative instruments to replace the ceased rates. For USD, these reference the Secured Overnight Financing Rate administered by the Federal Reserve Bank of New York or Term SOFR administered by CME Group Benchmark Administration Limited. For CHF, these reference the Swiss Average Rate Overnight administered by the SIX Swiss Exchange. For GBP, these reference the Sterling Overnight Index Average administered by the Bank of England.</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Weighted Average Variable Interest Rate. </w:t>
      </w:r>
      <w:r>
        <w:rPr>
          <w:rFonts w:ascii="Times New Roman" w:cs="Times New Roman" w:eastAsia="Times New Roman" w:hAnsi="Times New Roman"/>
          <w:sz w:val="18"/>
          <w:szCs w:val="18"/>
          <w:color w:val="auto"/>
        </w:rPr>
        <w:t>At June 30, 2024, the outstanding principal amount of our variable-rate indebtedness aggregated $10.1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the weighted average interest rate (including margin) on such variable-rate indebtedness was approximately 7.0%,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$50.5 million. As discussed above and in note 5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5 and 6 to our condensed consolidated financial statements.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Sunrise Holding Cross-currency and Interest Rate Derivative Contracts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June 30, 2024:</w:t>
      </w:r>
    </w:p>
    <w:p>
      <w:pPr>
        <w:spacing w:after="0" w:line="252" w:lineRule="exact"/>
        <w:rPr>
          <w:sz w:val="20"/>
          <w:szCs w:val="20"/>
          <w:color w:val="auto"/>
        </w:rPr>
      </w:pPr>
    </w:p>
    <w:p>
      <w:pPr>
        <w:ind w:left="820" w:right="20" w:hanging="488"/>
        <w:spacing w:after="0" w:line="282" w:lineRule="auto"/>
        <w:tabs>
          <w:tab w:leader="none" w:pos="8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relative to the U.S. dollar would have decreased (increased) the aggregate fair value of the Sunrise Holding cross-currency and interest rate derivative contracts by approximately €424 million ($455 million);</w:t>
      </w:r>
    </w:p>
    <w:p>
      <w:pPr>
        <w:spacing w:after="0" w:line="188" w:lineRule="exact"/>
        <w:rPr>
          <w:rFonts w:ascii="Times New Roman" w:cs="Times New Roman" w:eastAsia="Times New Roman" w:hAnsi="Times New Roman"/>
          <w:sz w:val="18"/>
          <w:szCs w:val="18"/>
          <w:color w:val="auto"/>
        </w:rPr>
      </w:pPr>
    </w:p>
    <w:p>
      <w:pPr>
        <w:ind w:left="820" w:hanging="488"/>
        <w:spacing w:after="0" w:line="282" w:lineRule="auto"/>
        <w:tabs>
          <w:tab w:leader="none" w:pos="81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Swiss franc relative to the euro would have decreased (increased) the aggregate fair value of the Sunrise Holding cross-currency and interest rate derivative contracts by approximately €248 million ($266 million); and</w:t>
      </w:r>
    </w:p>
    <w:p>
      <w:pPr>
        <w:spacing w:after="0" w:line="188"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Sunrise Holding cross-currency and interest rate derivative contracts by approximately €83 million ($89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Telenet Cross-currency and Interest Rate Derivative Contracts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June 30, 2024:</w:t>
      </w:r>
    </w:p>
    <w:p>
      <w:pPr>
        <w:spacing w:after="0" w:line="252" w:lineRule="exact"/>
        <w:rPr>
          <w:sz w:val="20"/>
          <w:szCs w:val="20"/>
          <w:color w:val="auto"/>
        </w:rPr>
      </w:pPr>
    </w:p>
    <w:p>
      <w:pPr>
        <w:ind w:left="820" w:right="20" w:hanging="488"/>
        <w:spacing w:after="0" w:line="282" w:lineRule="auto"/>
        <w:tabs>
          <w:tab w:leader="none" w:pos="8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Telenet cross-currency and interest rate derivative contracts by approximately €247 million ($265 million); and</w:t>
      </w:r>
    </w:p>
    <w:p>
      <w:pPr>
        <w:spacing w:after="0" w:line="188" w:lineRule="exact"/>
        <w:rPr>
          <w:rFonts w:ascii="Times New Roman" w:cs="Times New Roman" w:eastAsia="Times New Roman" w:hAnsi="Times New Roman"/>
          <w:sz w:val="18"/>
          <w:szCs w:val="18"/>
          <w:color w:val="auto"/>
        </w:rPr>
      </w:pPr>
    </w:p>
    <w:p>
      <w:pPr>
        <w:ind w:left="820" w:hanging="488"/>
        <w:spacing w:after="0" w:line="282" w:lineRule="auto"/>
        <w:tabs>
          <w:tab w:leader="none" w:pos="81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in the relevant base rate of 50 basis points (0.50%) would have increased (decreased) the aggregate fair value of the Telenet cross-currency and interest rate derivative contracts by approximately €80 million ($86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Vodafone Collar</w:t>
      </w:r>
    </w:p>
    <w:p>
      <w:pPr>
        <w:spacing w:after="0" w:line="254"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Holding all other factors constant, at June 30, 2024, (i) an instantaneous increase of 10% in the per share market price of Vodafone’s ordinary shares would have decreased the fair value of the Vodafone Collar by approximately €71 million ($76 million) and (ii) an instantaneous decrease of 10% in the per share market price of Vodafone’s ordinary shares would have increased the fair value of the Vodafone Collar by approximately €76 million ($81 million).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projected cash flows associated with our derivative instruments. The U.S. dollar equivalents presented below are based on interest rate projections and exchange rates as of June 30, 2024. These amounts are presented for illustrative purposes only and will likely differ from the actual cash payments or receipts required in future periods. For additional information regarding our derivative instruments, see note 5 to our condensed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Remainder</w:t>
            </w:r>
          </w:p>
        </w:tc>
        <w:tc>
          <w:tcPr>
            <w:tcW w:w="200" w:type="dxa"/>
            <w:vAlign w:val="bottom"/>
          </w:tcPr>
          <w:p>
            <w:pPr>
              <w:spacing w:after="0"/>
              <w:rPr>
                <w:sz w:val="19"/>
                <w:szCs w:val="19"/>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2024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derivative cash payments (receipts), net:</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Interest-related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Principal-related (b)</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floor and swap contracts and (ii) the interest-related cash flows of our cross-currency and interest rate swap contracts.</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swap contracts.</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our equity-related derivative instruments and foreign currency forward contracts. We may elect to use cash or the collective value of the related shares and Vodafone Collar to settle the Vodafone Collar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Rule 13a-15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 of the effectiveness of our disclosure controls and procedures as of June 30, 2024.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June 30, 2024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subsidiaries and affiliates have become involved in litigation relating to claims arising out of their operations in the normal course of business. For additional information, see note 14 to our condensed consolidated financial statements in Part I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720" w:hanging="388"/>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482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130"/>
        </w:trPr>
        <w:tc>
          <w:tcPr>
            <w:tcW w:w="4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3,406,243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3,410,000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2,800,953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 April 1, 2024 through June 30, 2024:</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9,617,196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9,617,196</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current share repurchase program, we are authorized during 2024 to repurchase up to 10% of our total outstanding shares as of December 31, 2023. As of June 30, 2024, the remaining number of our Class A and/or Class C common shares that we are authorized to repurchase during 2024 was 19.7 million. Based on the average of the respective closing share prices as of June 30, 2024, this would equate to additional share repurchases during the remainder of 2024 of approximately $347.5 million. However, the actual U.S. dollar amount of our share repurchases during the remainder of 2024 will be determined by the actual transaction date share prices during the year and could differ significantly from this amount. For additional information, see note 11 to our condensed consolidated financial statements in Part I of this Quarterly Report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03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9"/>
              </w:rPr>
              <w:t>Listed below are the exhibits filed as part of this Quarterly Report (according to the number assigned to them in Item 601 of Regulation S-K):</w:t>
            </w:r>
          </w:p>
        </w:tc>
      </w:tr>
      <w:tr>
        <w:trPr>
          <w:trHeight w:val="40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10</w:t>
            </w:r>
          </w:p>
        </w:tc>
        <w:tc>
          <w:tcPr>
            <w:tcW w:w="103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Material Contracts</w:t>
            </w:r>
          </w:p>
        </w:tc>
      </w:tr>
      <w:tr>
        <w:trPr>
          <w:trHeight w:val="243"/>
        </w:trPr>
        <w:tc>
          <w:tcPr>
            <w:tcW w:w="200" w:type="dxa"/>
            <w:vAlign w:val="bottom"/>
          </w:tcPr>
          <w:p>
            <w:pPr>
              <w:spacing w:after="0"/>
              <w:rPr>
                <w:sz w:val="21"/>
                <w:szCs w:val="21"/>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Performance Share Units Agreement under the Liberty Global 2023 Incentive Plan</w:t>
            </w:r>
          </w:p>
        </w:tc>
      </w:tr>
      <w:tr>
        <w:trPr>
          <w:trHeight w:val="20"/>
        </w:trPr>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103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Rule 13a-14(a)/15d-14(a) Certification:</w:t>
            </w:r>
          </w:p>
        </w:tc>
      </w:tr>
      <w:tr>
        <w:trPr>
          <w:trHeight w:val="243"/>
        </w:trPr>
        <w:tc>
          <w:tcPr>
            <w:tcW w:w="200" w:type="dxa"/>
            <w:vAlign w:val="bottom"/>
          </w:tcPr>
          <w:p>
            <w:pPr>
              <w:spacing w:after="0"/>
              <w:rPr>
                <w:sz w:val="21"/>
                <w:szCs w:val="21"/>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President and Chief Executive Officer*</w:t>
            </w:r>
          </w:p>
        </w:tc>
        <w:tc>
          <w:tcPr>
            <w:tcW w:w="5000" w:type="dxa"/>
            <w:vAlign w:val="bottom"/>
            <w:gridSpan w:val="3"/>
          </w:tcPr>
          <w:p>
            <w:pPr>
              <w:spacing w:after="0"/>
              <w:rPr>
                <w:sz w:val="21"/>
                <w:szCs w:val="21"/>
                <w:color w:val="auto"/>
              </w:rPr>
            </w:pPr>
          </w:p>
        </w:tc>
      </w:tr>
      <w:tr>
        <w:trPr>
          <w:trHeight w:val="264"/>
        </w:trPr>
        <w:tc>
          <w:tcPr>
            <w:tcW w:w="200" w:type="dxa"/>
            <w:vAlign w:val="bottom"/>
          </w:tcPr>
          <w:p>
            <w:pPr>
              <w:spacing w:after="0"/>
              <w:rPr>
                <w:sz w:val="22"/>
                <w:szCs w:val="22"/>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31.2</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and Chief Financial Officer*</w:t>
            </w:r>
          </w:p>
        </w:tc>
      </w:tr>
      <w:tr>
        <w:trPr>
          <w:trHeight w:val="20"/>
        </w:trPr>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r>
      <w:tr>
        <w:trPr>
          <w:trHeight w:val="263"/>
        </w:trPr>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32</w:t>
            </w:r>
          </w:p>
        </w:tc>
        <w:tc>
          <w:tcPr>
            <w:tcW w:w="23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8"/>
              </w:rPr>
              <w:t>— Section 1350 Certification**</w:t>
            </w:r>
          </w:p>
        </w:tc>
        <w:tc>
          <w:tcPr>
            <w:tcW w:w="7980" w:type="dxa"/>
            <w:vAlign w:val="bottom"/>
            <w:gridSpan w:val="4"/>
          </w:tcPr>
          <w:p>
            <w:pPr>
              <w:spacing w:after="0"/>
              <w:rPr>
                <w:sz w:val="22"/>
                <w:szCs w:val="22"/>
                <w:color w:val="auto"/>
              </w:rPr>
            </w:pPr>
          </w:p>
        </w:tc>
      </w:tr>
      <w:tr>
        <w:trPr>
          <w:trHeight w:val="30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60" w:hanging="1534"/>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212" w:lineRule="exact"/>
        <w:rPr>
          <w:sz w:val="20"/>
          <w:szCs w:val="20"/>
          <w:color w:val="auto"/>
        </w:rPr>
      </w:pPr>
    </w:p>
    <w:p>
      <w:pPr>
        <w:ind w:left="680" w:hanging="654"/>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654"/>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27" w:right="10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293" w:lineRule="exact"/>
        <w:rPr>
          <w:sz w:val="20"/>
          <w:szCs w:val="20"/>
          <w:color w:val="auto"/>
        </w:rPr>
      </w:pPr>
    </w:p>
    <w:p>
      <w:pPr>
        <w:ind w:left="20"/>
        <w:spacing w:after="0"/>
        <w:tabs>
          <w:tab w:leader="none" w:pos="900" w:val="left"/>
          <w:tab w:leader="none" w:pos="7060" w:val="left"/>
          <w:tab w:leader="none" w:pos="74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Michael T. Fries</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00" w:lineRule="exact"/>
        <w:rPr>
          <w:sz w:val="20"/>
          <w:szCs w:val="20"/>
          <w:color w:val="auto"/>
        </w:rPr>
      </w:pPr>
    </w:p>
    <w:p>
      <w:pPr>
        <w:ind w:left="20"/>
        <w:spacing w:after="0"/>
        <w:tabs>
          <w:tab w:leader="none" w:pos="900" w:val="left"/>
          <w:tab w:leader="none" w:pos="682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H.R. B</w:t>
      </w:r>
      <w:r>
        <w:rPr>
          <w:rFonts w:ascii="Times New Roman" w:cs="Times New Roman" w:eastAsia="Times New Roman" w:hAnsi="Times New Roman"/>
          <w:sz w:val="14"/>
          <w:szCs w:val="14"/>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Charles H.R. Bracken</w:t>
      </w:r>
    </w:p>
    <w:p>
      <w:pPr>
        <w:jc w:val="center"/>
        <w:ind w:left="4880"/>
        <w:spacing w:after="0" w:line="203"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92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[Liberty Global Class [__]]</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LIBERTY GLOBAL 2023 INCENTIVE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Effective November 23, 2023)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UNITS AGREEMENT</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PERFORMANCE SHARE UNITS AGREEMENT (“Agreement”) is made as of [DATE], by and between LIBERTY GLOBAL LTD, a Bermuda exempted company limited by shares (the “Company”), and the individual whose name, address, and employee number appear on the signature page hereto (the “Grantee”).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Company’s predecessor, Liberty Global plc, adopted the Liberty Global 2023 Incentive Plan effective June 14, 2023, as amended and restated effective November 23, 2023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Company’s Compensation Committee (the “Committee”), appointed by the Company’s board of directors pursuant to Article 3 of the Plan to administer the Plan, has determined that it is in the best interest of the Company and its Shareholders to award performance-based restricted share units to the Grantee effective as of March 25, 2024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and the Grantee therefore agree as follows:</w:t>
      </w:r>
    </w:p>
    <w:p>
      <w:pPr>
        <w:spacing w:after="0" w:line="216"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The following terms, when used in this Agreement, have the following meanings: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“Act” means the U.K. companies Act of 2006, as amended from time to time, and the rules and regulations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“Cause” has the meaning specified for “cause” in Section 13.2(c) of the Plan.</w:t>
      </w:r>
    </w:p>
    <w:p>
      <w:pPr>
        <w:spacing w:after="0" w:line="220"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“Code” means the U.S. Internal Revenue Code of 1986, as amended from time to time, or any successor statute or statutes thereto. Reference to any specific code section shall include any successor section.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“Committee” has the meaning specified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86" w:name="page87"/>
    <w:bookmarkEnd w:id="86"/>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“Company” means Liberty Global Ltd, a Bermuda exempted company limited by shares.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“Earned Percentage” means the percentage determined by the Committee after the end of the Performance Period in accordance with the terms set forth in Appendix A taking into account the level of achievement of the Performance Metric set forth in Appendix A during the Performance Period.</w:t>
      </w:r>
    </w:p>
    <w:p>
      <w:pPr>
        <w:spacing w:after="0" w:line="167"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“Earned Performance Share Units” means the number of Performance Share Units that, following the completion of the Performance Period and in accordance with Section 3, the Grantee is determined to have earned under this Agreement, subject to reduction, forfeiture, or acceleration during the Service Period in accordance with Sections 4, 5, 6, and 7, as applicable.</w:t>
      </w:r>
    </w:p>
    <w:p>
      <w:pPr>
        <w:spacing w:after="0" w:line="15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“Good Reason” for the Grantee to resign from his or her employment or service with the Company and its Subsidiaries means that any of the following occurs, is not consented to by the Grantee, and, except for purposes of Section 6(b), is not the result of the Grantee’s poor performance:</w:t>
      </w:r>
    </w:p>
    <w:p>
      <w:pPr>
        <w:spacing w:after="0" w:line="167" w:lineRule="exact"/>
        <w:rPr>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in the Grantee’s base compensation;</w:t>
      </w:r>
    </w:p>
    <w:p>
      <w:pPr>
        <w:spacing w:after="0" w:line="21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5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the Grantee’s official position or authority, but excluding isolated or inadvertent action not taken in bad faith that is remedied promptly after notice; or</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the Grantee to relocate his/her principal business office to a different country.</w:t>
      </w:r>
    </w:p>
    <w:p>
      <w:pPr>
        <w:spacing w:after="0" w:line="233" w:lineRule="exact"/>
        <w:rPr>
          <w:sz w:val="20"/>
          <w:szCs w:val="20"/>
          <w:color w:val="auto"/>
        </w:rPr>
      </w:pPr>
    </w:p>
    <w:p>
      <w:pPr>
        <w:jc w:val="both"/>
        <w:ind w:firstLine="1134"/>
        <w:spacing w:after="0" w:line="250" w:lineRule="auto"/>
        <w:rPr>
          <w:sz w:val="20"/>
          <w:szCs w:val="20"/>
          <w:color w:val="auto"/>
        </w:rPr>
      </w:pPr>
      <w:r>
        <w:rPr>
          <w:rFonts w:ascii="Times New Roman" w:cs="Times New Roman" w:eastAsia="Times New Roman" w:hAnsi="Times New Roman"/>
          <w:sz w:val="22"/>
          <w:szCs w:val="22"/>
          <w:color w:val="auto"/>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 Date”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“Grantee”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“LBTY[__]” or “Share” means the Liberty Global Class [__] common shares, nominal value $0.01 per share,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“Performance Metric” means the performance goal established by the Committee pursuant to Section 10.2 of the Plan and set forth in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 xml:space="preserve"> 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“Performance Period” means that period of time commencing on May 10, 2024 and ending on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“Performance Share Unit” is a Restricted Share representing the right to receive one share of LBTY[__], subject to the performance and other conditions and restrictions set forth herein and in the Plan.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“Plan”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“Regulations” means the rules and regulations under the Code or a specified section of the Code, as applicable.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“Required Withholding Amount” has the meaning specified in Section 16(a) of this Agreement.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“Retirement” has the meaning specified in Section 2.1 of the Plan.</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“RSU Dividend Equivalents” with respect to a Performance Share Unit means, to the extent specified by the Committee only, an amount equal to all cash and non-cash dividends and other distributions (or the economic equivalent thereof) which are payable or transferable to Shareholders of record during the Performance Period and Service Period with respect to one share of LBTY[__].</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409A” means Section 409A of the Code and related Regulations and Treasury pronouncements.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“Service Period” means the period beginning on January 1 immediately following the expiration of the Performance Period and ending on February 15 of that calendar year.</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6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“Termination of Service” means the termination for any reason, including by reason of a sale, assignment, or other disposition of a Subsidiary by the Company resulting in the Subsidiary no longer being a “Subsidiary” as defined in the Plan, of the Grantee’s provision of services to the Company and its Subsidiaries, as an officer, employee, or independent contractor. Whether any leave of absence constitutes a Termination of Service will be determined by the Committee subject to Section 13.2(d) of the Plan. Unless the Committee otherwise determines, neither transfers of employment among the Company and its Subsidiaries, nor a change in Grantee’s status from an independent contractor to an employee will be a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purposes 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16(c)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“Unpaid RSU Dividend Equivalents” has the meaning specified in Section 4(b) of this Agreement.</w:t>
      </w:r>
    </w:p>
    <w:p>
      <w:pPr>
        <w:spacing w:after="0" w:line="220"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“Vesting Date” means the date on which the Performance Share Units cease to be subject to a risk of forfeiture or vest, as determined in accordance with this Agreement and the Plan.</w:t>
      </w:r>
    </w:p>
    <w:p>
      <w:pPr>
        <w:spacing w:after="0" w:line="140" w:lineRule="exact"/>
        <w:rPr>
          <w:sz w:val="20"/>
          <w:szCs w:val="20"/>
          <w:color w:val="auto"/>
        </w:rPr>
      </w:pPr>
    </w:p>
    <w:p>
      <w:pPr>
        <w:jc w:val="both"/>
        <w:ind w:firstLine="8"/>
        <w:spacing w:after="0" w:line="259" w:lineRule="auto"/>
        <w:tabs>
          <w:tab w:leader="none" w:pos="648"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Target Performance Share Units</w:t>
      </w:r>
      <w:r>
        <w:rPr>
          <w:rFonts w:ascii="Times New Roman" w:cs="Times New Roman" w:eastAsia="Times New Roman" w:hAnsi="Times New Roman"/>
          <w:sz w:val="22"/>
          <w:szCs w:val="22"/>
          <w:color w:val="auto"/>
        </w:rPr>
        <w:t>. Pursuant to the Plan, the Company grants to the Grantee,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an Award of the number of Target Performance Share Units set forth on the signature page hereto, subject to the terms, conditions, and restrictions set forth herein and in the Plan.</w:t>
      </w:r>
    </w:p>
    <w:p>
      <w:pPr>
        <w:spacing w:after="0" w:line="17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Performance Conditions For Performance Period</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Performance Metric established by the Committee for the Performance Period is set forth on </w:t>
      </w:r>
      <w:r>
        <w:rPr>
          <w:rFonts w:ascii="Times New Roman" w:cs="Times New Roman" w:eastAsia="Times New Roman" w:hAnsi="Times New Roman"/>
          <w:sz w:val="22"/>
          <w:szCs w:val="22"/>
          <w:b w:val="1"/>
          <w:bCs w:val="1"/>
          <w:color w:val="auto"/>
        </w:rPr>
        <w:t xml:space="preserve">Appendix A </w:t>
      </w:r>
      <w:r>
        <w:rPr>
          <w:rFonts w:ascii="Times New Roman" w:cs="Times New Roman" w:eastAsia="Times New Roman" w:hAnsi="Times New Roman"/>
          <w:sz w:val="22"/>
          <w:szCs w:val="22"/>
          <w:color w:val="auto"/>
        </w:rPr>
        <w:t>attached hereto and made a part hereof for all purposes. The Earned Performance Share Units for the Grantee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initially be determined by multiplying the number of Target Performance Share Units by the Earned Percentage determined by the Committee in accordance with </w:t>
      </w:r>
      <w:r>
        <w:rPr>
          <w:rFonts w:ascii="Times New Roman" w:cs="Times New Roman" w:eastAsia="Times New Roman" w:hAnsi="Times New Roman"/>
          <w:sz w:val="22"/>
          <w:szCs w:val="22"/>
          <w:b w:val="1"/>
          <w:bCs w:val="1"/>
          <w:color w:val="auto"/>
        </w:rPr>
        <w:t>Appendix 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close of the Performance Period, the Committee shall certify the extent to which the Performance Metric has been achieved and the calculation of the Earned Percentage. The Committee may, but shall not be obligated to, engage an independent accounting firm to perform agreed upon procedures to verify its calculations. Upon completing its determination, the Committee shall notify the Grantee, in the form and manner as determined by the Committee, of the number of Earned Performance Share Units that will be subject to the service vesting provisions of Section 4.</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during Service Period.</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36" w:lineRule="auto"/>
        <w:tabs>
          <w:tab w:leader="none" w:pos="19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Committee otherwise determines in its sole discretion, subject to earlier vesting in accordance with Section 5 or 6 of this Agreement or Section 13.1(b) of the Plan and subject to Section 4(c) and the forfeiture provisions of this Agreement, the Earned Performance Share Units shall become vested on February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following the end of the Performance Period.</w:t>
      </w:r>
    </w:p>
    <w:p>
      <w:pPr>
        <w:spacing w:after="0" w:line="18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[Please refer to the website of the third-party administrator, [SHAREWORKS], which maintains the database for the Plan and provides related services, for the specific Vesting Date related to the Performance Share Units.]</w:t>
      </w:r>
    </w:p>
    <w:p>
      <w:pPr>
        <w:spacing w:after="0" w:line="153" w:lineRule="exact"/>
        <w:rPr>
          <w:sz w:val="20"/>
          <w:szCs w:val="20"/>
          <w:color w:val="auto"/>
        </w:rPr>
      </w:pPr>
    </w:p>
    <w:p>
      <w:pPr>
        <w:jc w:val="both"/>
        <w:ind w:firstLine="1304"/>
        <w:spacing w:after="0" w:line="256" w:lineRule="auto"/>
        <w:tabs>
          <w:tab w:leader="none" w:pos="1939"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Vesting Date, subject to the satisfaction of any other applicable restrictions, terms, and conditions, any RSU Dividend Equivalents with respect to the Earned Performance Share Units that have not vested up to that point (“Unpaid RSU Dividend Equivalents”) will become vested to the extent that the Earned Performance Share Units related thereto shall have become vested in accordance with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the Grantee is suspended (with or without compensation) or is otherwise not in good standing with the Company or any Subsidiary as determined by the Company’s General Counsel due to an alleged violation of the Company’s Code of Conduct, applicable law, or other misconduct (a “Suspension Event”), the Company has the right to suspend the vesting of the Earned Performance Share Units until the day after the Company (as determined by the General Counsel or his/her designee) has determined (x) the suspension has lifted or (y) the Company determines that the lack of good standing has been cured (each, the “Recovery Date”). If the Suspension Event has occurred and prior to the Recovery Date, the Grantee dies, is Disabled, or is terminated without Cause, then the provisions of this Sections 4(a) and 4(b), and Section 5 continue to apply notwithstanding the Suspension Event. If the Grantee resigns (including due to Retirement) or is terminated for Cause prior to the Recovery Date then the unvested Earned Performance Share Units will be terminated without any further vesting after the date of the Suspension Event, unless otherwise agreed by the Company.</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color w:val="auto"/>
        </w:rPr>
        <w:t>Termination, Death, or Disability</w:t>
      </w:r>
    </w:p>
    <w:p>
      <w:pPr>
        <w:spacing w:after="0" w:line="2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Subject to the remaining provisions of this Section 5 and to Sections 6 and 7,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167" w:lineRule="exact"/>
        <w:rPr>
          <w:sz w:val="20"/>
          <w:szCs w:val="20"/>
          <w:color w:val="auto"/>
        </w:rPr>
      </w:pPr>
    </w:p>
    <w:p>
      <w:pPr>
        <w:jc w:val="both"/>
        <w:ind w:firstLine="1304"/>
        <w:spacing w:after="0" w:line="257"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during the Performance Period is due to death or Disability, then the Grantee’s estate will be entitled to the Grantee’s Target Performance Share Units and any related Unpaid RSU Dividend Equivalents. Subject to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Target Performance Share Units and any related Unpaid RSU Dividend Equivalents will thereupon become vested and will be settled in accordance with Section 8 as soon as administratively practicable after the Termination of Service, but in no event later than March 15 of the calendar year immediately following the calendar year in which the Termination of Service occurred.</w:t>
      </w:r>
    </w:p>
    <w:p>
      <w:pPr>
        <w:spacing w:after="0" w:line="169" w:lineRule="exact"/>
        <w:rPr>
          <w:sz w:val="20"/>
          <w:szCs w:val="20"/>
          <w:color w:val="auto"/>
        </w:rPr>
      </w:pPr>
    </w:p>
    <w:p>
      <w:pPr>
        <w:jc w:val="both"/>
        <w:ind w:firstLine="1304"/>
        <w:spacing w:after="0" w:line="247" w:lineRule="auto"/>
        <w:tabs>
          <w:tab w:leader="none" w:pos="193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during the Performance Period is due to termination of the Grantee by the Company or any of its Subsidiaries without Cause, resignation by the Grantee for Good Reason, or Retirement, then, except in the case of a Banked Payout, the Grantee’s Target Performance Share Units or Earned Performance Share Units, as applicable, will be forfeited, provided that the Committee may determine, in its sole discretion, that a portion of the Grantee’s Earned Performance Share Units and any related Unpaid RSU Dividend Equivalents will thereupon become vested and no longer be subject to a risk of forfeiture in such amount as the Committee may determine, and shall be settled in accordance with Section 8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continued through the Performance Period. In the event of a Banked Payout, the a pro-rata portion of the Banked Payout amount will become fully vested upon termination, which pro-rata portion will be determined by taking the ratio, the numerator of which is the number of days between the start of the Performance Period and the date of Grantee’s termination, inclusive, and the denominator of which is the days in the Performance Period, and multiplying such ratio by the Banked Payout to be received by Grantee.</w:t>
      </w:r>
    </w:p>
    <w:p>
      <w:pPr>
        <w:spacing w:after="0" w:line="19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during either the Performance Period or the Service Period is due to termination of the Grantee by the Company or any of its Subsidiaries for Cause or resignation by the Grantee without Good Reason, then the Grantee’s Target Performance Share Units or Earned Performance Share Units, as applicable, will be forfeited in full.</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Termination of Service during the Service Period is due to death, Disability, Retirement, termination of the Grantee by the Company or any of its Subsidiaries without Cause, or resignation by the Grantee with Good Reason, then the Grantee’s Earned Performance Share Units, as determined by the Committee, will become vested and paid in accordance with Section 8 of this Agreement.</w:t>
      </w:r>
    </w:p>
    <w:p>
      <w:pPr>
        <w:spacing w:after="0" w:line="18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LBTY[__] may be changed, converted, or exchanged in connection with the Approved Transaction, then the provisions of this Section 6(a) will apply, subject to Section 7:</w:t>
      </w:r>
    </w:p>
    <w:p>
      <w:pPr>
        <w:spacing w:after="0" w:line="179" w:lineRule="exact"/>
        <w:rPr>
          <w:sz w:val="20"/>
          <w:szCs w:val="20"/>
          <w:color w:val="auto"/>
        </w:rPr>
      </w:pPr>
    </w:p>
    <w:p>
      <w:pPr>
        <w:jc w:val="both"/>
        <w:ind w:firstLine="2029"/>
        <w:spacing w:after="0" w:line="250" w:lineRule="auto"/>
        <w:tabs>
          <w:tab w:leader="none" w:pos="2589"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the Grantee will be deemed to have earned a number of Earned Performance Share Units equal to the Grantee’s Target Performance Share Units. Such Earned Performance Share Units, and any related Unpaid RSU Dividend Equivalents shall thereupon become vested and will be settled in accordance with Section 8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spacing w:after="0" w:line="180" w:lineRule="exact"/>
        <w:rPr>
          <w:rFonts w:ascii="Times New Roman" w:cs="Times New Roman" w:eastAsia="Times New Roman" w:hAnsi="Times New Roman"/>
          <w:sz w:val="22"/>
          <w:szCs w:val="22"/>
          <w:color w:val="auto"/>
        </w:rPr>
      </w:pPr>
    </w:p>
    <w:p>
      <w:pPr>
        <w:jc w:val="both"/>
        <w:ind w:firstLine="2029"/>
        <w:spacing w:after="0" w:line="250" w:lineRule="auto"/>
        <w:tabs>
          <w:tab w:leader="none" w:pos="2582"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8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Approved Transaction, Board Change, or Control Purchase occurs on or before the Grantee’s Termination of Service and the provisions of Section 6(a) do not apply because of the assumption or continuation of this Agreement as described therein, then the following will apply, subject to Section 7:</w:t>
      </w:r>
    </w:p>
    <w:p>
      <w:pPr>
        <w:spacing w:after="0" w:line="17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Performance Period, then the Grantee will thereupon be deemed to have earned a number of Earned Performance Share Units equal to the Grantee’s Target Performance Share Units, and the Grantee shall continue to be subject to the service and vesting requirements of, and to have the rights otherwise provided under, this Agreement with respect to such Earned Performance Share Units.</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Approved Transaction, Board Change, or Control Purchase occurs during the Service Period, the Grantee will continue to have the rights otherwise provided under this Agreement with respect to the Earned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98" w:lineRule="exact"/>
        <w:rPr>
          <w:sz w:val="20"/>
          <w:szCs w:val="20"/>
          <w:color w:val="auto"/>
        </w:rPr>
      </w:pPr>
    </w:p>
    <w:p>
      <w:pPr>
        <w:jc w:val="both"/>
        <w:ind w:firstLine="1952"/>
        <w:spacing w:after="0" w:line="253" w:lineRule="auto"/>
        <w:tabs>
          <w:tab w:leader="none" w:pos="2592"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Service occurs after the Approved Transaction, Board Change, or Control Purchase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spacing w:after="0" w:line="178"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2"/>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Termination of Service occurs after the Approved Transaction, Board Change, or Control Purchase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 shall become vested and no longer subject to a risk of forfeiture. Settlement in accordance with Section 8 of such Earned Performance Share Units and any related Unpaid RSU Dividend Equivalents will be made (x) if the Termination of Service occurs during the Performance Period, as soon as administratively practicable after the Termination of Service, but in no event later than March 15 of the calendar year immediately following the calendar year in which the Termination of Service occurred, and (y) if the Termination of Service occurs during the Service Period, as of the originally scheduled Vesting Date.</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and Recoupment Policy.</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39"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when the Grantee’s Termination of Service is due to death, Disability, or Retirement, the accelerated vesting of Performance Share Units contemplated or permitted by Sections 5 and 6 shall be contingent upon execution by the Grantee, no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Termination of Service, of a separation agreement that includes, in the Committee’s discretion, a general release, non-solicitation agreement, confidentiality agreement, and, if the Committee in its discretion so requires, a non-competition agreement, in each case in favor of the Company and its Subsidiaries and in substance and form approved by the Committee, which form shall be provided by the Company to the Grantee within 15 days after the Termination of Service.</w:t>
      </w:r>
    </w:p>
    <w:p>
      <w:pPr>
        <w:spacing w:after="0" w:line="19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at the Committee’s discretion, be forfeited.</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Company’s Dodd-Frank Clawback Policy (as filed with the Company’s annual report on Form 10-K), if the Company’s consolidated financial statements for any of the years taken into account in the Performance Metric are required to be restated at any time as a result of an error (whether or not involving fraud or misconduct)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7(c) against any amounts otherwise owed by the Company or any of its subsidiaries to the Grantee.</w:t>
      </w:r>
    </w:p>
    <w:p>
      <w:pPr>
        <w:spacing w:after="0" w:line="184" w:lineRule="exact"/>
        <w:rPr>
          <w:sz w:val="20"/>
          <w:szCs w:val="20"/>
          <w:color w:val="auto"/>
        </w:rPr>
      </w:pPr>
    </w:p>
    <w:p>
      <w:pPr>
        <w:jc w:val="both"/>
        <w:ind w:firstLine="1304"/>
        <w:spacing w:after="0" w:line="263" w:lineRule="auto"/>
        <w:tabs>
          <w:tab w:leader="none" w:pos="193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63" w:lineRule="exact"/>
        <w:rPr>
          <w:rFonts w:ascii="Times New Roman" w:cs="Times New Roman" w:eastAsia="Times New Roman" w:hAnsi="Times New Roman"/>
          <w:sz w:val="22"/>
          <w:szCs w:val="22"/>
          <w:color w:val="auto"/>
        </w:rPr>
      </w:pPr>
    </w:p>
    <w:p>
      <w:pPr>
        <w:jc w:val="both"/>
        <w:ind w:firstLine="8"/>
        <w:spacing w:after="0" w:line="254" w:lineRule="auto"/>
        <w:tabs>
          <w:tab w:leader="none" w:pos="648"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Vested Performance Share Units</w:t>
      </w:r>
      <w:r>
        <w:rPr>
          <w:rFonts w:ascii="Times New Roman" w:cs="Times New Roman" w:eastAsia="Times New Roman" w:hAnsi="Times New Roman"/>
          <w:sz w:val="22"/>
          <w:szCs w:val="22"/>
          <w:color w:val="auto"/>
        </w:rPr>
        <w:t>. Except as otherwise provided in Sections 5 and 6, settlement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 Units that vest in accordance with this 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 10.</w:t>
      </w:r>
    </w:p>
    <w:p>
      <w:pPr>
        <w:spacing w:after="0" w:line="173" w:lineRule="exact"/>
        <w:rPr>
          <w:rFonts w:ascii="Times New Roman" w:cs="Times New Roman" w:eastAsia="Times New Roman" w:hAnsi="Times New Roman"/>
          <w:sz w:val="22"/>
          <w:szCs w:val="22"/>
          <w:b w:val="1"/>
          <w:bCs w:val="1"/>
          <w:color w:val="auto"/>
        </w:rPr>
      </w:pPr>
    </w:p>
    <w:p>
      <w:pPr>
        <w:jc w:val="both"/>
        <w:ind w:firstLine="8"/>
        <w:spacing w:after="0" w:line="266" w:lineRule="auto"/>
        <w:tabs>
          <w:tab w:leader="none" w:pos="648"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Shareholder Rights; RSU Dividend Equivalents</w:t>
      </w:r>
      <w:r>
        <w:rPr>
          <w:rFonts w:ascii="Times New Roman" w:cs="Times New Roman" w:eastAsia="Times New Roman" w:hAnsi="Times New Roman"/>
          <w:sz w:val="21"/>
          <w:szCs w:val="21"/>
          <w:color w:val="auto"/>
        </w:rPr>
        <w:t>. The Grantee shall have no rights of a Shareholder with respect to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represented by any Performance Share Units unless and until such time as Shares represented by vested Performance Share Units have been delivered to the Grantee in accordance with Section 8. The Grantee will have no right to receive, or otherwise with respect to, any RSU Dividend Equivalents until such time, if ever, as the Performance Share Units with respect to which such RSU Dividend Equivalents relate shall have become vested and, if vesting does not occur, the related RSU Dividend Equivalents will be forfeited. RSU Dividend Equivalents shall not bear interest or be segregated in a separate account.</w:t>
      </w:r>
    </w:p>
    <w:p>
      <w:pPr>
        <w:spacing w:after="0" w:line="162" w:lineRule="exact"/>
        <w:rPr>
          <w:rFonts w:ascii="Times New Roman" w:cs="Times New Roman" w:eastAsia="Times New Roman" w:hAnsi="Times New Roman"/>
          <w:sz w:val="21"/>
          <w:szCs w:val="21"/>
          <w:b w:val="1"/>
          <w:bCs w:val="1"/>
          <w:color w:val="auto"/>
        </w:rPr>
      </w:pPr>
    </w:p>
    <w:p>
      <w:pPr>
        <w:jc w:val="both"/>
        <w:ind w:firstLine="8"/>
        <w:spacing w:after="0" w:line="268" w:lineRule="auto"/>
        <w:tabs>
          <w:tab w:leader="none" w:pos="648"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Delivery by Company. </w:t>
      </w:r>
      <w:r>
        <w:rPr>
          <w:rFonts w:ascii="Times New Roman" w:cs="Times New Roman" w:eastAsia="Times New Roman" w:hAnsi="Times New Roman"/>
          <w:sz w:val="21"/>
          <w:szCs w:val="21"/>
          <w:color w:val="auto"/>
        </w:rPr>
        <w:t>As soon as practicable after the vesting of Performance Share Units and any related Unpaid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 Equivalents pursuant to the terms of this Agreement and the Plan, and subject to the withholding referred to in Section</w:t>
      </w:r>
    </w:p>
    <w:p>
      <w:pPr>
        <w:spacing w:after="0" w:line="1" w:lineRule="exact"/>
        <w:rPr>
          <w:rFonts w:ascii="Times New Roman" w:cs="Times New Roman" w:eastAsia="Times New Roman" w:hAnsi="Times New Roman"/>
          <w:sz w:val="21"/>
          <w:szCs w:val="21"/>
          <w:b w:val="1"/>
          <w:bCs w:val="1"/>
          <w:color w:val="auto"/>
        </w:rPr>
      </w:pPr>
    </w:p>
    <w:p>
      <w:pPr>
        <w:ind w:left="280" w:hanging="272"/>
        <w:spacing w:after="0"/>
        <w:tabs>
          <w:tab w:leader="none" w:pos="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 the Company will, in its sole discretion, deliver or cause to be delivered to or at the direction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electronically or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(1) deposited into the bank account of the Grantee, or (2) a check from the Company, payable to or at the direction of the Grantee and in the amount equal to the amount of the cash payment, has been delivered personally to or, at the direction of the Grantee, deposited in the United States mail, addressed to the Grantee or his or her nominee.</w:t>
      </w:r>
    </w:p>
    <w:p>
      <w:pPr>
        <w:spacing w:after="0" w:line="176"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Performance Share Units Before Vesting</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by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may designate a beneficiary or beneficiaries to whom the Performance Share Units, to the extent then vested, and any related Unpaid RSU Dividend 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 [CLICK HERE TO ACCESS THE DESIGNATION OF BENEFICIARY FORM.]</w:t>
      </w:r>
    </w:p>
    <w:p>
      <w:pPr>
        <w:spacing w:after="0" w:line="182" w:lineRule="exact"/>
        <w:rPr>
          <w:sz w:val="20"/>
          <w:szCs w:val="20"/>
          <w:color w:val="auto"/>
        </w:rPr>
      </w:pPr>
    </w:p>
    <w:p>
      <w:pPr>
        <w:jc w:val="both"/>
        <w:ind w:firstLine="8"/>
        <w:spacing w:after="0" w:line="259" w:lineRule="auto"/>
        <w:tabs>
          <w:tab w:leader="none" w:pos="64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r>
        <w:rPr>
          <w:rFonts w:ascii="Times New Roman" w:cs="Times New Roman" w:eastAsia="Times New Roman" w:hAnsi="Times New Roman"/>
          <w:sz w:val="22"/>
          <w:szCs w:val="22"/>
          <w:color w:val="auto"/>
        </w:rPr>
        <w:t>. The Performance Share Units and any related Unpaid RSU Dividend Equivalents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adjustment pursuant to Section 4.2 of the Plan in such manner as the Committee may deem equitable and appropriate in connection with the occurrence following the Grant Date of any of the events described in Section 4.2 of the Plan.</w:t>
      </w:r>
    </w:p>
    <w:p>
      <w:pPr>
        <w:spacing w:after="0" w:line="166"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64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Company’s Rights. </w:t>
      </w:r>
      <w:r>
        <w:rPr>
          <w:rFonts w:ascii="Times New Roman" w:cs="Times New Roman" w:eastAsia="Times New Roman" w:hAnsi="Times New Roman"/>
          <w:sz w:val="22"/>
          <w:szCs w:val="22"/>
          <w:color w:val="auto"/>
        </w:rPr>
        <w:t>The existence of this Agreement will not affect in any way the right or power of the Company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to accomplish any corporate act, including, without limitation, the acts referred to in Section 13.17 of the Plan.</w:t>
      </w:r>
    </w:p>
    <w:p>
      <w:pPr>
        <w:spacing w:after="0" w:line="162" w:lineRule="exact"/>
        <w:rPr>
          <w:rFonts w:ascii="Times New Roman" w:cs="Times New Roman" w:eastAsia="Times New Roman" w:hAnsi="Times New Roman"/>
          <w:sz w:val="22"/>
          <w:szCs w:val="22"/>
          <w:b w:val="1"/>
          <w:bCs w:val="1"/>
          <w:color w:val="auto"/>
        </w:rPr>
      </w:pPr>
    </w:p>
    <w:p>
      <w:pPr>
        <w:jc w:val="both"/>
        <w:ind w:firstLine="8"/>
        <w:spacing w:after="0" w:line="249" w:lineRule="auto"/>
        <w:tabs>
          <w:tab w:leader="none" w:pos="64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Limitation of Rights. </w:t>
      </w:r>
      <w:r>
        <w:rPr>
          <w:rFonts w:ascii="Times New Roman" w:cs="Times New Roman" w:eastAsia="Times New Roman" w:hAnsi="Times New Roman"/>
          <w:sz w:val="22"/>
          <w:szCs w:val="22"/>
          <w:color w:val="auto"/>
        </w:rPr>
        <w:t>Nothing in this Agreement or the Plan will be construed to give the Grantee any right to be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w:t>
      </w:r>
    </w:p>
    <w:p>
      <w:pPr>
        <w:spacing w:after="0" w:line="193"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648"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Restrictions Imposed by Law. </w:t>
      </w:r>
      <w:r>
        <w:rPr>
          <w:rFonts w:ascii="Times New Roman" w:cs="Times New Roman" w:eastAsia="Times New Roman" w:hAnsi="Times New Roman"/>
          <w:sz w:val="22"/>
          <w:szCs w:val="22"/>
          <w:color w:val="auto"/>
        </w:rPr>
        <w:t>Without limiting the generality of Section 13.9 of the Plan, the Company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deliver any Shares represented by 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the Act and applicable tax or securities laws.</w:t>
      </w:r>
    </w:p>
    <w:p>
      <w:pPr>
        <w:spacing w:after="0" w:line="185"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237"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 the designation of any RSU Dividend Equivalents as payable or distributable or the payment or distribution thereof, the Grantee must make arrangements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net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spacing w:after="0" w:line="180" w:lineRule="exact"/>
        <w:rPr>
          <w:sz w:val="20"/>
          <w:szCs w:val="20"/>
          <w:color w:val="auto"/>
        </w:rPr>
      </w:pPr>
    </w:p>
    <w:p>
      <w:pPr>
        <w:jc w:val="both"/>
        <w:ind w:firstLine="1304"/>
        <w:spacing w:after="0" w:line="248" w:lineRule="auto"/>
        <w:tabs>
          <w:tab w:leader="none" w:pos="193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16(a).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8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short-term deferral exclusion. Notwithstanding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provision of this Agreement, if Grantee is a “specified employee” as such term is defined in Section 409A, and determined as described below, any amounts that would otherwise be payable hereunder as nonqualified deferred compensation within the meaning of Section 409A on account of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176" w:lineRule="exact"/>
        <w:rPr>
          <w:sz w:val="20"/>
          <w:szCs w:val="20"/>
          <w:color w:val="auto"/>
        </w:rPr>
      </w:pPr>
    </w:p>
    <w:p>
      <w:pPr>
        <w:jc w:val="both"/>
        <w:ind w:firstLine="8"/>
        <w:spacing w:after="0" w:line="258" w:lineRule="auto"/>
        <w:tabs>
          <w:tab w:leader="none" w:pos="64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Unless the Company notifies the Grantee in writing of a different procedure, any notice or other communication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1550 Wewatta Street, Suite 1000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Denver, CO 80202</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Legal Department</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303-220-6691</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72" w:lineRule="exact"/>
        <w:rPr>
          <w:sz w:val="20"/>
          <w:szCs w:val="20"/>
          <w:color w:val="auto"/>
        </w:rPr>
      </w:pPr>
    </w:p>
    <w:p>
      <w:pPr>
        <w:ind w:firstLine="8"/>
        <w:spacing w:after="0" w:line="275" w:lineRule="auto"/>
        <w:tabs>
          <w:tab w:leader="none" w:pos="64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Notwithstanding any other provision hereof, this Agreement may be supplemented or amended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as approved by the Committee. Without limiting the generality of the foregoing, without the consent of the Grantee,</w:t>
      </w:r>
    </w:p>
    <w:p>
      <w:pPr>
        <w:spacing w:after="0" w:line="153" w:lineRule="exact"/>
        <w:rPr>
          <w:rFonts w:ascii="Times New Roman" w:cs="Times New Roman" w:eastAsia="Times New Roman" w:hAnsi="Times New Roman"/>
          <w:sz w:val="22"/>
          <w:szCs w:val="22"/>
          <w:b w:val="1"/>
          <w:bCs w:val="1"/>
          <w:color w:val="auto"/>
        </w:rPr>
      </w:pPr>
    </w:p>
    <w:p>
      <w:pPr>
        <w:jc w:val="both"/>
        <w:ind w:firstLine="1304"/>
        <w:spacing w:after="0" w:line="262" w:lineRule="auto"/>
        <w:tabs>
          <w:tab w:leader="none" w:pos="1941"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13.19 of the Plan or to exempt the Award made hereunder from coverage under Section 409A, or (iv) to make such other changes as the Company, upon advice of counsel, determines are necessary or advisable because of the adoption or promulgation of, or change in or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interpretation of, any law or governmental rule or regulation, including the Act and any applicable tax or securities laws;</w:t>
      </w:r>
    </w:p>
    <w:p>
      <w:pPr>
        <w:spacing w:after="0" w:line="220" w:lineRule="exact"/>
        <w:rPr>
          <w:sz w:val="20"/>
          <w:szCs w:val="20"/>
          <w:color w:val="auto"/>
        </w:rPr>
      </w:pPr>
    </w:p>
    <w:p>
      <w:pPr>
        <w:jc w:val="both"/>
        <w:ind w:firstLine="1304"/>
        <w:spacing w:after="0" w:line="256" w:lineRule="auto"/>
        <w:tabs>
          <w:tab w:leader="none" w:pos="193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 the requirements of the Plan as of the date such new Award is made and no such action will adversely affect any Performance Share Units that are then vested; and</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Grantee is an employee or service provider primarily providing services to the Company’s Swiss operations (“Sunrise”) and who will transfer employment or service to Sunrise following a spin-off of Sunrise from the Company (the “Spin-Off”), the Performance Share Units granted under this Agreement will, in connection with the Spin-Off, automatically terminate and be replaced with similar performance awards of Sunrise, with such performance metrics as may be determined by the Committee or the appropriate governing body at Sunrise. In the event that the Spin-Off does not occur, the Performance Metric will remain as stated in Exhibit A hereto.</w:t>
      </w:r>
    </w:p>
    <w:p>
      <w:pPr>
        <w:spacing w:after="0" w:line="17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Employment or Service.</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 with or without Cause, or to increase or decrease the Grantee’s compensation from the rate in effect at the date hereof or to change the Grantee’s title or duties.</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7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and 6 of this Agreement, become entitled to any damages or severance or any additional amount of damages or severance in respect of any rights or expectations of whatever nature that the Grantee may have hereunder or under the Plan. Notwithstanding any other provision of the Plan or this Agreement, the Award hereunder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86" w:lineRule="exact"/>
        <w:rPr>
          <w:sz w:val="20"/>
          <w:szCs w:val="20"/>
          <w:color w:val="auto"/>
        </w:rPr>
      </w:pPr>
    </w:p>
    <w:p>
      <w:pPr>
        <w:ind w:firstLine="1304"/>
        <w:spacing w:after="0" w:line="271" w:lineRule="auto"/>
        <w:tabs>
          <w:tab w:leader="none" w:pos="1939"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terms hereof or of the Plan and any employment, severance, or other agreement with the Grantee, the terms hereof and of the Plan shall control.</w:t>
      </w:r>
    </w:p>
    <w:p>
      <w:pPr>
        <w:spacing w:after="0" w:line="153" w:lineRule="exact"/>
        <w:rPr>
          <w:rFonts w:ascii="Times New Roman" w:cs="Times New Roman" w:eastAsia="Times New Roman" w:hAnsi="Times New Roman"/>
          <w:sz w:val="22"/>
          <w:szCs w:val="22"/>
          <w:color w:val="auto"/>
        </w:rPr>
      </w:pPr>
    </w:p>
    <w:p>
      <w:pPr>
        <w:jc w:val="both"/>
        <w:ind w:firstLine="8"/>
        <w:spacing w:after="0" w:line="254" w:lineRule="auto"/>
        <w:tabs>
          <w:tab w:leader="none" w:pos="648"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Nonalienation of Benefits</w:t>
      </w:r>
      <w:r>
        <w:rPr>
          <w:rFonts w:ascii="Times New Roman" w:cs="Times New Roman" w:eastAsia="Times New Roman" w:hAnsi="Times New Roman"/>
          <w:sz w:val="22"/>
          <w:szCs w:val="22"/>
          <w:color w:val="auto"/>
        </w:rPr>
        <w:t>. Except as provided in Section 11 of this Agreement, (i) no right or benefit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Grantee understands that for the exclusive purpose of implementing, administering, and managing the Grantee’s participation in the Plan, the 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you hold or held in the Company, its subsidiaries, and affiliates, details of all options, share appreciation rights, performance share units,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39" w:val="left"/>
        </w:tabs>
        <w:numPr>
          <w:ilvl w:val="2"/>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8" w:lineRule="exact"/>
        <w:rPr>
          <w:sz w:val="20"/>
          <w:szCs w:val="20"/>
          <w:color w:val="auto"/>
        </w:rPr>
      </w:pPr>
    </w:p>
    <w:p>
      <w:pPr>
        <w:jc w:val="both"/>
        <w:ind w:firstLine="1304"/>
        <w:spacing w:after="0" w:line="249" w:lineRule="auto"/>
        <w:tabs>
          <w:tab w:leader="none" w:pos="194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of Data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 Units evidenced by this Agreement or other equity awards and administer or maintain such awards. For more information on the privacy of the Data, the Grantee may contact the Grantee’s local human resources representative.</w:t>
      </w:r>
    </w:p>
    <w:p>
      <w:pPr>
        <w:spacing w:after="0" w:line="191" w:lineRule="exact"/>
        <w:rPr>
          <w:rFonts w:ascii="Times New Roman" w:cs="Times New Roman" w:eastAsia="Times New Roman" w:hAnsi="Times New Roman"/>
          <w:sz w:val="22"/>
          <w:szCs w:val="22"/>
          <w:color w:val="auto"/>
        </w:rPr>
      </w:pPr>
    </w:p>
    <w:p>
      <w:pPr>
        <w:jc w:val="both"/>
        <w:ind w:firstLine="8"/>
        <w:spacing w:after="0" w:line="249" w:lineRule="auto"/>
        <w:tabs>
          <w:tab w:leader="none" w:pos="64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governed in all respects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Times New Roman" w:cs="Times New Roman" w:eastAsia="Times New Roman" w:hAnsi="Times New Roman"/>
          <w:sz w:val="22"/>
          <w:szCs w:val="22"/>
          <w:i w:val="1"/>
          <w:iCs w:val="1"/>
          <w:color w:val="auto"/>
        </w:rPr>
        <w:t>forum non conveniens</w:t>
      </w:r>
      <w:r>
        <w:rPr>
          <w:rFonts w:ascii="Times New Roman" w:cs="Times New Roman" w:eastAsia="Times New Roman" w:hAnsi="Times New Roman"/>
          <w:sz w:val="22"/>
          <w:szCs w:val="22"/>
          <w:color w:val="auto"/>
        </w:rPr>
        <w:t xml:space="preserve"> to any such action brought in such courts. Each party hereby waives its right to trial by jury.</w:t>
      </w:r>
    </w:p>
    <w:p>
      <w:pPr>
        <w:spacing w:after="0" w:line="181" w:lineRule="exact"/>
        <w:rPr>
          <w:rFonts w:ascii="Times New Roman" w:cs="Times New Roman" w:eastAsia="Times New Roman" w:hAnsi="Times New Roman"/>
          <w:sz w:val="22"/>
          <w:szCs w:val="22"/>
          <w:b w:val="1"/>
          <w:bCs w:val="1"/>
          <w:color w:val="auto"/>
        </w:rPr>
      </w:pPr>
    </w:p>
    <w:p>
      <w:pPr>
        <w:jc w:val="both"/>
        <w:ind w:firstLine="8"/>
        <w:spacing w:after="0" w:line="250" w:lineRule="auto"/>
        <w:tabs>
          <w:tab w:leader="none" w:pos="64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References in this Agreement to “this Agreement” and the words “herein,” “hereof,” “hereunder,”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79"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64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Duplicate Originals</w:t>
      </w:r>
      <w:r>
        <w:rPr>
          <w:rFonts w:ascii="Times New Roman" w:cs="Times New Roman" w:eastAsia="Times New Roman" w:hAnsi="Times New Roman"/>
          <w:sz w:val="22"/>
          <w:szCs w:val="22"/>
          <w:color w:val="auto"/>
        </w:rPr>
        <w:t>. The Company and the Grantee may sign any number of copies of this Agreement. Each signed copy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an original, but all of them together represent the same agreement. Counterparts to this Agreement may be delivered via PDF or other electronic means.</w:t>
      </w:r>
    </w:p>
    <w:p>
      <w:pPr>
        <w:spacing w:after="0" w:line="166" w:lineRule="exact"/>
        <w:rPr>
          <w:rFonts w:ascii="Times New Roman" w:cs="Times New Roman" w:eastAsia="Times New Roman" w:hAnsi="Times New Roman"/>
          <w:sz w:val="22"/>
          <w:szCs w:val="22"/>
          <w:b w:val="1"/>
          <w:bCs w:val="1"/>
          <w:color w:val="auto"/>
        </w:rPr>
      </w:pPr>
    </w:p>
    <w:p>
      <w:pPr>
        <w:jc w:val="both"/>
        <w:ind w:firstLine="8"/>
        <w:spacing w:after="0" w:line="265" w:lineRule="auto"/>
        <w:tabs>
          <w:tab w:leader="none" w:pos="648"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by Committee</w:t>
      </w:r>
      <w:r>
        <w:rPr>
          <w:rFonts w:ascii="Times New Roman" w:cs="Times New Roman" w:eastAsia="Times New Roman" w:hAnsi="Times New Roman"/>
          <w:sz w:val="22"/>
          <w:szCs w:val="22"/>
          <w:color w:val="auto"/>
        </w:rPr>
        <w:t>. The rights of the Grantee and the obligations of the Company hereunder will be subject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rules and regulations as the Committee, in its discretion and as contemplated by Section 3.3 of the Plan, may adopt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jc w:val="both"/>
        <w:ind w:firstLine="8"/>
        <w:spacing w:after="0" w:line="252" w:lineRule="auto"/>
        <w:tabs>
          <w:tab w:leader="none" w:pos="64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is in satisfaction of and in lieu of all prior discussions and agreements, oral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64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Grantee Acceptance</w:t>
      </w:r>
      <w:r>
        <w:rPr>
          <w:rFonts w:ascii="Times New Roman" w:cs="Times New Roman" w:eastAsia="Times New Roman" w:hAnsi="Times New Roman"/>
          <w:sz w:val="22"/>
          <w:szCs w:val="22"/>
          <w:color w:val="auto"/>
        </w:rPr>
        <w:t>. The Grantee will signify acceptance hereof and consent to all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signing in the space provided on the signature page hereto and returning a signed copy to the Company. If the Grantee does not execute and return this Agreement within 150 days of the Grant Date, the grant of Performance Share Units shall be null and void.</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648"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280G Matters</w:t>
      </w:r>
      <w:r>
        <w:rPr>
          <w:rFonts w:ascii="Times New Roman" w:cs="Times New Roman" w:eastAsia="Times New Roman" w:hAnsi="Times New Roman"/>
          <w:sz w:val="22"/>
          <w:szCs w:val="22"/>
          <w:color w:val="auto"/>
        </w:rPr>
        <w:t>. Except as provided in any other agreement between the Grantee and the Company, in the event it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that any payment or distribution in the nature of compensation (within the meaning of Section 280G(b)(2) of the Code) to or for the benefit of the Grantee pursuant to this Agreement, together with any other payments and benefits which the Grantee has the right to receive from the Company or any of its affiliates or any party to a transaction with the Company or any of its affiliates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the Payment shall be either (i) reduced (a “Reduction”) to the minimum extent necessary to avoid imposition of such Excise Tax or (ii) paid in full, whichever produces the better net after-tax position to the Grantee (taking into account any applicable excise tax under Section 4999 of the Code and any other applicable taxes). For purposes of any Reduction, the Payments that shall be reduced shall be those that provide the Grantee the best economic benefit, and to the extent any Payments are economically equivalent, each shall be reduced pro rata. All determinations required to be made under this Section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 By accepting this Agreement, the Grantee acknowledges and agrees that the provisions of this Section shall apply to all future compensation earned by the Grantee from the Company and its affiliates, and that this Section 28 shall survive the settlement and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Signature Page to Performance Share Units Agreement dated as of [DATE] between Liberty Global Ltd. and the Grantee.</w:t>
      </w: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LIBERTY GLOBAL LTD</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Bryan H. Hall</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Bryan H. Hall</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302260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-13970</wp:posOffset>
            </wp:positionV>
            <wp:extent cx="5486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-29210</wp:posOffset>
            </wp:positionV>
            <wp:extent cx="5486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-21590</wp:posOffset>
            </wp:positionV>
            <wp:extent cx="5486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-13970</wp:posOffset>
            </wp:positionV>
            <wp:extent cx="6858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-13970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Target Performance Share Units (LBTY[__])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-13970</wp:posOffset>
            </wp:positionV>
            <wp:extent cx="274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00"/>
          </w:cols>
          <w:pgMar w:left="320" w:top="1440" w:right="5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2024 Performance Share Units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Performance Metric</w:t>
      </w:r>
    </w:p>
    <w:p>
      <w:pPr>
        <w:spacing w:after="0" w:line="233" w:lineRule="exact"/>
        <w:rPr>
          <w:sz w:val="20"/>
          <w:szCs w:val="20"/>
          <w:color w:val="auto"/>
        </w:rPr>
      </w:pPr>
    </w:p>
    <w:p>
      <w:pPr>
        <w:ind w:left="480" w:hanging="472"/>
        <w:spacing w:after="0"/>
        <w:tabs>
          <w:tab w:leader="none" w:pos="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Earned Award.</w:t>
      </w:r>
    </w:p>
    <w:p>
      <w:pPr>
        <w:spacing w:after="0" w:line="219" w:lineRule="exact"/>
        <w:rPr>
          <w:rFonts w:ascii="Times New Roman" w:cs="Times New Roman" w:eastAsia="Times New Roman" w:hAnsi="Times New Roman"/>
          <w:sz w:val="22"/>
          <w:szCs w:val="22"/>
          <w:color w:val="auto"/>
        </w:rPr>
      </w:pPr>
    </w:p>
    <w:p>
      <w:pPr>
        <w:ind w:left="1300" w:right="20" w:hanging="663"/>
        <w:spacing w:after="0" w:line="271" w:lineRule="auto"/>
        <w:tabs>
          <w:tab w:leader="none" w:pos="108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Earned Performance Share Units will be based on the Company’s rTSR as calculated and adjusted in accordance with this Appendix A.</w:t>
      </w:r>
    </w:p>
    <w:p>
      <w:pPr>
        <w:spacing w:after="0" w:line="157" w:lineRule="exact"/>
        <w:rPr>
          <w:rFonts w:ascii="Times New Roman" w:cs="Times New Roman" w:eastAsia="Times New Roman" w:hAnsi="Times New Roman"/>
          <w:sz w:val="22"/>
          <w:szCs w:val="22"/>
          <w:color w:val="auto"/>
        </w:rPr>
      </w:pPr>
    </w:p>
    <w:p>
      <w:pPr>
        <w:ind w:left="1300" w:hanging="663"/>
        <w:spacing w:after="0" w:line="253" w:lineRule="auto"/>
        <w:tabs>
          <w:tab w:leader="none" w:pos="111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other provisions of this Agreement, the amount of the Earned Performance Share Units of the Grantee will initially be determined by multiplying such Target Performance Share Units by the Earned Percentage determined in accordance with the table below (with the Earned Percentage for the percentages of the Company’s rTSR achieved during the respective Period that are in between the percentages shown in the table determined by interpolation):</w:t>
      </w:r>
    </w:p>
    <w:p>
      <w:pPr>
        <w:spacing w:after="0" w:line="183" w:lineRule="exact"/>
        <w:rPr>
          <w:sz w:val="20"/>
          <w:szCs w:val="20"/>
          <w:color w:val="auto"/>
        </w:rPr>
      </w:pPr>
    </w:p>
    <w:tbl>
      <w:tblPr>
        <w:tblLayout w:type="fixed"/>
        <w:tblInd w:w="158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rTSR Achieved</w:t>
            </w:r>
          </w:p>
        </w:tc>
        <w:tc>
          <w:tcPr>
            <w:tcW w:w="1760" w:type="dxa"/>
            <w:vAlign w:val="bottom"/>
          </w:tcPr>
          <w:p>
            <w:pPr>
              <w:spacing w:after="0"/>
              <w:rPr>
                <w:sz w:val="22"/>
                <w:szCs w:val="22"/>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Earned Percentage</w:t>
            </w:r>
          </w:p>
        </w:tc>
        <w:tc>
          <w:tcPr>
            <w:tcW w:w="1160" w:type="dxa"/>
            <w:vAlign w:val="bottom"/>
          </w:tcPr>
          <w:p>
            <w:pPr>
              <w:spacing w:after="0"/>
              <w:rPr>
                <w:sz w:val="22"/>
                <w:szCs w:val="22"/>
                <w:color w:val="auto"/>
              </w:rPr>
            </w:pPr>
          </w:p>
        </w:tc>
      </w:tr>
      <w:tr>
        <w:trPr>
          <w:trHeight w:val="601"/>
        </w:trPr>
        <w:tc>
          <w:tcPr>
            <w:tcW w:w="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At or above the 75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22"/>
                <w:szCs w:val="22"/>
                <w:color w:val="auto"/>
                <w:w w:val="97"/>
              </w:rPr>
              <w:t xml:space="preserve"> Percentile</w:t>
            </w:r>
          </w:p>
        </w:tc>
        <w:tc>
          <w:tcPr>
            <w:tcW w:w="3520" w:type="dxa"/>
            <w:vAlign w:val="bottom"/>
            <w:tcBorders>
              <w:bottom w:val="single" w:sz="8" w:color="auto"/>
            </w:tcBorders>
            <w:gridSpan w:val="2"/>
          </w:tcPr>
          <w:p>
            <w:pPr>
              <w:jc w:val="center"/>
              <w:ind w:left="1652"/>
              <w:spacing w:after="0"/>
              <w:rPr>
                <w:sz w:val="20"/>
                <w:szCs w:val="20"/>
                <w:color w:val="auto"/>
              </w:rPr>
            </w:pPr>
            <w:r>
              <w:rPr>
                <w:rFonts w:ascii="Times New Roman" w:cs="Times New Roman" w:eastAsia="Times New Roman" w:hAnsi="Times New Roman"/>
                <w:sz w:val="22"/>
                <w:szCs w:val="22"/>
                <w:color w:val="auto"/>
              </w:rPr>
              <w:t>200%</w:t>
            </w:r>
          </w:p>
        </w:tc>
        <w:tc>
          <w:tcPr>
            <w:tcW w:w="1160" w:type="dxa"/>
            <w:vAlign w:val="bottom"/>
            <w:tcBorders>
              <w:bottom w:val="single" w:sz="8" w:color="auto"/>
            </w:tcBorders>
          </w:tcPr>
          <w:p>
            <w:pPr>
              <w:spacing w:after="0"/>
              <w:rPr>
                <w:sz w:val="24"/>
                <w:szCs w:val="24"/>
                <w:color w:val="auto"/>
              </w:rPr>
            </w:pPr>
          </w:p>
        </w:tc>
      </w:tr>
      <w:tr>
        <w:trPr>
          <w:trHeight w:val="263"/>
        </w:trPr>
        <w:tc>
          <w:tcPr>
            <w:tcW w:w="58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Median</w:t>
            </w:r>
          </w:p>
        </w:tc>
        <w:tc>
          <w:tcPr>
            <w:tcW w:w="3520" w:type="dxa"/>
            <w:vAlign w:val="bottom"/>
            <w:tcBorders>
              <w:bottom w:val="single" w:sz="8" w:color="auto"/>
            </w:tcBorders>
            <w:gridSpan w:val="2"/>
          </w:tcPr>
          <w:p>
            <w:pPr>
              <w:jc w:val="center"/>
              <w:ind w:left="1652"/>
              <w:spacing w:after="0"/>
              <w:rPr>
                <w:sz w:val="20"/>
                <w:szCs w:val="20"/>
                <w:color w:val="auto"/>
              </w:rPr>
            </w:pPr>
            <w:r>
              <w:rPr>
                <w:rFonts w:ascii="Times New Roman" w:cs="Times New Roman" w:eastAsia="Times New Roman" w:hAnsi="Times New Roman"/>
                <w:sz w:val="22"/>
                <w:szCs w:val="22"/>
                <w:color w:val="auto"/>
              </w:rPr>
              <w:t>100%</w:t>
            </w:r>
          </w:p>
        </w:tc>
        <w:tc>
          <w:tcPr>
            <w:tcW w:w="1160" w:type="dxa"/>
            <w:vAlign w:val="bottom"/>
            <w:tcBorders>
              <w:bottom w:val="single" w:sz="8" w:color="auto"/>
            </w:tcBorders>
          </w:tcPr>
          <w:p>
            <w:pPr>
              <w:spacing w:after="0"/>
              <w:rPr>
                <w:sz w:val="22"/>
                <w:szCs w:val="22"/>
                <w:color w:val="auto"/>
              </w:rPr>
            </w:pPr>
          </w:p>
        </w:tc>
      </w:tr>
      <w:tr>
        <w:trPr>
          <w:trHeight w:val="304"/>
        </w:trPr>
        <w:tc>
          <w:tcPr>
            <w:tcW w:w="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spacing w:after="0" w:line="304" w:lineRule="exact"/>
              <w:rPr>
                <w:sz w:val="20"/>
                <w:szCs w:val="20"/>
                <w:color w:val="auto"/>
              </w:rPr>
            </w:pPr>
            <w:r>
              <w:rPr>
                <w:rFonts w:ascii="Times New Roman" w:cs="Times New Roman" w:eastAsia="Times New Roman" w:hAnsi="Times New Roman"/>
                <w:sz w:val="22"/>
                <w:szCs w:val="22"/>
                <w:color w:val="auto"/>
                <w:w w:val="95"/>
              </w:rPr>
              <w:t>25</w:t>
            </w:r>
            <w:r>
              <w:rPr>
                <w:rFonts w:ascii="Times New Roman" w:cs="Times New Roman" w:eastAsia="Times New Roman" w:hAnsi="Times New Roman"/>
                <w:sz w:val="28"/>
                <w:szCs w:val="28"/>
                <w:color w:val="auto"/>
                <w:w w:val="95"/>
                <w:vertAlign w:val="superscript"/>
              </w:rPr>
              <w:t>th</w:t>
            </w:r>
            <w:r>
              <w:rPr>
                <w:rFonts w:ascii="Times New Roman" w:cs="Times New Roman" w:eastAsia="Times New Roman" w:hAnsi="Times New Roman"/>
                <w:sz w:val="22"/>
                <w:szCs w:val="22"/>
                <w:color w:val="auto"/>
                <w:w w:val="95"/>
              </w:rPr>
              <w:t xml:space="preserve"> Percentile</w:t>
            </w:r>
          </w:p>
        </w:tc>
        <w:tc>
          <w:tcPr>
            <w:tcW w:w="3520" w:type="dxa"/>
            <w:vAlign w:val="bottom"/>
            <w:tcBorders>
              <w:bottom w:val="single" w:sz="8" w:color="auto"/>
            </w:tcBorders>
            <w:gridSpan w:val="2"/>
          </w:tcPr>
          <w:p>
            <w:pPr>
              <w:jc w:val="center"/>
              <w:ind w:left="1652"/>
              <w:spacing w:after="0"/>
              <w:rPr>
                <w:sz w:val="20"/>
                <w:szCs w:val="20"/>
                <w:color w:val="auto"/>
              </w:rPr>
            </w:pPr>
            <w:r>
              <w:rPr>
                <w:rFonts w:ascii="Times New Roman" w:cs="Times New Roman" w:eastAsia="Times New Roman" w:hAnsi="Times New Roman"/>
                <w:sz w:val="22"/>
                <w:szCs w:val="22"/>
                <w:color w:val="auto"/>
                <w:w w:val="99"/>
              </w:rPr>
              <w:t>25%</w:t>
            </w:r>
          </w:p>
        </w:tc>
        <w:tc>
          <w:tcPr>
            <w:tcW w:w="1160" w:type="dxa"/>
            <w:vAlign w:val="bottom"/>
            <w:tcBorders>
              <w:bottom w:val="single" w:sz="8" w:color="auto"/>
            </w:tcBorders>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Less than the 25</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3520" w:type="dxa"/>
            <w:vAlign w:val="bottom"/>
            <w:gridSpan w:val="2"/>
          </w:tcPr>
          <w:p>
            <w:pPr>
              <w:jc w:val="center"/>
              <w:ind w:left="1652"/>
              <w:spacing w:after="0"/>
              <w:rPr>
                <w:sz w:val="20"/>
                <w:szCs w:val="20"/>
                <w:color w:val="auto"/>
              </w:rPr>
            </w:pPr>
            <w:r>
              <w:rPr>
                <w:rFonts w:ascii="Times New Roman" w:cs="Times New Roman" w:eastAsia="Times New Roman" w:hAnsi="Times New Roman"/>
                <w:sz w:val="22"/>
                <w:szCs w:val="22"/>
                <w:color w:val="auto"/>
                <w:w w:val="95"/>
              </w:rPr>
              <w:t>0%</w:t>
            </w: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left="1300" w:hanging="644"/>
        <w:spacing w:after="0" w:line="235" w:lineRule="auto"/>
        <w:tabs>
          <w:tab w:leader="none" w:pos="129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percentage of Grantee’s Target Performance Share Units that may be earned if the Company’s TSR is negative is 100%, irrespective of how such Company TSR compares with the TSRs of the companies within the Comparator Group. If the rTSR achieved is less than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then the Grantee’s Target Performance Share Units and any related Unpaid RSU Dividend Equivalents shall be forfeited and the Grantee shall have no further rights to those Target Performance Share Units under this Agreement.</w:t>
      </w:r>
    </w:p>
    <w:p>
      <w:pPr>
        <w:spacing w:after="0" w:line="2"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29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in its sole discretion, further modify the Earned Performance Share Unit payout in light of the Company’s overall performance and other factors. The Committee will have discretion to modify companies in the Comparator Group for company transactions, including transactions such as bankruptcies, delistings, mergers and acquisitions, spinoffs, splitoffs, divestitures, and other such transactions that the Committee deems warrant modification to the Comparator Group or that have a distortive impact on the performance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04" w:name="page105"/>
    <w:bookmarkEnd w:id="104"/>
    <w:p>
      <w:pPr>
        <w:spacing w:after="0" w:line="198" w:lineRule="exact"/>
        <w:rPr>
          <w:sz w:val="20"/>
          <w:szCs w:val="20"/>
          <w:color w:val="auto"/>
        </w:rPr>
      </w:pPr>
    </w:p>
    <w:p>
      <w:pPr>
        <w:jc w:val="both"/>
        <w:ind w:firstLine="8"/>
        <w:spacing w:after="0" w:line="250" w:lineRule="auto"/>
        <w:tabs>
          <w:tab w:leader="none" w:pos="61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Banked Payout</w:t>
      </w:r>
      <w:r>
        <w:rPr>
          <w:rFonts w:ascii="Times New Roman" w:cs="Times New Roman" w:eastAsia="Times New Roman" w:hAnsi="Times New Roman"/>
          <w:sz w:val="22"/>
          <w:szCs w:val="22"/>
          <w:color w:val="auto"/>
        </w:rPr>
        <w:t>. If as of the First Determination Date, the rTSR is equal to or greater than the median TSR for the companies in the Comparator Group, then a payout of 50% of the Performance Share Unit award will be deemed earned and ‘banked’ for vesting at the end of the Performance Period (the “Banked Payout”). If at the end of the Performance Period, the rTSR is greater than the Banked Payout, then such greater payout amount will be applied to the Grantee’s entire Performance Share Unit award. If there is determined to be no Banked Payout after the First Determination Date, then the entirety of the Grantee’s Performance Share Unit award will be determined by the rTSR achievement at the end of the Performance Period based on the payout schedule in Section 1 to this Appendix A.</w:t>
      </w:r>
    </w:p>
    <w:p>
      <w:pPr>
        <w:spacing w:after="0" w:line="180" w:lineRule="exact"/>
        <w:rPr>
          <w:sz w:val="20"/>
          <w:szCs w:val="20"/>
          <w:color w:val="auto"/>
        </w:rPr>
      </w:pPr>
    </w:p>
    <w:p>
      <w:pPr>
        <w:jc w:val="both"/>
        <w:ind w:right="20" w:firstLine="8"/>
        <w:spacing w:after="0" w:line="263" w:lineRule="auto"/>
        <w:tabs>
          <w:tab w:leader="none" w:pos="4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will have the meanings set forth below. All capitalized terms used, but not defined, in this Appendix A will have the meanings ascribed to such terms in the Performance Share Unit Agreement to which this Appendix A appended.</w:t>
      </w:r>
    </w:p>
    <w:p>
      <w:pPr>
        <w:spacing w:after="0" w:line="167" w:lineRule="exact"/>
        <w:rPr>
          <w:rFonts w:ascii="Times New Roman" w:cs="Times New Roman" w:eastAsia="Times New Roman" w:hAnsi="Times New Roman"/>
          <w:sz w:val="22"/>
          <w:szCs w:val="22"/>
          <w:color w:val="auto"/>
        </w:rPr>
      </w:pPr>
    </w:p>
    <w:p>
      <w:pPr>
        <w:jc w:val="both"/>
        <w:ind w:left="1300" w:hanging="663"/>
        <w:spacing w:after="0" w:line="257" w:lineRule="auto"/>
        <w:tabs>
          <w:tab w:leader="none" w:pos="123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TSR” means the average TSR of the Company’s Class A common shares (ticker LBTYA) and the Company’s Class C common shares (ticker LBTYK) beginning on the Grant Date and ending on the applicable Determination Date.</w:t>
      </w:r>
    </w:p>
    <w:p>
      <w:pPr>
        <w:spacing w:after="0" w:line="172" w:lineRule="exact"/>
        <w:rPr>
          <w:rFonts w:ascii="Times New Roman" w:cs="Times New Roman" w:eastAsia="Times New Roman" w:hAnsi="Times New Roman"/>
          <w:sz w:val="22"/>
          <w:szCs w:val="22"/>
          <w:color w:val="auto"/>
        </w:rPr>
      </w:pPr>
    </w:p>
    <w:p>
      <w:pPr>
        <w:ind w:left="1300" w:hanging="663"/>
        <w:spacing w:after="0" w:line="263" w:lineRule="auto"/>
        <w:tabs>
          <w:tab w:leader="none" w:pos="1169"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“Comparator Group” means, unless otherwise modified by the Committee in accordance with Section 1(c) of this Appendix A, those companies that are continuously listed in either the NASDAQ Telecommunications Index and the Stoxx Europe 600 Telecom Index from the Grant Date through the applicable Determination Date.</w:t>
      </w:r>
    </w:p>
    <w:p>
      <w:pPr>
        <w:spacing w:after="0" w:line="167" w:lineRule="exact"/>
        <w:rPr>
          <w:rFonts w:ascii="Times New Roman" w:cs="Times New Roman" w:eastAsia="Times New Roman" w:hAnsi="Times New Roman"/>
          <w:sz w:val="22"/>
          <w:szCs w:val="22"/>
          <w:color w:val="auto"/>
        </w:rPr>
      </w:pPr>
    </w:p>
    <w:p>
      <w:pPr>
        <w:ind w:left="1100" w:hanging="463"/>
        <w:spacing w:after="0"/>
        <w:tabs>
          <w:tab w:leader="none" w:pos="110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 Date” means, as applicable, the First Determination Date or the last day of the Performance Period.</w:t>
      </w:r>
    </w:p>
    <w:p>
      <w:pPr>
        <w:spacing w:after="0" w:line="231"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Determination Date” means the last day of the second calendar year of the Performance Period.</w:t>
      </w:r>
    </w:p>
    <w:p>
      <w:pPr>
        <w:spacing w:after="0" w:line="219" w:lineRule="exact"/>
        <w:rPr>
          <w:rFonts w:ascii="Times New Roman" w:cs="Times New Roman" w:eastAsia="Times New Roman" w:hAnsi="Times New Roman"/>
          <w:sz w:val="22"/>
          <w:szCs w:val="22"/>
          <w:color w:val="auto"/>
        </w:rPr>
      </w:pPr>
    </w:p>
    <w:p>
      <w:pPr>
        <w:ind w:left="1100" w:hanging="463"/>
        <w:spacing w:after="0"/>
        <w:tabs>
          <w:tab w:leader="none" w:pos="110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Period” means the three year period commencing on May 10, 2024 and ending on December 31, 2026.</w:t>
      </w:r>
    </w:p>
    <w:p>
      <w:pPr>
        <w:spacing w:after="0" w:line="244"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“rTSR” means the relative Company TSR, as compared to the TSR of the companies within the Comparator Group.</w:t>
      </w:r>
    </w:p>
    <w:p>
      <w:pPr>
        <w:spacing w:after="0" w:line="231"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“TSR” means Total Shareholder Return.</w:t>
      </w:r>
    </w:p>
    <w:p>
      <w:pPr>
        <w:spacing w:after="0" w:line="219" w:lineRule="exact"/>
        <w:rPr>
          <w:rFonts w:ascii="Times New Roman" w:cs="Times New Roman" w:eastAsia="Times New Roman" w:hAnsi="Times New Roman"/>
          <w:sz w:val="22"/>
          <w:szCs w:val="22"/>
          <w:color w:val="auto"/>
        </w:rPr>
      </w:pPr>
    </w:p>
    <w:p>
      <w:pPr>
        <w:ind w:left="1300" w:hanging="663"/>
        <w:spacing w:after="0" w:line="257" w:lineRule="auto"/>
        <w:tabs>
          <w:tab w:leader="none" w:pos="1217"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Shareholder Return” means for each of the Company’s Class A common Stock, the Company’s Class C common stock, and the common stock of each company in the Comparator Group, the percentage change in value (positive or negative) over the Performance Period as measured by dividing (i) the sum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jc w:val="both"/>
        <w:ind w:left="180"/>
        <w:spacing w:after="0" w:line="247" w:lineRule="auto"/>
        <w:rPr>
          <w:sz w:val="20"/>
          <w:szCs w:val="20"/>
          <w:color w:val="auto"/>
        </w:rPr>
      </w:pPr>
      <w:r>
        <w:rPr>
          <w:rFonts w:ascii="Times New Roman" w:cs="Times New Roman" w:eastAsia="Times New Roman" w:hAnsi="Times New Roman"/>
          <w:sz w:val="22"/>
          <w:szCs w:val="22"/>
          <w:color w:val="auto"/>
        </w:rPr>
        <w:t>each company’s cumulative value of dividends and other distributions in respect of its common stock for the Performance Period, without assuming (except as otherwise determined by the Committee) dividend reinvestment, and (B) the difference (positive or negative) between each company’s common stock price on the first and last day of the Performance Period (calculated on the basis of the average closing prices over the 20-day trading period immediately prior to the first day of the Performance Period and the average closing prices over the 20-day trading period immediately prior to the relevant Determination Date, in each case, as reported by any reporting service that the Committee may designate from time to time); by (ii) the common stock price on the first day of the Performance Period, as calculated on the basis described above. Appropriate and equitable adjustments will be made to account for stock splits and reverse stock splits. rTSR will be determined by the Committee in a manner consistent with this definition. For purposes of computing rTSR, if a company has more than one class of common stock outstanding, then only the class that is included in the Comparator Group index shall be taken into account, and if there is more than one such class, such company’s TSR shall be computed using the average values of and distributions on all such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20"/>
          </w:cols>
          <w:pgMar w:left="1440" w:top="144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July 25, 2024</w:t>
      </w:r>
    </w:p>
    <w:p>
      <w:pPr>
        <w:spacing w:after="0" w:line="185"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18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June 30, 2024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June 30, 2024 and December 31, 2023, and for the six months ended June 30, 2024 and 2023.</w:t>
      </w:r>
    </w:p>
    <w:p>
      <w:pPr>
        <w:spacing w:after="0" w:line="200" w:lineRule="exact"/>
        <w:rPr>
          <w:sz w:val="20"/>
          <w:szCs w:val="20"/>
          <w:color w:val="auto"/>
        </w:rPr>
      </w:pPr>
    </w:p>
    <w:p>
      <w:pPr>
        <w:spacing w:after="0" w:line="259" w:lineRule="exact"/>
        <w:rPr>
          <w:sz w:val="20"/>
          <w:szCs w:val="20"/>
          <w:color w:val="auto"/>
        </w:rPr>
      </w:pPr>
    </w:p>
    <w:p>
      <w:pPr>
        <w:ind w:left="1900"/>
        <w:spacing w:after="0"/>
        <w:tabs>
          <w:tab w:leader="none" w:pos="6200" w:val="left"/>
        </w:tabs>
        <w:rPr>
          <w:sz w:val="20"/>
          <w:szCs w:val="20"/>
          <w:color w:val="auto"/>
        </w:rPr>
      </w:pPr>
      <w:r>
        <w:rPr>
          <w:rFonts w:ascii="Times New Roman" w:cs="Times New Roman" w:eastAsia="Times New Roman" w:hAnsi="Times New Roman"/>
          <w:sz w:val="18"/>
          <w:szCs w:val="18"/>
          <w:color w:val="auto"/>
        </w:rPr>
        <w:t>Dated: July 25, 2024</w:t>
      </w:r>
      <w:r>
        <w:rPr>
          <w:sz w:val="20"/>
          <w:szCs w:val="20"/>
          <w:color w:val="auto"/>
        </w:rPr>
        <w:tab/>
      </w:r>
      <w:r>
        <w:rPr>
          <w:rFonts w:ascii="Times New Roman" w:cs="Times New Roman" w:eastAsia="Times New Roman" w:hAnsi="Times New Roman"/>
          <w:sz w:val="17"/>
          <w:szCs w:val="17"/>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3103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Times New Roman" w:cs="Times New Roman" w:eastAsia="Times New Roman" w:hAnsi="Times New Roman"/>
          <w:sz w:val="18"/>
          <w:szCs w:val="18"/>
          <w:color w:val="auto"/>
        </w:rPr>
        <w:t>Dated: July 25, 2024</w:t>
      </w:r>
      <w:r>
        <w:rPr>
          <w:sz w:val="20"/>
          <w:szCs w:val="20"/>
          <w:color w:val="auto"/>
        </w:rPr>
        <w:tab/>
      </w: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17145</wp:posOffset>
            </wp:positionV>
            <wp:extent cx="31032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decimal"/>
      <w:start w:val="1"/>
    </w:lvl>
  </w:abstractNum>
  <w:abstractNum w:abstractNumId="3">
    <w:nsid w:val="D34B6A8"/>
    <w:multiLevelType w:val="hybridMultilevel"/>
    <w:lvl w:ilvl="0">
      <w:lvlJc w:val="left"/>
      <w:lvlText w:val="(%1)"/>
      <w:numFmt w:val="decimal"/>
      <w:start w:val="2"/>
    </w:lvl>
  </w:abstractNum>
  <w:abstractNum w:abstractNumId="4">
    <w:nsid w:val="10233C99"/>
    <w:multiLevelType w:val="hybridMultilevel"/>
    <w:lvl w:ilvl="0">
      <w:lvlJc w:val="left"/>
      <w:lvlText w:val="(%1)"/>
      <w:numFmt w:val="decimal"/>
      <w:start w:val="3"/>
    </w:lvl>
  </w:abstractNum>
  <w:abstractNum w:abstractNumId="5">
    <w:nsid w:val="3F6AB60F"/>
    <w:multiLevelType w:val="hybridMultilevel"/>
    <w:lvl w:ilvl="0">
      <w:lvlJc w:val="left"/>
      <w:lvlText w:val="(%1)"/>
      <w:numFmt w:val="lowerLetter"/>
      <w:start w:val="1"/>
    </w:lvl>
  </w:abstractNum>
  <w:abstractNum w:abstractNumId="6">
    <w:nsid w:val="61574095"/>
    <w:multiLevelType w:val="hybridMultilevel"/>
    <w:lvl w:ilvl="0">
      <w:lvlJc w:val="left"/>
      <w:lvlText w:val="(%1)"/>
      <w:numFmt w:val="lowerLetter"/>
      <w:start w:val="3"/>
    </w:lvl>
  </w:abstractNum>
  <w:abstractNum w:abstractNumId="7">
    <w:nsid w:val="7E0C57B1"/>
    <w:multiLevelType w:val="hybridMultilevel"/>
    <w:lvl w:ilvl="0">
      <w:lvlJc w:val="left"/>
      <w:lvlText w:val="(%1)"/>
      <w:numFmt w:val="lowerLetter"/>
      <w:start w:val="1"/>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1)"/>
      <w:numFmt w:val="decimal"/>
      <w:start w:val="5"/>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1"/>
    </w:lvl>
  </w:abstractNum>
  <w:abstractNum w:abstractNumId="16">
    <w:nsid w:val="1F48EAA1"/>
    <w:multiLevelType w:val="hybridMultilevel"/>
    <w:lvl w:ilvl="0">
      <w:lvlJc w:val="left"/>
      <w:lvlText w:val="(%1)"/>
      <w:numFmt w:val="lowerLetter"/>
      <w:start w:val="1"/>
    </w:lvl>
  </w:abstractNum>
  <w:abstractNum w:abstractNumId="17">
    <w:nsid w:val="1381823A"/>
    <w:multiLevelType w:val="hybridMultilevel"/>
    <w:lvl w:ilvl="0">
      <w:lvlJc w:val="left"/>
      <w:lvlText w:val="(%1)"/>
      <w:numFmt w:val="lowerLetter"/>
      <w:start w:val="1"/>
    </w:lvl>
  </w:abstractNum>
  <w:abstractNum w:abstractNumId="18">
    <w:nsid w:val="5DB70AE5"/>
    <w:multiLevelType w:val="hybridMultilevel"/>
    <w:lvl w:ilvl="0">
      <w:lvlJc w:val="left"/>
      <w:lvlText w:val="(%1)"/>
      <w:numFmt w:val="decimal"/>
      <w:start w:val="6"/>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decimal"/>
      <w:start w:val="8"/>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lowerLetter"/>
      <w:start w:val="3"/>
    </w:lvl>
  </w:abstractNum>
  <w:abstractNum w:abstractNumId="24">
    <w:nsid w:val="799D0247"/>
    <w:multiLevelType w:val="hybridMultilevel"/>
    <w:lvl w:ilvl="0">
      <w:lvlJc w:val="left"/>
      <w:lvlText w:val="(%1)"/>
      <w:numFmt w:val="lowerLetter"/>
      <w:start w:val="8"/>
    </w:lvl>
  </w:abstractNum>
  <w:abstractNum w:abstractNumId="25">
    <w:nsid w:val="6B94764"/>
    <w:multiLevelType w:val="hybridMultilevel"/>
    <w:lvl w:ilvl="0">
      <w:lvlJc w:val="left"/>
      <w:lvlText w:val="(%1)"/>
      <w:numFmt w:val="lowerLetter"/>
      <w:start w:val="1"/>
    </w:lvl>
  </w:abstractNum>
  <w:abstractNum w:abstractNumId="26">
    <w:nsid w:val="42C296BD"/>
    <w:multiLevelType w:val="hybridMultilevel"/>
    <w:lvl w:ilvl="0">
      <w:lvlJc w:val="left"/>
      <w:lvlText w:val="(%1)"/>
      <w:numFmt w:val="lowerLetter"/>
      <w:start w:val="2"/>
    </w:lvl>
  </w:abstractNum>
  <w:abstractNum w:abstractNumId="27">
    <w:nsid w:val="168E121F"/>
    <w:multiLevelType w:val="hybridMultilevel"/>
    <w:lvl w:ilvl="0">
      <w:lvlJc w:val="left"/>
      <w:lvlText w:val="(%1)"/>
      <w:numFmt w:val="decimal"/>
      <w:start w:val="9"/>
    </w:lvl>
  </w:abstractNum>
  <w:abstractNum w:abstractNumId="28">
    <w:nsid w:val="1EBA5D23"/>
    <w:multiLevelType w:val="hybridMultilevel"/>
    <w:lvl w:ilvl="0">
      <w:lvlJc w:val="left"/>
      <w:lvlText w:val="(%1)"/>
      <w:numFmt w:val="lowerLetter"/>
      <w:start w:val="1"/>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decimal"/>
      <w:start w:val="10"/>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3"/>
    </w:lvl>
  </w:abstractNum>
  <w:abstractNum w:abstractNumId="33">
    <w:nsid w:val="51D9C564"/>
    <w:multiLevelType w:val="hybridMultilevel"/>
    <w:lvl w:ilvl="0">
      <w:lvlJc w:val="left"/>
      <w:lvlText w:val="(%1)"/>
      <w:numFmt w:val="decimal"/>
      <w:start w:val="11"/>
    </w:lvl>
  </w:abstractNum>
  <w:abstractNum w:abstractNumId="34">
    <w:nsid w:val="613EFDC5"/>
    <w:multiLevelType w:val="hybridMultilevel"/>
    <w:lvl w:ilvl="0">
      <w:lvlJc w:val="left"/>
      <w:lvlText w:val="(%1)"/>
      <w:numFmt w:val="decimal"/>
      <w:start w:val="12"/>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lowerLetter"/>
      <w:start w:val="2"/>
    </w:lvl>
  </w:abstractNum>
  <w:abstractNum w:abstractNumId="37">
    <w:nsid w:val="42963E5A"/>
    <w:multiLevelType w:val="hybridMultilevel"/>
    <w:lvl w:ilvl="0">
      <w:lvlJc w:val="left"/>
      <w:lvlText w:val="(%1)"/>
      <w:numFmt w:val="lowerLetter"/>
      <w:start w:val="1"/>
    </w:lvl>
  </w:abstractNum>
  <w:abstractNum w:abstractNumId="38">
    <w:nsid w:val="A0382C5"/>
    <w:multiLevelType w:val="hybridMultilevel"/>
    <w:lvl w:ilvl="0">
      <w:lvlJc w:val="left"/>
      <w:lvlText w:val="(%1)"/>
      <w:numFmt w:val="lowerLetter"/>
      <w:start w:val="1"/>
    </w:lvl>
  </w:abstractNum>
  <w:abstractNum w:abstractNumId="39">
    <w:nsid w:val="8F2B15E"/>
    <w:multiLevelType w:val="hybridMultilevel"/>
    <w:lvl w:ilvl="0">
      <w:lvlJc w:val="left"/>
      <w:lvlText w:val="(%1)"/>
      <w:numFmt w:val="decimal"/>
      <w:start w:val="13"/>
    </w:lvl>
  </w:abstractNum>
  <w:abstractNum w:abstractNumId="40">
    <w:nsid w:val="1A32234B"/>
    <w:multiLevelType w:val="hybridMultilevel"/>
    <w:lvl w:ilvl="0">
      <w:lvlJc w:val="left"/>
      <w:lvlText w:val="(%1)"/>
      <w:numFmt w:val="lowerLetter"/>
      <w:start w:val="1"/>
    </w:lvl>
  </w:abstractNum>
  <w:abstractNum w:abstractNumId="41">
    <w:nsid w:val="3B0FD379"/>
    <w:multiLevelType w:val="hybridMultilevel"/>
    <w:lvl w:ilvl="0">
      <w:lvlJc w:val="left"/>
      <w:lvlText w:val="(%1)"/>
      <w:numFmt w:val="decimal"/>
      <w:start w:val="14"/>
    </w:lvl>
  </w:abstractNum>
  <w:abstractNum w:abstractNumId="42">
    <w:nsid w:val="68EB2F63"/>
    <w:multiLevelType w:val="hybridMultilevel"/>
    <w:lvl w:ilvl="0">
      <w:lvlJc w:val="left"/>
      <w:lvlText w:val="(%1)"/>
      <w:numFmt w:val="decimal"/>
      <w:start w:val="15"/>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lowerLetter"/>
      <w:start w:val="1"/>
    </w:lvl>
  </w:abstractNum>
  <w:abstractNum w:abstractNumId="46">
    <w:nsid w:val="14330624"/>
    <w:multiLevelType w:val="hybridMultilevel"/>
    <w:lvl w:ilvl="0">
      <w:lvlJc w:val="left"/>
      <w:lvlText w:val="(%1)"/>
      <w:numFmt w:val="lowerLetter"/>
      <w:start w:val="1"/>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lowerLetter"/>
      <w:start w:val="5"/>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lowerLetter"/>
      <w:start w:val="1"/>
    </w:lvl>
  </w:abstractNum>
  <w:abstractNum w:abstractNumId="56">
    <w:nsid w:val="76272110"/>
    <w:multiLevelType w:val="hybridMultilevel"/>
    <w:lvl w:ilvl="0">
      <w:lvlJc w:val="left"/>
      <w:lvlText w:val="(%1)"/>
      <w:numFmt w:val="lowerLetter"/>
      <w:start w:val="1"/>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lowerLetter"/>
      <w:start w:val="5"/>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2"/>
    </w:lvl>
  </w:abstractNum>
  <w:abstractNum w:abstractNumId="67">
    <w:nsid w:val="57FC4FBB"/>
    <w:multiLevelType w:val="hybridMultilevel"/>
    <w:lvl w:ilvl="0">
      <w:lvlJc w:val="left"/>
      <w:lvlText w:val="%1."/>
      <w:numFmt w:val="decimal"/>
      <w:start w:val="3"/>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lowerLetter"/>
      <w:start w:val="2"/>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Roman"/>
      <w:start w:val="1"/>
    </w:lvl>
  </w:abstractNum>
  <w:abstractNum w:abstractNumId="76">
    <w:nsid w:val="50801EE1"/>
    <w:multiLevelType w:val="hybridMultilevel"/>
    <w:lvl w:ilvl="0">
      <w:lvlJc w:val="left"/>
      <w:lvlText w:val="(%1)"/>
      <w:numFmt w:val="lowerRoman"/>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3"/>
    </w:lvl>
  </w:abstractNum>
  <w:abstractNum w:abstractNumId="79">
    <w:nsid w:val="6AA78F7F"/>
    <w:multiLevelType w:val="hybridMultilevel"/>
    <w:lvl w:ilvl="0">
      <w:lvlJc w:val="left"/>
      <w:lvlText w:val="(%1)"/>
      <w:numFmt w:val="lowerLetter"/>
      <w:start w:val="1"/>
    </w:lvl>
  </w:abstractNum>
  <w:abstractNum w:abstractNumId="80">
    <w:nsid w:val="7672BD23"/>
    <w:multiLevelType w:val="hybridMultilevel"/>
    <w:lvl w:ilvl="0">
      <w:lvlJc w:val="left"/>
      <w:lvlText w:val="%1"/>
      <w:numFmt w:val="decimal"/>
      <w:start w:val="104"/>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lowerRoman"/>
      <w:start w:val="1"/>
    </w:lvl>
  </w:abstractNum>
  <w:abstractNum w:abstractNumId="85">
    <w:nsid w:val="73A1821B"/>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86">
    <w:nsid w:val="7DE67713"/>
    <w:multiLevelType w:val="hybridMultilevel"/>
    <w:lvl w:ilvl="0">
      <w:lvlJc w:val="left"/>
      <w:lvlText w:val="%1."/>
      <w:numFmt w:val="decimal"/>
      <w:start w:val="4"/>
    </w:lvl>
    <w:lvl w:ilvl="1">
      <w:lvlJc w:val="left"/>
      <w:lvlText w:val="(%2)"/>
      <w:numFmt w:val="lowerLetter"/>
      <w:start w:val="1"/>
    </w:lvl>
  </w:abstractNum>
  <w:abstractNum w:abstractNumId="87">
    <w:nsid w:val="555C55B5"/>
    <w:multiLevelType w:val="hybridMultilevel"/>
    <w:lvl w:ilvl="0">
      <w:lvlJc w:val="left"/>
      <w:lvlText w:val="%1"/>
      <w:numFmt w:val="decimal"/>
      <w:start w:val="1"/>
    </w:lvl>
    <w:lvl w:ilvl="1">
      <w:lvlJc w:val="left"/>
      <w:lvlText w:val="(%2)"/>
      <w:numFmt w:val="lowerLetter"/>
      <w:start w:val="2"/>
    </w:lvl>
  </w:abstractNum>
  <w:abstractNum w:abstractNumId="88">
    <w:nsid w:val="3FA62ACA"/>
    <w:multiLevelType w:val="hybridMultilevel"/>
    <w:lvl w:ilvl="0">
      <w:lvlJc w:val="left"/>
      <w:lvlText w:val="%1."/>
      <w:numFmt w:val="decimal"/>
      <w:start w:val="5"/>
    </w:lvl>
    <w:lvl w:ilvl="1">
      <w:lvlJc w:val="left"/>
      <w:lvlText w:val="%2"/>
      <w:numFmt w:val="lowerLetter"/>
      <w:start w:val="1"/>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decimal"/>
      <w:start w:val="1"/>
    </w:lvl>
    <w:lvl w:ilvl="1">
      <w:lvlJc w:val="left"/>
      <w:lvlText w:val="(%2)"/>
      <w:numFmt w:val="lowerLetter"/>
      <w:start w:val="2"/>
    </w:lvl>
  </w:abstractNum>
  <w:abstractNum w:abstractNumId="91">
    <w:nsid w:val="71C91298"/>
    <w:multiLevelType w:val="hybridMultilevel"/>
    <w:lvl w:ilvl="0">
      <w:lvlJc w:val="left"/>
      <w:lvlText w:val="%1."/>
      <w:numFmt w:val="decimal"/>
      <w:start w:val="6"/>
    </w:lvl>
    <w:lvl w:ilvl="1">
      <w:lvlJc w:val="left"/>
      <w:lvlText w:val="(%2)"/>
      <w:numFmt w:val="lowerLetter"/>
      <w:start w:val="1"/>
    </w:lvl>
  </w:abstractNum>
  <w:abstractNum w:abstractNumId="92">
    <w:nsid w:val="9DAF63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93">
    <w:nsid w:val="5329993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4">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5">
    <w:nsid w:val="5092CA7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1D545C4D"/>
    <w:multiLevelType w:val="hybridMultilevel"/>
    <w:lvl w:ilvl="0">
      <w:lvlJc w:val="left"/>
      <w:lvlText w:val="%1"/>
      <w:numFmt w:val="decimal"/>
      <w:start w:val="1"/>
    </w:lvl>
    <w:lvl w:ilvl="1">
      <w:lvlJc w:val="left"/>
      <w:lvlText w:val="(%2)"/>
      <w:numFmt w:val="lowerLetter"/>
      <w:start w:val="4"/>
    </w:lvl>
  </w:abstractNum>
  <w:abstractNum w:abstractNumId="97">
    <w:nsid w:val="59ADEA3D"/>
    <w:multiLevelType w:val="hybridMultilevel"/>
    <w:lvl w:ilvl="0">
      <w:lvlJc w:val="left"/>
      <w:lvlText w:val="%1."/>
      <w:numFmt w:val="decimal"/>
      <w:start w:val="8"/>
    </w:lvl>
    <w:lvl w:ilvl="1">
      <w:lvlJc w:val="left"/>
      <w:lvlText w:val="%2"/>
      <w:numFmt w:val="lowerLetter"/>
      <w:start w:val="1"/>
    </w:lvl>
  </w:abstractNum>
  <w:abstractNum w:abstractNumId="98">
    <w:nsid w:val="288F1A34"/>
    <w:multiLevelType w:val="hybridMultilevel"/>
    <w:lvl w:ilvl="0">
      <w:lvlJc w:val="left"/>
      <w:lvlText w:val="%1"/>
      <w:numFmt w:val="decimal"/>
      <w:start w:val="16"/>
    </w:lvl>
    <w:lvl w:ilvl="1">
      <w:lvlJc w:val="left"/>
      <w:lvlText w:val="%2"/>
      <w:numFmt w:val="lowerLetter"/>
      <w:start w:val="1"/>
    </w:lvl>
  </w:abstractNum>
  <w:abstractNum w:abstractNumId="99">
    <w:nsid w:val="2A155DBC"/>
    <w:multiLevelType w:val="hybridMultilevel"/>
    <w:lvl w:ilvl="0">
      <w:lvlJc w:val="left"/>
      <w:lvlText w:val="%1."/>
      <w:numFmt w:val="decimal"/>
      <w:start w:val="11"/>
    </w:lvl>
    <w:lvl w:ilvl="1">
      <w:lvlJc w:val="left"/>
      <w:lvlText w:val="(%2)"/>
      <w:numFmt w:val="lowerLetter"/>
      <w:start w:val="1"/>
    </w:lvl>
  </w:abstractNum>
  <w:abstractNum w:abstractNumId="100">
    <w:nsid w:val="1D9F6E5F"/>
    <w:multiLevelType w:val="hybridMultilevel"/>
    <w:lvl w:ilvl="0">
      <w:lvlJc w:val="left"/>
      <w:lvlText w:val="%1."/>
      <w:numFmt w:val="decimal"/>
      <w:start w:val="12"/>
    </w:lvl>
    <w:lvl w:ilvl="1">
      <w:lvlJc w:val="left"/>
      <w:lvlText w:val="%2."/>
      <w:numFmt w:val="decimal"/>
      <w:start w:val="16"/>
    </w:lvl>
    <w:lvl w:ilvl="2">
      <w:lvlJc w:val="left"/>
      <w:lvlText w:val="(%3)"/>
      <w:numFmt w:val="lowerLetter"/>
      <w:start w:val="1"/>
    </w:lvl>
  </w:abstractNum>
  <w:abstractNum w:abstractNumId="101">
    <w:nsid w:val="97E1B4E"/>
    <w:multiLevelType w:val="hybridMultilevel"/>
    <w:lvl w:ilvl="0">
      <w:lvlJc w:val="left"/>
      <w:lvlText w:val="(%1)"/>
      <w:numFmt w:val="lowerLetter"/>
      <w:start w:val="2"/>
    </w:lvl>
  </w:abstractNum>
  <w:abstractNum w:abstractNumId="102">
    <w:nsid w:val="51088277"/>
    <w:multiLevelType w:val="hybridMultilevel"/>
    <w:lvl w:ilvl="0">
      <w:lvlJc w:val="left"/>
      <w:lvlText w:val="%1."/>
      <w:numFmt w:val="decimal"/>
      <w:start w:val="17"/>
    </w:lvl>
  </w:abstractNum>
  <w:abstractNum w:abstractNumId="103">
    <w:nsid w:val="1CA0C5FA"/>
    <w:multiLevelType w:val="hybridMultilevel"/>
    <w:lvl w:ilvl="0">
      <w:lvlJc w:val="left"/>
      <w:lvlText w:val="%1."/>
      <w:numFmt w:val="decimal"/>
      <w:start w:val="18"/>
    </w:lvl>
    <w:lvl w:ilvl="1">
      <w:lvlJc w:val="left"/>
      <w:lvlText w:val="(%2)"/>
      <w:numFmt w:val="lowerLetter"/>
      <w:start w:val="1"/>
    </w:lvl>
  </w:abstractNum>
  <w:abstractNum w:abstractNumId="104">
    <w:nsid w:val="53584BCB"/>
    <w:multiLevelType w:val="hybridMultilevel"/>
    <w:lvl w:ilvl="0">
      <w:lvlJc w:val="left"/>
      <w:lvlText w:val="%1"/>
      <w:numFmt w:val="decimal"/>
      <w:start w:val="1"/>
    </w:lvl>
    <w:lvl w:ilvl="1">
      <w:lvlJc w:val="left"/>
      <w:lvlText w:val="(%2)"/>
      <w:numFmt w:val="lowerLetter"/>
      <w:start w:val="2"/>
    </w:lvl>
  </w:abstractNum>
  <w:abstractNum w:abstractNumId="105">
    <w:nsid w:val="415E286C"/>
    <w:multiLevelType w:val="hybridMultilevel"/>
    <w:lvl w:ilvl="0">
      <w:lvlJc w:val="left"/>
      <w:lvlText w:val="%1."/>
      <w:numFmt w:val="decimal"/>
      <w:start w:val="19"/>
    </w:lvl>
    <w:lvl w:ilvl="1">
      <w:lvlJc w:val="left"/>
      <w:lvlText w:val="(%2)"/>
      <w:numFmt w:val="lowerLetter"/>
      <w:start w:val="1"/>
    </w:lvl>
  </w:abstractNum>
  <w:abstractNum w:abstractNumId="106">
    <w:nsid w:val="7C58FD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07">
    <w:nsid w:val="23D86AAC"/>
    <w:multiLevelType w:val="hybridMultilevel"/>
    <w:lvl w:ilvl="0">
      <w:lvlJc w:val="left"/>
      <w:lvlText w:val="%1."/>
      <w:numFmt w:val="decimal"/>
      <w:start w:val="20"/>
    </w:lvl>
    <w:lvl w:ilvl="1">
      <w:lvlJc w:val="left"/>
      <w:lvlText w:val="%2."/>
      <w:numFmt w:val="decimal"/>
      <w:start w:val="21"/>
    </w:lvl>
    <w:lvl w:ilvl="2">
      <w:lvlJc w:val="left"/>
      <w:lvlText w:val="(%3)"/>
      <w:numFmt w:val="lowerLetter"/>
      <w:start w:val="1"/>
    </w:lvl>
  </w:abstractNum>
  <w:abstractNum w:abstractNumId="108">
    <w:nsid w:val="45E6D486"/>
    <w:multiLevelType w:val="hybridMultilevel"/>
    <w:lvl w:ilvl="0">
      <w:lvlJc w:val="left"/>
      <w:lvlText w:val="%1"/>
      <w:numFmt w:val="decimal"/>
      <w:start w:val="1"/>
    </w:lvl>
    <w:lvl w:ilvl="1">
      <w:lvlJc w:val="left"/>
      <w:lvlText w:val="(%2)"/>
      <w:numFmt w:val="lowerLetter"/>
      <w:start w:val="3"/>
    </w:lvl>
  </w:abstractNum>
  <w:abstractNum w:abstractNumId="109">
    <w:nsid w:val="5C10FE21"/>
    <w:multiLevelType w:val="hybridMultilevel"/>
    <w:lvl w:ilvl="0">
      <w:lvlJc w:val="left"/>
      <w:lvlText w:val="%1."/>
      <w:numFmt w:val="decimal"/>
      <w:start w:val="22"/>
    </w:lvl>
    <w:lvl w:ilvl="1">
      <w:lvlJc w:val="left"/>
      <w:lvlText w:val="%2"/>
      <w:numFmt w:val="lowerLetter"/>
      <w:start w:val="1"/>
    </w:lvl>
  </w:abstractNum>
  <w:abstractNum w:abstractNumId="110">
    <w:nsid w:val="E7FFA2B"/>
    <w:multiLevelType w:val="hybridMultilevel"/>
    <w:lvl w:ilvl="0">
      <w:lvlJc w:val="left"/>
      <w:lvlText w:val="%1."/>
      <w:numFmt w:val="decimal"/>
      <w:start w:val="26"/>
    </w:lvl>
  </w:abstractNum>
  <w:abstractNum w:abstractNumId="111">
    <w:nsid w:val="3C5991AA"/>
    <w:multiLevelType w:val="hybridMultilevel"/>
    <w:lvl w:ilvl="0">
      <w:lvlJc w:val="left"/>
      <w:lvlText w:val="(%1)"/>
      <w:numFmt w:val="decimal"/>
      <w:start w:val="1"/>
    </w:lvl>
    <w:lvl w:ilvl="1">
      <w:lvlJc w:val="left"/>
      <w:lvlText w:val="(%2)"/>
      <w:numFmt w:val="lowerLetter"/>
      <w:start w:val="1"/>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decimal"/>
      <w:start w:val="2"/>
    </w:lvl>
  </w:abstractNum>
  <w:abstractNum w:abstractNumId="114">
    <w:nsid w:val="39B7AAA2"/>
    <w:multiLevelType w:val="hybridMultilevel"/>
    <w:lvl w:ilvl="0">
      <w:lvlJc w:val="left"/>
      <w:lvlText w:val="(%1)"/>
      <w:numFmt w:val="decimal"/>
      <w:start w:val="4"/>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2024-07-25T15:57:19Z</dcterms:created>
  <dcterms:modified xsi:type="dcterms:W3CDTF">2024-07-25T15:57:19Z</dcterms:modified>
</cp:coreProperties>
</file>