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274320</wp:posOffset>
            </wp:positionH>
            <wp:positionV relativeFrom="page">
              <wp:posOffset>694690</wp:posOffset>
            </wp:positionV>
            <wp:extent cx="700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8255"/>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652780</wp:posOffset>
            </wp:positionV>
            <wp:extent cx="70002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1714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104" w:lineRule="exact"/>
        <w:rPr>
          <w:sz w:val="24"/>
          <w:szCs w:val="24"/>
          <w:color w:val="auto"/>
        </w:rPr>
      </w:pPr>
    </w:p>
    <w:p>
      <w:pPr>
        <w:ind w:left="880" w:hanging="856"/>
        <w:spacing w:after="0"/>
        <w:tabs>
          <w:tab w:leader="none" w:pos="880" w:val="left"/>
        </w:tabs>
        <w:numPr>
          <w:ilvl w:val="0"/>
          <w:numId w:val="1"/>
        </w:numPr>
        <w:rPr>
          <w:rFonts w:ascii="MS PGothic" w:cs="MS PGothic" w:eastAsia="MS PGothic" w:hAnsi="MS PGothic"/>
          <w:sz w:val="25"/>
          <w:szCs w:val="25"/>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880" w:hanging="856"/>
        <w:spacing w:after="0"/>
        <w:tabs>
          <w:tab w:leader="none" w:pos="880" w:val="left"/>
        </w:tabs>
        <w:numPr>
          <w:ilvl w:val="0"/>
          <w:numId w:val="2"/>
        </w:numPr>
        <w:rPr>
          <w:rFonts w:ascii="MS PGothic" w:cs="MS PGothic" w:eastAsia="MS PGothic" w:hAnsi="MS PGothic"/>
          <w:sz w:val="25"/>
          <w:szCs w:val="25"/>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40" w:lineRule="exact"/>
        <w:rPr>
          <w:sz w:val="24"/>
          <w:szCs w:val="24"/>
          <w:color w:val="auto"/>
        </w:rPr>
      </w:pPr>
    </w:p>
    <w:p>
      <w:pPr>
        <w:ind w:left="880"/>
        <w:spacing w:after="0"/>
        <w:tabs>
          <w:tab w:leader="none" w:pos="37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3234690</wp:posOffset>
            </wp:positionH>
            <wp:positionV relativeFrom="paragraph">
              <wp:posOffset>9525</wp:posOffset>
            </wp:positionV>
            <wp:extent cx="681355" cy="681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355" cy="681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1225" w:right="339" w:bottom="1440" w:gutter="0" w:footer="0" w:header="0"/>
        </w:sectPr>
      </w:pPr>
    </w:p>
    <w:p>
      <w:pPr>
        <w:spacing w:after="0" w:line="127" w:lineRule="exact"/>
        <w:rPr>
          <w:sz w:val="24"/>
          <w:szCs w:val="24"/>
          <w:color w:val="auto"/>
        </w:rPr>
      </w:pPr>
    </w:p>
    <w:p>
      <w:pPr>
        <w:ind w:left="3260"/>
        <w:spacing w:after="0"/>
        <w:rPr>
          <w:sz w:val="20"/>
          <w:szCs w:val="20"/>
          <w:color w:val="auto"/>
        </w:rPr>
      </w:pPr>
      <w:r>
        <w:rPr>
          <w:rFonts w:ascii="Arial" w:cs="Arial" w:eastAsia="Arial" w:hAnsi="Arial"/>
          <w:sz w:val="12"/>
          <w:szCs w:val="12"/>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35" w:lineRule="exact"/>
        <w:rPr>
          <w:sz w:val="24"/>
          <w:szCs w:val="24"/>
          <w:color w:val="auto"/>
        </w:rPr>
      </w:pPr>
    </w:p>
    <w:p>
      <w:pPr>
        <w:sectPr>
          <w:pgSz w:w="11900" w:h="16838" w:orient="portrait"/>
          <w:cols w:equalWidth="0" w:num="2">
            <w:col w:w="6340" w:space="720"/>
            <w:col w:w="4180"/>
          </w:cols>
          <w:pgMar w:left="320" w:top="1225" w:right="339" w:bottom="1440" w:gutter="0" w:footer="0" w:header="0"/>
          <w:type w:val="continuous"/>
        </w:sectPr>
      </w:pPr>
    </w:p>
    <w:p>
      <w:pPr>
        <w:spacing w:after="0" w:line="12" w:lineRule="exact"/>
        <w:rPr>
          <w:sz w:val="24"/>
          <w:szCs w:val="24"/>
          <w:color w:val="auto"/>
        </w:rPr>
      </w:pPr>
    </w:p>
    <w:p>
      <w:pPr>
        <w:ind w:left="3020"/>
        <w:spacing w:after="0"/>
        <w:rPr>
          <w:sz w:val="20"/>
          <w:szCs w:val="20"/>
          <w:color w:val="auto"/>
        </w:rPr>
      </w:pPr>
      <w:r>
        <w:rPr>
          <w:rFonts w:ascii="Arial" w:cs="Arial" w:eastAsia="Arial" w:hAnsi="Arial"/>
          <w:sz w:val="13"/>
          <w:szCs w:val="13"/>
          <w:i w:val="1"/>
          <w:iCs w:val="1"/>
          <w:color w:val="auto"/>
        </w:rPr>
        <w:t>(State or other jurisdiction of</w:t>
      </w: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40"/>
        <w:spacing w:after="0"/>
        <w:rPr>
          <w:sz w:val="20"/>
          <w:szCs w:val="20"/>
          <w:color w:val="auto"/>
        </w:rPr>
      </w:pPr>
      <w:r>
        <w:rPr>
          <w:rFonts w:ascii="Arial" w:cs="Arial" w:eastAsia="Arial" w:hAnsi="Arial"/>
          <w:sz w:val="14"/>
          <w:szCs w:val="14"/>
          <w:i w:val="1"/>
          <w:iCs w:val="1"/>
          <w:color w:val="auto"/>
        </w:rPr>
        <w:t>(I.R.S. Employer</w:t>
      </w:r>
    </w:p>
    <w:p>
      <w:pPr>
        <w:jc w:val="center"/>
        <w:ind w:right="3340"/>
        <w:spacing w:after="0"/>
        <w:rPr>
          <w:sz w:val="20"/>
          <w:szCs w:val="20"/>
          <w:color w:val="auto"/>
        </w:rPr>
      </w:pPr>
      <w:r>
        <w:rPr>
          <w:rFonts w:ascii="Arial" w:cs="Arial" w:eastAsia="Arial" w:hAnsi="Arial"/>
          <w:sz w:val="13"/>
          <w:szCs w:val="13"/>
          <w:i w:val="1"/>
          <w:iCs w:val="1"/>
          <w:color w:val="auto"/>
        </w:rPr>
        <w:t>Identification No.)</w:t>
      </w:r>
    </w:p>
    <w:p>
      <w:pPr>
        <w:spacing w:after="0" w:line="73" w:lineRule="exact"/>
        <w:rPr>
          <w:sz w:val="24"/>
          <w:szCs w:val="24"/>
          <w:color w:val="auto"/>
        </w:rPr>
      </w:pPr>
    </w:p>
    <w:p>
      <w:pPr>
        <w:sectPr>
          <w:pgSz w:w="11900" w:h="16838" w:orient="portrait"/>
          <w:cols w:equalWidth="0" w:num="2">
            <w:col w:w="6140" w:space="720"/>
            <w:col w:w="4380"/>
          </w:cols>
          <w:pgMar w:left="320" w:top="1225" w:right="339" w:bottom="1440" w:gutter="0" w:footer="0" w:header="0"/>
          <w:type w:val="continuous"/>
        </w:sectPr>
      </w:pPr>
    </w:p>
    <w:p>
      <w:pPr>
        <w:jc w:val="center"/>
        <w:ind w:left="1340"/>
        <w:spacing w:after="0"/>
        <w:rPr>
          <w:sz w:val="20"/>
          <w:szCs w:val="20"/>
          <w:color w:val="auto"/>
        </w:rPr>
      </w:pPr>
      <w:r>
        <w:rPr>
          <w:rFonts w:ascii="Arial" w:cs="Arial" w:eastAsia="Arial" w:hAnsi="Arial"/>
          <w:sz w:val="14"/>
          <w:szCs w:val="14"/>
          <w:b w:val="1"/>
          <w:bCs w:val="1"/>
          <w:color w:val="auto"/>
        </w:rPr>
        <w:t>Griffin House</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161 Hammersmith Rd</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London</w:t>
      </w:r>
    </w:p>
    <w:p>
      <w:pPr>
        <w:spacing w:after="0" w:line="25" w:lineRule="exact"/>
        <w:rPr>
          <w:sz w:val="24"/>
          <w:szCs w:val="24"/>
          <w:color w:val="auto"/>
        </w:rPr>
      </w:pPr>
    </w:p>
    <w:p>
      <w:pPr>
        <w:jc w:val="center"/>
        <w:ind w:left="1340"/>
        <w:spacing w:after="0"/>
        <w:rPr>
          <w:sz w:val="20"/>
          <w:szCs w:val="20"/>
          <w:color w:val="auto"/>
        </w:rPr>
      </w:pPr>
      <w:r>
        <w:rPr>
          <w:rFonts w:ascii="Arial" w:cs="Arial" w:eastAsia="Arial" w:hAnsi="Arial"/>
          <w:sz w:val="14"/>
          <w:szCs w:val="14"/>
          <w:b w:val="1"/>
          <w:bCs w:val="1"/>
          <w:color w:val="auto"/>
        </w:rPr>
        <w:t>United Kingdom</w:t>
      </w:r>
    </w:p>
    <w:p>
      <w:pPr>
        <w:spacing w:after="0" w:line="29" w:lineRule="exact"/>
        <w:rPr>
          <w:sz w:val="24"/>
          <w:szCs w:val="24"/>
          <w:color w:val="auto"/>
        </w:rPr>
      </w:pPr>
    </w:p>
    <w:p>
      <w:pPr>
        <w:jc w:val="center"/>
        <w:ind w:left="134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jc w:val="center"/>
        <w:ind w:right="3540"/>
        <w:spacing w:after="0"/>
        <w:rPr>
          <w:sz w:val="20"/>
          <w:szCs w:val="20"/>
          <w:color w:val="auto"/>
        </w:rPr>
      </w:pPr>
      <w:r>
        <w:rPr>
          <w:rFonts w:ascii="Arial" w:cs="Arial" w:eastAsia="Arial" w:hAnsi="Arial"/>
          <w:sz w:val="14"/>
          <w:szCs w:val="14"/>
          <w:b w:val="1"/>
          <w:bCs w:val="1"/>
          <w:color w:val="auto"/>
        </w:rPr>
        <w:t>W6 8BS</w:t>
      </w:r>
    </w:p>
    <w:p>
      <w:pPr>
        <w:spacing w:after="0" w:line="29" w:lineRule="exact"/>
        <w:rPr>
          <w:sz w:val="24"/>
          <w:szCs w:val="24"/>
          <w:color w:val="auto"/>
        </w:rPr>
      </w:pPr>
    </w:p>
    <w:p>
      <w:pPr>
        <w:jc w:val="center"/>
        <w:ind w:right="3540"/>
        <w:spacing w:after="0"/>
        <w:rPr>
          <w:sz w:val="20"/>
          <w:szCs w:val="20"/>
          <w:color w:val="auto"/>
        </w:rPr>
      </w:pPr>
      <w:r>
        <w:rPr>
          <w:rFonts w:ascii="Arial" w:cs="Arial" w:eastAsia="Arial" w:hAnsi="Arial"/>
          <w:sz w:val="13"/>
          <w:szCs w:val="13"/>
          <w:i w:val="1"/>
          <w:iCs w:val="1"/>
          <w:color w:val="auto"/>
        </w:rPr>
        <w:t>(Zip Code)</w:t>
      </w:r>
    </w:p>
    <w:p>
      <w:pPr>
        <w:spacing w:after="0" w:line="200" w:lineRule="exact"/>
        <w:rPr>
          <w:sz w:val="24"/>
          <w:szCs w:val="24"/>
          <w:color w:val="auto"/>
        </w:rPr>
      </w:pPr>
    </w:p>
    <w:p>
      <w:pPr>
        <w:sectPr>
          <w:pgSz w:w="11900" w:h="16838" w:orient="portrait"/>
          <w:cols w:equalWidth="0" w:num="2">
            <w:col w:w="6360" w:space="720"/>
            <w:col w:w="4160"/>
          </w:cols>
          <w:pgMar w:left="320" w:top="1225" w:right="339" w:bottom="144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225" w:right="339" w:bottom="1440" w:gutter="0" w:footer="0" w:header="0"/>
          <w:type w:val="continuous"/>
        </w:sectPr>
      </w:pPr>
    </w:p>
    <w:p>
      <w:pPr>
        <w:spacing w:after="0" w:line="166"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8" w:lineRule="exact"/>
        <w:rPr>
          <w:sz w:val="24"/>
          <w:szCs w:val="24"/>
          <w:color w:val="auto"/>
        </w:rPr>
      </w:pPr>
    </w:p>
    <w:p>
      <w:pPr>
        <w:sectPr>
          <w:pgSz w:w="11900" w:h="16838" w:orient="portrait"/>
          <w:cols w:equalWidth="0" w:num="3">
            <w:col w:w="3900" w:space="720"/>
            <w:col w:w="1540" w:space="720"/>
            <w:col w:w="4360"/>
          </w:cols>
          <w:pgMar w:left="320" w:top="1225" w:right="339" w:bottom="1440" w:gutter="0" w:footer="0" w:header="0"/>
          <w:type w:val="continuous"/>
        </w:sectPr>
      </w:pPr>
    </w:p>
    <w:p>
      <w:pPr>
        <w:jc w:val="center"/>
        <w:ind w:left="76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50"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jc w:val="center"/>
        <w:ind w:left="78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80" w:space="720"/>
            <w:col w:w="1700" w:space="720"/>
            <w:col w:w="3820"/>
          </w:cols>
          <w:pgMar w:left="320" w:top="1225" w:right="339" w:bottom="1440" w:gutter="0" w:footer="0" w:header="0"/>
          <w:type w:val="continuous"/>
        </w:sectPr>
      </w:pPr>
    </w:p>
    <w:p>
      <w:pPr>
        <w:spacing w:after="0" w:line="67" w:lineRule="exact"/>
        <w:rPr>
          <w:sz w:val="24"/>
          <w:szCs w:val="24"/>
          <w:color w:val="auto"/>
        </w:rPr>
      </w:pPr>
    </w:p>
    <w:p>
      <w:pPr>
        <w:ind w:right="160"/>
        <w:spacing w:after="0" w:line="28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2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3" w:lineRule="exact"/>
        <w:rPr>
          <w:sz w:val="24"/>
          <w:szCs w:val="24"/>
          <w:color w:val="auto"/>
        </w:rPr>
      </w:pPr>
    </w:p>
    <w:p>
      <w:pPr>
        <w:ind w:right="600"/>
        <w:spacing w:after="0" w:line="20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32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3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356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44"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line="267" w:lineRule="auto"/>
        <w:rPr>
          <w:sz w:val="20"/>
          <w:szCs w:val="20"/>
          <w:color w:val="auto"/>
        </w:rPr>
      </w:pPr>
      <w:r>
        <w:rPr>
          <w:rFonts w:ascii="Arial" w:cs="Arial" w:eastAsia="Arial" w:hAnsi="Arial"/>
          <w:sz w:val="16"/>
          <w:szCs w:val="16"/>
          <w:color w:val="auto"/>
        </w:rPr>
        <w:t>The number of outstanding ordinary shares of Liberty Global plc as of July 18, 2022 was: 173,362,325 class A ordinary shares, 12,994,000 class B ordinary shares and 298,437,339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768350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83185</wp:posOffset>
            </wp:positionV>
            <wp:extent cx="700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1714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57785</wp:posOffset>
            </wp:positionV>
            <wp:extent cx="700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0240" cy="825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type w:val="continuous"/>
        </w:sectPr>
      </w:pPr>
    </w:p>
    <w:bookmarkStart w:id="1" w:name="page2"/>
    <w:bookmarkEnd w:id="1"/>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TABLE OF CONTENTS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6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880" w:type="dxa"/>
            <w:vAlign w:val="bottom"/>
            <w:gridSpan w:val="9"/>
          </w:tcPr>
          <w:p>
            <w:pPr>
              <w:spacing w:after="0" w:line="187" w:lineRule="exact"/>
              <w:rPr>
                <w:rFonts w:ascii="Arial" w:cs="Arial" w:eastAsia="Arial" w:hAnsi="Arial"/>
                <w:sz w:val="18"/>
                <w:szCs w:val="18"/>
                <w:color w:val="0000FF"/>
                <w:w w:val="86"/>
              </w:rPr>
            </w:pPr>
            <w:hyperlink w:anchor="page2">
              <w:r>
                <w:rPr>
                  <w:rFonts w:ascii="Arial" w:cs="Arial" w:eastAsia="Arial" w:hAnsi="Arial"/>
                  <w:sz w:val="18"/>
                  <w:szCs w:val="18"/>
                  <w:color w:val="0000FF"/>
                  <w:w w:val="86"/>
                </w:rPr>
                <w:t>Condensed Consolidated Balance Sheets as of June 30, 2022 and December 31, 2021 (unaudited)</w:t>
              </w:r>
            </w:hyperlink>
          </w:p>
        </w:tc>
        <w:tc>
          <w:tcPr>
            <w:tcW w:w="2520" w:type="dxa"/>
            <w:vAlign w:val="bottom"/>
            <w:gridSpan w:val="5"/>
          </w:tcPr>
          <w:p>
            <w:pPr>
              <w:spacing w:after="0"/>
              <w:rPr>
                <w:sz w:val="16"/>
                <w:szCs w:val="16"/>
                <w:color w:val="auto"/>
              </w:rPr>
            </w:pPr>
          </w:p>
        </w:tc>
        <w:tc>
          <w:tcPr>
            <w:tcW w:w="420" w:type="dxa"/>
            <w:vAlign w:val="bottom"/>
            <w:gridSpan w:val="3"/>
          </w:tcPr>
          <w:p>
            <w:pPr>
              <w:jc w:val="center"/>
              <w:ind w:left="255"/>
              <w:spacing w:after="0" w:line="187"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Condensed Consolidated Statements of Operations for the Three and Six Months Ended June 30, 2022 and 2021 (unaudited)</w:t>
              </w:r>
            </w:hyperlink>
          </w:p>
        </w:tc>
        <w:tc>
          <w:tcPr>
            <w:tcW w:w="420" w:type="dxa"/>
            <w:vAlign w:val="bottom"/>
            <w:gridSpan w:val="3"/>
          </w:tcPr>
          <w:p>
            <w:pPr>
              <w:jc w:val="center"/>
              <w:ind w:left="255"/>
              <w:spacing w:after="0" w:line="205"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Comprehensive Earnings (Loss) for the Three and Six Months Ended June 30, 2022 and</w:t>
              </w:r>
            </w:hyperlink>
          </w:p>
        </w:tc>
        <w:tc>
          <w:tcPr>
            <w:tcW w:w="420" w:type="dxa"/>
            <w:vAlign w:val="bottom"/>
            <w:gridSpan w:val="3"/>
            <w:vMerge w:val="restart"/>
          </w:tcPr>
          <w:p>
            <w:pPr>
              <w:jc w:val="center"/>
              <w:ind w:left="255"/>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90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w:anchor="page6">
              <w:r>
                <w:rPr>
                  <w:rFonts w:ascii="Arial" w:cs="Arial" w:eastAsia="Arial" w:hAnsi="Arial"/>
                  <w:sz w:val="17"/>
                  <w:szCs w:val="17"/>
                  <w:color w:val="0000FF"/>
                </w:rPr>
                <w:t>2021 (unaudited)</w:t>
              </w:r>
            </w:hyperlink>
          </w:p>
        </w:tc>
        <w:tc>
          <w:tcPr>
            <w:tcW w:w="360" w:type="dxa"/>
            <w:vAlign w:val="bottom"/>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9400" w:type="dxa"/>
            <w:vAlign w:val="bottom"/>
            <w:gridSpan w:val="14"/>
          </w:tcPr>
          <w:p>
            <w:pPr>
              <w:spacing w:after="0" w:line="205"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Condensed Consolidated Statements of Equity for the Three and Six Months Ended June 30, 2022 and 2021 (unaudited)</w:t>
              </w:r>
            </w:hyperlink>
          </w:p>
        </w:tc>
        <w:tc>
          <w:tcPr>
            <w:tcW w:w="420" w:type="dxa"/>
            <w:vAlign w:val="bottom"/>
            <w:gridSpan w:val="3"/>
          </w:tcPr>
          <w:p>
            <w:pPr>
              <w:jc w:val="center"/>
              <w:ind w:left="255"/>
              <w:spacing w:after="0" w:line="205"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480" w:type="dxa"/>
            <w:vAlign w:val="bottom"/>
            <w:gridSpan w:val="11"/>
          </w:tcPr>
          <w:p>
            <w:pPr>
              <w:spacing w:after="0" w:line="205" w:lineRule="exact"/>
              <w:rPr>
                <w:rFonts w:ascii="Arial" w:cs="Arial" w:eastAsia="Arial" w:hAnsi="Arial"/>
                <w:sz w:val="18"/>
                <w:szCs w:val="18"/>
                <w:color w:val="0000FF"/>
                <w:w w:val="92"/>
              </w:rPr>
            </w:pPr>
            <w:hyperlink w:anchor="page9">
              <w:r>
                <w:rPr>
                  <w:rFonts w:ascii="Arial" w:cs="Arial" w:eastAsia="Arial" w:hAnsi="Arial"/>
                  <w:sz w:val="18"/>
                  <w:szCs w:val="18"/>
                  <w:color w:val="0000FF"/>
                  <w:w w:val="92"/>
                </w:rPr>
                <w:t>Condensed Consolidated Statements of Cash Flows for the Six Months Ended June 30, 2022 and 2021 (unaudited)</w:t>
              </w:r>
            </w:hyperlink>
          </w:p>
        </w:tc>
        <w:tc>
          <w:tcPr>
            <w:tcW w:w="920" w:type="dxa"/>
            <w:vAlign w:val="bottom"/>
            <w:gridSpan w:val="3"/>
          </w:tcPr>
          <w:p>
            <w:pPr>
              <w:spacing w:after="0"/>
              <w:rPr>
                <w:sz w:val="17"/>
                <w:szCs w:val="17"/>
                <w:color w:val="auto"/>
              </w:rPr>
            </w:pPr>
          </w:p>
        </w:tc>
        <w:tc>
          <w:tcPr>
            <w:tcW w:w="420" w:type="dxa"/>
            <w:vAlign w:val="bottom"/>
            <w:gridSpan w:val="3"/>
          </w:tcPr>
          <w:p>
            <w:pPr>
              <w:jc w:val="center"/>
              <w:ind w:left="255"/>
              <w:spacing w:after="0" w:line="205"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rPr>
                <w:sz w:val="17"/>
                <w:szCs w:val="17"/>
                <w:color w:val="auto"/>
              </w:rPr>
            </w:pPr>
          </w:p>
        </w:tc>
        <w:tc>
          <w:tcPr>
            <w:tcW w:w="8080" w:type="dxa"/>
            <w:vAlign w:val="bottom"/>
            <w:gridSpan w:val="10"/>
          </w:tcPr>
          <w:p>
            <w:pPr>
              <w:spacing w:after="0" w:line="205" w:lineRule="exact"/>
              <w:rPr>
                <w:rFonts w:ascii="Arial" w:cs="Arial" w:eastAsia="Arial" w:hAnsi="Arial"/>
                <w:sz w:val="18"/>
                <w:szCs w:val="18"/>
                <w:color w:val="0000FF"/>
              </w:rPr>
            </w:pPr>
            <w:hyperlink w:anchor="page12">
              <w:r>
                <w:rPr>
                  <w:rFonts w:ascii="Arial" w:cs="Arial" w:eastAsia="Arial" w:hAnsi="Arial"/>
                  <w:sz w:val="18"/>
                  <w:szCs w:val="18"/>
                  <w:color w:val="0000FF"/>
                </w:rPr>
                <w:t>Notes to Condensed Consolidated Financial Statements (unaudited)</w:t>
              </w:r>
            </w:hyperlink>
          </w:p>
        </w:tc>
        <w:tc>
          <w:tcPr>
            <w:tcW w:w="1320" w:type="dxa"/>
            <w:vAlign w:val="bottom"/>
            <w:gridSpan w:val="4"/>
          </w:tcPr>
          <w:p>
            <w:pPr>
              <w:spacing w:after="0"/>
              <w:rPr>
                <w:sz w:val="17"/>
                <w:szCs w:val="17"/>
                <w:color w:val="auto"/>
              </w:rPr>
            </w:pPr>
          </w:p>
        </w:tc>
        <w:tc>
          <w:tcPr>
            <w:tcW w:w="420" w:type="dxa"/>
            <w:vAlign w:val="bottom"/>
            <w:gridSpan w:val="3"/>
          </w:tcPr>
          <w:p>
            <w:pPr>
              <w:jc w:val="center"/>
              <w:ind w:left="175"/>
              <w:spacing w:after="0" w:line="205"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11</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12"/>
          </w:tcPr>
          <w:p>
            <w:pPr>
              <w:spacing w:after="0" w:line="205" w:lineRule="exact"/>
              <w:rPr>
                <w:rFonts w:ascii="Arial" w:cs="Arial" w:eastAsia="Arial" w:hAnsi="Arial"/>
                <w:sz w:val="18"/>
                <w:szCs w:val="18"/>
                <w:color w:val="0000FF"/>
                <w:w w:val="94"/>
              </w:rPr>
            </w:pPr>
            <w:hyperlink w:anchor="page52">
              <w:r>
                <w:rPr>
                  <w:rFonts w:ascii="Arial" w:cs="Arial" w:eastAsia="Arial" w:hAnsi="Arial"/>
                  <w:sz w:val="18"/>
                  <w:szCs w:val="18"/>
                  <w:color w:val="0000FF"/>
                  <w:w w:val="94"/>
                </w:rPr>
                <w:t>MANAGEMENT’S DISCUSSION AND ANALYSIS OF FINANCIAL CONDITION AND RESULTS OF OPERATIONS</w:t>
              </w:r>
            </w:hyperlink>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3"/>
          </w:tcPr>
          <w:p>
            <w:pPr>
              <w:jc w:val="center"/>
              <w:ind w:right="300"/>
              <w:spacing w:after="0" w:line="205"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3.</w:t>
            </w:r>
          </w:p>
        </w:tc>
        <w:tc>
          <w:tcPr>
            <w:tcW w:w="6020" w:type="dxa"/>
            <w:vAlign w:val="bottom"/>
            <w:gridSpan w:val="8"/>
          </w:tcPr>
          <w:p>
            <w:pPr>
              <w:spacing w:after="0" w:line="205" w:lineRule="exact"/>
              <w:rPr>
                <w:rFonts w:ascii="Arial" w:cs="Arial" w:eastAsia="Arial" w:hAnsi="Arial"/>
                <w:sz w:val="18"/>
                <w:szCs w:val="18"/>
                <w:color w:val="0000FF"/>
                <w:w w:val="96"/>
              </w:rPr>
            </w:pPr>
            <w:hyperlink w:anchor="page82">
              <w:r>
                <w:rPr>
                  <w:rFonts w:ascii="Arial" w:cs="Arial" w:eastAsia="Arial" w:hAnsi="Arial"/>
                  <w:sz w:val="18"/>
                  <w:szCs w:val="18"/>
                  <w:color w:val="0000FF"/>
                  <w:w w:val="96"/>
                </w:rPr>
                <w:t>QUANTITATIVE AND QUALITATIVE DISCLOSURES ABOUT MARKET RISK</w:t>
              </w:r>
            </w:hyperlink>
          </w:p>
        </w:tc>
        <w:tc>
          <w:tcPr>
            <w:tcW w:w="272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3"/>
          </w:tcPr>
          <w:p>
            <w:pPr>
              <w:jc w:val="center"/>
              <w:ind w:right="300"/>
              <w:spacing w:after="0" w:line="205"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4.</w:t>
            </w:r>
          </w:p>
        </w:tc>
        <w:tc>
          <w:tcPr>
            <w:tcW w:w="6020" w:type="dxa"/>
            <w:vAlign w:val="bottom"/>
            <w:gridSpan w:val="8"/>
          </w:tcPr>
          <w:p>
            <w:pPr>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338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3"/>
          </w:tcPr>
          <w:p>
            <w:pPr>
              <w:jc w:val="center"/>
              <w:ind w:right="300"/>
              <w:spacing w:after="0" w:line="205"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44"/>
        </w:trPr>
        <w:tc>
          <w:tcPr>
            <w:tcW w:w="1080" w:type="dxa"/>
            <w:vAlign w:val="bottom"/>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86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rPr>
              <w:t>PART II — OTHER INFORMATION</w:t>
            </w:r>
          </w:p>
        </w:tc>
        <w:tc>
          <w:tcPr>
            <w:tcW w:w="280" w:type="dxa"/>
            <w:vAlign w:val="bottom"/>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80" w:type="dxa"/>
            <w:vAlign w:val="bottom"/>
          </w:tcPr>
          <w:p>
            <w:pPr>
              <w:ind w:left="20"/>
              <w:spacing w:after="0" w:line="187" w:lineRule="exact"/>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line="187" w:lineRule="exact"/>
              <w:rPr>
                <w:rFonts w:ascii="Arial" w:cs="Arial" w:eastAsia="Arial" w:hAnsi="Arial"/>
                <w:sz w:val="18"/>
                <w:szCs w:val="18"/>
                <w:color w:val="0000FF"/>
              </w:rPr>
            </w:pPr>
            <w:hyperlink w:anchor="page87">
              <w:r>
                <w:rPr>
                  <w:rFonts w:ascii="Arial" w:cs="Arial" w:eastAsia="Arial" w:hAnsi="Arial"/>
                  <w:sz w:val="18"/>
                  <w:szCs w:val="18"/>
                  <w:color w:val="0000FF"/>
                </w:rPr>
                <w:t>LEGAL PROCEEDINGS</w:t>
              </w:r>
            </w:hyperlink>
          </w:p>
        </w:tc>
        <w:tc>
          <w:tcPr>
            <w:tcW w:w="760" w:type="dxa"/>
            <w:vAlign w:val="bottom"/>
            <w:gridSpan w:val="4"/>
          </w:tcPr>
          <w:p>
            <w:pPr>
              <w:jc w:val="center"/>
              <w:ind w:right="20"/>
              <w:spacing w:after="0" w:line="187"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2.</w:t>
            </w:r>
          </w:p>
        </w:tc>
        <w:tc>
          <w:tcPr>
            <w:tcW w:w="9400" w:type="dxa"/>
            <w:vAlign w:val="bottom"/>
            <w:gridSpan w:val="14"/>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UNREGISTERED SALES OF EQUITY SECURITIES AND USE OF PROCEEDS</w:t>
              </w:r>
            </w:hyperlink>
          </w:p>
        </w:tc>
        <w:tc>
          <w:tcPr>
            <w:tcW w:w="760" w:type="dxa"/>
            <w:vAlign w:val="bottom"/>
            <w:gridSpan w:val="4"/>
          </w:tcPr>
          <w:p>
            <w:pPr>
              <w:jc w:val="center"/>
              <w:ind w:right="20"/>
              <w:spacing w:after="0" w:line="20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ind w:left="20"/>
              <w:spacing w:after="0" w:line="205" w:lineRule="exact"/>
              <w:rPr>
                <w:sz w:val="20"/>
                <w:szCs w:val="20"/>
                <w:color w:val="auto"/>
              </w:rPr>
            </w:pPr>
            <w:r>
              <w:rPr>
                <w:rFonts w:ascii="Arial" w:cs="Arial" w:eastAsia="Arial" w:hAnsi="Arial"/>
                <w:sz w:val="18"/>
                <w:szCs w:val="18"/>
                <w:color w:val="auto"/>
              </w:rPr>
              <w:t>ITEM 6.</w:t>
            </w:r>
          </w:p>
        </w:tc>
        <w:tc>
          <w:tcPr>
            <w:tcW w:w="5940" w:type="dxa"/>
            <w:vAlign w:val="bottom"/>
            <w:gridSpan w:val="7"/>
          </w:tcPr>
          <w:p>
            <w:pPr>
              <w:spacing w:after="0" w:line="205" w:lineRule="exact"/>
              <w:rPr>
                <w:rFonts w:ascii="Arial" w:cs="Arial" w:eastAsia="Arial" w:hAnsi="Arial"/>
                <w:sz w:val="18"/>
                <w:szCs w:val="18"/>
                <w:color w:val="0000FF"/>
              </w:rPr>
            </w:pPr>
            <w:hyperlink w:anchor="page87">
              <w:r>
                <w:rPr>
                  <w:rFonts w:ascii="Arial" w:cs="Arial" w:eastAsia="Arial" w:hAnsi="Arial"/>
                  <w:sz w:val="18"/>
                  <w:szCs w:val="18"/>
                  <w:color w:val="0000FF"/>
                </w:rPr>
                <w:t>EXHIBITS</w:t>
              </w:r>
            </w:hyperlink>
          </w:p>
        </w:tc>
        <w:tc>
          <w:tcPr>
            <w:tcW w:w="34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3"/>
          </w:tcPr>
          <w:p>
            <w:pPr>
              <w:jc w:val="center"/>
              <w:ind w:right="300"/>
              <w:spacing w:after="0" w:line="205"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0" w:type="dxa"/>
            <w:vAlign w:val="bottom"/>
          </w:tcPr>
          <w:p>
            <w:pPr>
              <w:spacing w:after="0"/>
              <w:rPr>
                <w:sz w:val="1"/>
                <w:szCs w:val="1"/>
                <w:color w:val="auto"/>
              </w:rPr>
            </w:pPr>
          </w:p>
        </w:tc>
      </w:tr>
      <w:tr>
        <w:trPr>
          <w:trHeight w:val="1219"/>
        </w:trPr>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60" w:type="dxa"/>
            <w:vAlign w:val="bottom"/>
          </w:tcPr>
          <w:p>
            <w:pPr>
              <w:ind w:left="39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2,391.1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2,269.6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of discontinued operations (note 4)</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 (notes 3, 5 and 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5,940.5</w:t>
            </w:r>
          </w:p>
        </w:tc>
        <w:tc>
          <w:tcPr>
            <w:tcW w:w="0" w:type="dxa"/>
            <w:vAlign w:val="bottom"/>
          </w:tcPr>
          <w:p>
            <w:pPr>
              <w:spacing w:after="0"/>
              <w:rPr>
                <w:sz w:val="1"/>
                <w:szCs w:val="1"/>
                <w:color w:val="auto"/>
              </w:rPr>
            </w:pPr>
          </w:p>
        </w:tc>
      </w:tr>
      <w:tr>
        <w:trPr>
          <w:trHeight w:val="173"/>
        </w:trPr>
        <w:tc>
          <w:tcPr>
            <w:tcW w:w="8460" w:type="dxa"/>
            <w:vAlign w:val="bottom"/>
          </w:tcPr>
          <w:p>
            <w:pPr>
              <w:ind w:left="20"/>
              <w:spacing w:after="0" w:line="173" w:lineRule="exact"/>
              <w:rPr>
                <w:sz w:val="20"/>
                <w:szCs w:val="20"/>
                <w:color w:val="auto"/>
              </w:rPr>
            </w:pPr>
            <w:r>
              <w:rPr>
                <w:rFonts w:ascii="Arial" w:cs="Arial" w:eastAsia="Arial" w:hAnsi="Arial"/>
                <w:sz w:val="18"/>
                <w:szCs w:val="18"/>
                <w:color w:val="auto"/>
                <w:w w:val="91"/>
              </w:rPr>
              <w:t>Investments and related notes receivable (including $2,296.2 million and $2,757.8 million, respectively, measured at</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17,715.2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19,703.0</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8"/>
                <w:szCs w:val="18"/>
                <w:color w:val="auto"/>
              </w:rPr>
              <w:t>fair value on a recurring basis) (note 5)</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(notes 8 and 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Goodwill (note 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9,523.4</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 net (note 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 (notes 3, 4, 6 and 10)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4"/>
        </w:trPr>
        <w:tc>
          <w:tcPr>
            <w:tcW w:w="8460" w:type="dxa"/>
            <w:vAlign w:val="bottom"/>
          </w:tcPr>
          <w:p>
            <w:pPr>
              <w:ind w:left="32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Accrued income taxes (note 11)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25"/>
        </w:trPr>
        <w:tc>
          <w:tcPr>
            <w:tcW w:w="846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 (note 4)</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(notes 4 and 10)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18"/>
        </w:trPr>
        <w:tc>
          <w:tcPr>
            <w:tcW w:w="8460" w:type="dxa"/>
            <w:vAlign w:val="bottom"/>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4,084.8</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9 and 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13,974.8</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Long-term operating lease liabilities (notes 4 and 10)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3 and 6)</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8"/>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21,319.0</w:t>
            </w:r>
          </w:p>
        </w:tc>
        <w:tc>
          <w:tcPr>
            <w:tcW w:w="0" w:type="dxa"/>
            <w:vAlign w:val="bottom"/>
          </w:tcPr>
          <w:p>
            <w:pPr>
              <w:spacing w:after="0"/>
              <w:rPr>
                <w:sz w:val="1"/>
                <w:szCs w:val="1"/>
                <w:color w:val="auto"/>
              </w:rPr>
            </w:pPr>
          </w:p>
        </w:tc>
      </w:tr>
      <w:tr>
        <w:trPr>
          <w:trHeight w:val="179"/>
        </w:trPr>
        <w:tc>
          <w:tcPr>
            <w:tcW w:w="8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(notes 6, 9, 10, 11 and 15)</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Equity (note 12):</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220"/>
              <w:spacing w:after="0" w:line="173" w:lineRule="exact"/>
              <w:rPr>
                <w:sz w:val="20"/>
                <w:szCs w:val="20"/>
                <w:color w:val="auto"/>
              </w:rPr>
            </w:pPr>
            <w:r>
              <w:rPr>
                <w:rFonts w:ascii="Arial" w:cs="Arial" w:eastAsia="Arial" w:hAnsi="Arial"/>
                <w:sz w:val="18"/>
                <w:szCs w:val="18"/>
                <w:color w:val="auto"/>
                <w:w w:val="88"/>
              </w:rPr>
              <w:t>Class A ordinary shares, $0.01 nominal value. Issued and outstanding 174,844,779 shares and 174,310,558 shares,</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4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0"/>
              </w:rPr>
              <w:t>Class B ordinary shares, $0.01 nominal value. Issued and outstanding 12,994,000 shares and 12,930,839 shares,</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220"/>
              <w:spacing w:after="0" w:line="173" w:lineRule="exact"/>
              <w:rPr>
                <w:sz w:val="20"/>
                <w:szCs w:val="20"/>
                <w:color w:val="auto"/>
              </w:rPr>
            </w:pPr>
            <w:r>
              <w:rPr>
                <w:rFonts w:ascii="Arial" w:cs="Arial" w:eastAsia="Arial" w:hAnsi="Arial"/>
                <w:sz w:val="18"/>
                <w:szCs w:val="18"/>
                <w:color w:val="auto"/>
                <w:w w:val="88"/>
              </w:rPr>
              <w:t>Class C ordinary shares, $0.01 nominal value. Issued and outstanding 302,310,584 shares and 340,114,729 shares,</w:t>
            </w: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4"/>
        </w:trPr>
        <w:tc>
          <w:tcPr>
            <w:tcW w:w="84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0" w:type="dxa"/>
            <w:vAlign w:val="bottom"/>
          </w:tcPr>
          <w:p>
            <w:pPr>
              <w:spacing w:after="0"/>
              <w:rPr>
                <w:sz w:val="1"/>
                <w:szCs w:val="1"/>
                <w:color w:val="auto"/>
              </w:rPr>
            </w:pPr>
          </w:p>
        </w:tc>
      </w:tr>
      <w:tr>
        <w:trPr>
          <w:trHeight w:val="225"/>
        </w:trPr>
        <w:tc>
          <w:tcPr>
            <w:tcW w:w="8460" w:type="dxa"/>
            <w:vAlign w:val="bottom"/>
          </w:tcPr>
          <w:p>
            <w:pPr>
              <w:ind w:left="220"/>
              <w:spacing w:after="0"/>
              <w:rPr>
                <w:sz w:val="20"/>
                <w:szCs w:val="20"/>
                <w:color w:val="auto"/>
              </w:rPr>
            </w:pPr>
            <w:r>
              <w:rPr>
                <w:rFonts w:ascii="Arial" w:cs="Arial" w:eastAsia="Arial" w:hAnsi="Arial"/>
                <w:sz w:val="18"/>
                <w:szCs w:val="18"/>
                <w:color w:val="auto"/>
              </w:rPr>
              <w:t>Accumulated earnings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18,144.5</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earnings (loss), net of taxes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shares, at cost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shareholders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25,934.9</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25,598.0</w:t>
            </w:r>
          </w:p>
        </w:tc>
        <w:tc>
          <w:tcPr>
            <w:tcW w:w="0" w:type="dxa"/>
            <w:vAlign w:val="bottom"/>
          </w:tcPr>
          <w:p>
            <w:pPr>
              <w:spacing w:after="0"/>
              <w:rPr>
                <w:sz w:val="1"/>
                <w:szCs w:val="1"/>
                <w:color w:val="auto"/>
              </w:rPr>
            </w:pPr>
          </w:p>
        </w:tc>
      </w:tr>
      <w:tr>
        <w:trPr>
          <w:trHeight w:val="218"/>
        </w:trPr>
        <w:tc>
          <w:tcPr>
            <w:tcW w:w="8460" w:type="dxa"/>
            <w:vAlign w:val="bottom"/>
          </w:tcPr>
          <w:p>
            <w:pPr>
              <w:ind w:left="540"/>
              <w:spacing w:after="0" w:line="204" w:lineRule="exact"/>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46,917.0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w w:val="96"/>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40" w:type="dxa"/>
            <w:vAlign w:val="bottom"/>
            <w:gridSpan w:val="9"/>
          </w:tcPr>
          <w:p>
            <w:pPr>
              <w:spacing w:after="0"/>
              <w:rPr>
                <w:sz w:val="20"/>
                <w:szCs w:val="20"/>
                <w:color w:val="auto"/>
              </w:rPr>
            </w:pPr>
            <w:r>
              <w:rPr>
                <w:rFonts w:ascii="Arial" w:cs="Arial" w:eastAsia="Arial" w:hAnsi="Arial"/>
                <w:sz w:val="16"/>
                <w:szCs w:val="16"/>
                <w:b w:val="1"/>
                <w:bCs w:val="1"/>
                <w:color w:val="auto"/>
                <w:w w:val="87"/>
              </w:rPr>
              <w:t>in millions, except per share amounts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3, 4, 5 and 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6,489.1</w:t>
            </w:r>
          </w:p>
        </w:tc>
        <w:tc>
          <w:tcPr>
            <w:tcW w:w="0" w:type="dxa"/>
            <w:vAlign w:val="bottom"/>
          </w:tcPr>
          <w:p>
            <w:pPr>
              <w:spacing w:after="0"/>
              <w:rPr>
                <w:sz w:val="1"/>
                <w:szCs w:val="1"/>
                <w:color w:val="auto"/>
              </w:rPr>
            </w:pPr>
          </w:p>
        </w:tc>
      </w:tr>
      <w:tr>
        <w:trPr>
          <w:trHeight w:val="153"/>
        </w:trPr>
        <w:tc>
          <w:tcPr>
            <w:tcW w:w="6580" w:type="dxa"/>
            <w:vAlign w:val="bottom"/>
          </w:tcPr>
          <w:p>
            <w:pPr>
              <w:ind w:left="40"/>
              <w:spacing w:after="0" w:line="154" w:lineRule="exact"/>
              <w:rPr>
                <w:sz w:val="20"/>
                <w:szCs w:val="20"/>
                <w:color w:val="auto"/>
              </w:rPr>
            </w:pPr>
            <w:r>
              <w:rPr>
                <w:rFonts w:ascii="Arial" w:cs="Arial" w:eastAsia="Arial" w:hAnsi="Arial"/>
                <w:sz w:val="17"/>
                <w:szCs w:val="17"/>
                <w:color w:val="auto"/>
                <w:w w:val="93"/>
              </w:rPr>
              <w:t>Operating costs and expenses (exclusive of depreciation and amortization, shown separately</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580" w:type="dxa"/>
            <w:vAlign w:val="bottom"/>
          </w:tcPr>
          <w:p>
            <w:pPr>
              <w:ind w:left="200"/>
              <w:spacing w:after="0"/>
              <w:rPr>
                <w:sz w:val="20"/>
                <w:szCs w:val="20"/>
                <w:color w:val="auto"/>
              </w:rPr>
            </w:pPr>
            <w:r>
              <w:rPr>
                <w:rFonts w:ascii="Arial" w:cs="Arial" w:eastAsia="Arial" w:hAnsi="Arial"/>
                <w:sz w:val="18"/>
                <w:szCs w:val="18"/>
                <w:color w:val="auto"/>
              </w:rPr>
              <w:t>below):</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Programming and other direct costs of services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Other operating (note 13)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946.1</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restructuring and other operating items,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8"/>
        </w:trPr>
        <w:tc>
          <w:tcPr>
            <w:tcW w:w="6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5,350.7</w:t>
            </w: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05"/>
        </w:trPr>
        <w:tc>
          <w:tcPr>
            <w:tcW w:w="658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(267.1)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Realized and unrealized gains (losses) on derivative instruments, net (note 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173"/>
        </w:trPr>
        <w:tc>
          <w:tcPr>
            <w:tcW w:w="6580" w:type="dxa"/>
            <w:vAlign w:val="bottom"/>
          </w:tcPr>
          <w:p>
            <w:pPr>
              <w:ind w:left="140"/>
              <w:spacing w:after="0" w:line="173" w:lineRule="exact"/>
              <w:rPr>
                <w:sz w:val="20"/>
                <w:szCs w:val="20"/>
                <w:color w:val="auto"/>
              </w:rPr>
            </w:pPr>
            <w:r>
              <w:rPr>
                <w:rFonts w:ascii="Arial" w:cs="Arial" w:eastAsia="Arial" w:hAnsi="Arial"/>
                <w:sz w:val="18"/>
                <w:szCs w:val="18"/>
                <w:color w:val="auto"/>
                <w:w w:val="88"/>
              </w:rPr>
              <w:t>Realized and unrealized gains (losses) due to changes in fair values of certain investments,</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ind w:left="300"/>
              <w:spacing w:after="0"/>
              <w:rPr>
                <w:sz w:val="20"/>
                <w:szCs w:val="20"/>
                <w:color w:val="auto"/>
              </w:rPr>
            </w:pPr>
            <w:r>
              <w:rPr>
                <w:rFonts w:ascii="Arial" w:cs="Arial" w:eastAsia="Arial" w:hAnsi="Arial"/>
                <w:sz w:val="18"/>
                <w:szCs w:val="18"/>
                <w:color w:val="auto"/>
                <w:w w:val="91"/>
              </w:rPr>
              <w:t>(205.6)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24"/>
        </w:trPr>
        <w:tc>
          <w:tcPr>
            <w:tcW w:w="6580" w:type="dxa"/>
            <w:vAlign w:val="bottom"/>
          </w:tcPr>
          <w:p>
            <w:pPr>
              <w:ind w:left="300"/>
              <w:spacing w:after="0"/>
              <w:rPr>
                <w:sz w:val="20"/>
                <w:szCs w:val="20"/>
                <w:color w:val="auto"/>
              </w:rPr>
            </w:pPr>
            <w:r>
              <w:rPr>
                <w:rFonts w:ascii="Arial" w:cs="Arial" w:eastAsia="Arial" w:hAnsi="Arial"/>
                <w:sz w:val="18"/>
                <w:szCs w:val="18"/>
                <w:color w:val="auto"/>
              </w:rPr>
              <w:t>net (notes 5 and 7)</w:t>
            </w: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on debt extinguishment, net (note 9)</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Telenet Tower Sale (note 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Arial" w:cs="Arial" w:eastAsia="Arial" w:hAnsi="Arial"/>
                <w:sz w:val="18"/>
                <w:szCs w:val="18"/>
                <w:color w:val="auto"/>
              </w:rPr>
              <w:t>Gain on U.K. JV Transaction (note 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11,138.0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11,138.0</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8"/>
        </w:trPr>
        <w:tc>
          <w:tcPr>
            <w:tcW w:w="6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10,890.5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11,877.2</w:t>
            </w: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from continuing operations before income taxes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11,427.7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13,015.6</w:t>
            </w:r>
          </w:p>
        </w:tc>
        <w:tc>
          <w:tcPr>
            <w:tcW w:w="0" w:type="dxa"/>
            <w:vAlign w:val="bottom"/>
          </w:tcPr>
          <w:p>
            <w:pPr>
              <w:spacing w:after="0"/>
              <w:rPr>
                <w:sz w:val="1"/>
                <w:szCs w:val="1"/>
                <w:color w:val="auto"/>
              </w:rPr>
            </w:pPr>
          </w:p>
        </w:tc>
      </w:tr>
      <w:tr>
        <w:trPr>
          <w:trHeight w:val="22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(note 11)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1"/>
              </w:rPr>
              <w:t>(144.8)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from continuing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12,573.6</w:t>
            </w: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Discontinued operations (note 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from discontinued operations, net of taxes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5"/>
        </w:trPr>
        <w:tc>
          <w:tcPr>
            <w:tcW w:w="6580" w:type="dxa"/>
            <w:vAlign w:val="bottom"/>
          </w:tcPr>
          <w:p>
            <w:pPr>
              <w:ind w:left="260"/>
              <w:spacing w:after="0"/>
              <w:rPr>
                <w:sz w:val="20"/>
                <w:szCs w:val="20"/>
                <w:color w:val="auto"/>
              </w:rPr>
            </w:pPr>
            <w:r>
              <w:rPr>
                <w:rFonts w:ascii="Arial" w:cs="Arial" w:eastAsia="Arial" w:hAnsi="Arial"/>
                <w:sz w:val="18"/>
                <w:szCs w:val="18"/>
                <w:color w:val="auto"/>
              </w:rPr>
              <w:t>Gain on disposal of discontinued operations, net of taxes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8"/>
        </w:trPr>
        <w:tc>
          <w:tcPr>
            <w:tcW w:w="6580" w:type="dxa"/>
            <w:vAlign w:val="bottom"/>
          </w:tcPr>
          <w:p>
            <w:pPr>
              <w:ind w:left="26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11,174.5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12,614.8</w:t>
            </w:r>
          </w:p>
        </w:tc>
        <w:tc>
          <w:tcPr>
            <w:tcW w:w="0" w:type="dxa"/>
            <w:vAlign w:val="bottom"/>
          </w:tcPr>
          <w:p>
            <w:pPr>
              <w:spacing w:after="0"/>
              <w:rPr>
                <w:sz w:val="1"/>
                <w:szCs w:val="1"/>
                <w:color w:val="auto"/>
              </w:rPr>
            </w:pP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1"/>
              </w:rPr>
              <w:t>(416.5)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9"/>
        </w:trPr>
        <w:tc>
          <w:tcPr>
            <w:tcW w:w="6580" w:type="dxa"/>
            <w:vAlign w:val="bottom"/>
          </w:tcPr>
          <w:p>
            <w:pPr>
              <w:ind w:left="260"/>
              <w:spacing w:after="0"/>
              <w:rPr>
                <w:sz w:val="20"/>
                <w:szCs w:val="20"/>
                <w:color w:val="auto"/>
              </w:rPr>
            </w:pPr>
            <w:r>
              <w:rPr>
                <w:rFonts w:ascii="Arial" w:cs="Arial" w:eastAsia="Arial" w:hAnsi="Arial"/>
                <w:sz w:val="18"/>
                <w:szCs w:val="18"/>
                <w:color w:val="auto"/>
              </w:rPr>
              <w:t>Net earnings attributable to Liberty Global shareholders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2,786.6</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11,128.2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3,824.9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12,513.6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8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05"/>
        </w:trPr>
        <w:tc>
          <w:tcPr>
            <w:tcW w:w="6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r>
      <w:tr>
        <w:trPr>
          <w:trHeight w:val="203"/>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80" w:type="dxa"/>
            <w:vAlign w:val="bottom"/>
            <w:gridSpan w:val="7"/>
          </w:tcPr>
          <w:p>
            <w:pPr>
              <w:ind w:left="280"/>
              <w:spacing w:after="0"/>
              <w:rPr>
                <w:sz w:val="20"/>
                <w:szCs w:val="20"/>
                <w:color w:val="auto"/>
              </w:rPr>
            </w:pPr>
            <w:r>
              <w:rPr>
                <w:rFonts w:ascii="Arial" w:cs="Arial" w:eastAsia="Arial" w:hAnsi="Arial"/>
                <w:sz w:val="16"/>
                <w:szCs w:val="16"/>
                <w:b w:val="1"/>
                <w:bCs w:val="1"/>
                <w:color w:val="auto"/>
                <w:w w:val="97"/>
              </w:rPr>
              <w:t>in millions, except per share amounts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63"/>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Basic earnings attributable to Liberty Global shareholders per share (note 14):</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0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19.94</w:t>
            </w:r>
          </w:p>
        </w:tc>
        <w:tc>
          <w:tcPr>
            <w:tcW w:w="3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5.76</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22.04</w:t>
            </w:r>
          </w:p>
        </w:tc>
      </w:tr>
      <w:tr>
        <w:trPr>
          <w:trHeight w:val="225"/>
        </w:trPr>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18"/>
        </w:trPr>
        <w:tc>
          <w:tcPr>
            <w:tcW w:w="60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19.98</w:t>
            </w:r>
          </w:p>
        </w:tc>
        <w:tc>
          <w:tcPr>
            <w:tcW w:w="3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7.49</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60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w w:val="95"/>
              </w:rPr>
              <w:t>Diluted earnings attributable to Liberty Global shareholders per share (note 14):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5"/>
        </w:trPr>
        <w:tc>
          <w:tcPr>
            <w:tcW w:w="60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19.51</w:t>
            </w:r>
          </w:p>
        </w:tc>
        <w:tc>
          <w:tcPr>
            <w:tcW w:w="3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21.62</w:t>
            </w:r>
          </w:p>
        </w:tc>
      </w:tr>
      <w:tr>
        <w:trPr>
          <w:trHeight w:val="225"/>
        </w:trPr>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18"/>
        </w:trPr>
        <w:tc>
          <w:tcPr>
            <w:tcW w:w="60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19.55</w:t>
            </w:r>
          </w:p>
        </w:tc>
        <w:tc>
          <w:tcPr>
            <w:tcW w:w="3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327"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04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205"/>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r>
      <w:tr>
        <w:trPr>
          <w:trHeight w:val="203"/>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12,614.8</w:t>
            </w:r>
          </w:p>
        </w:tc>
      </w:tr>
      <w:tr>
        <w:trPr>
          <w:trHeight w:val="205"/>
        </w:trPr>
        <w:tc>
          <w:tcPr>
            <w:tcW w:w="632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(loss), net of taxes: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5"/>
        </w:trPr>
        <w:tc>
          <w:tcPr>
            <w:tcW w:w="63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2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included in net earnings (note 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r>
      <w:tr>
        <w:trPr>
          <w:trHeight w:val="225"/>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9"/>
        </w:trPr>
        <w:tc>
          <w:tcPr>
            <w:tcW w:w="632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r>
      <w:tr>
        <w:trPr>
          <w:trHeight w:val="225"/>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earnings (loss) from discontinued operations (note 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19"/>
        </w:trPr>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r>
      <w:tr>
        <w:trPr>
          <w:trHeight w:val="218"/>
        </w:trPr>
        <w:tc>
          <w:tcPr>
            <w:tcW w:w="6320" w:type="dxa"/>
            <w:vAlign w:val="bottom"/>
          </w:tcPr>
          <w:p>
            <w:pPr>
              <w:ind w:left="580"/>
              <w:spacing w:after="0"/>
              <w:rPr>
                <w:sz w:val="20"/>
                <w:szCs w:val="20"/>
                <w:color w:val="auto"/>
              </w:rPr>
            </w:pPr>
            <w:r>
              <w:rPr>
                <w:rFonts w:ascii="Arial" w:cs="Arial" w:eastAsia="Arial" w:hAnsi="Arial"/>
                <w:sz w:val="18"/>
                <w:szCs w:val="18"/>
                <w:color w:val="auto"/>
              </w:rPr>
              <w:t>Comprehensive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13,452.1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13,895.6</w:t>
            </w:r>
          </w:p>
        </w:tc>
      </w:tr>
      <w:tr>
        <w:trPr>
          <w:trHeight w:val="225"/>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19"/>
        </w:trPr>
        <w:tc>
          <w:tcPr>
            <w:tcW w:w="6320" w:type="dxa"/>
            <w:vAlign w:val="bottom"/>
          </w:tcPr>
          <w:p>
            <w:pPr>
              <w:ind w:left="500"/>
              <w:spacing w:after="0"/>
              <w:rPr>
                <w:sz w:val="20"/>
                <w:szCs w:val="20"/>
                <w:color w:val="auto"/>
              </w:rPr>
            </w:pPr>
            <w:r>
              <w:rPr>
                <w:rFonts w:ascii="Arial" w:cs="Arial" w:eastAsia="Arial" w:hAnsi="Arial"/>
                <w:sz w:val="18"/>
                <w:szCs w:val="18"/>
                <w:color w:val="auto"/>
                <w:w w:val="98"/>
              </w:rPr>
              <w:t>Comprehensive earnings (loss) attributable to Liberty Global shareholders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13,793.1</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6"/>
            <w:vMerge w:val="restart"/>
          </w:tcPr>
          <w:p>
            <w:pPr>
              <w:jc w:val="center"/>
              <w:ind w:left="112"/>
              <w:spacing w:after="0"/>
              <w:rPr>
                <w:sz w:val="20"/>
                <w:szCs w:val="20"/>
                <w:color w:val="auto"/>
              </w:rPr>
            </w:pPr>
            <w:r>
              <w:rPr>
                <w:rFonts w:ascii="Arial" w:cs="Arial" w:eastAsia="Arial" w:hAnsi="Arial"/>
                <w:sz w:val="16"/>
                <w:szCs w:val="16"/>
                <w:b w:val="1"/>
                <w:bCs w:val="1"/>
                <w:color w:val="auto"/>
                <w:w w:val="89"/>
              </w:rPr>
              <w:t>Ordinary shares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940" w:type="dxa"/>
            <w:vAlign w:val="bottom"/>
            <w:gridSpan w:val="2"/>
          </w:tcPr>
          <w:p>
            <w:pPr>
              <w:ind w:left="20"/>
              <w:spacing w:after="0" w:line="139" w:lineRule="exact"/>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2"/>
                <w:szCs w:val="12"/>
                <w:color w:val="auto"/>
              </w:rPr>
            </w:pP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40" w:type="dxa"/>
            <w:vAlign w:val="bottom"/>
          </w:tcPr>
          <w:p>
            <w:pPr>
              <w:jc w:val="right"/>
              <w:ind w:right="153"/>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Class B</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9"/>
              </w:rPr>
              <w:t>earnings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4"/>
          </w:tcPr>
          <w:p>
            <w:pPr>
              <w:ind w:left="60"/>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$ 5,271.7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13,662.6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$ 13,298.4</w:t>
            </w:r>
          </w:p>
        </w:tc>
        <w:tc>
          <w:tcPr>
            <w:tcW w:w="0" w:type="dxa"/>
            <w:vAlign w:val="bottom"/>
          </w:tcPr>
          <w:p>
            <w:pPr>
              <w:spacing w:after="0"/>
              <w:rPr>
                <w:sz w:val="1"/>
                <w:szCs w:val="1"/>
                <w:color w:val="auto"/>
              </w:rPr>
            </w:pPr>
          </w:p>
        </w:tc>
      </w:tr>
      <w:tr>
        <w:trPr>
          <w:trHeight w:val="225"/>
        </w:trPr>
        <w:tc>
          <w:tcPr>
            <w:tcW w:w="27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8"/>
              </w:rPr>
              <w:t>Other comprehensive loss, net of</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March 31, 2021</w:t>
            </w:r>
          </w:p>
        </w:tc>
        <w:tc>
          <w:tcPr>
            <w:tcW w:w="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13,796.0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13,488.1</w:t>
            </w:r>
          </w:p>
        </w:tc>
        <w:tc>
          <w:tcPr>
            <w:tcW w:w="0" w:type="dxa"/>
            <w:vAlign w:val="bottom"/>
          </w:tcPr>
          <w:p>
            <w:pPr>
              <w:spacing w:after="0"/>
              <w:rPr>
                <w:sz w:val="1"/>
                <w:szCs w:val="1"/>
                <w:color w:val="auto"/>
              </w:rPr>
            </w:pPr>
          </w:p>
        </w:tc>
      </w:tr>
      <w:tr>
        <w:trPr>
          <w:trHeight w:val="225"/>
        </w:trPr>
        <w:tc>
          <w:tcPr>
            <w:tcW w:w="27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11,128.2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11,128.2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11,174.5</w:t>
            </w:r>
          </w:p>
        </w:tc>
        <w:tc>
          <w:tcPr>
            <w:tcW w:w="0" w:type="dxa"/>
            <w:vAlign w:val="bottom"/>
          </w:tcPr>
          <w:p>
            <w:pPr>
              <w:spacing w:after="0"/>
              <w:rPr>
                <w:sz w:val="1"/>
                <w:szCs w:val="1"/>
                <w:color w:val="auto"/>
              </w:rPr>
            </w:pPr>
          </w:p>
        </w:tc>
      </w:tr>
      <w:tr>
        <w:trPr>
          <w:trHeight w:val="174"/>
        </w:trPr>
        <w:tc>
          <w:tcPr>
            <w:tcW w:w="276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2"/>
              </w:rPr>
              <w:t>Other comprehensive earnings, net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24"/>
        </w:trPr>
        <w:tc>
          <w:tcPr>
            <w:tcW w:w="2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taxes</w:t>
            </w: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4"/>
        </w:trPr>
        <w:tc>
          <w:tcPr>
            <w:tcW w:w="276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73"/>
        </w:trPr>
        <w:tc>
          <w:tcPr>
            <w:tcW w:w="276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4"/>
        </w:trPr>
        <w:tc>
          <w:tcPr>
            <w:tcW w:w="2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w w:val="90"/>
              </w:rPr>
              <w:t>subsidiaries’ equity and other, net</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June 30, 2021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$ 4,698.3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17,205.7</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26,882.1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$ 26,550.0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0"/>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other</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Ordinary shares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7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3"/>
              </w:rPr>
              <w:t>Liberty</w:t>
            </w: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00"/>
              <w:spacing w:after="0" w:line="139" w:lineRule="exact"/>
              <w:rPr>
                <w:sz w:val="20"/>
                <w:szCs w:val="20"/>
                <w:color w:val="auto"/>
              </w:rPr>
            </w:pPr>
            <w:r>
              <w:rPr>
                <w:rFonts w:ascii="Arial" w:cs="Arial" w:eastAsia="Arial" w:hAnsi="Arial"/>
                <w:sz w:val="16"/>
                <w:szCs w:val="16"/>
                <w:b w:val="1"/>
                <w:bCs w:val="1"/>
                <w:color w:val="auto"/>
                <w:w w:val="91"/>
              </w:rPr>
              <w:t>paid-in</w:t>
            </w:r>
          </w:p>
        </w:tc>
        <w:tc>
          <w:tcPr>
            <w:tcW w:w="102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7"/>
              </w:rPr>
              <w:t>Accumulated</w:t>
            </w:r>
          </w:p>
        </w:tc>
        <w:tc>
          <w:tcPr>
            <w:tcW w:w="1140" w:type="dxa"/>
            <w:vAlign w:val="bottom"/>
            <w:gridSpan w:val="3"/>
          </w:tcPr>
          <w:p>
            <w:pPr>
              <w:jc w:val="center"/>
              <w:ind w:right="80"/>
              <w:spacing w:after="0" w:line="139" w:lineRule="exact"/>
              <w:rPr>
                <w:sz w:val="20"/>
                <w:szCs w:val="20"/>
                <w:color w:val="auto"/>
              </w:rPr>
            </w:pPr>
            <w:r>
              <w:rPr>
                <w:rFonts w:ascii="Arial" w:cs="Arial" w:eastAsia="Arial" w:hAnsi="Arial"/>
                <w:sz w:val="16"/>
                <w:szCs w:val="16"/>
                <w:b w:val="1"/>
                <w:bCs w:val="1"/>
                <w:color w:val="auto"/>
                <w:w w:val="86"/>
              </w:rPr>
              <w:t>earnings, net</w:t>
            </w:r>
          </w:p>
        </w:tc>
        <w:tc>
          <w:tcPr>
            <w:tcW w:w="760" w:type="dxa"/>
            <w:vAlign w:val="bottom"/>
            <w:gridSpan w:val="3"/>
          </w:tcPr>
          <w:p>
            <w:pPr>
              <w:ind w:left="100"/>
              <w:spacing w:after="0" w:line="139" w:lineRule="exact"/>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3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tcPr>
          <w:p>
            <w:pPr>
              <w:ind w:left="20"/>
              <w:spacing w:after="0" w:line="139" w:lineRule="exact"/>
              <w:rPr>
                <w:sz w:val="20"/>
                <w:szCs w:val="20"/>
                <w:color w:val="auto"/>
              </w:rPr>
            </w:pPr>
            <w:r>
              <w:rPr>
                <w:rFonts w:ascii="Arial" w:cs="Arial" w:eastAsia="Arial" w:hAnsi="Arial"/>
                <w:sz w:val="16"/>
                <w:szCs w:val="16"/>
                <w:b w:val="1"/>
                <w:bCs w:val="1"/>
                <w:color w:val="auto"/>
                <w:w w:val="99"/>
              </w:rPr>
              <w:t>controlling</w:t>
            </w:r>
          </w:p>
        </w:tc>
        <w:tc>
          <w:tcPr>
            <w:tcW w:w="840" w:type="dxa"/>
            <w:vAlign w:val="bottom"/>
          </w:tcPr>
          <w:p>
            <w:pPr>
              <w:jc w:val="right"/>
              <w:ind w:right="153"/>
              <w:spacing w:after="0" w:line="13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Class A</w:t>
            </w: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Class B</w:t>
            </w: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88"/>
              </w:rPr>
              <w:t>Class C</w:t>
            </w:r>
          </w:p>
        </w:tc>
        <w:tc>
          <w:tcPr>
            <w:tcW w:w="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6"/>
              </w:rPr>
              <w:t>earnings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5"/>
              </w:rPr>
              <w:t>of taxes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9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3"/>
              </w:rPr>
              <w:t>interests</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$ 3,893.0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25,934.9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$ 25,598.0</w:t>
            </w:r>
          </w:p>
        </w:tc>
        <w:tc>
          <w:tcPr>
            <w:tcW w:w="0" w:type="dxa"/>
            <w:vAlign w:val="bottom"/>
          </w:tcPr>
          <w:p>
            <w:pPr>
              <w:spacing w:after="0"/>
              <w:rPr>
                <w:sz w:val="1"/>
                <w:szCs w:val="1"/>
                <w:color w:val="auto"/>
              </w:rPr>
            </w:pPr>
          </w:p>
        </w:tc>
      </w:tr>
      <w:tr>
        <w:trPr>
          <w:trHeight w:val="225"/>
        </w:trPr>
        <w:tc>
          <w:tcPr>
            <w:tcW w:w="27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9"/>
              </w:rPr>
              <w:t>Other comprehensive loss, net of</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(1,218.3)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1"/>
              </w:rPr>
              <w:t>(0.2)</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(496.1)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Repurchases by Telenet of its</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due to changes in</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80" w:type="dxa"/>
            <w:vAlign w:val="bottom"/>
          </w:tcPr>
          <w:p>
            <w:pPr>
              <w:ind w:left="20"/>
              <w:spacing w:after="0" w:line="204" w:lineRule="exact"/>
              <w:rPr>
                <w:sz w:val="20"/>
                <w:szCs w:val="20"/>
                <w:color w:val="auto"/>
              </w:rPr>
            </w:pPr>
            <w:r>
              <w:rPr>
                <w:rFonts w:ascii="Arial" w:cs="Arial" w:eastAsia="Arial" w:hAnsi="Arial"/>
                <w:sz w:val="18"/>
                <w:szCs w:val="18"/>
                <w:color w:val="auto"/>
              </w:rPr>
              <w:t>Balance at March 31, 2022</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19,182.8</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2,673.9</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25,267.8</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25,007.1</w:t>
            </w: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3,131.1</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w w:val="99"/>
              </w:rPr>
              <w:t>Other comprehensive loss, net of</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(2,723.2)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9"/>
              </w:rPr>
              <w:t>(2,723.2)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(2,715.9)</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6"/>
              </w:rPr>
              <w:t>Repurchases and cancellations of</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rPr>
              <w:t>Liberty Global ordinary shares</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Distributions by subsidiaries to</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300"/>
              <w:spacing w:after="0" w:line="172" w:lineRule="exact"/>
              <w:rPr>
                <w:sz w:val="20"/>
                <w:szCs w:val="20"/>
                <w:color w:val="auto"/>
              </w:rPr>
            </w:pPr>
            <w:r>
              <w:rPr>
                <w:rFonts w:ascii="Arial" w:cs="Arial" w:eastAsia="Arial" w:hAnsi="Arial"/>
                <w:sz w:val="18"/>
                <w:szCs w:val="18"/>
                <w:color w:val="auto"/>
              </w:rPr>
              <w:t>noncontrolling interest owners</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rPr>
              <w:t>(note 12)</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Share-based compensation (note 13)</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73"/>
        </w:trPr>
        <w:tc>
          <w:tcPr>
            <w:tcW w:w="2780" w:type="dxa"/>
            <w:vAlign w:val="bottom"/>
          </w:tcPr>
          <w:p>
            <w:pPr>
              <w:ind w:left="140"/>
              <w:spacing w:after="0" w:line="173" w:lineRule="exact"/>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4"/>
        </w:trPr>
        <w:tc>
          <w:tcPr>
            <w:tcW w:w="2780" w:type="dxa"/>
            <w:vAlign w:val="bottom"/>
          </w:tcPr>
          <w:p>
            <w:pPr>
              <w:ind w:left="300"/>
              <w:spacing w:after="0"/>
              <w:rPr>
                <w:sz w:val="20"/>
                <w:szCs w:val="20"/>
                <w:color w:val="auto"/>
              </w:rPr>
            </w:pPr>
            <w:r>
              <w:rPr>
                <w:rFonts w:ascii="Arial" w:cs="Arial" w:eastAsia="Arial" w:hAnsi="Arial"/>
                <w:sz w:val="18"/>
                <w:szCs w:val="18"/>
                <w:color w:val="auto"/>
                <w:w w:val="91"/>
              </w:rPr>
              <w:t>subsidiaries’ equity and other, net</w:t>
            </w:r>
          </w:p>
        </w:tc>
        <w:tc>
          <w:tcPr>
            <w:tcW w:w="2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8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June 30, 2022</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$ 2,851.1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21,969.4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24,776.0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$ 24,805.6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Six months ended</w:t>
      </w:r>
    </w:p>
    <w:p>
      <w:pPr>
        <w:jc w:val="center"/>
        <w:ind w:left="878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8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4,241.4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12,614.8</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8"/>
        </w:trPr>
        <w:tc>
          <w:tcPr>
            <w:tcW w:w="8800" w:type="dxa"/>
            <w:vAlign w:val="bottom"/>
          </w:tcPr>
          <w:p>
            <w:pPr>
              <w:ind w:left="240"/>
              <w:spacing w:after="0" w:line="204" w:lineRule="exact"/>
              <w:rPr>
                <w:sz w:val="20"/>
                <w:szCs w:val="20"/>
                <w:color w:val="auto"/>
              </w:rPr>
            </w:pPr>
            <w:r>
              <w:rPr>
                <w:rFonts w:ascii="Arial" w:cs="Arial" w:eastAsia="Arial" w:hAnsi="Arial"/>
                <w:sz w:val="18"/>
                <w:szCs w:val="18"/>
                <w:color w:val="auto"/>
              </w:rPr>
              <w:t>Earnings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12,573.6</w:t>
            </w:r>
          </w:p>
        </w:tc>
        <w:tc>
          <w:tcPr>
            <w:tcW w:w="0" w:type="dxa"/>
            <w:vAlign w:val="bottom"/>
          </w:tcPr>
          <w:p>
            <w:pPr>
              <w:spacing w:after="0"/>
              <w:rPr>
                <w:sz w:val="1"/>
                <w:szCs w:val="1"/>
                <w:color w:val="auto"/>
              </w:rPr>
            </w:pPr>
          </w:p>
        </w:tc>
      </w:tr>
      <w:tr>
        <w:trPr>
          <w:trHeight w:val="174"/>
        </w:trPr>
        <w:tc>
          <w:tcPr>
            <w:tcW w:w="88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0"/>
              </w:rPr>
              <w:t>Adjustments to reconcile earnings from continuing operations to net cash provided by operating activities of continuing</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 and non-cash interest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Realized and unrealized gains on derivative instruments,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173"/>
        </w:trPr>
        <w:tc>
          <w:tcPr>
            <w:tcW w:w="8800" w:type="dxa"/>
            <w:vAlign w:val="bottom"/>
          </w:tcPr>
          <w:p>
            <w:pPr>
              <w:ind w:left="360"/>
              <w:spacing w:after="0" w:line="173" w:lineRule="exact"/>
              <w:rPr>
                <w:sz w:val="20"/>
                <w:szCs w:val="20"/>
                <w:color w:val="auto"/>
              </w:rPr>
            </w:pPr>
            <w:r>
              <w:rPr>
                <w:rFonts w:ascii="Arial" w:cs="Arial" w:eastAsia="Arial" w:hAnsi="Arial"/>
                <w:sz w:val="18"/>
                <w:szCs w:val="18"/>
                <w:color w:val="auto"/>
              </w:rPr>
              <w:t>Realized and unrealized losses (gains) due to changes in fair values of certain investments,</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24"/>
        </w:trPr>
        <w:tc>
          <w:tcPr>
            <w:tcW w:w="8800" w:type="dxa"/>
            <w:vAlign w:val="bottom"/>
          </w:tcPr>
          <w:p>
            <w:pPr>
              <w:ind w:left="5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(gains) on debt extinguishment,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Gain on Telenet Tower 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U.K. JV Transaction</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(11,138.0)</w:t>
            </w:r>
          </w:p>
        </w:tc>
        <w:tc>
          <w:tcPr>
            <w:tcW w:w="0" w:type="dxa"/>
            <w:vAlign w:val="bottom"/>
          </w:tcPr>
          <w:p>
            <w:pPr>
              <w:spacing w:after="0"/>
              <w:rPr>
                <w:sz w:val="1"/>
                <w:szCs w:val="1"/>
                <w:color w:val="auto"/>
              </w:rPr>
            </w:pPr>
          </w:p>
        </w:tc>
      </w:tr>
      <w:tr>
        <w:trPr>
          <w:trHeight w:val="225"/>
        </w:trPr>
        <w:tc>
          <w:tcPr>
            <w:tcW w:w="88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received from the VMO2 JV</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Dividends received from the VodafoneZiggo JV</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500"/>
              <w:spacing w:after="0" w:line="205" w:lineRule="exact"/>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Six months ended</w:t>
      </w:r>
    </w:p>
    <w:p>
      <w:pPr>
        <w:jc w:val="center"/>
        <w:ind w:left="876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from the sale of investments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4,965.3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2,979.7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(4,055.8)</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received in connection with the sale of UPC Poland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in connection with the Telenet Tower Sale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174"/>
        </w:trPr>
        <w:tc>
          <w:tcPr>
            <w:tcW w:w="87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Cash and restricted cash contributed to the VMO2 JV in connection with the U.K. JV</w:t>
            </w:r>
          </w:p>
        </w:tc>
        <w:tc>
          <w:tcPr>
            <w:tcW w:w="2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0" w:type="dxa"/>
            <w:vAlign w:val="bottom"/>
          </w:tcPr>
          <w:p>
            <w:pPr>
              <w:spacing w:after="0"/>
              <w:rPr>
                <w:sz w:val="1"/>
                <w:szCs w:val="1"/>
                <w:color w:val="auto"/>
              </w:rPr>
            </w:pPr>
          </w:p>
        </w:tc>
      </w:tr>
      <w:tr>
        <w:trPr>
          <w:trHeight w:val="224"/>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w:t>
            </w: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Net cash received in connection with the U.K. JV Transaction</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8"/>
        </w:trPr>
        <w:tc>
          <w:tcPr>
            <w:tcW w:w="8780" w:type="dxa"/>
            <w:vAlign w:val="bottom"/>
          </w:tcPr>
          <w:p>
            <w:pPr>
              <w:ind w:left="260"/>
              <w:spacing w:after="0" w:line="204" w:lineRule="exact"/>
              <w:rPr>
                <w:sz w:val="20"/>
                <w:szCs w:val="20"/>
                <w:color w:val="auto"/>
              </w:rPr>
            </w:pPr>
            <w:r>
              <w:rPr>
                <w:rFonts w:ascii="Arial" w:cs="Arial" w:eastAsia="Arial" w:hAnsi="Arial"/>
                <w:sz w:val="18"/>
                <w:szCs w:val="18"/>
                <w:color w:val="auto"/>
              </w:rPr>
              <w:t>Net cash provided (used) by investing activities of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(5,407.2)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420"/>
              <w:spacing w:after="0" w:line="204" w:lineRule="exact"/>
              <w:rPr>
                <w:sz w:val="20"/>
                <w:szCs w:val="20"/>
                <w:color w:val="auto"/>
              </w:rPr>
            </w:pPr>
            <w:r>
              <w:rPr>
                <w:rFonts w:ascii="Arial" w:cs="Arial" w:eastAsia="Arial" w:hAnsi="Arial"/>
                <w:sz w:val="18"/>
                <w:szCs w:val="18"/>
                <w:color w:val="auto"/>
              </w:rPr>
              <w:t>Net cash provided (used) by investing activities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(5,433.4)</w:t>
            </w:r>
          </w:p>
        </w:tc>
        <w:tc>
          <w:tcPr>
            <w:tcW w:w="0" w:type="dxa"/>
            <w:vAlign w:val="bottom"/>
          </w:tcPr>
          <w:p>
            <w:pPr>
              <w:spacing w:after="0"/>
              <w:rPr>
                <w:sz w:val="1"/>
                <w:szCs w:val="1"/>
                <w:color w:val="auto"/>
              </w:rPr>
            </w:pPr>
          </w:p>
        </w:tc>
      </w:tr>
      <w:tr>
        <w:trPr>
          <w:trHeight w:val="246"/>
        </w:trPr>
        <w:tc>
          <w:tcPr>
            <w:tcW w:w="8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Operating-related vendor financing additions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1,474.7</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260"/>
              <w:spacing w:after="0"/>
              <w:rPr>
                <w:sz w:val="20"/>
                <w:szCs w:val="20"/>
                <w:color w:val="auto"/>
              </w:rPr>
            </w:pPr>
            <w:r>
              <w:rPr>
                <w:rFonts w:ascii="Arial" w:cs="Arial" w:eastAsia="Arial" w:hAnsi="Arial"/>
                <w:sz w:val="18"/>
                <w:szCs w:val="18"/>
                <w:color w:val="auto"/>
              </w:rPr>
              <w:t>Debt (excluding vendor financing)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operating-related vendor financing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225"/>
        </w:trPr>
        <w:tc>
          <w:tcPr>
            <w:tcW w:w="8780" w:type="dxa"/>
            <w:vAlign w:val="bottom"/>
          </w:tcPr>
          <w:p>
            <w:pPr>
              <w:ind w:left="260"/>
              <w:spacing w:after="0"/>
              <w:rPr>
                <w:sz w:val="20"/>
                <w:szCs w:val="20"/>
                <w:color w:val="auto"/>
              </w:rPr>
            </w:pPr>
            <w:r>
              <w:rPr>
                <w:rFonts w:ascii="Arial" w:cs="Arial" w:eastAsia="Arial" w:hAnsi="Arial"/>
                <w:sz w:val="18"/>
                <w:szCs w:val="18"/>
                <w:color w:val="auto"/>
              </w:rPr>
              <w:t>Principal payments on capital-related vendor financing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payments on finance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by subsidiaries to noncontrolling interest owners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Net cash received (paid) related to derivative instruments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8"/>
        </w:trPr>
        <w:tc>
          <w:tcPr>
            <w:tcW w:w="8780" w:type="dxa"/>
            <w:vAlign w:val="bottom"/>
          </w:tcPr>
          <w:p>
            <w:pPr>
              <w:ind w:left="260"/>
              <w:spacing w:after="0" w:line="204" w:lineRule="exact"/>
              <w:rPr>
                <w:sz w:val="20"/>
                <w:szCs w:val="20"/>
                <w:color w:val="auto"/>
              </w:rPr>
            </w:pPr>
            <w:r>
              <w:rPr>
                <w:rFonts w:ascii="Arial" w:cs="Arial" w:eastAsia="Arial" w:hAnsi="Arial"/>
                <w:sz w:val="18"/>
                <w:szCs w:val="18"/>
                <w:color w:val="auto"/>
              </w:rPr>
              <w:t>Net cash used by financing activities of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cash used by financing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8780" w:type="dxa"/>
            <w:vAlign w:val="bottom"/>
          </w:tcPr>
          <w:p>
            <w:pPr>
              <w:ind w:left="420"/>
              <w:spacing w:after="0" w:line="204" w:lineRule="exact"/>
              <w:rPr>
                <w:sz w:val="20"/>
                <w:szCs w:val="20"/>
                <w:color w:val="auto"/>
              </w:rPr>
            </w:pPr>
            <w:r>
              <w:rPr>
                <w:rFonts w:ascii="Arial" w:cs="Arial" w:eastAsia="Arial" w:hAnsi="Arial"/>
                <w:sz w:val="18"/>
                <w:szCs w:val="18"/>
                <w:color w:val="auto"/>
              </w:rPr>
              <w:t>Net cash used by financing activities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p>
      <w:pPr>
        <w:jc w:val="center"/>
        <w:ind w:left="8760"/>
        <w:spacing w:after="0"/>
        <w:rPr>
          <w:sz w:val="20"/>
          <w:szCs w:val="20"/>
          <w:color w:val="auto"/>
        </w:rPr>
      </w:pPr>
      <w:r>
        <w:rPr>
          <w:rFonts w:ascii="Arial" w:cs="Arial" w:eastAsia="Arial" w:hAnsi="Arial"/>
          <w:sz w:val="16"/>
          <w:szCs w:val="16"/>
          <w:b w:val="1"/>
          <w:bCs w:val="1"/>
          <w:color w:val="auto"/>
        </w:rPr>
        <w:t>Six months ended</w:t>
      </w:r>
    </w:p>
    <w:p>
      <w:pPr>
        <w:jc w:val="center"/>
        <w:ind w:left="876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(3,889.2)</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(3,836.0)</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Cash and cash equivalents and restricted cash: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0" w:type="dxa"/>
            <w:vAlign w:val="bottom"/>
          </w:tcPr>
          <w:p>
            <w:pPr>
              <w:spacing w:after="0"/>
              <w:rPr>
                <w:sz w:val="1"/>
                <w:szCs w:val="1"/>
                <w:color w:val="auto"/>
              </w:rPr>
            </w:pPr>
          </w:p>
        </w:tc>
      </w:tr>
      <w:tr>
        <w:trPr>
          <w:trHeight w:val="218"/>
        </w:trPr>
        <w:tc>
          <w:tcPr>
            <w:tcW w:w="8780" w:type="dxa"/>
            <w:vAlign w:val="bottom"/>
          </w:tcPr>
          <w:p>
            <w:pPr>
              <w:ind w:left="50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8"/>
        </w:trPr>
        <w:tc>
          <w:tcPr>
            <w:tcW w:w="8780" w:type="dxa"/>
            <w:vAlign w:val="bottom"/>
            <w:tcBorders>
              <w:bottom w:val="single" w:sz="8" w:color="CCEEFF"/>
            </w:tcBorders>
            <w:shd w:val="clear" w:color="auto" w:fill="CCEEFF"/>
          </w:tcPr>
          <w:p>
            <w:pPr>
              <w:ind w:left="340"/>
              <w:spacing w:after="0" w:line="193"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2"/>
              <w:spacing w:after="0" w:line="19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cash paid for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8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2,391.1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8"/>
        </w:trPr>
        <w:tc>
          <w:tcPr>
            <w:tcW w:w="8780" w:type="dxa"/>
            <w:vAlign w:val="bottom"/>
          </w:tcPr>
          <w:p>
            <w:pPr>
              <w:ind w:left="320"/>
              <w:spacing w:after="0"/>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4"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Switzerland and Slovakia through certain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61.1%-owned subsidiary, and (iii) Ireland through another wholly-owned subsidiary (</w:t>
      </w:r>
      <w:r>
        <w:rPr>
          <w:rFonts w:ascii="Arial" w:cs="Arial" w:eastAsia="Arial" w:hAnsi="Arial"/>
          <w:sz w:val="18"/>
          <w:szCs w:val="18"/>
          <w:b w:val="1"/>
          <w:bCs w:val="1"/>
          <w:color w:val="auto"/>
        </w:rPr>
        <w:t>VM Ireland</w:t>
      </w:r>
      <w:r>
        <w:rPr>
          <w:rFonts w:ascii="Arial" w:cs="Arial" w:eastAsia="Arial" w:hAnsi="Arial"/>
          <w:sz w:val="18"/>
          <w:szCs w:val="18"/>
          <w:color w:val="auto"/>
        </w:rPr>
        <w:t xml:space="preserve">). In addition, we own 50% noncontrolling interests in (a) a 50:50 joint venture (the </w:t>
      </w:r>
      <w:r>
        <w:rPr>
          <w:rFonts w:ascii="Arial" w:cs="Arial" w:eastAsia="Arial" w:hAnsi="Arial"/>
          <w:sz w:val="18"/>
          <w:szCs w:val="18"/>
          <w:b w:val="1"/>
          <w:bCs w:val="1"/>
          <w:color w:val="auto"/>
        </w:rPr>
        <w:t>VMO2 JV</w:t>
      </w:r>
      <w:r>
        <w:rPr>
          <w:rFonts w:ascii="Arial" w:cs="Arial" w:eastAsia="Arial" w:hAnsi="Arial"/>
          <w:sz w:val="18"/>
          <w:szCs w:val="18"/>
          <w:color w:val="auto"/>
        </w:rPr>
        <w:t>) with Telefónica SA (</w:t>
      </w:r>
      <w:r>
        <w:rPr>
          <w:rFonts w:ascii="Arial" w:cs="Arial" w:eastAsia="Arial" w:hAnsi="Arial"/>
          <w:sz w:val="18"/>
          <w:szCs w:val="18"/>
          <w:b w:val="1"/>
          <w:bCs w:val="1"/>
          <w:color w:val="auto"/>
        </w:rPr>
        <w:t>Telefónica</w:t>
      </w:r>
      <w:r>
        <w:rPr>
          <w:rFonts w:ascii="Arial" w:cs="Arial" w:eastAsia="Arial" w:hAnsi="Arial"/>
          <w:sz w:val="18"/>
          <w:szCs w:val="18"/>
          <w:color w:val="auto"/>
        </w:rPr>
        <w:t>), which provides residential and B2B communications services in the United Kingdom (</w:t>
      </w:r>
      <w:r>
        <w:rPr>
          <w:rFonts w:ascii="Arial" w:cs="Arial" w:eastAsia="Arial" w:hAnsi="Arial"/>
          <w:sz w:val="18"/>
          <w:szCs w:val="18"/>
          <w:b w:val="1"/>
          <w:bCs w:val="1"/>
          <w:color w:val="auto"/>
        </w:rPr>
        <w:t>U.K.</w:t>
      </w:r>
      <w:r>
        <w:rPr>
          <w:rFonts w:ascii="Arial" w:cs="Arial" w:eastAsia="Arial" w:hAnsi="Arial"/>
          <w:sz w:val="18"/>
          <w:szCs w:val="18"/>
          <w:color w:val="auto"/>
        </w:rPr>
        <w:t xml:space="preserve">), and (b) a 50:50 joint venture (the </w:t>
      </w:r>
      <w:r>
        <w:rPr>
          <w:rFonts w:ascii="Arial" w:cs="Arial" w:eastAsia="Arial" w:hAnsi="Arial"/>
          <w:sz w:val="18"/>
          <w:szCs w:val="18"/>
          <w:b w:val="1"/>
          <w:bCs w:val="1"/>
          <w:color w:val="auto"/>
        </w:rPr>
        <w:t>VodafoneZiggo JV</w:t>
      </w:r>
      <w:r>
        <w:rPr>
          <w:rFonts w:ascii="Arial" w:cs="Arial" w:eastAsia="Arial" w:hAnsi="Arial"/>
          <w:sz w:val="18"/>
          <w:szCs w:val="18"/>
          <w:color w:val="auto"/>
        </w:rPr>
        <w:t>) with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which provides residential and B2B communications services in the Netherlands.</w:t>
      </w:r>
    </w:p>
    <w:p>
      <w:pPr>
        <w:spacing w:after="0" w:line="2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in these condensed consolidated financial statements, our operations in Poland are reflected as discontinued operations for all applicable periods. For additional information, see note 4.</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included residential and B2B communications services provided to customers in the U.K.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On June 1, 2021, we contributed the U.K. JV Entities (as defined in note 4) to the VMO2 JV and began accounting for our 50% interest in the VMO2 JV as an equity method investment. For additional information, see note 4.</w:t>
      </w:r>
    </w:p>
    <w:p>
      <w:pPr>
        <w:spacing w:after="0" w:line="2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unaudited condensed consolidated financial statements have been prepared in accordance with accounting principles generally accepted in the United States (</w:t>
      </w:r>
      <w:r>
        <w:rPr>
          <w:rFonts w:ascii="Arial" w:cs="Arial" w:eastAsia="Arial" w:hAnsi="Arial"/>
          <w:sz w:val="15"/>
          <w:szCs w:val="15"/>
          <w:b w:val="1"/>
          <w:bCs w:val="1"/>
          <w:color w:val="auto"/>
        </w:rPr>
        <w:t>GAAP</w:t>
      </w:r>
      <w:r>
        <w:rPr>
          <w:rFonts w:ascii="Arial" w:cs="Arial" w:eastAsia="Arial" w:hAnsi="Arial"/>
          <w:sz w:val="15"/>
          <w:szCs w:val="15"/>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2021 consolidated financial statements and notes thereto included in our 2021 Annual Report on Form 10-K, as amended (our </w:t>
      </w:r>
      <w:r>
        <w:rPr>
          <w:rFonts w:ascii="Arial" w:cs="Arial" w:eastAsia="Arial" w:hAnsi="Arial"/>
          <w:sz w:val="15"/>
          <w:szCs w:val="15"/>
          <w:b w:val="1"/>
          <w:bCs w:val="1"/>
          <w:color w:val="auto"/>
        </w:rPr>
        <w:t>10-K</w:t>
      </w:r>
      <w:r>
        <w:rPr>
          <w:rFonts w:ascii="Arial" w:cs="Arial" w:eastAsia="Arial" w:hAnsi="Arial"/>
          <w:sz w:val="15"/>
          <w:szCs w:val="15"/>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20" w:right="8160" w:hanging="314"/>
        <w:spacing w:after="0" w:line="514"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Recent Accounting Pronouncements </w:t>
      </w:r>
      <w:r>
        <w:rPr>
          <w:rFonts w:ascii="Arial" w:cs="Arial" w:eastAsia="Arial" w:hAnsi="Arial"/>
          <w:sz w:val="18"/>
          <w:szCs w:val="18"/>
          <w:i w:val="1"/>
          <w:iCs w:val="1"/>
          <w:color w:val="auto"/>
        </w:rPr>
        <w:t>ASU 2021-08</w:t>
      </w:r>
    </w:p>
    <w:p>
      <w:pPr>
        <w:spacing w:after="0" w:line="1"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In October 2021, the Financial Accounting Standards Board (</w:t>
      </w:r>
      <w:r>
        <w:rPr>
          <w:rFonts w:ascii="Arial" w:cs="Arial" w:eastAsia="Arial" w:hAnsi="Arial"/>
          <w:sz w:val="15"/>
          <w:szCs w:val="15"/>
          <w:b w:val="1"/>
          <w:b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color w:val="auto"/>
        </w:rPr>
        <w:t>ASU</w:t>
      </w:r>
      <w:r>
        <w:rPr>
          <w:rFonts w:ascii="Arial" w:cs="Arial" w:eastAsia="Arial" w:hAnsi="Arial"/>
          <w:sz w:val="15"/>
          <w:szCs w:val="15"/>
          <w:color w:val="auto"/>
        </w:rPr>
        <w:t xml:space="preserve">) No. 2021-08, </w:t>
      </w:r>
      <w:r>
        <w:rPr>
          <w:rFonts w:ascii="Arial" w:cs="Arial" w:eastAsia="Arial" w:hAnsi="Arial"/>
          <w:sz w:val="15"/>
          <w:szCs w:val="15"/>
          <w:i w:val="1"/>
          <w:iCs w:val="1"/>
          <w:color w:val="auto"/>
        </w:rPr>
        <w:t>Accounting for Contract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Assets and Contract Liabilities from Contracts with Customers </w:t>
      </w:r>
      <w:r>
        <w:rPr>
          <w:rFonts w:ascii="Arial" w:cs="Arial" w:eastAsia="Arial" w:hAnsi="Arial"/>
          <w:sz w:val="15"/>
          <w:szCs w:val="15"/>
          <w:color w:val="auto"/>
        </w:rPr>
        <w:t>(</w:t>
      </w:r>
      <w:r>
        <w:rPr>
          <w:rFonts w:ascii="Arial" w:cs="Arial" w:eastAsia="Arial" w:hAnsi="Arial"/>
          <w:sz w:val="15"/>
          <w:szCs w:val="15"/>
          <w:b w:val="1"/>
          <w:bCs w:val="1"/>
          <w:color w:val="auto"/>
        </w:rPr>
        <w:t>ASU 2021-08</w:t>
      </w:r>
      <w:r>
        <w:rPr>
          <w:rFonts w:ascii="Arial" w:cs="Arial" w:eastAsia="Arial" w:hAnsi="Arial"/>
          <w:sz w:val="15"/>
          <w:szCs w:val="15"/>
          <w:color w:val="auto"/>
        </w:rPr>
        <w:t>), which requires contract assets and contract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combination to be recognized and measured in accordance with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 if the acquirer had originated the contracts. ASU 2021-08 is effective for annual reporting periods beginning after December 15, 2022,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2020-04</w:t>
      </w:r>
    </w:p>
    <w:p>
      <w:pPr>
        <w:spacing w:after="0" w:line="23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April 2020, the FASB issued ASU No.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ASU 2020-04</w:t>
      </w:r>
      <w:r>
        <w:rPr>
          <w:rFonts w:ascii="Arial" w:cs="Arial" w:eastAsia="Arial" w:hAnsi="Arial"/>
          <w:sz w:val="18"/>
          <w:szCs w:val="18"/>
          <w:color w:val="auto"/>
        </w:rPr>
        <w:t>), which provides optional expedients and exceptions for contract modifications, subject to meeting certain criteria, that reference the 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or another reference rate expected to be discontinued. In accordance with the optional expedients in ASU 2020-04, we have modified certain of our debt agreements during 2022 to replace LIBOR with another reference rate and applied the practical expedient to account for the modification as a continuation of the existing contract. The use of optional expedients in ASU 2020-04 has not had a significant impact on our consolidated financial statements to date. For additional information regarding our debt, see note 9.</w:t>
      </w:r>
    </w:p>
    <w:p>
      <w:pPr>
        <w:spacing w:after="0" w:line="212" w:lineRule="exact"/>
        <w:rPr>
          <w:sz w:val="20"/>
          <w:szCs w:val="20"/>
          <w:color w:val="auto"/>
        </w:rPr>
      </w:pPr>
    </w:p>
    <w:p>
      <w:pPr>
        <w:ind w:left="380" w:hanging="37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$39.0 million and $42.0 million at June 30, 2022 and December 31, 2021, respectively.</w:t>
      </w:r>
    </w:p>
    <w:p>
      <w:pPr>
        <w:spacing w:after="0" w:line="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$27.7 million and $29.7 million as of June 30, 2022 and December 31, 2021, respectively. The current and long-term portions of our contract asset balances are included within other current assets and other assets, net, respectively, on our condensed consolidated balance sheets.</w:t>
      </w:r>
    </w:p>
    <w:p>
      <w:pPr>
        <w:spacing w:after="0" w:line="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$324.7 million and $286.5 million as of June 30, 2022 and December 31, 2021, respectively. The increase in deferred revenue for the six months ended June 30, 2022 is primarily due to the net effect of (a) the impact of additions during the period and (b) the recognition of $181.5 million of revenue that was included in our deferred revenue balance at December 31, 2021. The long-term portions of our deferred revenue balances are included within other long-term liabilities on our condensed consolidated balance sheets.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aggregate assets associated with incremental costs to obtain and fulfill our contracts were $65.7 million and $63.4 million at June 30, 2022 and December 31, 2021, respectively. The current and long-term portions of our assets related to contract costs are included within other current assets and other assets, net, respectively, on our condensed consolidated balance sheets. We amortized $4.2 million and $8.6 million during the three and six months ended June 30, 2022, respectively, and $24.8 million and $71.8 million during the three and six months ended June 30, 2021, respectively, to operating costs and expenses related to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9" w:lineRule="exact"/>
        <w:rPr>
          <w:sz w:val="20"/>
          <w:szCs w:val="20"/>
          <w:color w:val="auto"/>
        </w:rPr>
      </w:pPr>
    </w:p>
    <w:p>
      <w:pPr>
        <w:ind w:left="380" w:hanging="37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2022 Dispositions</w:t>
      </w:r>
    </w:p>
    <w:p>
      <w:pPr>
        <w:spacing w:after="0" w:line="2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UPC Poland. </w:t>
      </w:r>
      <w:r>
        <w:rPr>
          <w:rFonts w:ascii="Arial" w:cs="Arial" w:eastAsia="Arial" w:hAnsi="Arial"/>
          <w:sz w:val="18"/>
          <w:szCs w:val="18"/>
          <w:color w:val="auto"/>
        </w:rPr>
        <w:t>On April 1, 2022, we completed the sale of 100% of our operations in Poland (</w:t>
      </w:r>
      <w:r>
        <w:rPr>
          <w:rFonts w:ascii="Arial" w:cs="Arial" w:eastAsia="Arial" w:hAnsi="Arial"/>
          <w:sz w:val="18"/>
          <w:szCs w:val="18"/>
          <w:b w:val="1"/>
          <w:bCs w:val="1"/>
          <w:color w:val="auto"/>
        </w:rPr>
        <w:t>UPC Poland</w:t>
      </w:r>
      <w:r>
        <w:rPr>
          <w:rFonts w:ascii="Arial" w:cs="Arial" w:eastAsia="Arial" w:hAnsi="Arial"/>
          <w:sz w:val="18"/>
          <w:szCs w:val="18"/>
          <w:color w:val="auto"/>
        </w:rPr>
        <w:t>) to a subsidiary of iliad S.A. After considering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working capital adjustments (including cash disposed), we received net cash proceeds of Polish zloty 6,590.4 million ($1,568.1 million at the transaction date). A portion of the net proceeds from the sale, after reflecting the impact of derivative settlements, was used to repurchase certain of UPC Holding’s outstanding indebtedness, with the remainder available for general corporate purposes. For additional information regarding these financing transactions, see note 9.</w:t>
      </w:r>
    </w:p>
    <w:p>
      <w:pPr>
        <w:spacing w:after="0" w:line="2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UPC Poland, we recognized a gain of $848.9 million, which includes a cumulative foreign currency translation gain of $10.9 million. No income taxes were required to be provided on this gain.</w:t>
      </w:r>
    </w:p>
    <w:p>
      <w:pPr>
        <w:spacing w:after="0" w:line="20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agreed to provide certain transitional services for a period of up to five years, depending on the service. These services will principally comprise network and information technology-related functions. The annual charges will depend on the actual level of services required by the purchaser. During the three months ended June 30, 2022, we recorded revenue of $8.8 million associated with these transitional services.</w:t>
      </w:r>
    </w:p>
    <w:p>
      <w:pPr>
        <w:spacing w:after="0" w:line="1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UPC Poland is presented as a discontinued operation in our condensed consolidated financial statements for all applicable periods. Effective with the signing of the sale and purchase agreement on September 22, 2021, we ceased to depreciate or amortize the associated long-lived assets. Our operations in Poland were held through UPC Holding prior to the disposal date. No debt, interest or derivative instruments of the UPC Holding borrowing group have been allocated to discontinued operations. Prior to being presented as a discontinued operation, the operations of UPC Poland were included in our former “</w:t>
      </w:r>
      <w:r>
        <w:rPr>
          <w:rFonts w:ascii="Arial" w:cs="Arial" w:eastAsia="Arial" w:hAnsi="Arial"/>
          <w:sz w:val="18"/>
          <w:szCs w:val="18"/>
          <w:i w:val="1"/>
          <w:iCs w:val="1"/>
          <w:color w:val="auto"/>
        </w:rPr>
        <w:t>Central</w:t>
      </w:r>
      <w:r>
        <w:rPr>
          <w:rFonts w:ascii="Arial" w:cs="Arial" w:eastAsia="Arial" w:hAnsi="Arial"/>
          <w:sz w:val="18"/>
          <w:szCs w:val="18"/>
          <w:color w:val="auto"/>
        </w:rPr>
        <w:t xml:space="preserve"> </w:t>
      </w:r>
      <w:r>
        <w:rPr>
          <w:rFonts w:ascii="Arial" w:cs="Arial" w:eastAsia="Arial" w:hAnsi="Arial"/>
          <w:sz w:val="18"/>
          <w:szCs w:val="18"/>
          <w:i w:val="1"/>
          <w:iCs w:val="1"/>
          <w:color w:val="auto"/>
        </w:rPr>
        <w:t>and Eastern Europe</w:t>
      </w:r>
      <w:r>
        <w:rPr>
          <w:rFonts w:ascii="Arial" w:cs="Arial" w:eastAsia="Arial" w:hAnsi="Arial"/>
          <w:sz w:val="18"/>
          <w:szCs w:val="18"/>
          <w:color w:val="auto"/>
        </w:rPr>
        <w:t>” reportable segment.</w:t>
      </w:r>
    </w:p>
    <w:p>
      <w:pPr>
        <w:spacing w:after="0" w:line="22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carrying amounts of the major classes of assets and liabilities of UPC Poland as of December 31, 2021 are summarized in the following table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464.7</w:t>
            </w:r>
          </w:p>
        </w:tc>
      </w:tr>
      <w:tr>
        <w:trPr>
          <w:trHeight w:val="225"/>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9"/>
        </w:trPr>
        <w:tc>
          <w:tcPr>
            <w:tcW w:w="96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8"/>
        </w:trPr>
        <w:tc>
          <w:tcPr>
            <w:tcW w:w="9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9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debt and finance lease obligations</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5"/>
        </w:trPr>
        <w:tc>
          <w:tcPr>
            <w:tcW w:w="9600" w:type="dxa"/>
            <w:vAlign w:val="bottom"/>
          </w:tcPr>
          <w:p>
            <w:pPr>
              <w:ind w:left="120"/>
              <w:spacing w:after="0"/>
              <w:rPr>
                <w:sz w:val="20"/>
                <w:szCs w:val="20"/>
                <w:color w:val="auto"/>
              </w:rPr>
            </w:pPr>
            <w:r>
              <w:rPr>
                <w:rFonts w:ascii="Arial" w:cs="Arial" w:eastAsia="Arial" w:hAnsi="Arial"/>
                <w:sz w:val="18"/>
                <w:szCs w:val="18"/>
                <w:color w:val="auto"/>
              </w:rPr>
              <w:t>Other accrued and current liabilities</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26"/>
        </w:trPr>
        <w:tc>
          <w:tcPr>
            <w:tcW w:w="9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 and finance lease obligations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9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44"/>
        </w:trPr>
        <w:tc>
          <w:tcPr>
            <w:tcW w:w="9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operating results of UPC Poland for the periods indicated are summarized in the following table. These amounts exclude intercompany revenue and expenses that are eliminated within our condensed consolidated statements of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196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Three months ended June</w:t>
            </w: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5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30, 2021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2022 (a)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03"/>
        </w:trPr>
        <w:tc>
          <w:tcPr>
            <w:tcW w:w="5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9"/>
        </w:trPr>
        <w:tc>
          <w:tcPr>
            <w:tcW w:w="5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880" w:type="dxa"/>
            <w:vAlign w:val="bottom"/>
          </w:tcPr>
          <w:p>
            <w:pPr>
              <w:ind w:left="20"/>
              <w:spacing w:after="0" w:line="198" w:lineRule="exact"/>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tcPr>
          <w:p>
            <w:pPr>
              <w:jc w:val="right"/>
              <w:ind w:right="173"/>
              <w:spacing w:after="0" w:line="198"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45.0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52.4</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8"/>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5"/>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operating results of UPC Poland from January 1, 2022 through April 1, 2022, the date UPC Poland was sold.</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Telenet Tower Sale. </w:t>
      </w:r>
      <w:r>
        <w:rPr>
          <w:rFonts w:ascii="Arial" w:cs="Arial" w:eastAsia="Arial" w:hAnsi="Arial"/>
          <w:sz w:val="15"/>
          <w:szCs w:val="15"/>
          <w:color w:val="auto"/>
        </w:rPr>
        <w:t>On June 1, 2022, Telenet completed the sale of substantially all of their passive infrastructure and tower assets to DigitalBridge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LLC (</w:t>
      </w:r>
      <w:r>
        <w:rPr>
          <w:rFonts w:ascii="Arial" w:cs="Arial" w:eastAsia="Arial" w:hAnsi="Arial"/>
          <w:sz w:val="15"/>
          <w:szCs w:val="15"/>
          <w:b w:val="1"/>
          <w:bCs w:val="1"/>
          <w:color w:val="auto"/>
        </w:rPr>
        <w:t>DigitalBridge</w:t>
      </w:r>
      <w:r>
        <w:rPr>
          <w:rFonts w:ascii="Arial" w:cs="Arial" w:eastAsia="Arial" w:hAnsi="Arial"/>
          <w:sz w:val="15"/>
          <w:szCs w:val="15"/>
          <w:color w:val="auto"/>
        </w:rPr>
        <w:t xml:space="preserve">) (the </w:t>
      </w:r>
      <w:r>
        <w:rPr>
          <w:rFonts w:ascii="Arial" w:cs="Arial" w:eastAsia="Arial" w:hAnsi="Arial"/>
          <w:sz w:val="15"/>
          <w:szCs w:val="15"/>
          <w:b w:val="1"/>
          <w:bCs w:val="1"/>
          <w:color w:val="auto"/>
        </w:rPr>
        <w:t>Telenet Tower Sale</w:t>
      </w:r>
      <w:r>
        <w:rPr>
          <w:rFonts w:ascii="Arial" w:cs="Arial" w:eastAsia="Arial" w:hAnsi="Arial"/>
          <w:sz w:val="15"/>
          <w:szCs w:val="15"/>
          <w:color w:val="auto"/>
        </w:rPr>
        <w:t>). After considering working capital adjustments, we received net cash proceeds of €733.0 million ($779.9 million at the transaction date). Effective with the signing of the sale and purchase agreement on March 25, 2022, we began accounting for the associated assets and liabilities as held for sale and, accordingly, we ceased to depreciate or amortize these long-lived assets.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completion of the Telenet Tower Sale, we recognized a gain of $693.3 million. No income taxes were required to be provided on this gain.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As part of the Telenet Tower Sale, Telenet entered into a master lease agreement to lease back the passive infrastructure and tower assets from DigitalBridge for an initial period of 15 years (the </w:t>
      </w:r>
      <w:r>
        <w:rPr>
          <w:rFonts w:ascii="Arial" w:cs="Arial" w:eastAsia="Arial" w:hAnsi="Arial"/>
          <w:sz w:val="18"/>
          <w:szCs w:val="18"/>
          <w:b w:val="1"/>
          <w:bCs w:val="1"/>
          <w:color w:val="auto"/>
        </w:rPr>
        <w:t>Telenet Tower Lease Agreement</w:t>
      </w:r>
      <w:r>
        <w:rPr>
          <w:rFonts w:ascii="Arial" w:cs="Arial" w:eastAsia="Arial" w:hAnsi="Arial"/>
          <w:sz w:val="18"/>
          <w:szCs w:val="18"/>
          <w:color w:val="auto"/>
        </w:rPr>
        <w:t>). In connection with the Telenet Tower Lease Agreement, we recorded non-cash additions to our operating lease right-of-use (</w:t>
      </w:r>
      <w:r>
        <w:rPr>
          <w:rFonts w:ascii="Arial" w:cs="Arial" w:eastAsia="Arial" w:hAnsi="Arial"/>
          <w:sz w:val="18"/>
          <w:szCs w:val="18"/>
          <w:b w:val="1"/>
          <w:bCs w:val="1"/>
          <w:color w:val="auto"/>
        </w:rPr>
        <w:t>ROU</w:t>
      </w:r>
      <w:r>
        <w:rPr>
          <w:rFonts w:ascii="Arial" w:cs="Arial" w:eastAsia="Arial" w:hAnsi="Arial"/>
          <w:sz w:val="18"/>
          <w:szCs w:val="18"/>
          <w:color w:val="auto"/>
        </w:rPr>
        <w:t>) assets of $615.1 million and a corresponding increase to our operating lease liabilities of the same amount.</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as part of the Telenet Tower Lease Agreement, Telenet has also committed to lease back 475 build-to-suit sites over the term of the lease. The total estimated future payments for the build-to-suit sites over the term of the lease are $102.2 million (representing the U.S. dollar equivalents based on June 30, 2022 exchange rates), the majority of which are due after 2027. Telenet will act as an agent over the construction of future towers on the build-to-suit sites.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2021 Disposition</w:t>
      </w:r>
    </w:p>
    <w:p>
      <w:pPr>
        <w:spacing w:after="0" w:line="238"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i w:val="1"/>
          <w:iCs w:val="1"/>
          <w:color w:val="auto"/>
        </w:rPr>
        <w:t xml:space="preserve">U.K. JV Transaction. </w:t>
      </w:r>
      <w:r>
        <w:rPr>
          <w:rFonts w:ascii="Arial" w:cs="Arial" w:eastAsia="Arial" w:hAnsi="Arial"/>
          <w:sz w:val="15"/>
          <w:szCs w:val="15"/>
          <w:color w:val="auto"/>
        </w:rPr>
        <w:t>On June 1, 2021, pursuant to a Contribution Agreement dated May 7, 2020 (the</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Contribution Agreement</w:t>
      </w:r>
      <w:r>
        <w:rPr>
          <w:rFonts w:ascii="Arial" w:cs="Arial" w:eastAsia="Arial" w:hAnsi="Arial"/>
          <w:sz w:val="15"/>
          <w:szCs w:val="15"/>
          <w:color w:val="auto"/>
        </w:rPr>
        <w:t>) with, among others,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Telefónica, (i) we contributed Virgin Media’s U.K. operations and certain other Liberty Global subsidiaries (together, the </w:t>
      </w:r>
      <w:r>
        <w:rPr>
          <w:rFonts w:ascii="Arial" w:cs="Arial" w:eastAsia="Arial" w:hAnsi="Arial"/>
          <w:sz w:val="15"/>
          <w:szCs w:val="15"/>
          <w:b w:val="1"/>
          <w:bCs w:val="1"/>
          <w:color w:val="auto"/>
        </w:rPr>
        <w:t>U.K. JV Entities</w:t>
      </w:r>
      <w:r>
        <w:rPr>
          <w:rFonts w:ascii="Arial" w:cs="Arial" w:eastAsia="Arial" w:hAnsi="Arial"/>
          <w:sz w:val="15"/>
          <w:szCs w:val="15"/>
          <w:color w:val="auto"/>
        </w:rPr>
        <w:t>) to the VMO2 JV and (ii) Telefónica contributed its U.K. mobile business to the VMO2 JV, creating a nationwide integrated communications provider (herein referred to as the “</w:t>
      </w:r>
      <w:r>
        <w:rPr>
          <w:rFonts w:ascii="Arial" w:cs="Arial" w:eastAsia="Arial" w:hAnsi="Arial"/>
          <w:sz w:val="15"/>
          <w:szCs w:val="15"/>
          <w:b w:val="1"/>
          <w:bCs w:val="1"/>
          <w:color w:val="auto"/>
        </w:rPr>
        <w:t>U.K. JV Transaction</w:t>
      </w:r>
      <w:r>
        <w:rPr>
          <w:rFonts w:ascii="Arial" w:cs="Arial" w:eastAsia="Arial" w:hAnsi="Arial"/>
          <w:sz w:val="15"/>
          <w:szCs w:val="15"/>
          <w:color w:val="auto"/>
        </w:rPr>
        <w:t>”). We account for our 50% interest in the VMO2 JV as an equity method investment, as further described in note 5.</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the U.K. JV Transaction, we received net cash of $52.0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which includes (i) an equalization payment, (ii) our share of the proceeds associated with related recapitalization financing transactions completed by the VMO2 JV and (iii) $44.5 million of cash paid by Liberty Global to settle certain centrally-held vendor financing obligations associated with the VMO2 JV. In connection with the U.K. JV Transaction, we recognized a pre-tax gain of $11.1 billion, net of the recognition of a cumulative foreign currency translation loss of $1.2 billion. This gain was calculated by deducting the carrying value of the U.K. JV Entities (including the related foreign currency translation loss) from the sum of (i) the fair value assigned to our 50% interest in the VMO2 JV and (ii) the net cash received pursuant to the equalization payment and the recapitalization transactions described above. For information regarding our approach to the valuation of our interest in the VMO2 JV, see note 7.</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summary of the fair value of the assets and liabilities of the VMO2 JV at the June 1, 2021 transaction date is presented in the following table. The opening balance sheet presented below reflects the final purchase price allocation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12,523.2</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29,502.7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13,274.6</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(4,352.5)</w:t>
            </w:r>
          </w:p>
        </w:tc>
      </w:tr>
      <w:tr>
        <w:trPr>
          <w:trHeight w:val="226"/>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(5,780.8)</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(21,879.2)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w:t>
            </w:r>
          </w:p>
        </w:tc>
      </w:tr>
      <w:tr>
        <w:trPr>
          <w:trHeight w:val="219"/>
        </w:trPr>
        <w:tc>
          <w:tcPr>
            <w:tcW w:w="9820" w:type="dxa"/>
            <w:vAlign w:val="bottom"/>
          </w:tcPr>
          <w:p>
            <w:pPr>
              <w:ind w:left="200"/>
              <w:spacing w:after="0"/>
              <w:rPr>
                <w:sz w:val="20"/>
                <w:szCs w:val="20"/>
                <w:color w:val="auto"/>
              </w:rPr>
            </w:pPr>
            <w:r>
              <w:rPr>
                <w:rFonts w:ascii="Arial" w:cs="Arial" w:eastAsia="Arial" w:hAnsi="Arial"/>
                <w:sz w:val="18"/>
                <w:szCs w:val="18"/>
                <w:color w:val="auto"/>
              </w:rPr>
              <w:t>Total fair value of the net assets of the VMO2 JV</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29,420.0</w:t>
            </w:r>
          </w:p>
        </w:tc>
      </w:tr>
      <w:tr>
        <w:trPr>
          <w:trHeight w:val="20"/>
        </w:trPr>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condensed consolidated statements of operations for the three and six months ended June 30, 2021 include aggregate earnings from continuing operations before income taxes attributable to the U.K. JV Entities of $168.9 million and $890.5 million, respectively.</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Effective with the signing of the Contribution Agreement, we began accounting for the U.K. JV Entities as held for sale. Accordingly, we ceased to depreciate or amortize the long-lived assets of the U.K. JV Entities. However, the U.K. JV Entities were not presented as discontinued operations as the U.K. JV Transaction did not represent a strategic shift as defined by GAAP.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Accounting Method</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320" w:type="dxa"/>
            <w:vAlign w:val="bottom"/>
            <w:gridSpan w:val="2"/>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13"/>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18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VMO2 JV</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VodafoneZiggo JV (c)</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2,572.4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Atlas Edge Joint Venture (</w:t>
            </w:r>
            <w:r>
              <w:rPr>
                <w:rFonts w:ascii="Arial" w:cs="Arial" w:eastAsia="Arial" w:hAnsi="Arial"/>
                <w:sz w:val="18"/>
                <w:szCs w:val="18"/>
                <w:b w:val="1"/>
                <w:bCs w:val="1"/>
                <w:color w:val="auto"/>
              </w:rPr>
              <w:t>Atlas Edge JV</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35.9</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 equity</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16,945.2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00" w:type="dxa"/>
            <w:vAlign w:val="bottom"/>
          </w:tcPr>
          <w:p>
            <w:pPr>
              <w:ind w:left="20"/>
              <w:spacing w:after="0" w:line="204" w:lineRule="exact"/>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2,269.6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Televisa Univision, Inc. (</w:t>
            </w:r>
            <w:r>
              <w:rPr>
                <w:rFonts w:ascii="Arial" w:cs="Arial" w:eastAsia="Arial" w:hAnsi="Arial"/>
                <w:sz w:val="18"/>
                <w:szCs w:val="18"/>
                <w:b w:val="1"/>
                <w:bCs w:val="1"/>
                <w:color w:val="auto"/>
              </w:rPr>
              <w:t>Televisa Univision</w:t>
            </w:r>
            <w:r>
              <w:rPr>
                <w:rFonts w:ascii="Arial" w:cs="Arial" w:eastAsia="Arial" w:hAnsi="Arial"/>
                <w:sz w:val="18"/>
                <w:szCs w:val="18"/>
                <w:color w:val="auto"/>
              </w:rPr>
              <w:t>) (e)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385.5</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9.9</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SMAs (d)</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531.7</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Lacework Inc. (</w:t>
            </w:r>
            <w:r>
              <w:rPr>
                <w:rFonts w:ascii="Arial" w:cs="Arial" w:eastAsia="Arial" w:hAnsi="Arial"/>
                <w:sz w:val="18"/>
                <w:szCs w:val="18"/>
                <w:b w:val="1"/>
                <w:bCs w:val="1"/>
                <w:color w:val="auto"/>
              </w:rPr>
              <w:t>Lacework</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Plume Design, Inc. (</w:t>
            </w:r>
            <w:r>
              <w:rPr>
                <w:rFonts w:ascii="Arial" w:cs="Arial" w:eastAsia="Arial" w:hAnsi="Arial"/>
                <w:sz w:val="18"/>
                <w:szCs w:val="18"/>
                <w:b w:val="1"/>
                <w:bCs w:val="1"/>
                <w:color w:val="auto"/>
              </w:rPr>
              <w:t>Plume</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Pax8 Inc. (</w:t>
            </w:r>
            <w:r>
              <w:rPr>
                <w:rFonts w:ascii="Arial" w:cs="Arial" w:eastAsia="Arial" w:hAnsi="Arial"/>
                <w:sz w:val="18"/>
                <w:szCs w:val="18"/>
                <w:b w:val="1"/>
                <w:bCs w:val="1"/>
                <w:color w:val="auto"/>
              </w:rPr>
              <w:t>Pax8</w:t>
            </w: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Aviatrix Systems, Inc.</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0" w:type="dxa"/>
            <w:vAlign w:val="bottom"/>
          </w:tcPr>
          <w:p>
            <w:pPr>
              <w:spacing w:after="0"/>
              <w:rPr>
                <w:sz w:val="1"/>
                <w:szCs w:val="1"/>
                <w:color w:val="auto"/>
              </w:rPr>
            </w:pPr>
          </w:p>
        </w:tc>
      </w:tr>
      <w:tr>
        <w:trPr>
          <w:trHeight w:val="225"/>
        </w:trPr>
        <w:tc>
          <w:tcPr>
            <w:tcW w:w="7100" w:type="dxa"/>
            <w:vAlign w:val="bottom"/>
          </w:tcPr>
          <w:p>
            <w:pPr>
              <w:ind w:left="300"/>
              <w:spacing w:after="0"/>
              <w:rPr>
                <w:sz w:val="20"/>
                <w:szCs w:val="20"/>
                <w:color w:val="auto"/>
              </w:rPr>
            </w:pPr>
            <w:r>
              <w:rPr>
                <w:rFonts w:ascii="Arial" w:cs="Arial" w:eastAsia="Arial" w:hAnsi="Arial"/>
                <w:sz w:val="18"/>
                <w:szCs w:val="18"/>
                <w:color w:val="auto"/>
              </w:rPr>
              <w:t>CANAL+ Polska S.A.</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 fair value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00" w:type="dxa"/>
            <w:vAlign w:val="bottom"/>
          </w:tcPr>
          <w:p>
            <w:pPr>
              <w:ind w:left="500"/>
              <w:spacing w:after="0" w:line="204" w:lineRule="exact"/>
              <w:rPr>
                <w:sz w:val="20"/>
                <w:szCs w:val="20"/>
                <w:color w:val="auto"/>
              </w:rPr>
            </w:pPr>
            <w:r>
              <w:rPr>
                <w:rFonts w:ascii="Arial" w:cs="Arial" w:eastAsia="Arial" w:hAnsi="Arial"/>
                <w:sz w:val="18"/>
                <w:szCs w:val="18"/>
                <w:color w:val="auto"/>
              </w:rPr>
              <w:t>Total investments (f)</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19,242.2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21,972.6</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17,715.2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3"/>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19,703.0</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loans and commitments to, the investee. Accordingly, the carrying values of our equity method investments may not equal the respective fair values. At June 30, 2022 and December 31, 2021, the aggregate carrying amounts of our equity method investments exceeded our proportionate share of the respective investee’s net assets by $1,179.2 million and $1,236.0 million, respectively, which primarily includes amounts associated with the VodafoneZiggo JV Receivables, as defined below, and amounts we are owed under a long-term note receivable from All3Media.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267" w:lineRule="auto"/>
        <w:tabs>
          <w:tab w:leader="none" w:pos="477"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Amounts include certain notes receivable due from a subsidiary of the VodafoneZiggo JV to a subsidiary of Liberty Global comprising (i) a euro-denominated note receivable with a principal amount of $733.8 million and $797.1 million, respectively (the </w:t>
      </w:r>
      <w:r>
        <w:rPr>
          <w:rFonts w:ascii="Arial" w:cs="Arial" w:eastAsia="Arial" w:hAnsi="Arial"/>
          <w:sz w:val="17"/>
          <w:szCs w:val="17"/>
          <w:b w:val="1"/>
          <w:bCs w:val="1"/>
          <w:color w:val="auto"/>
        </w:rPr>
        <w:t>VodafoneZiggo JV Receivable I</w:t>
      </w:r>
      <w:r>
        <w:rPr>
          <w:rFonts w:ascii="Arial" w:cs="Arial" w:eastAsia="Arial" w:hAnsi="Arial"/>
          <w:sz w:val="17"/>
          <w:szCs w:val="17"/>
          <w:color w:val="auto"/>
        </w:rPr>
        <w:t xml:space="preserve">), and (ii) a euro-denominated note receivable with a principal amount of $217.9 million and $236.7 million, respectively (the </w:t>
      </w:r>
      <w:r>
        <w:rPr>
          <w:rFonts w:ascii="Arial" w:cs="Arial" w:eastAsia="Arial" w:hAnsi="Arial"/>
          <w:sz w:val="17"/>
          <w:szCs w:val="17"/>
          <w:b w:val="1"/>
          <w:bCs w:val="1"/>
          <w:color w:val="auto"/>
        </w:rPr>
        <w:t>VodafoneZiggo JV Receivable II</w:t>
      </w:r>
      <w:r>
        <w:rPr>
          <w:rFonts w:ascii="Arial" w:cs="Arial" w:eastAsia="Arial" w:hAnsi="Arial"/>
          <w:sz w:val="17"/>
          <w:szCs w:val="17"/>
          <w:color w:val="auto"/>
        </w:rPr>
        <w:t xml:space="preserve"> and, together with the VodafoneZiggo JV Receivable I, the </w:t>
      </w:r>
      <w:r>
        <w:rPr>
          <w:rFonts w:ascii="Arial" w:cs="Arial" w:eastAsia="Arial" w:hAnsi="Arial"/>
          <w:sz w:val="17"/>
          <w:szCs w:val="17"/>
          <w:b w:val="1"/>
          <w:bCs w:val="1"/>
          <w:color w:val="auto"/>
        </w:rPr>
        <w:t>VodafoneZiggo JV Receivables</w:t>
      </w:r>
      <w:r>
        <w:rPr>
          <w:rFonts w:ascii="Arial" w:cs="Arial" w:eastAsia="Arial" w:hAnsi="Arial"/>
          <w:sz w:val="17"/>
          <w:szCs w:val="17"/>
          <w:color w:val="auto"/>
        </w:rPr>
        <w:t>). The VodafoneZiggo JV Receivables bear interest at 5.55% and have a final maturity date of December 31, 2030. During the six months ended June 30, 2022, interest accrued on the VodafoneZiggo JV Receivables was $27.8 million, all of which has been cash settled.</w:t>
      </w:r>
    </w:p>
    <w:p>
      <w:pPr>
        <w:spacing w:after="0" w:line="205" w:lineRule="exact"/>
        <w:rPr>
          <w:rFonts w:ascii="Arial" w:cs="Arial" w:eastAsia="Arial" w:hAnsi="Arial"/>
          <w:sz w:val="17"/>
          <w:szCs w:val="17"/>
          <w:color w:val="auto"/>
        </w:rPr>
      </w:pPr>
    </w:p>
    <w:p>
      <w:pPr>
        <w:jc w:val="both"/>
        <w:ind w:left="480" w:hanging="474"/>
        <w:spacing w:after="0" w:line="250" w:lineRule="auto"/>
        <w:tabs>
          <w:tab w:leader="none" w:pos="47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June 30, 2022, all of our investments held under SMAs were classified as available-for-sale debt securities. At June 30, 2022 and December 31, 2021, interest accrued on our debt securities, which is included in other current assets on our condensed consolidated balance sheets, was $5.0 million and $5.1 million, respectively.</w:t>
      </w:r>
    </w:p>
    <w:p>
      <w:pPr>
        <w:spacing w:after="0" w:line="220"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June 30, 2022, the fair value of our investment in Televisa Univision reflects the merger of Univision Holdings Inc. and Grupo Televisa, S.A.B., which was completed during the first quarter of 2022.</w:t>
      </w:r>
    </w:p>
    <w:p>
      <w:pPr>
        <w:spacing w:after="0" w:line="207" w:lineRule="exact"/>
        <w:rPr>
          <w:rFonts w:ascii="Arial" w:cs="Arial" w:eastAsia="Arial" w:hAnsi="Arial"/>
          <w:sz w:val="18"/>
          <w:szCs w:val="18"/>
          <w:color w:val="auto"/>
        </w:rPr>
      </w:pPr>
    </w:p>
    <w:p>
      <w:pPr>
        <w:ind w:left="480" w:hanging="474"/>
        <w:spacing w:after="0" w:line="264" w:lineRule="auto"/>
        <w:tabs>
          <w:tab w:leader="none" w:pos="4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condensed consolidated statements of cash flows, including amounts associated with SMAs.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22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205"/>
        </w:trPr>
        <w:tc>
          <w:tcPr>
            <w:tcW w:w="59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3"/>
        </w:trPr>
        <w:tc>
          <w:tcPr>
            <w:tcW w:w="5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w w:val="98"/>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592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5920" w:type="dxa"/>
            <w:vAlign w:val="bottom"/>
          </w:tcPr>
          <w:p>
            <w:pPr>
              <w:ind w:left="20"/>
              <w:spacing w:after="0"/>
              <w:rPr>
                <w:sz w:val="20"/>
                <w:szCs w:val="20"/>
                <w:color w:val="auto"/>
              </w:rPr>
            </w:pPr>
            <w:r>
              <w:rPr>
                <w:rFonts w:ascii="Arial" w:cs="Arial" w:eastAsia="Arial" w:hAnsi="Arial"/>
                <w:sz w:val="18"/>
                <w:szCs w:val="18"/>
                <w:color w:val="auto"/>
              </w:rPr>
              <w:t>Atlas Edge JV</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92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(i) our 50% share of the results of operations of the VMO2 JV and (ii) 100% of the share-based compensation expense associated with Liberty Global awards held by VMO2 JV employees who were formerly employees of Liberty Global, as these awards remain our responsibility.</w:t>
      </w:r>
    </w:p>
    <w:p>
      <w:pPr>
        <w:spacing w:after="0" w:line="137" w:lineRule="exact"/>
        <w:rPr>
          <w:rFonts w:ascii="Arial" w:cs="Arial" w:eastAsia="Arial" w:hAnsi="Arial"/>
          <w:sz w:val="15"/>
          <w:szCs w:val="15"/>
          <w:color w:val="auto"/>
        </w:rPr>
      </w:pPr>
    </w:p>
    <w:p>
      <w:pPr>
        <w:ind w:left="480" w:hanging="474"/>
        <w:spacing w:after="0" w:line="264" w:lineRule="auto"/>
        <w:tabs>
          <w:tab w:leader="none" w:pos="4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100% of the interest income earned on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VMO2 JV</w:t>
      </w:r>
    </w:p>
    <w:p>
      <w:pPr>
        <w:spacing w:after="0" w:line="23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On June 1, 2021, we completed the U.K. JV Transaction. Each of Liberty Global and Telefónica (each a “</w:t>
      </w:r>
      <w:r>
        <w:rPr>
          <w:rFonts w:ascii="Arial" w:cs="Arial" w:eastAsia="Arial" w:hAnsi="Arial"/>
          <w:sz w:val="18"/>
          <w:szCs w:val="18"/>
          <w:b w:val="1"/>
          <w:bCs w:val="1"/>
          <w:color w:val="auto"/>
        </w:rPr>
        <w:t>U.K. JV Shareholder</w:t>
      </w:r>
      <w:r>
        <w:rPr>
          <w:rFonts w:ascii="Arial" w:cs="Arial" w:eastAsia="Arial" w:hAnsi="Arial"/>
          <w:sz w:val="18"/>
          <w:szCs w:val="18"/>
          <w:color w:val="auto"/>
        </w:rPr>
        <w:t>”) holds 50% of the issued share capital of the VMO2 JV</w:t>
      </w:r>
      <w:r>
        <w:rPr>
          <w:rFonts w:ascii="Arial" w:cs="Arial" w:eastAsia="Arial" w:hAnsi="Arial"/>
          <w:sz w:val="18"/>
          <w:szCs w:val="18"/>
          <w:i w:val="1"/>
          <w:iCs w:val="1"/>
          <w:color w:val="auto"/>
        </w:rPr>
        <w:t>.</w:t>
      </w:r>
      <w:r>
        <w:rPr>
          <w:rFonts w:ascii="Arial" w:cs="Arial" w:eastAsia="Arial" w:hAnsi="Arial"/>
          <w:sz w:val="18"/>
          <w:szCs w:val="18"/>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 For additional information regarding the U.K. JV Transaction, see note 4.</w:t>
      </w:r>
    </w:p>
    <w:p>
      <w:pPr>
        <w:spacing w:after="0" w:line="21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Pursuant to an agreement (the </w:t>
      </w:r>
      <w:r>
        <w:rPr>
          <w:rFonts w:ascii="Arial" w:cs="Arial" w:eastAsia="Arial" w:hAnsi="Arial"/>
          <w:sz w:val="15"/>
          <w:szCs w:val="15"/>
          <w:b w:val="1"/>
          <w:bCs w:val="1"/>
          <w:color w:val="auto"/>
        </w:rPr>
        <w:t>U.K. JV Framework Agreement</w:t>
      </w:r>
      <w:r>
        <w:rPr>
          <w:rFonts w:ascii="Arial" w:cs="Arial" w:eastAsia="Arial" w:hAnsi="Arial"/>
          <w:sz w:val="15"/>
          <w:szCs w:val="15"/>
          <w:color w:val="auto"/>
        </w:rPr>
        <w:t xml:space="preserve">), Liberty Global provides certain services to the VMO2 JV on a transitional or ongoing basis (collectively, the </w:t>
      </w:r>
      <w:r>
        <w:rPr>
          <w:rFonts w:ascii="Arial" w:cs="Arial" w:eastAsia="Arial" w:hAnsi="Arial"/>
          <w:sz w:val="15"/>
          <w:szCs w:val="15"/>
          <w:b w:val="1"/>
          <w:bCs w:val="1"/>
          <w:color w:val="auto"/>
        </w:rPr>
        <w:t>U.K. JV Services</w:t>
      </w:r>
      <w:r>
        <w:rPr>
          <w:rFonts w:ascii="Arial" w:cs="Arial" w:eastAsia="Arial" w:hAnsi="Arial"/>
          <w:sz w:val="15"/>
          <w:szCs w:val="15"/>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We recorded revenue related to the U.K. JV Services of $63.9 million and $132.6 million during the three and six months ended June 30, 2022, respectively, and $24.2 million during the month ended June 30, 2021. At June 30, 2022 and December 31, 2021, $27.0 million and $43.3 million, respectively, was due from the VMO2 JV, primarily related to (a) services performed under the U.K. JV Framework Agreement and (b) amounts incurred by Liberty Global for certain equipment and licenses purchased on behalf of the VMO2 JV. Amounts due from the VMO2 JV are periodically cash settled and are included in other current assets on our condensed consolidated balance sheets. In addition, during the six months ended June 30, 2022, we received a dividend distribution from the VMO2 JV of $152.2 million, which was accounted for as a return on capital for purposes of our condensed consolidated statement of cash flows.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VMO2 JV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634"/>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w w:val="97"/>
              </w:rPr>
              <w:t>2021 (a)</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 (a)</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89.1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(168.5)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467.7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operating results of the VMO2 JV for the period from June 1, 2021 through June 30, 2021.</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VodafoneZiggo JV</w:t>
      </w:r>
    </w:p>
    <w:p>
      <w:pPr>
        <w:spacing w:after="0" w:line="2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Pursuant to an agreement (the </w:t>
      </w:r>
      <w:r>
        <w:rPr>
          <w:rFonts w:ascii="Arial" w:cs="Arial" w:eastAsia="Arial" w:hAnsi="Arial"/>
          <w:sz w:val="15"/>
          <w:szCs w:val="15"/>
          <w:b w:val="1"/>
          <w:bCs w:val="1"/>
          <w:color w:val="auto"/>
        </w:rPr>
        <w:t>NL JV Framework Agreement</w:t>
      </w:r>
      <w:r>
        <w:rPr>
          <w:rFonts w:ascii="Arial" w:cs="Arial" w:eastAsia="Arial" w:hAnsi="Arial"/>
          <w:sz w:val="15"/>
          <w:szCs w:val="15"/>
          <w:color w:val="auto"/>
        </w:rPr>
        <w:t xml:space="preserve">), Liberty Global provides certain services to the VodafoneZiggo JV (collectively, the </w:t>
      </w:r>
      <w:r>
        <w:rPr>
          <w:rFonts w:ascii="Arial" w:cs="Arial" w:eastAsia="Arial" w:hAnsi="Arial"/>
          <w:sz w:val="15"/>
          <w:szCs w:val="15"/>
          <w:b w:val="1"/>
          <w:bCs w:val="1"/>
          <w:color w:val="auto"/>
        </w:rPr>
        <w:t>NL</w:t>
      </w:r>
      <w:r>
        <w:rPr>
          <w:rFonts w:ascii="Arial" w:cs="Arial" w:eastAsia="Arial" w:hAnsi="Arial"/>
          <w:sz w:val="15"/>
          <w:szCs w:val="15"/>
          <w:color w:val="auto"/>
        </w:rPr>
        <w:t xml:space="preserve"> </w:t>
      </w:r>
      <w:r>
        <w:rPr>
          <w:rFonts w:ascii="Arial" w:cs="Arial" w:eastAsia="Arial" w:hAnsi="Arial"/>
          <w:sz w:val="15"/>
          <w:szCs w:val="15"/>
          <w:b w:val="1"/>
          <w:bCs w:val="1"/>
          <w:color w:val="auto"/>
        </w:rPr>
        <w:t>JV Services</w:t>
      </w:r>
      <w:r>
        <w:rPr>
          <w:rFonts w:ascii="Arial" w:cs="Arial" w:eastAsia="Arial" w:hAnsi="Arial"/>
          <w:sz w:val="15"/>
          <w:szCs w:val="15"/>
          <w:color w:val="auto"/>
        </w:rPr>
        <w:t>). The NL JV Services provided by Liberty Global consist primarily of (i) technology and other services and (ii) capital-related expenditures for</w:t>
      </w:r>
      <w:r>
        <w:rPr>
          <w:rFonts w:ascii="Arial" w:cs="Arial" w:eastAsia="Arial" w:hAnsi="Arial"/>
          <w:sz w:val="15"/>
          <w:szCs w:val="15"/>
          <w:b w:val="1"/>
          <w:bCs w:val="1"/>
          <w:color w:val="auto"/>
        </w:rPr>
        <w:t xml:space="preserve"> </w:t>
      </w:r>
      <w:r>
        <w:rPr>
          <w:rFonts w:ascii="Arial" w:cs="Arial" w:eastAsia="Arial" w:hAnsi="Arial"/>
          <w:sz w:val="15"/>
          <w:szCs w:val="15"/>
          <w:color w:val="auto"/>
        </w:rPr>
        <w:t>assets that will be used by, or will otherwise benefit, the VodafoneZiggo JV. Liberty Global charges both fixed and usage-based fees to the VodafoneZiggo JV for the NL JV Services provided during the term of the NL JV Framework Agreement. We recorded revenue from the VodafoneZiggo JV of $57.3 million and $65.1 million during the three months ended June 30, 2022 and 2021, respectively, and $117.3 million and $115.8 million during the six months ended June 30, 2022 and 2021, respectively, primarily related to (a) the NL JV Services and (b) the sale of customer premises equipment at a mark-up. At June 30, 2022 and December 31, 2021, $36.4 million and $62.5 million, respectively, was due from the VodafoneZiggo JV related to the aforementioned transactions. Amounts due from the VodafoneZiggo JV are periodically cash settled and are included in other current assets on our condensed consolidated balance sheets. In addition, during the six months ended June 30, 2022 and 2021, we received dividend distributions from the VodafoneZiggo JV of $142.4 million and $136.8 million, respectively, which were accounted for as returns on capital for purposes of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634"/>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225.7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352.7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realized and unrealized gains (losses) due to changes in fair value,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right"/>
              <w:ind w:right="55"/>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5"/>
        </w:trPr>
        <w:tc>
          <w:tcPr>
            <w:tcW w:w="5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03"/>
        </w:trPr>
        <w:tc>
          <w:tcPr>
            <w:tcW w:w="5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50"/>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5"/>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Pax8</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EdgeConneX</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Televisa Univision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Lacework</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8"/>
        </w:trPr>
        <w:tc>
          <w:tcPr>
            <w:tcW w:w="588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288.1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right="20" w:hanging="474"/>
        <w:spacing w:after="0" w:line="264" w:lineRule="auto"/>
        <w:tabs>
          <w:tab w:leader="none" w:pos="4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2022 amounts include gains of $11.7 million and $12.0 million for the three and six months ended June 30, 2022, respectively, related to investments that were sold during the second quarter.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Debt Securities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June 30, 2022 and December 31, 2021, all of our SMAs were composed of debt securities, which are summarized in the following tables: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June 30, 2022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88"/>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5"/>
              </w:rPr>
              <w:t>unrealized losses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8"/>
        </w:trPr>
        <w:tc>
          <w:tcPr>
            <w:tcW w:w="7220" w:type="dxa"/>
            <w:vAlign w:val="bottom"/>
          </w:tcPr>
          <w:p>
            <w:pPr>
              <w:ind w:left="180"/>
              <w:spacing w:after="0" w:line="204" w:lineRule="exact"/>
              <w:rPr>
                <w:sz w:val="20"/>
                <w:szCs w:val="20"/>
                <w:color w:val="auto"/>
              </w:rPr>
            </w:pPr>
            <w:r>
              <w:rPr>
                <w:rFonts w:ascii="Arial" w:cs="Arial" w:eastAsia="Arial" w:hAnsi="Arial"/>
                <w:sz w:val="18"/>
                <w:szCs w:val="18"/>
                <w:color w:val="auto"/>
              </w:rPr>
              <w:t>Total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88"/>
              </w:rPr>
              <w:t>Amortized cost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3"/>
                <w:szCs w:val="13"/>
                <w:color w:val="auto"/>
              </w:rPr>
            </w:pPr>
          </w:p>
        </w:tc>
        <w:tc>
          <w:tcPr>
            <w:tcW w:w="10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2"/>
              </w:rPr>
              <w:t>basis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5"/>
              </w:rPr>
              <w:t>unrealized losses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 millions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2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26"/>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8"/>
        </w:trPr>
        <w:tc>
          <w:tcPr>
            <w:tcW w:w="7220" w:type="dxa"/>
            <w:vAlign w:val="bottom"/>
          </w:tcPr>
          <w:p>
            <w:pPr>
              <w:ind w:left="180"/>
              <w:spacing w:after="0" w:line="204" w:lineRule="exact"/>
              <w:rPr>
                <w:sz w:val="20"/>
                <w:szCs w:val="20"/>
                <w:color w:val="auto"/>
              </w:rPr>
            </w:pPr>
            <w:r>
              <w:rPr>
                <w:rFonts w:ascii="Arial" w:cs="Arial" w:eastAsia="Arial" w:hAnsi="Arial"/>
                <w:sz w:val="18"/>
                <w:szCs w:val="18"/>
                <w:color w:val="auto"/>
              </w:rPr>
              <w:t>Total debt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received proceeds from the sale of debt securities of $2.3 billion and $1.4 billion during the three months ended June 30, 2022 and 2021, respectively, and $4.9 billion and $2.9 billion during the six months ended June 30, 2022 and 2021, respectively, the majority of which were reinvested in new debt securities held under SMAs. The sale of debt securities resulted in realized net losses of $2.7 million and $0.3 million during the three months ended June 30, 2022 and 2021, respectively, and $6.1 million and $1.6 million during the six months ended June 30, 2022 and 2021,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00" w:type="dxa"/>
            <w:vAlign w:val="bottom"/>
          </w:tcPr>
          <w:p>
            <w:pPr>
              <w:ind w:left="320"/>
              <w:spacing w:after="0"/>
              <w:rPr>
                <w:sz w:val="20"/>
                <w:szCs w:val="20"/>
                <w:color w:val="auto"/>
              </w:rPr>
            </w:pPr>
            <w:r>
              <w:rPr>
                <w:rFonts w:ascii="Arial" w:cs="Arial" w:eastAsia="Arial" w:hAnsi="Arial"/>
                <w:sz w:val="18"/>
                <w:szCs w:val="18"/>
                <w:color w:val="auto"/>
              </w:rPr>
              <w:t>The fair values of our debt securities as of June 30, 2022 by contractual maturity are shown below (in millions):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6"/>
        </w:trPr>
        <w:tc>
          <w:tcPr>
            <w:tcW w:w="9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1,527.0</w:t>
            </w:r>
          </w:p>
        </w:tc>
      </w:tr>
      <w:tr>
        <w:trPr>
          <w:trHeight w:val="225"/>
        </w:trPr>
        <w:tc>
          <w:tcPr>
            <w:tcW w:w="9900" w:type="dxa"/>
            <w:vAlign w:val="bottom"/>
          </w:tcPr>
          <w:p>
            <w:pPr>
              <w:ind w:left="20"/>
              <w:spacing w:after="0"/>
              <w:rPr>
                <w:sz w:val="20"/>
                <w:szCs w:val="20"/>
                <w:color w:val="auto"/>
              </w:rPr>
            </w:pPr>
            <w:r>
              <w:rPr>
                <w:rFonts w:ascii="Arial" w:cs="Arial" w:eastAsia="Arial" w:hAnsi="Arial"/>
                <w:sz w:val="18"/>
                <w:szCs w:val="18"/>
                <w:color w:val="auto"/>
              </w:rPr>
              <w:t>Due in one to five years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2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five to ten years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ten years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90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 (a)</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weighted average life of our total debt securities was 0.5 years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5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and the Swiss franc (</w:t>
      </w:r>
      <w:r>
        <w:rPr>
          <w:rFonts w:ascii="Arial" w:cs="Arial" w:eastAsia="Arial" w:hAnsi="Arial"/>
          <w:sz w:val="18"/>
          <w:szCs w:val="18"/>
          <w:b w:val="1"/>
          <w:bCs w:val="1"/>
          <w:color w:val="auto"/>
        </w:rPr>
        <w:t>CHF</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8"/>
              </w:rPr>
              <w:t>June 30, 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6"/>
        </w:trPr>
        <w:tc>
          <w:tcPr>
            <w:tcW w:w="4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Current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3"/>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9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984.9</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5"/>
        </w:trPr>
        <w:tc>
          <w:tcPr>
            <w:tcW w:w="412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92"/>
        </w:trPr>
        <w:tc>
          <w:tcPr>
            <w:tcW w:w="4120" w:type="dxa"/>
            <w:vAlign w:val="bottom"/>
          </w:tcPr>
          <w:p>
            <w:pPr>
              <w:jc w:val="center"/>
              <w:ind w:right="2992"/>
              <w:spacing w:after="0" w:line="192"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spacing w:after="0" w:line="19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2" w:lineRule="exact"/>
              <w:rPr>
                <w:sz w:val="20"/>
                <w:szCs w:val="20"/>
                <w:color w:val="auto"/>
              </w:rPr>
            </w:pPr>
            <w:r>
              <w:rPr>
                <w:rFonts w:ascii="Arial" w:cs="Arial" w:eastAsia="Arial" w:hAnsi="Arial"/>
                <w:sz w:val="18"/>
                <w:szCs w:val="18"/>
                <w:color w:val="auto"/>
              </w:rPr>
              <w:t>197.0</w:t>
            </w:r>
          </w:p>
        </w:tc>
        <w:tc>
          <w:tcPr>
            <w:tcW w:w="10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1,099.0</w:t>
            </w:r>
          </w:p>
        </w:tc>
        <w:tc>
          <w:tcPr>
            <w:tcW w:w="100" w:type="dxa"/>
            <w:vAlign w:val="bottom"/>
          </w:tcPr>
          <w:p>
            <w:pPr>
              <w:spacing w:after="0"/>
              <w:rPr>
                <w:sz w:val="16"/>
                <w:szCs w:val="16"/>
                <w:color w:val="auto"/>
              </w:rPr>
            </w:pPr>
          </w:p>
        </w:tc>
        <w:tc>
          <w:tcPr>
            <w:tcW w:w="240" w:type="dxa"/>
            <w:vAlign w:val="bottom"/>
          </w:tcPr>
          <w:p>
            <w:pPr>
              <w:jc w:val="right"/>
              <w:ind w:right="32"/>
              <w:spacing w:after="0" w:line="19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1,296.0</w:t>
            </w:r>
          </w:p>
        </w:tc>
        <w:tc>
          <w:tcPr>
            <w:tcW w:w="120" w:type="dxa"/>
            <w:vAlign w:val="bottom"/>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2" w:lineRule="exact"/>
              <w:rPr>
                <w:sz w:val="20"/>
                <w:szCs w:val="20"/>
                <w:color w:val="auto"/>
              </w:rPr>
            </w:pPr>
            <w:r>
              <w:rPr>
                <w:rFonts w:ascii="Arial" w:cs="Arial" w:eastAsia="Arial" w:hAnsi="Arial"/>
                <w:sz w:val="18"/>
                <w:szCs w:val="18"/>
                <w:color w:val="auto"/>
              </w:rPr>
              <w:t>244.3</w:t>
            </w:r>
          </w:p>
        </w:tc>
        <w:tc>
          <w:tcPr>
            <w:tcW w:w="24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2" w:lineRule="exact"/>
              <w:rPr>
                <w:sz w:val="20"/>
                <w:szCs w:val="20"/>
                <w:color w:val="auto"/>
              </w:rPr>
            </w:pPr>
            <w:r>
              <w:rPr>
                <w:rFonts w:ascii="Arial" w:cs="Arial" w:eastAsia="Arial" w:hAnsi="Arial"/>
                <w:sz w:val="18"/>
                <w:szCs w:val="18"/>
                <w:color w:val="auto"/>
              </w:rPr>
              <w:t>278.1</w:t>
            </w:r>
          </w:p>
        </w:tc>
        <w:tc>
          <w:tcPr>
            <w:tcW w:w="100" w:type="dxa"/>
            <w:vAlign w:val="bottom"/>
          </w:tcPr>
          <w:p>
            <w:pPr>
              <w:spacing w:after="0"/>
              <w:rPr>
                <w:sz w:val="16"/>
                <w:szCs w:val="16"/>
                <w:color w:val="auto"/>
              </w:rPr>
            </w:pPr>
          </w:p>
        </w:tc>
        <w:tc>
          <w:tcPr>
            <w:tcW w:w="240" w:type="dxa"/>
            <w:vAlign w:val="bottom"/>
          </w:tcPr>
          <w:p>
            <w:pPr>
              <w:jc w:val="right"/>
              <w:ind w:right="52"/>
              <w:spacing w:after="0" w:line="19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2" w:lineRule="exact"/>
              <w:rPr>
                <w:sz w:val="20"/>
                <w:szCs w:val="20"/>
                <w:color w:val="auto"/>
              </w:rPr>
            </w:pPr>
            <w:r>
              <w:rPr>
                <w:rFonts w:ascii="Arial" w:cs="Arial" w:eastAsia="Arial" w:hAnsi="Arial"/>
                <w:sz w:val="18"/>
                <w:szCs w:val="18"/>
                <w:color w:val="auto"/>
              </w:rPr>
              <w:t>522.4</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4120" w:type="dxa"/>
            <w:vAlign w:val="bottom"/>
            <w:shd w:val="clear" w:color="auto" w:fill="CCEEFF"/>
          </w:tcPr>
          <w:p>
            <w:pPr>
              <w:jc w:val="center"/>
              <w:ind w:right="2992"/>
              <w:spacing w:after="0" w:line="192" w:lineRule="exact"/>
              <w:rPr>
                <w:sz w:val="20"/>
                <w:szCs w:val="20"/>
                <w:color w:val="auto"/>
              </w:rPr>
            </w:pPr>
            <w:r>
              <w:rPr>
                <w:rFonts w:ascii="Arial" w:cs="Arial" w:eastAsia="Arial" w:hAnsi="Arial"/>
                <w:sz w:val="18"/>
                <w:szCs w:val="18"/>
                <w:color w:val="auto"/>
                <w:w w:val="94"/>
              </w:rPr>
              <w:t>Liabilities (a):</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5"/>
        </w:trPr>
        <w:tc>
          <w:tcPr>
            <w:tcW w:w="4320" w:type="dxa"/>
            <w:vAlign w:val="bottom"/>
            <w:gridSpan w:val="2"/>
          </w:tcPr>
          <w:p>
            <w:pPr>
              <w:ind w:left="140"/>
              <w:spacing w:after="0"/>
              <w:rPr>
                <w:sz w:val="20"/>
                <w:szCs w:val="20"/>
                <w:color w:val="auto"/>
              </w:rPr>
            </w:pPr>
            <w:r>
              <w:rPr>
                <w:rFonts w:ascii="Arial" w:cs="Arial" w:eastAsia="Arial" w:hAnsi="Arial"/>
                <w:sz w:val="18"/>
                <w:szCs w:val="18"/>
                <w:color w:val="auto"/>
                <w:w w:val="90"/>
              </w:rPr>
              <w:t>Cross-currency and interest rate derivative contracts (b) $</w:t>
            </w:r>
          </w:p>
        </w:tc>
        <w:tc>
          <w:tcPr>
            <w:tcW w:w="90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879.0</w:t>
            </w:r>
          </w:p>
        </w:tc>
      </w:tr>
      <w:tr>
        <w:trPr>
          <w:trHeight w:val="22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8"/>
        </w:trPr>
        <w:tc>
          <w:tcPr>
            <w:tcW w:w="4120" w:type="dxa"/>
            <w:vAlign w:val="bottom"/>
          </w:tcPr>
          <w:p>
            <w:pPr>
              <w:jc w:val="center"/>
              <w:ind w:right="2992"/>
              <w:spacing w:after="0"/>
              <w:rPr>
                <w:sz w:val="20"/>
                <w:szCs w:val="20"/>
                <w:color w:val="auto"/>
              </w:rPr>
            </w:pPr>
            <w:r>
              <w:rPr>
                <w:rFonts w:ascii="Arial" w:cs="Arial" w:eastAsia="Arial" w:hAnsi="Arial"/>
                <w:sz w:val="18"/>
                <w:szCs w:val="18"/>
                <w:color w:val="auto"/>
                <w:w w:val="89"/>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892.0</w:t>
            </w: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condensed consolidated balance sheets. For information regarding certain financing transactions that impacted our derivative instruments, see note 4.</w:t>
      </w:r>
    </w:p>
    <w:p>
      <w:pPr>
        <w:spacing w:after="0" w:line="214" w:lineRule="exact"/>
        <w:rPr>
          <w:rFonts w:ascii="Arial" w:cs="Arial" w:eastAsia="Arial" w:hAnsi="Arial"/>
          <w:sz w:val="18"/>
          <w:szCs w:val="18"/>
          <w:color w:val="auto"/>
        </w:rPr>
      </w:pPr>
    </w:p>
    <w:p>
      <w:pPr>
        <w:jc w:val="both"/>
        <w:ind w:left="480" w:hanging="474"/>
        <w:spacing w:after="0" w:line="248" w:lineRule="auto"/>
        <w:tabs>
          <w:tab w:leader="none" w:pos="4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of $4.8 million and $38.2 million during the three months ended June 30, 2022 and 2021, respectively, and a net gain (loss) of $9.3 million and ($0.8 million) during the six months ended June 30, 2022 and 2021, respectively. These amounts are included in realized and unrealized gains (losses) on derivative instruments, net, in our condensed consolidated statements of operations. For further information regarding our fair value measurements, see note 7.</w:t>
      </w:r>
    </w:p>
    <w:p>
      <w:pPr>
        <w:spacing w:after="0" w:line="225" w:lineRule="exact"/>
        <w:rPr>
          <w:rFonts w:ascii="Arial" w:cs="Arial" w:eastAsia="Arial" w:hAnsi="Arial"/>
          <w:sz w:val="18"/>
          <w:szCs w:val="18"/>
          <w:color w:val="auto"/>
        </w:rPr>
      </w:pPr>
    </w:p>
    <w:p>
      <w:pPr>
        <w:ind w:left="480" w:hanging="47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equity-related derivative instruments include warrants on our investment in Plume.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7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63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8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05"/>
        </w:trPr>
        <w:tc>
          <w:tcPr>
            <w:tcW w:w="58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3"/>
        </w:trPr>
        <w:tc>
          <w:tcPr>
            <w:tcW w:w="5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3"/>
          </w:tcPr>
          <w:p>
            <w:pPr>
              <w:ind w:left="620"/>
              <w:spacing w:after="0"/>
              <w:rPr>
                <w:sz w:val="20"/>
                <w:szCs w:val="20"/>
                <w:color w:val="auto"/>
              </w:rPr>
            </w:pPr>
            <w:r>
              <w:rPr>
                <w:rFonts w:ascii="Arial" w:cs="Arial" w:eastAsia="Arial" w:hAnsi="Arial"/>
                <w:sz w:val="16"/>
                <w:szCs w:val="16"/>
                <w:b w:val="1"/>
                <w:bCs w:val="1"/>
                <w:color w:val="auto"/>
                <w:w w:val="95"/>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3"/>
        </w:trPr>
        <w:tc>
          <w:tcPr>
            <w:tcW w:w="5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619.0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r>
      <w:tr>
        <w:trPr>
          <w:trHeight w:val="218"/>
        </w:trPr>
        <w:tc>
          <w:tcPr>
            <w:tcW w:w="58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6"/>
        </w:trPr>
        <w:tc>
          <w:tcPr>
            <w:tcW w:w="5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Equity-related derivative instruments:</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ITV Collar</w:t>
            </w:r>
          </w:p>
        </w:tc>
        <w:tc>
          <w:tcPr>
            <w:tcW w:w="8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8"/>
        </w:trPr>
        <w:tc>
          <w:tcPr>
            <w:tcW w:w="5840" w:type="dxa"/>
            <w:vAlign w:val="bottom"/>
            <w:tcBorders>
              <w:bottom w:val="single" w:sz="8" w:color="CCEEFF"/>
            </w:tcBorders>
          </w:tcPr>
          <w:p>
            <w:pPr>
              <w:ind w:left="260"/>
              <w:spacing w:after="0" w:line="204" w:lineRule="exact"/>
              <w:rPr>
                <w:sz w:val="20"/>
                <w:szCs w:val="20"/>
                <w:color w:val="auto"/>
              </w:rPr>
            </w:pPr>
            <w:r>
              <w:rPr>
                <w:rFonts w:ascii="Arial" w:cs="Arial" w:eastAsia="Arial" w:hAnsi="Arial"/>
                <w:sz w:val="18"/>
                <w:szCs w:val="18"/>
                <w:color w:val="auto"/>
              </w:rPr>
              <w:t>Total equity-related derivative instruments</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9"/>
        </w:trPr>
        <w:tc>
          <w:tcPr>
            <w:tcW w:w="5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584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613.7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outflows of our derivative instruments:</w:t>
      </w:r>
    </w:p>
    <w:p>
      <w:pPr>
        <w:spacing w:after="0" w:line="100"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Six months ended</w:t>
      </w:r>
    </w:p>
    <w:p>
      <w:pPr>
        <w:jc w:val="center"/>
        <w:ind w:left="866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163"/>
        </w:trPr>
        <w:tc>
          <w:tcPr>
            <w:tcW w:w="8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18"/>
        </w:trPr>
        <w:tc>
          <w:tcPr>
            <w:tcW w:w="868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8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June 30, 2022, our exposure to counterparty credit risk included derivative assets with an aggregate fair value of $779.1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2022,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jc w:val="right"/>
              <w:ind w:right="494"/>
              <w:spacing w:after="0"/>
              <w:rPr>
                <w:sz w:val="20"/>
                <w:szCs w:val="20"/>
                <w:color w:val="auto"/>
              </w:rPr>
            </w:pPr>
            <w:r>
              <w:rPr>
                <w:rFonts w:ascii="Arial" w:cs="Arial" w:eastAsia="Arial" w:hAnsi="Arial"/>
                <w:sz w:val="16"/>
                <w:szCs w:val="16"/>
                <w:b w:val="1"/>
                <w:bCs w:val="1"/>
                <w:color w:val="auto"/>
                <w:w w:val="96"/>
              </w:rPr>
              <w:t>Notional amount</w:t>
            </w:r>
          </w:p>
        </w:tc>
        <w:tc>
          <w:tcPr>
            <w:tcW w:w="520" w:type="dxa"/>
            <w:vAlign w:val="bottom"/>
          </w:tcPr>
          <w:p>
            <w:pPr>
              <w:spacing w:after="0"/>
              <w:rPr>
                <w:sz w:val="16"/>
                <w:szCs w:val="16"/>
                <w:color w:val="auto"/>
              </w:rPr>
            </w:pPr>
          </w:p>
        </w:tc>
        <w:tc>
          <w:tcPr>
            <w:tcW w:w="1440" w:type="dxa"/>
            <w:vAlign w:val="bottom"/>
          </w:tcPr>
          <w:p>
            <w:pPr>
              <w:jc w:val="right"/>
              <w:ind w:right="54"/>
              <w:spacing w:after="0"/>
              <w:rPr>
                <w:sz w:val="20"/>
                <w:szCs w:val="20"/>
                <w:color w:val="auto"/>
              </w:rPr>
            </w:pPr>
            <w:r>
              <w:rPr>
                <w:rFonts w:ascii="Arial" w:cs="Arial" w:eastAsia="Arial" w:hAnsi="Arial"/>
                <w:sz w:val="16"/>
                <w:szCs w:val="16"/>
                <w:b w:val="1"/>
                <w:bCs w:val="1"/>
                <w:color w:val="auto"/>
              </w:rPr>
              <w:t>Notional amount</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w:t>
            </w:r>
          </w:p>
        </w:tc>
      </w:tr>
      <w:tr>
        <w:trPr>
          <w:trHeight w:val="210"/>
        </w:trPr>
        <w:tc>
          <w:tcPr>
            <w:tcW w:w="4520" w:type="dxa"/>
            <w:vAlign w:val="bottom"/>
          </w:tcPr>
          <w:p>
            <w:pPr>
              <w:spacing w:after="0"/>
              <w:rPr>
                <w:sz w:val="18"/>
                <w:szCs w:val="18"/>
                <w:color w:val="auto"/>
              </w:rPr>
            </w:pPr>
          </w:p>
        </w:tc>
        <w:tc>
          <w:tcPr>
            <w:tcW w:w="226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6"/>
                <w:szCs w:val="16"/>
                <w:b w:val="1"/>
                <w:bCs w:val="1"/>
                <w:color w:val="auto"/>
              </w:rPr>
              <w:t>due from counterparty</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due to counterparty</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203"/>
        </w:trPr>
        <w:tc>
          <w:tcPr>
            <w:tcW w:w="4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gridSpan w:val="2"/>
          </w:tcPr>
          <w:p>
            <w:pPr>
              <w:ind w:left="1320"/>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5"/>
              </w:rPr>
              <w:t>in years</w:t>
            </w:r>
          </w:p>
        </w:tc>
      </w:tr>
      <w:tr>
        <w:trPr>
          <w:trHeight w:val="203"/>
        </w:trPr>
        <w:tc>
          <w:tcPr>
            <w:tcW w:w="4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r>
      <w:tr>
        <w:trPr>
          <w:trHeight w:val="225"/>
        </w:trPr>
        <w:tc>
          <w:tcPr>
            <w:tcW w:w="45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4,475.0</w:t>
            </w:r>
          </w:p>
        </w:tc>
        <w:tc>
          <w:tcPr>
            <w:tcW w:w="520" w:type="dxa"/>
            <w:vAlign w:val="bottom"/>
          </w:tcPr>
          <w:p>
            <w:pPr>
              <w:ind w:left="120"/>
              <w:spacing w:after="0"/>
              <w:rPr>
                <w:sz w:val="20"/>
                <w:szCs w:val="20"/>
                <w:color w:val="auto"/>
              </w:rPr>
            </w:pPr>
            <w:r>
              <w:rPr>
                <w:rFonts w:ascii="Arial" w:cs="Arial" w:eastAsia="Arial" w:hAnsi="Arial"/>
                <w:sz w:val="18"/>
                <w:szCs w:val="18"/>
                <w:color w:val="auto"/>
              </w:rPr>
              <w:t>CHF</w:t>
            </w:r>
          </w:p>
        </w:tc>
        <w:tc>
          <w:tcPr>
            <w:tcW w:w="1440" w:type="dxa"/>
            <w:vAlign w:val="bottom"/>
          </w:tcPr>
          <w:p>
            <w:pPr>
              <w:jc w:val="right"/>
              <w:spacing w:after="0"/>
              <w:rPr>
                <w:sz w:val="20"/>
                <w:szCs w:val="20"/>
                <w:color w:val="auto"/>
              </w:rPr>
            </w:pPr>
            <w:r>
              <w:rPr>
                <w:rFonts w:ascii="Arial" w:cs="Arial" w:eastAsia="Arial" w:hAnsi="Arial"/>
                <w:sz w:val="18"/>
                <w:szCs w:val="18"/>
                <w:color w:val="auto"/>
              </w:rPr>
              <w:t>4,098.2</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26"/>
        </w:trPr>
        <w:tc>
          <w:tcPr>
            <w:tcW w:w="45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2,650.0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r>
      <w:tr>
        <w:trPr>
          <w:trHeight w:val="225"/>
        </w:trPr>
        <w:tc>
          <w:tcPr>
            <w:tcW w:w="45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CHF</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740.0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701.1</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0.5</w:t>
            </w:r>
          </w:p>
        </w:tc>
      </w:tr>
      <w:tr>
        <w:trPr>
          <w:trHeight w:val="266"/>
        </w:trPr>
        <w:tc>
          <w:tcPr>
            <w:tcW w:w="4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5"/>
        </w:trPr>
        <w:tc>
          <w:tcPr>
            <w:tcW w:w="4520" w:type="dxa"/>
            <w:vAlign w:val="bottom"/>
          </w:tcPr>
          <w:p>
            <w:pPr>
              <w:ind w:left="20"/>
              <w:spacing w:after="0"/>
              <w:rPr>
                <w:sz w:val="20"/>
                <w:szCs w:val="20"/>
                <w:color w:val="auto"/>
              </w:rPr>
            </w:pPr>
            <w:r>
              <w:rPr>
                <w:rFonts w:ascii="Arial" w:cs="Arial" w:eastAsia="Arial" w:hAnsi="Arial"/>
                <w:sz w:val="18"/>
                <w:szCs w:val="18"/>
                <w:color w:val="auto"/>
              </w:rPr>
              <w:t>Telenet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3,940.0</w:t>
            </w:r>
          </w:p>
        </w:tc>
        <w:tc>
          <w:tcPr>
            <w:tcW w:w="52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3,489.6</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4.6</w:t>
            </w:r>
          </w:p>
        </w:tc>
      </w:tr>
      <w:tr>
        <w:trPr>
          <w:trHeight w:val="226"/>
        </w:trPr>
        <w:tc>
          <w:tcPr>
            <w:tcW w:w="45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June 30, 2022. These instruments are typically entered into in order to extend existing hedges without the need to amend existing contracts.</w:t>
      </w:r>
    </w:p>
    <w:p>
      <w:pPr>
        <w:spacing w:after="0" w:line="20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June 30,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80"/>
              <w:spacing w:after="0"/>
              <w:rPr>
                <w:sz w:val="20"/>
                <w:szCs w:val="20"/>
                <w:color w:val="auto"/>
              </w:rPr>
            </w:pPr>
            <w:r>
              <w:rPr>
                <w:rFonts w:ascii="Arial" w:cs="Arial" w:eastAsia="Arial" w:hAnsi="Arial"/>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Arial" w:cs="Arial" w:eastAsia="Arial" w:hAnsi="Arial"/>
                <w:sz w:val="16"/>
                <w:szCs w:val="16"/>
                <w:b w:val="1"/>
                <w:bCs w:val="1"/>
                <w:color w:val="auto"/>
              </w:rPr>
              <w:t>Receives fixed rate</w:t>
            </w:r>
          </w:p>
        </w:tc>
      </w:tr>
      <w:tr>
        <w:trPr>
          <w:trHeight w:val="155"/>
        </w:trPr>
        <w:tc>
          <w:tcPr>
            <w:tcW w:w="3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0"/>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3"/>
              </w:rPr>
              <w:t>Notional</w:t>
            </w:r>
          </w:p>
        </w:tc>
        <w:tc>
          <w:tcPr>
            <w:tcW w:w="1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 life</w:t>
            </w:r>
          </w:p>
        </w:tc>
        <w:tc>
          <w:tcPr>
            <w:tcW w:w="3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amount</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33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278"/>
              <w:spacing w:after="0"/>
              <w:rPr>
                <w:sz w:val="20"/>
                <w:szCs w:val="20"/>
                <w:color w:val="auto"/>
              </w:rPr>
            </w:pPr>
            <w:r>
              <w:rPr>
                <w:rFonts w:ascii="Arial" w:cs="Arial" w:eastAsia="Arial" w:hAnsi="Arial"/>
                <w:sz w:val="16"/>
                <w:szCs w:val="16"/>
                <w:b w:val="1"/>
                <w:bCs w:val="1"/>
                <w:color w:val="auto"/>
                <w:w w:val="90"/>
              </w:rPr>
              <w:t>in millions</w:t>
            </w:r>
          </w:p>
        </w:tc>
        <w:tc>
          <w:tcPr>
            <w:tcW w:w="100" w:type="dxa"/>
            <w:vAlign w:val="bottom"/>
          </w:tcPr>
          <w:p>
            <w:pPr>
              <w:spacing w:after="0"/>
              <w:rPr>
                <w:sz w:val="17"/>
                <w:szCs w:val="17"/>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3"/>
        </w:trPr>
        <w:tc>
          <w:tcPr>
            <w:tcW w:w="3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5,751.9</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3,345.0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r>
      <w:tr>
        <w:trPr>
          <w:trHeight w:val="159"/>
        </w:trPr>
        <w:tc>
          <w:tcPr>
            <w:tcW w:w="3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2,892.1</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1,364.9</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w:t>
            </w:r>
          </w:p>
        </w:tc>
      </w:tr>
      <w:tr>
        <w:trPr>
          <w:trHeight w:val="304"/>
        </w:trPr>
        <w:tc>
          <w:tcPr>
            <w:tcW w:w="3340" w:type="dxa"/>
            <w:vAlign w:val="bottom"/>
          </w:tcPr>
          <w:p>
            <w:pPr>
              <w:spacing w:after="0"/>
              <w:rPr>
                <w:sz w:val="20"/>
                <w:szCs w:val="20"/>
                <w:color w:val="auto"/>
              </w:rPr>
            </w:pPr>
            <w:r>
              <w:rPr>
                <w:rFonts w:ascii="Arial" w:cs="Arial" w:eastAsia="Arial" w:hAnsi="Arial"/>
                <w:sz w:val="18"/>
                <w:szCs w:val="18"/>
                <w:color w:val="auto"/>
              </w:rPr>
              <w:t>_______________</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June 30, 2022, the option expiration period on each of our swaptions had expired.</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Notional amount due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from counterparty</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3"/>
        </w:trPr>
        <w:tc>
          <w:tcPr>
            <w:tcW w:w="7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17"/>
              <w:spacing w:after="0"/>
              <w:rPr>
                <w:sz w:val="20"/>
                <w:szCs w:val="20"/>
                <w:color w:val="auto"/>
              </w:rPr>
            </w:pPr>
            <w:r>
              <w:rPr>
                <w:rFonts w:ascii="Arial" w:cs="Arial" w:eastAsia="Arial" w:hAnsi="Arial"/>
                <w:sz w:val="16"/>
                <w:szCs w:val="16"/>
                <w:b w:val="1"/>
                <w:bCs w:val="1"/>
                <w:color w:val="auto"/>
                <w:w w:val="90"/>
              </w:rPr>
              <w:t>in millions</w:t>
            </w:r>
          </w:p>
        </w:tc>
        <w:tc>
          <w:tcPr>
            <w:tcW w:w="40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3"/>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2,582.0 (a)</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159"/>
        </w:trPr>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6"/>
              </w:rPr>
              <w:t>2,295.0</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90"/>
        </w:trPr>
        <w:tc>
          <w:tcPr>
            <w:tcW w:w="7380" w:type="dxa"/>
            <w:vAlign w:val="bottom"/>
          </w:tcPr>
          <w:p>
            <w:pPr>
              <w:spacing w:after="0"/>
              <w:rPr>
                <w:sz w:val="20"/>
                <w:szCs w:val="20"/>
                <w:color w:val="auto"/>
              </w:rPr>
            </w:pPr>
            <w:r>
              <w:rPr>
                <w:rFonts w:ascii="Arial" w:cs="Arial" w:eastAsia="Arial" w:hAnsi="Arial"/>
                <w:sz w:val="18"/>
                <w:szCs w:val="18"/>
                <w:color w:val="auto"/>
              </w:rPr>
              <w:t>_______________</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2022, we had no interest rate collar agreements, and the total U.S. dollar equivalents of the notional amounts of our purchased interest rate caps and floors were $1.2 billion and $7.4 billion,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6"/>
              </w:rPr>
              <w:t>Increase (decrease) to</w:t>
            </w:r>
          </w:p>
        </w:tc>
      </w:tr>
      <w:tr>
        <w:trPr>
          <w:trHeight w:val="159"/>
        </w:trPr>
        <w:tc>
          <w:tcPr>
            <w:tcW w:w="922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borrowing costs at June 30,</w:t>
            </w:r>
          </w:p>
        </w:tc>
      </w:tr>
      <w:tr>
        <w:trPr>
          <w:trHeight w:val="210"/>
        </w:trPr>
        <w:tc>
          <w:tcPr>
            <w:tcW w:w="92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2022 (a)</w:t>
            </w:r>
          </w:p>
        </w:tc>
      </w:tr>
      <w:tr>
        <w:trPr>
          <w:trHeight w:val="194"/>
        </w:trPr>
        <w:tc>
          <w:tcPr>
            <w:tcW w:w="9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25"/>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5"/>
        </w:trPr>
        <w:tc>
          <w:tcPr>
            <w:tcW w:w="9220" w:type="dxa"/>
            <w:vAlign w:val="bottom"/>
          </w:tcPr>
          <w:p>
            <w:pPr>
              <w:ind w:left="20"/>
              <w:spacing w:after="0"/>
              <w:rPr>
                <w:sz w:val="20"/>
                <w:szCs w:val="20"/>
                <w:color w:val="auto"/>
              </w:rPr>
            </w:pPr>
            <w:r>
              <w:rPr>
                <w:rFonts w:ascii="Arial" w:cs="Arial" w:eastAsia="Arial" w:hAnsi="Arial"/>
                <w:sz w:val="18"/>
                <w:szCs w:val="18"/>
                <w:color w:val="auto"/>
              </w:rPr>
              <w:t>Telenet</w:t>
            </w:r>
          </w:p>
        </w:tc>
        <w:tc>
          <w:tcPr>
            <w:tcW w:w="20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 Ireland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0.15 %</w:t>
            </w:r>
          </w:p>
        </w:tc>
      </w:tr>
      <w:tr>
        <w:trPr>
          <w:trHeight w:val="218"/>
        </w:trPr>
        <w:tc>
          <w:tcPr>
            <w:tcW w:w="9220" w:type="dxa"/>
            <w:vAlign w:val="bottom"/>
          </w:tcPr>
          <w:p>
            <w:pPr>
              <w:ind w:left="120"/>
              <w:spacing w:after="0" w:line="204" w:lineRule="exact"/>
              <w:rPr>
                <w:sz w:val="20"/>
                <w:szCs w:val="20"/>
                <w:color w:val="auto"/>
              </w:rPr>
            </w:pPr>
            <w:r>
              <w:rPr>
                <w:rFonts w:ascii="Arial" w:cs="Arial" w:eastAsia="Arial" w:hAnsi="Arial"/>
                <w:sz w:val="18"/>
                <w:szCs w:val="18"/>
                <w:color w:val="auto"/>
              </w:rPr>
              <w:t>Total decrease to borrowing costs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r>
      <w:tr>
        <w:trPr>
          <w:trHeight w:val="20"/>
        </w:trPr>
        <w:tc>
          <w:tcPr>
            <w:tcW w:w="9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June 30, 2022 and does not include forward-starting derivative instruments.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of our subsidiaries enter into foreign currency forward and option contracts with respect to non-functional currency exposure, including hedges of the proceeds from the sale of UPC Poland. As of June 30, 2022, the total U.S. dollar equivalent of the notional amounts of our foreign currency forward and option contracts was $559.6 million.</w:t>
      </w:r>
    </w:p>
    <w:p>
      <w:pPr>
        <w:spacing w:after="0" w:line="209" w:lineRule="exact"/>
        <w:rPr>
          <w:sz w:val="20"/>
          <w:szCs w:val="20"/>
          <w:color w:val="auto"/>
        </w:rPr>
      </w:pPr>
    </w:p>
    <w:p>
      <w:pPr>
        <w:ind w:left="380" w:hanging="374"/>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the fair value method to account for (i) certain of our investments and (ii) our derivative instruments. The reported fair values of these investments and derivative instruments as of June 30, 2022 are unlikely to represent the value that will be paid or received upon the ultimate settlement or disposition of these assets and liabilities.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21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impairment assessments and the accounting for our initial investment in the VMO2 JV. These nonrecurring valuations include the valuation of reporting units, customer relationships and other intangible assets, property and equipment, the implied value of goodwill and the valuation of our initial investment in the VMO2 JV. The valuation of reporting units and our initial investment in the VMO2 JV are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six months ended June 30, 2022, we did not perform any significant nonrecurring fair value measurements. During the six months ended June 30, 2021, we performed a nonrecurring valuation for the purpose of determining the fair value of our initial investment in the VMO2 JV. The weighted average cost of capital used to value our initial investment was 6.9%. For information regarding our investment in the VMO2 JV, see note 5.</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6"/>
          </w:tcPr>
          <w:p>
            <w:pPr>
              <w:jc w:val="center"/>
              <w:ind w:left="875"/>
              <w:spacing w:after="0"/>
              <w:rPr>
                <w:sz w:val="20"/>
                <w:szCs w:val="20"/>
                <w:color w:val="auto"/>
              </w:rPr>
            </w:pPr>
            <w:r>
              <w:rPr>
                <w:rFonts w:ascii="Arial" w:cs="Arial" w:eastAsia="Arial" w:hAnsi="Arial"/>
                <w:sz w:val="16"/>
                <w:szCs w:val="16"/>
                <w:b w:val="1"/>
                <w:bCs w:val="1"/>
                <w:color w:val="auto"/>
                <w:w w:val="89"/>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June 30, 2022 using:</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5"/>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3"/>
                <w:szCs w:val="13"/>
                <w:color w:val="auto"/>
              </w:rPr>
            </w:pPr>
          </w:p>
        </w:tc>
        <w:tc>
          <w:tcPr>
            <w:tcW w:w="1100" w:type="dxa"/>
            <w:vAlign w:val="bottom"/>
            <w:vMerge w:val="restart"/>
          </w:tcPr>
          <w:p>
            <w:pPr>
              <w:jc w:val="center"/>
              <w:ind w:right="11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87"/>
              </w:rPr>
              <w:t>in active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2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18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91"/>
              </w:rPr>
              <w:t>markets for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2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3"/>
                <w:szCs w:val="13"/>
                <w:color w:val="auto"/>
              </w:rPr>
            </w:pPr>
          </w:p>
        </w:tc>
        <w:tc>
          <w:tcPr>
            <w:tcW w:w="1100" w:type="dxa"/>
            <w:vAlign w:val="bottom"/>
          </w:tcPr>
          <w:p>
            <w:pPr>
              <w:jc w:val="center"/>
              <w:ind w:right="11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20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5"/>
        </w:trPr>
        <w:tc>
          <w:tcPr>
            <w:tcW w:w="576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1,552.2</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0" w:type="dxa"/>
            <w:vAlign w:val="bottom"/>
          </w:tcPr>
          <w:p>
            <w:pPr>
              <w:spacing w:after="0"/>
              <w:rPr>
                <w:sz w:val="1"/>
                <w:szCs w:val="1"/>
                <w:color w:val="auto"/>
              </w:rPr>
            </w:pPr>
          </w:p>
        </w:tc>
      </w:tr>
      <w:tr>
        <w:trPr>
          <w:trHeight w:val="218"/>
        </w:trPr>
        <w:tc>
          <w:tcPr>
            <w:tcW w:w="576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5,119.2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885.8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2,567.1</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1,666.3</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60" w:type="dxa"/>
            <w:vAlign w:val="bottom"/>
            <w:gridSpan w:val="2"/>
          </w:tcPr>
          <w:p>
            <w:pPr>
              <w:ind w:left="540"/>
              <w:spacing w:after="0" w:line="204" w:lineRule="exact"/>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6"/>
          </w:tcPr>
          <w:p>
            <w:pPr>
              <w:jc w:val="center"/>
              <w:ind w:left="855"/>
              <w:spacing w:after="0"/>
              <w:rPr>
                <w:sz w:val="20"/>
                <w:szCs w:val="20"/>
                <w:color w:val="auto"/>
              </w:rPr>
            </w:pPr>
            <w:r>
              <w:rPr>
                <w:rFonts w:ascii="Arial" w:cs="Arial" w:eastAsia="Arial" w:hAnsi="Arial"/>
                <w:sz w:val="16"/>
                <w:szCs w:val="16"/>
                <w:b w:val="1"/>
                <w:bCs w:val="1"/>
                <w:color w:val="auto"/>
                <w:w w:val="89"/>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915"/>
              <w:spacing w:after="0"/>
              <w:rPr>
                <w:sz w:val="20"/>
                <w:szCs w:val="20"/>
                <w:color w:val="auto"/>
              </w:rPr>
            </w:pPr>
            <w:r>
              <w:rPr>
                <w:rFonts w:ascii="Arial" w:cs="Arial" w:eastAsia="Arial" w:hAnsi="Arial"/>
                <w:sz w:val="16"/>
                <w:szCs w:val="16"/>
                <w:b w:val="1"/>
                <w:bCs w:val="1"/>
                <w:color w:val="auto"/>
                <w:w w:val="88"/>
              </w:rPr>
              <w:t>December 31, 2021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3"/>
                <w:szCs w:val="13"/>
                <w:color w:val="auto"/>
              </w:rPr>
            </w:pPr>
          </w:p>
        </w:tc>
        <w:tc>
          <w:tcPr>
            <w:tcW w:w="1120" w:type="dxa"/>
            <w:vAlign w:val="bottom"/>
            <w:vMerge w:val="restart"/>
          </w:tcPr>
          <w:p>
            <w:pPr>
              <w:jc w:val="center"/>
              <w:ind w:right="94"/>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6"/>
              </w:rPr>
              <w:t>unobservable</w:t>
            </w:r>
          </w:p>
        </w:tc>
        <w:tc>
          <w:tcPr>
            <w:tcW w:w="0" w:type="dxa"/>
            <w:vAlign w:val="bottom"/>
          </w:tcPr>
          <w:p>
            <w:pPr>
              <w:spacing w:after="0"/>
              <w:rPr>
                <w:sz w:val="1"/>
                <w:szCs w:val="1"/>
                <w:color w:val="auto"/>
              </w:rPr>
            </w:pPr>
          </w:p>
        </w:tc>
      </w:tr>
      <w:tr>
        <w:trPr>
          <w:trHeight w:val="159"/>
        </w:trPr>
        <w:tc>
          <w:tcPr>
            <w:tcW w:w="5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3"/>
                <w:szCs w:val="13"/>
                <w:color w:val="auto"/>
              </w:rPr>
            </w:pPr>
          </w:p>
        </w:tc>
        <w:tc>
          <w:tcPr>
            <w:tcW w:w="1120" w:type="dxa"/>
            <w:vAlign w:val="bottom"/>
          </w:tcPr>
          <w:p>
            <w:pPr>
              <w:jc w:val="center"/>
              <w:ind w:right="94"/>
              <w:spacing w:after="0" w:line="159" w:lineRule="exact"/>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8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3"/>
        </w:trPr>
        <w:tc>
          <w:tcPr>
            <w:tcW w:w="126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2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5"/>
        </w:trPr>
        <w:tc>
          <w:tcPr>
            <w:tcW w:w="572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Investments: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19"/>
        </w:trPr>
        <w:tc>
          <w:tcPr>
            <w:tcW w:w="5720" w:type="dxa"/>
            <w:vAlign w:val="bottom"/>
            <w:gridSpan w:val="2"/>
            <w:shd w:val="clear" w:color="auto" w:fill="CCEEFF"/>
          </w:tcPr>
          <w:p>
            <w:pPr>
              <w:ind w:left="380"/>
              <w:spacing w:after="0" w:line="205" w:lineRule="exact"/>
              <w:rPr>
                <w:sz w:val="20"/>
                <w:szCs w:val="20"/>
                <w:color w:val="auto"/>
              </w:rPr>
            </w:pPr>
            <w:r>
              <w:rPr>
                <w:rFonts w:ascii="Arial" w:cs="Arial" w:eastAsia="Arial" w:hAnsi="Arial"/>
                <w:sz w:val="18"/>
                <w:szCs w:val="18"/>
                <w:color w:val="auto"/>
              </w:rPr>
              <w:t>Total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18"/>
        </w:trPr>
        <w:tc>
          <w:tcPr>
            <w:tcW w:w="5720" w:type="dxa"/>
            <w:vAlign w:val="bottom"/>
            <w:gridSpan w:val="2"/>
          </w:tcPr>
          <w:p>
            <w:pPr>
              <w:ind w:left="460"/>
              <w:spacing w:after="0" w:line="204"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6"/>
        </w:trPr>
        <w:tc>
          <w:tcPr>
            <w:tcW w:w="5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20" w:type="dxa"/>
            <w:vAlign w:val="bottom"/>
            <w:gridSpan w:val="2"/>
          </w:tcPr>
          <w:p>
            <w:pPr>
              <w:ind w:left="460"/>
              <w:spacing w:after="0" w:line="204" w:lineRule="exact"/>
              <w:rPr>
                <w:sz w:val="20"/>
                <w:szCs w:val="20"/>
                <w:color w:val="auto"/>
              </w:rPr>
            </w:pPr>
            <w:r>
              <w:rPr>
                <w:rFonts w:ascii="Arial" w:cs="Arial" w:eastAsia="Arial" w:hAnsi="Arial"/>
                <w:sz w:val="18"/>
                <w:szCs w:val="18"/>
                <w:color w:val="auto"/>
              </w:rPr>
              <w:t>Total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Cross-currency,</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3"/>
              </w:rPr>
              <w:t>Equity-related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2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0"/>
              </w:rPr>
              <w:t>derivative</w:t>
            </w:r>
          </w:p>
        </w:tc>
        <w:tc>
          <w:tcPr>
            <w:tcW w:w="260" w:type="dxa"/>
            <w:vAlign w:val="bottom"/>
          </w:tcPr>
          <w:p>
            <w:pPr>
              <w:spacing w:after="0"/>
              <w:rPr>
                <w:sz w:val="13"/>
                <w:szCs w:val="13"/>
                <w:color w:val="auto"/>
              </w:rPr>
            </w:pPr>
          </w:p>
        </w:tc>
        <w:tc>
          <w:tcPr>
            <w:tcW w:w="9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derivative contracts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7"/>
              </w:rPr>
              <w:t>instruments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ind w:left="900"/>
              <w:spacing w:after="0"/>
              <w:rPr>
                <w:sz w:val="20"/>
                <w:szCs w:val="20"/>
                <w:color w:val="auto"/>
              </w:rPr>
            </w:pPr>
            <w:r>
              <w:rPr>
                <w:rFonts w:ascii="Arial" w:cs="Arial" w:eastAsia="Arial" w:hAnsi="Arial"/>
                <w:sz w:val="16"/>
                <w:szCs w:val="16"/>
                <w:b w:val="1"/>
                <w:bCs w:val="1"/>
                <w:color w:val="auto"/>
                <w:w w:val="88"/>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225"/>
        </w:trPr>
        <w:tc>
          <w:tcPr>
            <w:tcW w:w="5820" w:type="dxa"/>
            <w:vAlign w:val="bottom"/>
          </w:tcPr>
          <w:p>
            <w:pPr>
              <w:ind w:left="140"/>
              <w:spacing w:after="0"/>
              <w:rPr>
                <w:sz w:val="20"/>
                <w:szCs w:val="20"/>
                <w:color w:val="auto"/>
              </w:rPr>
            </w:pPr>
            <w:r>
              <w:rPr>
                <w:rFonts w:ascii="Arial" w:cs="Arial" w:eastAsia="Arial" w:hAnsi="Arial"/>
                <w:sz w:val="18"/>
                <w:szCs w:val="18"/>
                <w:color w:val="auto"/>
              </w:rPr>
              <w:t>Gains included in earnings from continuing operations (a):</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Realized and unrealized gains on derivative instruments, net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3"/>
        </w:trPr>
        <w:tc>
          <w:tcPr>
            <w:tcW w:w="5820" w:type="dxa"/>
            <w:vAlign w:val="bottom"/>
          </w:tcPr>
          <w:p>
            <w:pPr>
              <w:ind w:left="260"/>
              <w:spacing w:after="0" w:line="173" w:lineRule="exact"/>
              <w:rPr>
                <w:sz w:val="20"/>
                <w:szCs w:val="20"/>
                <w:color w:val="auto"/>
              </w:rPr>
            </w:pPr>
            <w:r>
              <w:rPr>
                <w:rFonts w:ascii="Arial" w:cs="Arial" w:eastAsia="Arial" w:hAnsi="Arial"/>
                <w:sz w:val="18"/>
                <w:szCs w:val="18"/>
                <w:color w:val="auto"/>
                <w:w w:val="99"/>
              </w:rPr>
              <w:t>Realized and unrealized gains due to changes in fair values of certain</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4"/>
        </w:trPr>
        <w:tc>
          <w:tcPr>
            <w:tcW w:w="5820" w:type="dxa"/>
            <w:vAlign w:val="bottom"/>
          </w:tcPr>
          <w:p>
            <w:pPr>
              <w:ind w:left="420"/>
              <w:spacing w:after="0"/>
              <w:rPr>
                <w:sz w:val="20"/>
                <w:szCs w:val="20"/>
                <w:color w:val="auto"/>
              </w:rPr>
            </w:pPr>
            <w:r>
              <w:rPr>
                <w:rFonts w:ascii="Arial" w:cs="Arial" w:eastAsia="Arial" w:hAnsi="Arial"/>
                <w:sz w:val="18"/>
                <w:szCs w:val="18"/>
                <w:color w:val="auto"/>
              </w:rPr>
              <w:t>investments, net</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5"/>
        </w:trPr>
        <w:tc>
          <w:tcPr>
            <w:tcW w:w="582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 of Level 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 net</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Amounts primarily relate to assets and liabilities that we continue to carry on our condensed consolidated balance sheet as of June 30, 2022.</w:t>
      </w:r>
    </w:p>
    <w:p>
      <w:pPr>
        <w:spacing w:after="0" w:line="24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6"/>
                <w:szCs w:val="16"/>
                <w:color w:val="auto"/>
              </w:rPr>
            </w:pPr>
          </w:p>
        </w:tc>
        <w:tc>
          <w:tcPr>
            <w:tcW w:w="1240" w:type="dxa"/>
            <w:vAlign w:val="bottom"/>
          </w:tcPr>
          <w:p>
            <w:pPr>
              <w:jc w:val="right"/>
              <w:ind w:right="154"/>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r>
      <w:tr>
        <w:trPr>
          <w:trHeight w:val="203"/>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4"/>
          </w:tcPr>
          <w:p>
            <w:pPr>
              <w:jc w:val="right"/>
              <w:ind w:right="1014"/>
              <w:spacing w:after="0"/>
              <w:rPr>
                <w:sz w:val="20"/>
                <w:szCs w:val="20"/>
                <w:color w:val="auto"/>
              </w:rPr>
            </w:pPr>
            <w:r>
              <w:rPr>
                <w:rFonts w:ascii="Arial" w:cs="Arial" w:eastAsia="Arial" w:hAnsi="Arial"/>
                <w:sz w:val="16"/>
                <w:szCs w:val="16"/>
                <w:b w:val="1"/>
                <w:bCs w:val="1"/>
                <w:color w:val="auto"/>
              </w:rPr>
              <w:t>in millions</w:t>
            </w:r>
          </w:p>
        </w:tc>
      </w:tr>
      <w:tr>
        <w:trPr>
          <w:trHeight w:val="203"/>
        </w:trPr>
        <w:tc>
          <w:tcPr>
            <w:tcW w:w="8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Support equipment, buildings and land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4,310.5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r>
      <w:tr>
        <w:trPr>
          <w:trHeight w:val="218"/>
        </w:trPr>
        <w:tc>
          <w:tcPr>
            <w:tcW w:w="8320" w:type="dxa"/>
            <w:vAlign w:val="bottom"/>
          </w:tcPr>
          <w:p>
            <w:pPr>
              <w:jc w:val="right"/>
              <w:ind w:right="5492"/>
              <w:spacing w:after="0" w:line="204" w:lineRule="exact"/>
              <w:rPr>
                <w:sz w:val="20"/>
                <w:szCs w:val="20"/>
                <w:color w:val="auto"/>
              </w:rPr>
            </w:pPr>
            <w:r>
              <w:rPr>
                <w:rFonts w:ascii="Arial" w:cs="Arial" w:eastAsia="Arial" w:hAnsi="Arial"/>
                <w:sz w:val="18"/>
                <w:szCs w:val="18"/>
                <w:color w:val="auto"/>
                <w:w w:val="94"/>
              </w:rPr>
              <w:t>Total property and equipment, gross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15,062.5</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(8,081.0)</w:t>
            </w:r>
          </w:p>
        </w:tc>
      </w:tr>
      <w:tr>
        <w:trPr>
          <w:trHeight w:val="218"/>
        </w:trPr>
        <w:tc>
          <w:tcPr>
            <w:tcW w:w="8320" w:type="dxa"/>
            <w:vAlign w:val="bottom"/>
          </w:tcPr>
          <w:p>
            <w:pPr>
              <w:jc w:val="right"/>
              <w:ind w:right="5492"/>
              <w:spacing w:after="0" w:line="204" w:lineRule="exact"/>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six months ended June 30, 2022 and 2021, we recorded non-cash increases to our property and equipment related to vendor financing arrangements of $102.2 million and $546.9 million (including amounts related to the U.K. JV Entities through the June 1, 2021 closing of the U.K. JV Transaction),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$9.8 million and $74.0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the six months ended June 30, 2022 are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1"/>
              </w:rPr>
              <w:t>currency</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260" w:type="dxa"/>
            <w:vAlign w:val="bottom"/>
          </w:tcPr>
          <w:p>
            <w:pPr>
              <w:spacing w:after="0"/>
              <w:rPr>
                <w:sz w:val="13"/>
                <w:szCs w:val="13"/>
                <w:color w:val="auto"/>
              </w:rPr>
            </w:pPr>
          </w:p>
        </w:tc>
        <w:tc>
          <w:tcPr>
            <w:tcW w:w="114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59"/>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January 1, 2022</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adjustments and</w:t>
            </w:r>
          </w:p>
        </w:tc>
        <w:tc>
          <w:tcPr>
            <w:tcW w:w="2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other</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6,297.5</w:t>
            </w:r>
          </w:p>
        </w:tc>
        <w:tc>
          <w:tcPr>
            <w:tcW w:w="0" w:type="dxa"/>
            <w:vAlign w:val="bottom"/>
          </w:tcPr>
          <w:p>
            <w:pPr>
              <w:spacing w:after="0"/>
              <w:rPr>
                <w:sz w:val="1"/>
                <w:szCs w:val="1"/>
                <w:color w:val="auto"/>
              </w:rPr>
            </w:pP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2,386.0</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Central and Other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5"/>
        </w:trPr>
        <w:tc>
          <w:tcPr>
            <w:tcW w:w="3520" w:type="dxa"/>
            <w:vAlign w:val="bottom"/>
          </w:tcPr>
          <w:p>
            <w:pPr>
              <w:spacing w:after="0"/>
              <w:rPr>
                <w:sz w:val="13"/>
                <w:szCs w:val="13"/>
                <w:color w:val="auto"/>
              </w:rPr>
            </w:pPr>
          </w:p>
        </w:tc>
        <w:tc>
          <w:tcPr>
            <w:tcW w:w="12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87"/>
              </w:rPr>
              <w:t>Gross carrying</w:t>
            </w:r>
          </w:p>
        </w:tc>
        <w:tc>
          <w:tcPr>
            <w:tcW w:w="140" w:type="dxa"/>
            <w:vAlign w:val="bottom"/>
          </w:tcPr>
          <w:p>
            <w:pPr>
              <w:spacing w:after="0"/>
              <w:rPr>
                <w:sz w:val="13"/>
                <w:szCs w:val="13"/>
                <w:color w:val="auto"/>
              </w:rPr>
            </w:pPr>
          </w:p>
        </w:tc>
        <w:tc>
          <w:tcPr>
            <w:tcW w:w="122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104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w w:val="92"/>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3"/>
                <w:szCs w:val="13"/>
                <w:color w:val="auto"/>
              </w:rPr>
            </w:pPr>
          </w:p>
        </w:tc>
        <w:tc>
          <w:tcPr>
            <w:tcW w:w="1040" w:type="dxa"/>
            <w:vAlign w:val="bottom"/>
          </w:tcPr>
          <w:p>
            <w:pPr>
              <w:jc w:val="right"/>
              <w:ind w:right="75"/>
              <w:spacing w:after="0" w:line="155" w:lineRule="exact"/>
              <w:rPr>
                <w:sz w:val="20"/>
                <w:szCs w:val="20"/>
                <w:color w:val="auto"/>
              </w:rPr>
            </w:pPr>
            <w:r>
              <w:rPr>
                <w:rFonts w:ascii="Arial" w:cs="Arial" w:eastAsia="Arial" w:hAnsi="Arial"/>
                <w:sz w:val="16"/>
                <w:szCs w:val="16"/>
                <w:b w:val="1"/>
                <w:bCs w:val="1"/>
                <w:color w:val="auto"/>
                <w:w w:val="92"/>
              </w:rPr>
              <w:t>Net carrying</w:t>
            </w:r>
          </w:p>
        </w:tc>
      </w:t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w w:val="89"/>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amount</w:t>
            </w:r>
          </w:p>
        </w:tc>
      </w:tr>
      <w:tr>
        <w:trPr>
          <w:trHeight w:val="203"/>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3"/>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r>
      <w:tr>
        <w:trPr>
          <w:trHeight w:val="22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r>
      <w:tr>
        <w:trPr>
          <w:trHeight w:val="238"/>
        </w:trPr>
        <w:tc>
          <w:tcPr>
            <w:tcW w:w="35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380" w:hanging="374"/>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6"/>
                <w:szCs w:val="16"/>
                <w:b w:val="1"/>
                <w:bCs w:val="1"/>
                <w:color w:val="auto"/>
                <w:w w:val="92"/>
              </w:rPr>
              <w:t>June 30, 2022</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3"/>
          </w:tcPr>
          <w:p>
            <w:pPr>
              <w:jc w:val="right"/>
              <w:ind w:right="494"/>
              <w:spacing w:after="0" w:line="155" w:lineRule="exact"/>
              <w:rPr>
                <w:sz w:val="20"/>
                <w:szCs w:val="20"/>
                <w:color w:val="auto"/>
              </w:rPr>
            </w:pPr>
            <w:r>
              <w:rPr>
                <w:rFonts w:ascii="Arial" w:cs="Arial" w:eastAsia="Arial" w:hAnsi="Arial"/>
                <w:sz w:val="16"/>
                <w:szCs w:val="16"/>
                <w:b w:val="1"/>
                <w:bCs w:val="1"/>
                <w:color w:val="auto"/>
              </w:rPr>
              <w:t>Unused borrowing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47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gridSpan w:val="3"/>
            <w:vMerge w:val="restart"/>
          </w:tcPr>
          <w:p>
            <w:pPr>
              <w:jc w:val="right"/>
              <w:ind w:right="734"/>
              <w:spacing w:after="0"/>
              <w:rPr>
                <w:sz w:val="20"/>
                <w:szCs w:val="20"/>
                <w:color w:val="auto"/>
              </w:rPr>
            </w:pPr>
            <w:r>
              <w:rPr>
                <w:rFonts w:ascii="Arial" w:cs="Arial" w:eastAsia="Arial" w:hAnsi="Arial"/>
                <w:sz w:val="16"/>
                <w:szCs w:val="16"/>
                <w:b w:val="1"/>
                <w:bCs w:val="1"/>
                <w:color w:val="auto"/>
              </w:rPr>
              <w:t>capacity (b)</w:t>
            </w:r>
          </w:p>
        </w:tc>
        <w:tc>
          <w:tcPr>
            <w:tcW w:w="10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2360" w:type="dxa"/>
            <w:vAlign w:val="bottom"/>
            <w:gridSpan w:val="4"/>
            <w:vMerge w:val="restart"/>
          </w:tcPr>
          <w:p>
            <w:pPr>
              <w:jc w:val="right"/>
              <w:ind w:right="61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jc w:val="right"/>
              <w:ind w:right="235"/>
              <w:spacing w:after="0" w:line="181" w:lineRule="exact"/>
              <w:rPr>
                <w:sz w:val="20"/>
                <w:szCs w:val="20"/>
                <w:color w:val="auto"/>
              </w:rPr>
            </w:pPr>
            <w:r>
              <w:rPr>
                <w:rFonts w:ascii="Arial" w:cs="Arial" w:eastAsia="Arial" w:hAnsi="Arial"/>
                <w:sz w:val="16"/>
                <w:szCs w:val="16"/>
                <w:b w:val="1"/>
                <w:bCs w:val="1"/>
                <w:color w:val="auto"/>
                <w:w w:val="94"/>
              </w:rPr>
              <w:t>Borrowing</w:t>
            </w:r>
          </w:p>
        </w:tc>
        <w:tc>
          <w:tcPr>
            <w:tcW w:w="160" w:type="dxa"/>
            <w:vAlign w:val="bottom"/>
          </w:tcPr>
          <w:p>
            <w:pPr>
              <w:spacing w:after="0" w:line="20" w:lineRule="exact"/>
              <w:rPr>
                <w:sz w:val="1"/>
                <w:szCs w:val="1"/>
                <w:color w:val="auto"/>
              </w:rPr>
            </w:pPr>
          </w:p>
        </w:tc>
        <w:tc>
          <w:tcPr>
            <w:tcW w:w="1100" w:type="dxa"/>
            <w:vAlign w:val="bottom"/>
            <w:gridSpan w:val="2"/>
            <w:vMerge w:val="restart"/>
          </w:tcPr>
          <w:p>
            <w:pPr>
              <w:jc w:val="center"/>
              <w:ind w:right="260"/>
              <w:spacing w:after="0" w:line="181" w:lineRule="exact"/>
              <w:rPr>
                <w:sz w:val="20"/>
                <w:szCs w:val="20"/>
                <w:color w:val="auto"/>
              </w:rPr>
            </w:pPr>
            <w:r>
              <w:rPr>
                <w:rFonts w:ascii="Arial" w:cs="Arial" w:eastAsia="Arial" w:hAnsi="Arial"/>
                <w:sz w:val="16"/>
                <w:szCs w:val="16"/>
                <w:b w:val="1"/>
                <w:bCs w:val="1"/>
                <w:color w:val="auto"/>
                <w:w w:val="89"/>
              </w:rPr>
              <w:t>U.S. $</w:t>
            </w:r>
          </w:p>
        </w:tc>
        <w:tc>
          <w:tcPr>
            <w:tcW w:w="220" w:type="dxa"/>
            <w:vAlign w:val="bottom"/>
          </w:tcPr>
          <w:p>
            <w:pPr>
              <w:spacing w:after="0" w:line="20" w:lineRule="exact"/>
              <w:rPr>
                <w:sz w:val="1"/>
                <w:szCs w:val="1"/>
                <w:color w:val="auto"/>
              </w:rPr>
            </w:pPr>
          </w:p>
        </w:tc>
        <w:tc>
          <w:tcPr>
            <w:tcW w:w="1100" w:type="dxa"/>
            <w:vAlign w:val="bottom"/>
            <w:gridSpan w:val="2"/>
            <w:vMerge w:val="restart"/>
          </w:tcPr>
          <w:p>
            <w:pPr>
              <w:ind w:left="100"/>
              <w:spacing w:after="0" w:line="181"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line="20" w:lineRule="exact"/>
              <w:rPr>
                <w:sz w:val="1"/>
                <w:szCs w:val="1"/>
                <w:color w:val="auto"/>
              </w:rPr>
            </w:pPr>
          </w:p>
        </w:tc>
        <w:tc>
          <w:tcPr>
            <w:tcW w:w="1120" w:type="dxa"/>
            <w:vAlign w:val="bottom"/>
            <w:vMerge w:val="restart"/>
          </w:tcPr>
          <w:p>
            <w:pPr>
              <w:jc w:val="right"/>
              <w:ind w:right="73"/>
              <w:spacing w:after="0" w:line="181"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line="20" w:lineRule="exact"/>
              <w:rPr>
                <w:sz w:val="1"/>
                <w:szCs w:val="1"/>
                <w:color w:val="auto"/>
              </w:rPr>
            </w:pPr>
          </w:p>
        </w:tc>
      </w:tr>
      <w:tr>
        <w:trPr>
          <w:trHeight w:val="159"/>
        </w:trPr>
        <w:tc>
          <w:tcPr>
            <w:tcW w:w="4740" w:type="dxa"/>
            <w:vAlign w:val="bottom"/>
          </w:tcPr>
          <w:p>
            <w:pPr>
              <w:spacing w:after="0"/>
              <w:rPr>
                <w:sz w:val="13"/>
                <w:szCs w:val="13"/>
                <w:color w:val="auto"/>
              </w:rPr>
            </w:pPr>
          </w:p>
        </w:tc>
        <w:tc>
          <w:tcPr>
            <w:tcW w:w="13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currency</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equivalent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tcPr>
          <w:p>
            <w:pPr>
              <w:ind w:left="7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Bank Facility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UPC SPE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4.58 %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 Senior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Telenet Credit Facility (d)</w:t>
            </w:r>
          </w:p>
        </w:tc>
        <w:tc>
          <w:tcPr>
            <w:tcW w:w="1300" w:type="dxa"/>
            <w:vAlign w:val="bottom"/>
          </w:tcPr>
          <w:p>
            <w:pPr>
              <w:jc w:val="right"/>
              <w:spacing w:after="0"/>
              <w:rPr>
                <w:sz w:val="20"/>
                <w:szCs w:val="20"/>
                <w:color w:val="auto"/>
              </w:rPr>
            </w:pPr>
            <w:r>
              <w:rPr>
                <w:rFonts w:ascii="Arial" w:cs="Arial" w:eastAsia="Arial" w:hAnsi="Arial"/>
                <w:sz w:val="18"/>
                <w:szCs w:val="18"/>
                <w:color w:val="auto"/>
              </w:rPr>
              <w:t>3.36 %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3,558.9</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VM Ireland Credit Facility (e)</w:t>
            </w:r>
          </w:p>
        </w:tc>
        <w:tc>
          <w:tcPr>
            <w:tcW w:w="1300" w:type="dxa"/>
            <w:vAlign w:val="bottom"/>
          </w:tcPr>
          <w:p>
            <w:pPr>
              <w:jc w:val="right"/>
              <w:spacing w:after="0"/>
              <w:rPr>
                <w:sz w:val="20"/>
                <w:szCs w:val="20"/>
                <w:color w:val="auto"/>
              </w:rPr>
            </w:pPr>
            <w:r>
              <w:rPr>
                <w:rFonts w:ascii="Arial" w:cs="Arial" w:eastAsia="Arial" w:hAnsi="Arial"/>
                <w:sz w:val="18"/>
                <w:szCs w:val="18"/>
                <w:color w:val="auto"/>
              </w:rPr>
              <w:t>3.76 %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financing (f)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Pr>
          <w:p>
            <w:pPr>
              <w:jc w:val="right"/>
              <w:spacing w:after="0"/>
              <w:rPr>
                <w:sz w:val="20"/>
                <w:szCs w:val="20"/>
                <w:color w:val="auto"/>
              </w:rPr>
            </w:pPr>
            <w:r>
              <w:rPr>
                <w:rFonts w:ascii="Arial" w:cs="Arial" w:eastAsia="Arial" w:hAnsi="Arial"/>
                <w:sz w:val="18"/>
                <w:szCs w:val="18"/>
                <w:color w:val="auto"/>
              </w:rPr>
              <w:t>7.01 %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54"/>
        </w:trPr>
        <w:tc>
          <w:tcPr>
            <w:tcW w:w="4740" w:type="dxa"/>
            <w:vAlign w:val="bottom"/>
            <w:tcBorders>
              <w:top w:val="single" w:sz="8" w:color="CCEEFF"/>
            </w:tcBorders>
            <w:shd w:val="clear" w:color="auto" w:fill="CCEEFF"/>
          </w:tcPr>
          <w:p>
            <w:pPr>
              <w:ind w:left="180"/>
              <w:spacing w:after="0" w:line="154" w:lineRule="exact"/>
              <w:rPr>
                <w:sz w:val="20"/>
                <w:szCs w:val="20"/>
                <w:color w:val="auto"/>
              </w:rPr>
            </w:pPr>
            <w:r>
              <w:rPr>
                <w:rFonts w:ascii="Arial" w:cs="Arial" w:eastAsia="Arial" w:hAnsi="Arial"/>
                <w:sz w:val="17"/>
                <w:szCs w:val="17"/>
                <w:color w:val="auto"/>
              </w:rPr>
              <w:t>Total debt before deferred financing costs, discounts and</w:t>
            </w: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12,852.5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shd w:val="clear" w:color="auto" w:fill="CCEEFF"/>
          </w:tcPr>
          <w:p>
            <w:pPr>
              <w:ind w:left="340"/>
              <w:spacing w:after="0" w:line="198" w:lineRule="exact"/>
              <w:rPr>
                <w:sz w:val="20"/>
                <w:szCs w:val="20"/>
                <w:color w:val="auto"/>
              </w:rPr>
            </w:pPr>
            <w:r>
              <w:rPr>
                <w:rFonts w:ascii="Arial" w:cs="Arial" w:eastAsia="Arial" w:hAnsi="Arial"/>
                <w:sz w:val="18"/>
                <w:szCs w:val="18"/>
                <w:color w:val="auto"/>
              </w:rPr>
              <w:t>premiums (g)</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203"/>
        </w:trPr>
        <w:tc>
          <w:tcPr>
            <w:tcW w:w="8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in millions</w:t>
            </w:r>
          </w:p>
        </w:tc>
      </w:tr>
      <w:tr>
        <w:trPr>
          <w:trHeight w:val="163"/>
        </w:trPr>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14,398.8</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14,341.1</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(note 10)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r>
      <w:tr>
        <w:trPr>
          <w:trHeight w:val="219"/>
        </w:trPr>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14,825.1</w:t>
            </w: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w:t>
            </w: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67" w:lineRule="auto"/>
        <w:tabs>
          <w:tab w:leader="none" w:pos="4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the weighted average interest rate in effect at June 30, 2022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3.17% at June 30, 2022. For information regarding our derivative instruments, see note 6.</w:t>
      </w:r>
    </w:p>
    <w:p>
      <w:pPr>
        <w:spacing w:after="0" w:line="205" w:lineRule="exact"/>
        <w:rPr>
          <w:rFonts w:ascii="Arial" w:cs="Arial" w:eastAsia="Arial" w:hAnsi="Arial"/>
          <w:sz w:val="17"/>
          <w:szCs w:val="17"/>
          <w:color w:val="auto"/>
        </w:rPr>
      </w:pPr>
    </w:p>
    <w:p>
      <w:pPr>
        <w:jc w:val="both"/>
        <w:ind w:left="480" w:hanging="474"/>
        <w:spacing w:after="0" w:line="318" w:lineRule="auto"/>
        <w:tabs>
          <w:tab w:leader="none" w:pos="474" w:val="left"/>
        </w:tabs>
        <w:numPr>
          <w:ilvl w:val="0"/>
          <w:numId w:val="22"/>
        </w:numPr>
        <w:rPr>
          <w:rFonts w:ascii="Arial" w:cs="Arial" w:eastAsia="Arial" w:hAnsi="Arial"/>
          <w:sz w:val="15"/>
          <w:szCs w:val="15"/>
          <w:color w:val="auto"/>
        </w:rPr>
      </w:pPr>
      <w:r>
        <w:rPr>
          <w:rFonts w:ascii="Arial" w:cs="Arial" w:eastAsia="Arial" w:hAnsi="Arial"/>
          <w:sz w:val="15"/>
          <w:szCs w:val="15"/>
          <w:color w:val="auto"/>
        </w:rPr>
        <w:t>Unused borrowing capacity represents the maximum availability under the applicable facility at June 30, 2022 without regard to covenant compliance calculations or other conditions precedent to borrowing. The following table provides our borrowing availability and amounts available to loan or distribute under each of the respective subsidiary facilities, based on the most restrictive applicable leverage covenants and leverage-based restricted payment tests, (i) at June 30, 2022 and (ii) upon completion of the relevant June 30, 2022 compliance reporting requirements. These amounts do not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94" w:lineRule="auto"/>
        <w:rPr>
          <w:sz w:val="20"/>
          <w:szCs w:val="20"/>
          <w:color w:val="auto"/>
        </w:rPr>
      </w:pPr>
      <w:r>
        <w:rPr>
          <w:rFonts w:ascii="Arial" w:cs="Arial" w:eastAsia="Arial" w:hAnsi="Arial"/>
          <w:sz w:val="17"/>
          <w:szCs w:val="17"/>
          <w:color w:val="auto"/>
        </w:rPr>
        <w:t>consider any actual or potential changes to our borrowing levels or any amounts loaned or distributed subsequent to June 30, 2022, or the impact of additional amounts that may be available to borrow, loan or distribute under certain defined baskets within each respective facility.</w:t>
      </w:r>
    </w:p>
    <w:p>
      <w:pPr>
        <w:spacing w:after="0" w:line="76"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left="655"/>
              <w:spacing w:after="0"/>
              <w:rPr>
                <w:sz w:val="20"/>
                <w:szCs w:val="20"/>
                <w:color w:val="auto"/>
              </w:rPr>
            </w:pPr>
            <w:r>
              <w:rPr>
                <w:rFonts w:ascii="Arial" w:cs="Arial" w:eastAsia="Arial" w:hAnsi="Arial"/>
                <w:sz w:val="16"/>
                <w:szCs w:val="16"/>
                <w:b w:val="1"/>
                <w:bCs w:val="1"/>
                <w:color w:val="auto"/>
                <w:w w:val="92"/>
              </w:rPr>
              <w:t>Availability</w:t>
            </w: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80" w:type="dxa"/>
            <w:vAlign w:val="bottom"/>
            <w:gridSpan w:val="6"/>
          </w:tcPr>
          <w:p>
            <w:pPr>
              <w:jc w:val="right"/>
              <w:spacing w:after="0" w:line="155" w:lineRule="exact"/>
              <w:rPr>
                <w:sz w:val="20"/>
                <w:szCs w:val="20"/>
                <w:color w:val="auto"/>
              </w:rPr>
            </w:pPr>
            <w:r>
              <w:rPr>
                <w:rFonts w:ascii="Arial" w:cs="Arial" w:eastAsia="Arial" w:hAnsi="Arial"/>
                <w:sz w:val="16"/>
                <w:szCs w:val="16"/>
                <w:b w:val="1"/>
                <w:bCs w:val="1"/>
                <w:color w:val="auto"/>
                <w:w w:val="89"/>
              </w:rPr>
              <w:t>Upon completion of the relevant June 30,</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3"/>
            <w:vMerge w:val="restart"/>
          </w:tcPr>
          <w:p>
            <w:pPr>
              <w:jc w:val="right"/>
              <w:ind w:right="775"/>
              <w:spacing w:after="0"/>
              <w:rPr>
                <w:sz w:val="20"/>
                <w:szCs w:val="20"/>
                <w:color w:val="auto"/>
              </w:rPr>
            </w:pPr>
            <w:r>
              <w:rPr>
                <w:rFonts w:ascii="Arial" w:cs="Arial" w:eastAsia="Arial" w:hAnsi="Arial"/>
                <w:sz w:val="16"/>
                <w:szCs w:val="16"/>
                <w:b w:val="1"/>
                <w:bCs w:val="1"/>
                <w:color w:val="auto"/>
              </w:rPr>
              <w:t>June 30, 2022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gridSpan w:val="3"/>
          </w:tcPr>
          <w:p>
            <w:pPr>
              <w:jc w:val="right"/>
              <w:ind w:right="374"/>
              <w:spacing w:after="0" w:line="159" w:lineRule="exact"/>
              <w:rPr>
                <w:sz w:val="20"/>
                <w:szCs w:val="20"/>
                <w:color w:val="auto"/>
              </w:rPr>
            </w:pPr>
            <w:r>
              <w:rPr>
                <w:rFonts w:ascii="Arial" w:cs="Arial" w:eastAsia="Arial" w:hAnsi="Arial"/>
                <w:sz w:val="16"/>
                <w:szCs w:val="16"/>
                <w:b w:val="1"/>
                <w:bCs w:val="1"/>
                <w:color w:val="auto"/>
                <w:w w:val="93"/>
              </w:rPr>
              <w:t>2022 compliance reporting</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6"/>
                <w:szCs w:val="16"/>
                <w:b w:val="1"/>
                <w:bCs w:val="1"/>
                <w:color w:val="auto"/>
              </w:rPr>
              <w:t>requirements</w:t>
            </w: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35"/>
              <w:spacing w:after="0" w:line="155" w:lineRule="exact"/>
              <w:rPr>
                <w:sz w:val="20"/>
                <w:szCs w:val="20"/>
                <w:color w:val="auto"/>
              </w:rPr>
            </w:pPr>
            <w:r>
              <w:rPr>
                <w:rFonts w:ascii="Arial" w:cs="Arial" w:eastAsia="Arial" w:hAnsi="Arial"/>
                <w:sz w:val="16"/>
                <w:szCs w:val="16"/>
                <w:b w:val="1"/>
                <w:bCs w:val="1"/>
                <w:color w:val="auto"/>
                <w:w w:val="99"/>
              </w:rPr>
              <w:t>Borrowing</w:t>
            </w:r>
          </w:p>
        </w:tc>
        <w:tc>
          <w:tcPr>
            <w:tcW w:w="280" w:type="dxa"/>
            <w:vAlign w:val="bottom"/>
          </w:tcPr>
          <w:p>
            <w:pPr>
              <w:spacing w:after="0"/>
              <w:rPr>
                <w:sz w:val="13"/>
                <w:szCs w:val="13"/>
                <w:color w:val="auto"/>
              </w:rPr>
            </w:pPr>
          </w:p>
        </w:tc>
        <w:tc>
          <w:tcPr>
            <w:tcW w:w="1060" w:type="dxa"/>
            <w:vAlign w:val="bottom"/>
          </w:tcPr>
          <w:p>
            <w:pPr>
              <w:jc w:val="right"/>
              <w:ind w:right="335"/>
              <w:spacing w:after="0" w:line="155" w:lineRule="exact"/>
              <w:rPr>
                <w:sz w:val="20"/>
                <w:szCs w:val="20"/>
                <w:color w:val="auto"/>
              </w:rPr>
            </w:pPr>
            <w:r>
              <w:rPr>
                <w:rFonts w:ascii="Arial" w:cs="Arial" w:eastAsia="Arial" w:hAnsi="Arial"/>
                <w:sz w:val="16"/>
                <w:szCs w:val="16"/>
                <w:b w:val="1"/>
                <w:bCs w:val="1"/>
                <w:color w:val="auto"/>
              </w:rPr>
              <w:t>U.S. $</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215"/>
              <w:spacing w:after="0" w:line="155" w:lineRule="exact"/>
              <w:rPr>
                <w:sz w:val="20"/>
                <w:szCs w:val="20"/>
                <w:color w:val="auto"/>
              </w:rPr>
            </w:pPr>
            <w:r>
              <w:rPr>
                <w:rFonts w:ascii="Arial" w:cs="Arial" w:eastAsia="Arial" w:hAnsi="Arial"/>
                <w:sz w:val="16"/>
                <w:szCs w:val="16"/>
                <w:b w:val="1"/>
                <w:bCs w:val="1"/>
                <w:color w:val="auto"/>
              </w:rPr>
              <w:t>Borrowing</w:t>
            </w:r>
          </w:p>
        </w:tc>
        <w:tc>
          <w:tcPr>
            <w:tcW w:w="300" w:type="dxa"/>
            <w:vAlign w:val="bottom"/>
          </w:tcPr>
          <w:p>
            <w:pPr>
              <w:spacing w:after="0"/>
              <w:rPr>
                <w:sz w:val="13"/>
                <w:szCs w:val="13"/>
                <w:color w:val="auto"/>
              </w:rPr>
            </w:pPr>
          </w:p>
        </w:tc>
        <w:tc>
          <w:tcPr>
            <w:tcW w:w="1100" w:type="dxa"/>
            <w:vAlign w:val="bottom"/>
          </w:tcPr>
          <w:p>
            <w:pPr>
              <w:jc w:val="right"/>
              <w:ind w:right="374"/>
              <w:spacing w:after="0" w:line="155" w:lineRule="exact"/>
              <w:rPr>
                <w:sz w:val="20"/>
                <w:szCs w:val="20"/>
                <w:color w:val="auto"/>
              </w:rPr>
            </w:pPr>
            <w:r>
              <w:rPr>
                <w:rFonts w:ascii="Arial" w:cs="Arial" w:eastAsia="Arial" w:hAnsi="Arial"/>
                <w:sz w:val="16"/>
                <w:szCs w:val="16"/>
                <w:b w:val="1"/>
                <w:bCs w:val="1"/>
                <w:color w:val="auto"/>
              </w:rPr>
              <w:t>U.S. $</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8"/>
              </w:rPr>
              <w:t>equivalent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w w:val="85"/>
              </w:rPr>
              <w:t>currency</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8"/>
              </w:rPr>
              <w:t>equivalent</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4"/>
          </w:tcPr>
          <w:p>
            <w:pPr>
              <w:jc w:val="center"/>
              <w:ind w:left="675"/>
              <w:spacing w:after="0"/>
              <w:rPr>
                <w:sz w:val="20"/>
                <w:szCs w:val="20"/>
                <w:color w:val="auto"/>
              </w:rPr>
            </w:pPr>
            <w:r>
              <w:rPr>
                <w:rFonts w:ascii="Arial" w:cs="Arial" w:eastAsia="Arial" w:hAnsi="Arial"/>
                <w:sz w:val="16"/>
                <w:szCs w:val="16"/>
                <w:b w:val="1"/>
                <w:bCs w:val="1"/>
                <w:color w:val="auto"/>
                <w:w w:val="90"/>
              </w:rPr>
              <w:t>in millions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Available to borrow:</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713.6</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713.6</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Available to loan or distribute: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UPC Holding Bank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242.4</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25"/>
        </w:trPr>
        <w:tc>
          <w:tcPr>
            <w:tcW w:w="4620" w:type="dxa"/>
            <w:vAlign w:val="bottom"/>
          </w:tcPr>
          <w:p>
            <w:pPr>
              <w:ind w:left="120"/>
              <w:spacing w:after="0"/>
              <w:rPr>
                <w:sz w:val="20"/>
                <w:szCs w:val="20"/>
                <w:color w:val="auto"/>
              </w:rPr>
            </w:pPr>
            <w:r>
              <w:rPr>
                <w:rFonts w:ascii="Arial" w:cs="Arial" w:eastAsia="Arial" w:hAnsi="Arial"/>
                <w:sz w:val="18"/>
                <w:szCs w:val="18"/>
                <w:color w:val="auto"/>
              </w:rPr>
              <w:t>Telenet Credit Facility</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555.0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555.0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2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VM Ireland Credit Facility</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80" w:hanging="474"/>
        <w:spacing w:after="0" w:line="250" w:lineRule="auto"/>
        <w:tabs>
          <w:tab w:leader="none" w:pos="4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Unused borrowing capacity under the UPC Holding Bank Facility relates to an equivalent €713.6 million ($748.0 million) under the UPC Revolving Facility, part of which has been made available as an ancillary facility. With the exception of €22.8 million ($23.9 million) of borrowings under the ancillary facility, the UPC Revolving Facility was undrawn at June 30, 2022.</w:t>
      </w:r>
    </w:p>
    <w:p>
      <w:pPr>
        <w:jc w:val="both"/>
        <w:ind w:left="480" w:hanging="474"/>
        <w:spacing w:after="0" w:line="248" w:lineRule="auto"/>
        <w:tabs>
          <w:tab w:leader="none" w:pos="4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€510.0 million ($534.6 million) under the Telenet Revolving Facility I, (ii) €25.0 million ($26.2 million) under the Telenet Overdraft Facility and (iii) €20.0 million ($21.0 million) under the Telenet Revolving Facility, each of which were undrawn at June 30, 2022.</w:t>
      </w:r>
    </w:p>
    <w:p>
      <w:pPr>
        <w:spacing w:after="0" w:line="221"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Unused borrowing capacity under the VM Ireland Credit Facility relates to €100.0 million ($104.8 million) under the VM Ireland Revolving Facility, which was undrawn at June 30, 2022.</w:t>
      </w:r>
    </w:p>
    <w:p>
      <w:pPr>
        <w:spacing w:after="0" w:line="207" w:lineRule="exact"/>
        <w:rPr>
          <w:rFonts w:ascii="Arial" w:cs="Arial" w:eastAsia="Arial" w:hAnsi="Arial"/>
          <w:sz w:val="18"/>
          <w:szCs w:val="18"/>
          <w:color w:val="auto"/>
        </w:rPr>
      </w:pPr>
    </w:p>
    <w:p>
      <w:pPr>
        <w:jc w:val="both"/>
        <w:ind w:left="480" w:hanging="474"/>
        <w:spacing w:after="0" w:line="263" w:lineRule="auto"/>
        <w:tabs>
          <w:tab w:leader="none" w:pos="471"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six months ended June 30, 2022 and 2021, the constructive cash outflow included in cash flows from operating activities and the corresponding constructive cash inflow included in cash flows from financing activities related to these operating expenses was $231.3 million and $1,474.7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14" w:lineRule="exact"/>
        <w:rPr>
          <w:rFonts w:ascii="Arial" w:cs="Arial" w:eastAsia="Arial" w:hAnsi="Arial"/>
          <w:sz w:val="17"/>
          <w:szCs w:val="17"/>
          <w:color w:val="auto"/>
        </w:rPr>
      </w:pPr>
    </w:p>
    <w:p>
      <w:pPr>
        <w:jc w:val="both"/>
        <w:ind w:left="480" w:hanging="474"/>
        <w:spacing w:after="0" w:line="255" w:lineRule="auto"/>
        <w:tabs>
          <w:tab w:leader="none" w:pos="4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June 30, 2022 and December 31, 2021, our debt had an estimated fair value of $11.6 billion and $14.5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 - General Information</w:t>
      </w:r>
    </w:p>
    <w:p>
      <w:pPr>
        <w:spacing w:after="0" w:line="2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At June 30, 2022, most of our outstanding debt had been incurred by one of our three subsidiary “borrowing groups.” References to these borrowing groups, which comprise UPC Holding, Telenet and VM Ireland, include their respective restricted parent and subsidiary entities. Below we provide summary descriptions of certain financing transactions completed during the first six months of 2022. A portion of our financing transactions may include non-cash borrowings and repayments. During the six months ended June 30, 2022 and 2021, non-cash borrowings and repayments aggregated nil and $2.9 billion,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April 2022, a portion of the net proceeds from the sale of UPC Poland was used to (i) purchase and extinguish €216.5 million ($226.9 million) of the €600.0 million ($628.9 million) outstanding principal amount under UPC Facility AQ, together with accrued and unpaid interest, from the related UPCB SPE and, simultaneously, an equal amount of UPCB Finance VII Euro Notes were purchased and cancelled, (ii) purchase and cancel €205.1 million ($215.0 million) of the €594.3 million ($623.0 million) outstanding principal amount of UPC Holding 3.875% Senior Notes, (iii) purchase and cancel $82.7 million of the $535.0 million outstanding principal amount of UPC Holding 5.50% Senior Notes, (iv) purchase and extinguish $208.0 million of the $1,925.0 million outstanding principal amount under UPC Facility AX, (v) purchase and extinguish €169.5 million ($177.7 million) of the €862.5 million ($904.1 million) outstanding principal amount under UPC Facility AY and (vi) settle associated derivatives. In connection with these transactions, UPC Holding recognized an aggregate loss on debt extinguishment of $2.0 million related to (a) the net gain associated with settlement discounts of $4.7 million, (b) the write-off of $5.2 million of unamortized deferred financing costs and discounts and (c) the payment of $1.5 million of third-party costs.</w:t>
      </w:r>
    </w:p>
    <w:p>
      <w:pPr>
        <w:spacing w:after="0" w:line="18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May 2022, an additional (i) €51.3 million ($53.8 million) of UPC Holding 3.875% Senior Notes were purchased and cancelled and (ii) €8.6 million ($9.0 million) under UPC Facility AQ, together with accrued and unpaid interest, was purchased and extinguished and, simultaneously, an equal amount of UPCB Finance VII Euro Notes were purchased and cancelled. In connection with these transactions, UPC Holding recognized an aggregate gain on debt extinguishment of $4.8 million related to (a) the net gain associated with settlement discounts of $5.1 million and (b) the write-off of $0.3 million of unamortized deferred financing costs.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Maturities of our debt as of June 30, 2022 are presented below for the named entity and its subsidiaries, unless otherwise noted, and represent U.S. dollar equivalents based on June 30, 2022 exchange rates.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UPC Holding</w:t>
            </w:r>
          </w:p>
        </w:tc>
        <w:tc>
          <w:tcPr>
            <w:tcW w:w="200" w:type="dxa"/>
            <w:vAlign w:val="bottom"/>
          </w:tcPr>
          <w:p>
            <w:pPr>
              <w:spacing w:after="0"/>
              <w:rPr>
                <w:sz w:val="16"/>
                <w:szCs w:val="16"/>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2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8"/>
              </w:rPr>
              <w:t>VM Ireland</w:t>
            </w:r>
          </w:p>
        </w:tc>
        <w:tc>
          <w:tcPr>
            <w:tcW w:w="220" w:type="dxa"/>
            <w:vAlign w:val="bottom"/>
          </w:tcPr>
          <w:p>
            <w:pPr>
              <w:spacing w:after="0"/>
              <w:rPr>
                <w:sz w:val="16"/>
                <w:szCs w:val="16"/>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(a)</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millions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526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12,066.9</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 maturities (b)</w:t>
            </w:r>
          </w:p>
        </w:tc>
        <w:tc>
          <w:tcPr>
            <w:tcW w:w="2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12,852.5</w:t>
            </w:r>
          </w:p>
        </w:tc>
        <w:tc>
          <w:tcPr>
            <w:tcW w:w="0" w:type="dxa"/>
            <w:vAlign w:val="bottom"/>
          </w:tcPr>
          <w:p>
            <w:pPr>
              <w:spacing w:after="0"/>
              <w:rPr>
                <w:sz w:val="1"/>
                <w:szCs w:val="1"/>
                <w:color w:val="auto"/>
              </w:rPr>
            </w:pPr>
          </w:p>
        </w:tc>
      </w:tr>
      <w:tr>
        <w:trPr>
          <w:trHeight w:val="225"/>
        </w:trPr>
        <w:tc>
          <w:tcPr>
            <w:tcW w:w="5260" w:type="dxa"/>
            <w:vAlign w:val="bottom"/>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526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debt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12,807.6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60" w:type="dxa"/>
            <w:vAlign w:val="bottom"/>
            <w:vMerge w:val="continue"/>
          </w:tcPr>
          <w:p>
            <w:pPr>
              <w:spacing w:after="0"/>
              <w:rPr>
                <w:sz w:val="17"/>
                <w:szCs w:val="17"/>
                <w:color w:val="auto"/>
              </w:rPr>
            </w:pPr>
          </w:p>
        </w:tc>
        <w:tc>
          <w:tcPr>
            <w:tcW w:w="280" w:type="dxa"/>
            <w:vAlign w:val="bottom"/>
          </w:tcPr>
          <w:p>
            <w:pPr>
              <w:jc w:val="right"/>
              <w:ind w:right="93"/>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8" w:lineRule="exact"/>
              <w:rPr>
                <w:sz w:val="20"/>
                <w:szCs w:val="20"/>
                <w:color w:val="auto"/>
              </w:rPr>
            </w:pPr>
            <w:r>
              <w:rPr>
                <w:rFonts w:ascii="Arial" w:cs="Arial" w:eastAsia="Arial" w:hAnsi="Arial"/>
                <w:sz w:val="18"/>
                <w:szCs w:val="18"/>
                <w:color w:val="auto"/>
              </w:rPr>
              <w:t>289.5</w:t>
            </w:r>
          </w:p>
        </w:tc>
        <w:tc>
          <w:tcPr>
            <w:tcW w:w="120" w:type="dxa"/>
            <w:vAlign w:val="bottom"/>
          </w:tcPr>
          <w:p>
            <w:pPr>
              <w:spacing w:after="0"/>
              <w:rPr>
                <w:sz w:val="17"/>
                <w:szCs w:val="17"/>
                <w:color w:val="auto"/>
              </w:rPr>
            </w:pPr>
          </w:p>
        </w:tc>
        <w:tc>
          <w:tcPr>
            <w:tcW w:w="200" w:type="dxa"/>
            <w:vAlign w:val="bottom"/>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8" w:lineRule="exact"/>
              <w:rPr>
                <w:sz w:val="20"/>
                <w:szCs w:val="20"/>
                <w:color w:val="auto"/>
              </w:rPr>
            </w:pPr>
            <w:r>
              <w:rPr>
                <w:rFonts w:ascii="Arial" w:cs="Arial" w:eastAsia="Arial" w:hAnsi="Arial"/>
                <w:sz w:val="18"/>
                <w:szCs w:val="18"/>
                <w:color w:val="auto"/>
              </w:rPr>
              <w:t>358.6</w:t>
            </w:r>
          </w:p>
        </w:tc>
        <w:tc>
          <w:tcPr>
            <w:tcW w:w="1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55.6</w:t>
            </w:r>
          </w:p>
        </w:tc>
        <w:tc>
          <w:tcPr>
            <w:tcW w:w="120" w:type="dxa"/>
            <w:vAlign w:val="bottom"/>
          </w:tcPr>
          <w:p>
            <w:pPr>
              <w:spacing w:after="0"/>
              <w:rPr>
                <w:sz w:val="17"/>
                <w:szCs w:val="17"/>
                <w:color w:val="auto"/>
              </w:rPr>
            </w:pPr>
          </w:p>
        </w:tc>
        <w:tc>
          <w:tcPr>
            <w:tcW w:w="240" w:type="dxa"/>
            <w:vAlign w:val="bottom"/>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8" w:lineRule="exact"/>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include certain senior secured notes issued by special purpose financing entities that are consolidated by UPC Holding and Liberty Global.</w:t>
      </w:r>
    </w:p>
    <w:p>
      <w:pPr>
        <w:spacing w:after="0" w:line="278" w:lineRule="exact"/>
        <w:rPr>
          <w:rFonts w:ascii="Arial" w:cs="Arial" w:eastAsia="Arial" w:hAnsi="Arial"/>
          <w:sz w:val="15"/>
          <w:szCs w:val="15"/>
          <w:color w:val="auto"/>
        </w:rPr>
      </w:pPr>
    </w:p>
    <w:p>
      <w:pPr>
        <w:ind w:left="480" w:hanging="474"/>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include vendor financing obligations of $731.6 million, as set forth below:</w:t>
      </w:r>
    </w:p>
    <w:p>
      <w:pPr>
        <w:spacing w:after="0" w:line="11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Telenet</w:t>
            </w:r>
          </w:p>
        </w:tc>
        <w:tc>
          <w:tcPr>
            <w:tcW w:w="18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UPC</w:t>
            </w:r>
          </w:p>
        </w:tc>
        <w:tc>
          <w:tcPr>
            <w:tcW w:w="320" w:type="dxa"/>
            <w:vAlign w:val="bottom"/>
          </w:tcPr>
          <w:p>
            <w:pPr>
              <w:spacing w:after="0"/>
              <w:rPr>
                <w:sz w:val="16"/>
                <w:szCs w:val="16"/>
                <w:color w:val="auto"/>
              </w:rPr>
            </w:pPr>
          </w:p>
        </w:tc>
        <w:tc>
          <w:tcPr>
            <w:tcW w:w="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25"/>
        </w:trPr>
        <w:tc>
          <w:tcPr>
            <w:tcW w:w="5600" w:type="dxa"/>
            <w:vAlign w:val="bottom"/>
          </w:tcPr>
          <w:p>
            <w:pPr>
              <w:ind w:left="1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5600" w:type="dxa"/>
            <w:vAlign w:val="bottom"/>
          </w:tcPr>
          <w:p>
            <w:pPr>
              <w:ind w:left="220"/>
              <w:spacing w:after="0"/>
              <w:rPr>
                <w:sz w:val="20"/>
                <w:szCs w:val="20"/>
                <w:color w:val="auto"/>
              </w:rPr>
            </w:pPr>
            <w:r>
              <w:rPr>
                <w:rFonts w:ascii="Arial" w:cs="Arial" w:eastAsia="Arial" w:hAnsi="Arial"/>
                <w:sz w:val="18"/>
                <w:szCs w:val="18"/>
                <w:color w:val="auto"/>
              </w:rPr>
              <w:t>Total vendor financing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tcPr>
          <w:p>
            <w:pPr>
              <w:ind w:left="20"/>
              <w:spacing w:after="0" w:line="198" w:lineRule="exact"/>
              <w:rPr>
                <w:sz w:val="20"/>
                <w:szCs w:val="20"/>
                <w:color w:val="auto"/>
              </w:rPr>
            </w:pPr>
            <w:r>
              <w:rPr>
                <w:rFonts w:ascii="Arial" w:cs="Arial" w:eastAsia="Arial" w:hAnsi="Arial"/>
                <w:sz w:val="18"/>
                <w:szCs w:val="18"/>
                <w:color w:val="auto"/>
              </w:rPr>
              <w:t>Long-term portion</w:t>
            </w:r>
          </w:p>
        </w:tc>
        <w:tc>
          <w:tcPr>
            <w:tcW w:w="20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8" w:lineRule="exact"/>
              <w:rPr>
                <w:sz w:val="20"/>
                <w:szCs w:val="20"/>
                <w:color w:val="auto"/>
              </w:rPr>
            </w:pPr>
            <w:r>
              <w:rPr>
                <w:rFonts w:ascii="Arial" w:cs="Arial" w:eastAsia="Arial" w:hAnsi="Arial"/>
                <w:sz w:val="18"/>
                <w:szCs w:val="18"/>
                <w:color w:val="auto"/>
              </w:rPr>
              <w:t>38.8</w:t>
            </w:r>
          </w:p>
        </w:tc>
        <w:tc>
          <w:tcPr>
            <w:tcW w:w="100" w:type="dxa"/>
            <w:vAlign w:val="bottom"/>
          </w:tcPr>
          <w:p>
            <w:pPr>
              <w:spacing w:after="0"/>
              <w:rPr>
                <w:sz w:val="17"/>
                <w:szCs w:val="17"/>
                <w:color w:val="auto"/>
              </w:rPr>
            </w:pPr>
          </w:p>
        </w:tc>
        <w:tc>
          <w:tcPr>
            <w:tcW w:w="240" w:type="dxa"/>
            <w:vAlign w:val="bottom"/>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Vendor Financing Obligations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balances of our vendor financing obligations for the indicated periods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3"/>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r>
      <w:tr>
        <w:trPr>
          <w:trHeight w:val="163"/>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8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Vendor financing obligations of the U.K. JV Entities at January 1</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2,805.8</w:t>
            </w:r>
          </w:p>
        </w:tc>
      </w:tr>
      <w:tr>
        <w:trPr>
          <w:trHeight w:val="219"/>
        </w:trPr>
        <w:tc>
          <w:tcPr>
            <w:tcW w:w="85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January 1, including amounts classified as held for sale</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3,905.4</w:t>
            </w: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Operating-related vendor financing additions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1,474.7</w:t>
            </w:r>
          </w:p>
        </w:tc>
      </w:tr>
      <w:tr>
        <w:trPr>
          <w:trHeight w:val="22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Capital-related vendor financing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r>
      <w:tr>
        <w:trPr>
          <w:trHeight w:val="225"/>
        </w:trPr>
        <w:tc>
          <w:tcPr>
            <w:tcW w:w="8520" w:type="dxa"/>
            <w:vAlign w:val="bottom"/>
          </w:tcPr>
          <w:p>
            <w:pPr>
              <w:ind w:left="180"/>
              <w:spacing w:after="0"/>
              <w:rPr>
                <w:sz w:val="20"/>
                <w:szCs w:val="20"/>
                <w:color w:val="auto"/>
              </w:rPr>
            </w:pPr>
            <w:r>
              <w:rPr>
                <w:rFonts w:ascii="Arial" w:cs="Arial" w:eastAsia="Arial" w:hAnsi="Arial"/>
                <w:sz w:val="18"/>
                <w:szCs w:val="18"/>
                <w:color w:val="auto"/>
              </w:rPr>
              <w:t>Principal payments on operating-related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(1,143.9)</w:t>
            </w:r>
          </w:p>
        </w:tc>
      </w:tr>
      <w:tr>
        <w:trPr>
          <w:trHeight w:val="226"/>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r>
      <w:tr>
        <w:trPr>
          <w:trHeight w:val="225"/>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acquisitions and 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(3,126.1)</w:t>
            </w:r>
          </w:p>
        </w:tc>
      </w:tr>
      <w:tr>
        <w:trPr>
          <w:trHeight w:val="244"/>
        </w:trPr>
        <w:tc>
          <w:tcPr>
            <w:tcW w:w="8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June 30</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 Balances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160" w:type="dxa"/>
            <w:vAlign w:val="bottom"/>
          </w:tcPr>
          <w:p>
            <w:pPr>
              <w:jc w:val="right"/>
              <w:ind w:right="114"/>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r>
      <w:tr>
        <w:trPr>
          <w:trHeight w:val="203"/>
        </w:trPr>
        <w:tc>
          <w:tcPr>
            <w:tcW w:w="8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in millions</w:t>
            </w:r>
          </w:p>
        </w:tc>
      </w:tr>
      <w:tr>
        <w:trPr>
          <w:trHeight w:val="150"/>
        </w:trPr>
        <w:tc>
          <w:tcPr>
            <w:tcW w:w="8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Finance leases (a)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426.0</w:t>
            </w: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(b)</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r>
      <w:tr>
        <w:trPr>
          <w:trHeight w:val="218"/>
        </w:trPr>
        <w:tc>
          <w:tcPr>
            <w:tcW w:w="8520" w:type="dxa"/>
            <w:vAlign w:val="bottom"/>
          </w:tcPr>
          <w:p>
            <w:pPr>
              <w:ind w:left="260"/>
              <w:spacing w:after="0" w:line="204" w:lineRule="exact"/>
              <w:rPr>
                <w:sz w:val="20"/>
                <w:szCs w:val="20"/>
                <w:color w:val="auto"/>
              </w:rPr>
            </w:pPr>
            <w:r>
              <w:rPr>
                <w:rFonts w:ascii="Arial" w:cs="Arial" w:eastAsia="Arial" w:hAnsi="Arial"/>
                <w:sz w:val="18"/>
                <w:szCs w:val="18"/>
                <w:color w:val="auto"/>
              </w:rPr>
              <w:t>Total ROU assets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8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6"/>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leases (d)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w:t>
            </w:r>
          </w:p>
        </w:tc>
      </w:tr>
      <w:tr>
        <w:trPr>
          <w:trHeight w:val="243"/>
        </w:trPr>
        <w:tc>
          <w:tcPr>
            <w:tcW w:w="852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right="20" w:hanging="474"/>
        <w:spacing w:after="0" w:line="271" w:lineRule="auto"/>
        <w:tabs>
          <w:tab w:leader="none" w:pos="477"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finance lease ROU assets are included in property and equipment, net, on our condensed consolidated balance sheets. At June 30, 2022, the weighted average remaining lease term for finance leases was 22.0 years and the weighted average discount rate was 6.0%. During the six months ended June 30, 2022 and 2021, we recorded non-cash additions to our finance lease ROU assets of $18.0 million and $19.5 million (including amounts related to the U.K. JV Entities through the June 1, 2021 closing of the U.K. JV Transaction),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left="480" w:hanging="474"/>
        <w:spacing w:after="0" w:line="312" w:lineRule="auto"/>
        <w:tabs>
          <w:tab w:leader="none" w:pos="474"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operating lease ROU assets are included in other assets, net, on our condensed consolidated balance sheets. At June 30, 2022, the weighted average remaining lease term for operating leases was 13.5 years and the weighted average discount rate was 5.7%. During the six months ended June 30, 2022 and 2021, we recorded non-cash additions to our operating lease ROU assets of $664.1 million and $59.6 million (including amounts related to the U.K. JV Entities through the June 1, 2021 closing of the U.K. JV Transaction), respectively. For additional information regarding the non-cash additions to our operating lease ROU assets during the six months ended June 30, 2022 related to the Telenet Tower Lease Agreement, see note 4.</w:t>
      </w:r>
    </w:p>
    <w:p>
      <w:pPr>
        <w:spacing w:after="0" w:line="177" w:lineRule="exact"/>
        <w:rPr>
          <w:rFonts w:ascii="Arial" w:cs="Arial" w:eastAsia="Arial" w:hAnsi="Arial"/>
          <w:sz w:val="15"/>
          <w:szCs w:val="15"/>
          <w:color w:val="auto"/>
        </w:rPr>
      </w:pPr>
    </w:p>
    <w:p>
      <w:pPr>
        <w:ind w:left="480" w:hanging="474"/>
        <w:spacing w:after="0" w:line="264"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207" w:lineRule="exact"/>
        <w:rPr>
          <w:rFonts w:ascii="Arial" w:cs="Arial" w:eastAsia="Arial" w:hAnsi="Arial"/>
          <w:sz w:val="18"/>
          <w:szCs w:val="18"/>
          <w:color w:val="auto"/>
        </w:rPr>
      </w:pPr>
    </w:p>
    <w:p>
      <w:pPr>
        <w:jc w:val="both"/>
        <w:ind w:left="480" w:hanging="474"/>
        <w:spacing w:after="0" w:line="255" w:lineRule="auto"/>
        <w:tabs>
          <w:tab w:leader="none" w:pos="4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current portions of our operating lease liabilities are included within other accrued and current liabilities on our condensed consolidated balance sheets. For additional information regarding the increase in our operating lease liabilities during the six months ended June 30, 2022 related to the Telenet Tower Lease Agreement, see note 4.</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22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7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05"/>
        </w:trPr>
        <w:tc>
          <w:tcPr>
            <w:tcW w:w="57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3"/>
        </w:trPr>
        <w:tc>
          <w:tcPr>
            <w:tcW w:w="5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3"/>
        </w:trPr>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18.3</w:t>
            </w:r>
          </w:p>
        </w:tc>
        <w:tc>
          <w:tcPr>
            <w:tcW w:w="120" w:type="dxa"/>
            <w:vAlign w:val="bottom"/>
          </w:tcPr>
          <w:p>
            <w:pPr>
              <w:spacing w:after="0"/>
              <w:rPr>
                <w:sz w:val="19"/>
                <w:szCs w:val="19"/>
                <w:color w:val="auto"/>
              </w:rPr>
            </w:pP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18.9</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6"/>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8"/>
        </w:trPr>
        <w:tc>
          <w:tcPr>
            <w:tcW w:w="576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25.7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5760" w:type="dxa"/>
            <w:vAlign w:val="bottom"/>
          </w:tcPr>
          <w:p>
            <w:pPr>
              <w:ind w:left="300"/>
              <w:spacing w:after="0" w:line="204" w:lineRule="exact"/>
              <w:rPr>
                <w:sz w:val="20"/>
                <w:szCs w:val="20"/>
                <w:color w:val="auto"/>
              </w:rPr>
            </w:pPr>
            <w:r>
              <w:rPr>
                <w:rFonts w:ascii="Arial" w:cs="Arial" w:eastAsia="Arial" w:hAnsi="Arial"/>
                <w:sz w:val="18"/>
                <w:szCs w:val="18"/>
                <w:color w:val="auto"/>
              </w:rPr>
              <w:t>Total lease expense</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88.1</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91.4</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r>
      <w:tr>
        <w:trPr>
          <w:trHeight w:val="20"/>
        </w:trPr>
        <w:tc>
          <w:tcPr>
            <w:tcW w:w="5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37"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Six months ended</w:t>
      </w:r>
    </w:p>
    <w:p>
      <w:pPr>
        <w:jc w:val="center"/>
        <w:ind w:left="858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r>
      <w:tr>
        <w:trPr>
          <w:trHeight w:val="202"/>
        </w:trPr>
        <w:tc>
          <w:tcPr>
            <w:tcW w:w="8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03"/>
        </w:trPr>
        <w:tc>
          <w:tcPr>
            <w:tcW w:w="8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120.2</w:t>
            </w:r>
          </w:p>
        </w:tc>
        <w:tc>
          <w:tcPr>
            <w:tcW w:w="10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 (interest component)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 (principal component)</w:t>
            </w: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44"/>
        </w:trPr>
        <w:tc>
          <w:tcPr>
            <w:tcW w:w="8600" w:type="dxa"/>
            <w:vAlign w:val="bottom"/>
            <w:tcBorders>
              <w:bottom w:val="single" w:sz="8" w:color="CCEEFF"/>
            </w:tcBorders>
            <w:shd w:val="clear" w:color="auto" w:fill="CCEEFF"/>
          </w:tcPr>
          <w:p>
            <w:pPr>
              <w:ind w:left="26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Maturities of our operating and finance lease liabilities as of June 30, 2022 are presented below. Amounts represent U.S. dollar equivalents based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30, 2022 exchange rates: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9"/>
              </w:rPr>
              <w:t>Operating leases</w:t>
            </w:r>
          </w:p>
        </w:tc>
        <w:tc>
          <w:tcPr>
            <w:tcW w:w="340" w:type="dxa"/>
            <w:vAlign w:val="bottom"/>
          </w:tcPr>
          <w:p>
            <w:pPr>
              <w:spacing w:after="0"/>
              <w:rPr>
                <w:sz w:val="16"/>
                <w:szCs w:val="16"/>
                <w:color w:val="auto"/>
              </w:rPr>
            </w:pPr>
          </w:p>
        </w:tc>
        <w:tc>
          <w:tcPr>
            <w:tcW w:w="940" w:type="dxa"/>
            <w:vAlign w:val="bottom"/>
          </w:tcPr>
          <w:p>
            <w:pPr>
              <w:jc w:val="right"/>
              <w:ind w:right="293"/>
              <w:spacing w:after="0"/>
              <w:rPr>
                <w:sz w:val="20"/>
                <w:szCs w:val="20"/>
                <w:color w:val="auto"/>
              </w:rPr>
            </w:pPr>
            <w:r>
              <w:rPr>
                <w:rFonts w:ascii="Arial" w:cs="Arial" w:eastAsia="Arial" w:hAnsi="Arial"/>
                <w:sz w:val="16"/>
                <w:szCs w:val="16"/>
                <w:b w:val="1"/>
                <w:bCs w:val="1"/>
                <w:color w:val="auto"/>
                <w:w w:val="89"/>
              </w:rPr>
              <w:t>Finance</w:t>
            </w:r>
          </w:p>
        </w:tc>
        <w:tc>
          <w:tcPr>
            <w:tcW w:w="0" w:type="dxa"/>
            <w:vAlign w:val="bottom"/>
          </w:tcPr>
          <w:p>
            <w:pPr>
              <w:spacing w:after="0"/>
              <w:rPr>
                <w:sz w:val="1"/>
                <w:szCs w:val="1"/>
                <w:color w:val="auto"/>
              </w:rPr>
            </w:pPr>
          </w:p>
        </w:tc>
      </w:tr>
      <w:tr>
        <w:trPr>
          <w:trHeight w:val="210"/>
        </w:trPr>
        <w:tc>
          <w:tcPr>
            <w:tcW w:w="8600" w:type="dxa"/>
            <w:vAlign w:val="bottom"/>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98"/>
              </w:rPr>
              <w:t>leases</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2022 (remainder of year)</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5"/>
        </w:trPr>
        <w:tc>
          <w:tcPr>
            <w:tcW w:w="8600" w:type="dxa"/>
            <w:vAlign w:val="bottom"/>
          </w:tcPr>
          <w:p>
            <w:pPr>
              <w:ind w:left="140"/>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6"/>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5"/>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payments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25"/>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Present value of lease payments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3"/>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131.2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Long-term portion</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60" w:hanging="454"/>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expense attributable to our earnings from continuing operations before income taxes differs from the amounts computed using the applicable income tax rate as a result of the following factors: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10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(2,473.0)</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174"/>
        </w:trPr>
        <w:tc>
          <w:tcPr>
            <w:tcW w:w="62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Basis and other differences in the treatment of items associated with investments in</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subsidiaries and affiliates (b)</w:t>
            </w: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International rate differences (c)</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items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associated with technology innovation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5"/>
        </w:trPr>
        <w:tc>
          <w:tcPr>
            <w:tcW w:w="6200" w:type="dxa"/>
            <w:vAlign w:val="bottom"/>
          </w:tcPr>
          <w:p>
            <w:pPr>
              <w:ind w:left="20"/>
              <w:spacing w:after="0"/>
              <w:rPr>
                <w:sz w:val="20"/>
                <w:szCs w:val="20"/>
                <w:color w:val="auto"/>
              </w:rPr>
            </w:pPr>
            <w:r>
              <w:rPr>
                <w:rFonts w:ascii="Arial" w:cs="Arial" w:eastAsia="Arial" w:hAnsi="Arial"/>
                <w:sz w:val="18"/>
                <w:szCs w:val="18"/>
                <w:color w:val="auto"/>
              </w:rPr>
              <w:t>Non-taxable gain associated with the U.K. JV Transaction</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2,116.2</w:t>
            </w:r>
          </w:p>
        </w:tc>
        <w:tc>
          <w:tcPr>
            <w:tcW w:w="0" w:type="dxa"/>
            <w:vAlign w:val="bottom"/>
          </w:tcPr>
          <w:p>
            <w:pPr>
              <w:spacing w:after="0"/>
              <w:rPr>
                <w:sz w:val="1"/>
                <w:szCs w:val="1"/>
                <w:color w:val="auto"/>
              </w:rPr>
            </w:pPr>
          </w:p>
        </w:tc>
      </w:tr>
      <w:tr>
        <w:trPr>
          <w:trHeight w:val="22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8"/>
        </w:trPr>
        <w:tc>
          <w:tcPr>
            <w:tcW w:w="6200" w:type="dxa"/>
            <w:vAlign w:val="bottom"/>
          </w:tcPr>
          <w:p>
            <w:pPr>
              <w:ind w:left="260"/>
              <w:spacing w:after="0" w:line="204" w:lineRule="exact"/>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 On June 10, 2021, legislation was enacted in the U.K. to increase the U.K. corporate income rate to 25.0% from April 1, 2023. The impact of this rate change on our deferred tax balances was recorded during the second quarter of 2021. Effective January 1, 2022, the enacted corporate income tax rate in the Netherlands increased from 25.0% to 25.8%. This change did not have a material impact on our consolidated financial statements.</w:t>
      </w:r>
    </w:p>
    <w:p>
      <w:pPr>
        <w:spacing w:after="0" w:line="21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pacing w:after="0" w:line="207" w:lineRule="exact"/>
        <w:rPr>
          <w:rFonts w:ascii="Arial" w:cs="Arial" w:eastAsia="Arial" w:hAnsi="Arial"/>
          <w:sz w:val="18"/>
          <w:szCs w:val="18"/>
          <w:color w:val="auto"/>
        </w:rPr>
      </w:pPr>
    </w:p>
    <w:p>
      <w:pPr>
        <w:ind w:left="480" w:right="20" w:hanging="474"/>
        <w:spacing w:after="0" w:line="252"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As of June 30, 2022, our unrecognized tax benefits were $434.1 million, of which $410.9 million would have a favorable impact on our effective income tax rate if ultimately recognized, after considering amounts that we would expect to be offset by valuation allowances and other factors.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next 12 months, we do not expect any material reductions to our unrecognized tax benefits related to tax positions taken as of June 30,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as to the nature or impact of any changes in our unrecognized tax positions during the next 12 months.</w:t>
      </w:r>
    </w:p>
    <w:p>
      <w:pPr>
        <w:spacing w:after="0" w:line="2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Certain of our subsidiaries are currently involved in income tax examinations in various jurisdictions in which we operate, including Belgium, Ireland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ind w:left="480" w:hanging="474"/>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six months ended June 30, 2022, we repurchased (i) 874,200 shares of our Class A ordinary shares at an average price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$21.73 and (ii) 41,057,400 shares of our Class C ordinary shares at an average price per share of $25.40, for an aggregate purchase price of $1,062.0 million, including direct acquisition costs.</w:t>
      </w:r>
    </w:p>
    <w:p>
      <w:pPr>
        <w:spacing w:after="0" w:line="21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of June 30, 2022, the remaining number of our Class A and/or Class C ordinary shares that we are authorized to repurchase during 2022 was 10.8 million. Based on the average of the respective closing share prices as of June 30, 2022, this would equate to additional share repurchases during the remainder of 2022 of approximately $233.4 million. However, the actual U.S. dollar amount of our share repurchases during the remainder of 2022 will be determined by the actual transaction date share prices during the year and could differ significantly from this amount. In July 2022, our board of directors authorized an additional $400.0 million for 2022 share repurchases. In addition, we are authorized to repurchase 10% of our shares during 2023 based on the total number of our outstanding shares as of December 31, 2022.</w:t>
      </w:r>
    </w:p>
    <w:p>
      <w:pPr>
        <w:spacing w:after="0" w:line="200" w:lineRule="exact"/>
        <w:rPr>
          <w:sz w:val="20"/>
          <w:szCs w:val="20"/>
          <w:color w:val="auto"/>
        </w:rPr>
      </w:pPr>
    </w:p>
    <w:p>
      <w:pPr>
        <w:ind w:left="480" w:hanging="474"/>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10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4"/>
          </w:tcPr>
          <w:p>
            <w:pPr>
              <w:jc w:val="right"/>
              <w:ind w:right="57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19"/>
                <w:szCs w:val="19"/>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59.4</w:t>
            </w:r>
          </w:p>
        </w:tc>
        <w:tc>
          <w:tcPr>
            <w:tcW w:w="1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81.4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18.4</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99.8</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47.2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92.2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shd w:val="clear" w:color="auto" w:fill="CCEEFF"/>
          </w:tcPr>
          <w:p>
            <w:pPr>
              <w:ind w:left="300"/>
              <w:spacing w:after="0" w:line="205"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99.8</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2021, with respect to 2014 and 2015 grants, the compensation committee of our board of directors approved the extension of the expiration dates of outstanding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director options from a seven-year term to a ten-year term. Accordingly, the Black-Scholes fair values of the respective outstanding awards increased, resulting in the recognition of aggregate incremental share-based compensation expense of $22.7 million during the second quarter of 2021.</w:t>
      </w:r>
    </w:p>
    <w:p>
      <w:pPr>
        <w:spacing w:after="0" w:line="217" w:lineRule="exact"/>
        <w:rPr>
          <w:rFonts w:ascii="Arial" w:cs="Arial" w:eastAsia="Arial" w:hAnsi="Arial"/>
          <w:sz w:val="18"/>
          <w:szCs w:val="18"/>
          <w:color w:val="auto"/>
        </w:rPr>
      </w:pPr>
    </w:p>
    <w:p>
      <w:pPr>
        <w:ind w:left="480" w:right="20" w:hanging="474"/>
        <w:spacing w:after="0" w:line="264" w:lineRule="auto"/>
        <w:tabs>
          <w:tab w:leader="none" w:pos="47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periods,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and our 2019 CEO Performance Award.</w:t>
      </w:r>
    </w:p>
    <w:p>
      <w:pPr>
        <w:spacing w:after="0" w:line="207" w:lineRule="exact"/>
        <w:rPr>
          <w:rFonts w:ascii="Arial" w:cs="Arial" w:eastAsia="Arial" w:hAnsi="Arial"/>
          <w:sz w:val="18"/>
          <w:szCs w:val="18"/>
          <w:color w:val="auto"/>
        </w:rPr>
      </w:pPr>
    </w:p>
    <w:p>
      <w:pPr>
        <w:jc w:val="both"/>
        <w:ind w:left="480" w:hanging="474"/>
        <w:spacing w:after="0" w:line="252"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ordinary shares of Liberty Global in lieu of cash. In addition, amounts include compensation expense related to the Ventures Incentive Plans (as defined and described below).</w:t>
      </w:r>
    </w:p>
    <w:p>
      <w:pPr>
        <w:spacing w:after="0" w:line="201"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The following table provides the aggregate number of options, SARs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with respect to awards issued by Liberty Global that were (i) outstanding and (ii) exercisable as of June 30,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A</w:t>
            </w:r>
          </w:p>
        </w:tc>
        <w:tc>
          <w:tcPr>
            <w:tcW w:w="12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55"/>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Weighted average</w:t>
            </w:r>
          </w:p>
        </w:tc>
        <w:tc>
          <w:tcPr>
            <w:tcW w:w="142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8"/>
              </w:rPr>
              <w:t>Gross number of</w:t>
            </w:r>
          </w:p>
        </w:tc>
        <w:tc>
          <w:tcPr>
            <w:tcW w:w="1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420" w:type="dxa"/>
            <w:vAlign w:val="bottom"/>
            <w:gridSpan w:val="3"/>
            <w:vMerge w:val="continue"/>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shares underlying</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1"/>
              </w:rPr>
              <w:t>option, SAR and</w:t>
            </w:r>
          </w:p>
        </w:tc>
        <w:tc>
          <w:tcPr>
            <w:tcW w:w="100" w:type="dxa"/>
            <w:vAlign w:val="bottom"/>
          </w:tcPr>
          <w:p>
            <w:pPr>
              <w:spacing w:after="0"/>
              <w:rPr>
                <w:sz w:val="13"/>
                <w:szCs w:val="13"/>
                <w:color w:val="auto"/>
              </w:rPr>
            </w:pPr>
          </w:p>
        </w:tc>
        <w:tc>
          <w:tcPr>
            <w:tcW w:w="1200" w:type="dxa"/>
            <w:vAlign w:val="bottom"/>
          </w:tcPr>
          <w:p>
            <w:pPr>
              <w:jc w:val="center"/>
              <w:ind w:right="15"/>
              <w:spacing w:after="0" w:line="159" w:lineRule="exact"/>
              <w:rPr>
                <w:sz w:val="20"/>
                <w:szCs w:val="20"/>
                <w:color w:val="auto"/>
              </w:rPr>
            </w:pPr>
            <w:r>
              <w:rPr>
                <w:rFonts w:ascii="Arial" w:cs="Arial" w:eastAsia="Arial" w:hAnsi="Arial"/>
                <w:sz w:val="16"/>
                <w:szCs w:val="16"/>
                <w:b w:val="1"/>
                <w:bCs w:val="1"/>
                <w:color w:val="auto"/>
                <w:w w:val="84"/>
              </w:rPr>
              <w:t>exercise or base</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PSAR awards (a)</w:t>
            </w:r>
          </w:p>
        </w:tc>
        <w:tc>
          <w:tcPr>
            <w:tcW w:w="100" w:type="dxa"/>
            <w:vAlign w:val="bottom"/>
          </w:tcPr>
          <w:p>
            <w:pPr>
              <w:spacing w:after="0"/>
              <w:rPr>
                <w:sz w:val="18"/>
                <w:szCs w:val="18"/>
                <w:color w:val="auto"/>
              </w:rPr>
            </w:pPr>
          </w:p>
        </w:tc>
        <w:tc>
          <w:tcPr>
            <w:tcW w:w="1200" w:type="dxa"/>
            <w:vAlign w:val="bottom"/>
          </w:tcPr>
          <w:p>
            <w:pPr>
              <w:jc w:val="center"/>
              <w:ind w:right="15"/>
              <w:spacing w:after="0"/>
              <w:rPr>
                <w:sz w:val="20"/>
                <w:szCs w:val="20"/>
                <w:color w:val="auto"/>
              </w:rPr>
            </w:pPr>
            <w:r>
              <w:rPr>
                <w:rFonts w:ascii="Arial" w:cs="Arial" w:eastAsia="Arial" w:hAnsi="Arial"/>
                <w:sz w:val="16"/>
                <w:szCs w:val="16"/>
                <w:b w:val="1"/>
                <w:bCs w:val="1"/>
                <w:color w:val="auto"/>
                <w:w w:val="88"/>
              </w:rPr>
              <w:t>price</w:t>
            </w:r>
          </w:p>
        </w:tc>
        <w:tc>
          <w:tcPr>
            <w:tcW w:w="0" w:type="dxa"/>
            <w:vAlign w:val="bottom"/>
          </w:tcPr>
          <w:p>
            <w:pPr>
              <w:spacing w:after="0"/>
              <w:rPr>
                <w:sz w:val="1"/>
                <w:szCs w:val="1"/>
                <w:color w:val="auto"/>
              </w:rPr>
            </w:pPr>
          </w:p>
        </w:tc>
      </w:tr>
      <w:tr>
        <w:trPr>
          <w:trHeight w:val="141"/>
        </w:trPr>
        <w:tc>
          <w:tcPr>
            <w:tcW w:w="56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Liberty Global employees: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25,600,244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59,728,970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17,948,634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38,614,693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former Liberty Global employees (b):</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1,710,047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4,379,677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Exercisable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1,612,855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4,185,327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318" w:lineRule="auto"/>
        <w:tabs>
          <w:tab w:leader="none" w:pos="47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2"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ordinary shares.</w:t>
      </w:r>
    </w:p>
    <w:p>
      <w:pPr>
        <w:spacing w:after="0" w:line="209" w:lineRule="exact"/>
        <w:rPr>
          <w:sz w:val="20"/>
          <w:szCs w:val="20"/>
          <w:color w:val="auto"/>
        </w:rPr>
      </w:pPr>
    </w:p>
    <w:p>
      <w:pPr>
        <w:ind w:right="20" w:firstLine="318"/>
        <w:spacing w:after="0" w:line="301" w:lineRule="auto"/>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that were outstanding as of June 30, 2022. The number of shares to be issued on the vesting date of these awards will be reduced by the amount of the employee’s required income tax withholding.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A</w:t>
            </w:r>
          </w:p>
        </w:tc>
        <w:tc>
          <w:tcPr>
            <w:tcW w:w="142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B</w:t>
            </w:r>
          </w:p>
        </w:tc>
        <w:tc>
          <w:tcPr>
            <w:tcW w:w="1300" w:type="dxa"/>
            <w:vAlign w:val="bottom"/>
          </w:tcPr>
          <w:p>
            <w:pPr>
              <w:jc w:val="right"/>
              <w:ind w:right="295"/>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181"/>
        </w:trPr>
        <w:tc>
          <w:tcPr>
            <w:tcW w:w="712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2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Held by Liberty Global employees</w:t>
            </w: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2,092,020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4,183,450</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Held by Former Liberty Global employees (a)</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20" w:type="dxa"/>
            <w:vAlign w:val="bottom"/>
            <w:vMerge w:val="continue"/>
          </w:tcPr>
          <w:p>
            <w:pPr>
              <w:spacing w:after="0"/>
              <w:rPr>
                <w:sz w:val="17"/>
                <w:szCs w:val="17"/>
                <w:color w:val="auto"/>
              </w:rPr>
            </w:pP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37,557</w:t>
            </w:r>
          </w:p>
        </w:tc>
        <w:tc>
          <w:tcPr>
            <w:tcW w:w="100" w:type="dxa"/>
            <w:vAlign w:val="bottom"/>
          </w:tcPr>
          <w:p>
            <w:pPr>
              <w:spacing w:after="0"/>
              <w:rPr>
                <w:sz w:val="17"/>
                <w:szCs w:val="17"/>
                <w:color w:val="auto"/>
              </w:rPr>
            </w:pPr>
          </w:p>
        </w:tc>
        <w:tc>
          <w:tcPr>
            <w:tcW w:w="142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8" w:lineRule="exact"/>
              <w:rPr>
                <w:sz w:val="20"/>
                <w:szCs w:val="20"/>
                <w:color w:val="auto"/>
              </w:rPr>
            </w:pPr>
            <w:r>
              <w:rPr>
                <w:rFonts w:ascii="Arial" w:cs="Arial" w:eastAsia="Arial" w:hAnsi="Arial"/>
                <w:sz w:val="18"/>
                <w:szCs w:val="18"/>
                <w:color w:val="auto"/>
              </w:rPr>
              <w:t>76,321</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 certain share-based awards that continue to be held by former employees of Liberty Global subsequent to certain split-off or disposal transactions. Although we do not recognize share-based compensation expense with respect to these awards, the future vesting of these RSUs will increase the number of our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2022 Ventures Incentive Plan</w:t>
      </w:r>
    </w:p>
    <w:p>
      <w:pPr>
        <w:spacing w:after="0" w:line="238" w:lineRule="exact"/>
        <w:rPr>
          <w:sz w:val="20"/>
          <w:szCs w:val="20"/>
          <w:color w:val="auto"/>
        </w:rPr>
      </w:pPr>
    </w:p>
    <w:p>
      <w:pPr>
        <w:jc w:val="both"/>
        <w:ind w:right="100" w:firstLine="318"/>
        <w:spacing w:after="0" w:line="304" w:lineRule="auto"/>
        <w:rPr>
          <w:sz w:val="20"/>
          <w:szCs w:val="20"/>
          <w:color w:val="auto"/>
        </w:rPr>
      </w:pPr>
      <w:r>
        <w:rPr>
          <w:rFonts w:ascii="Arial" w:cs="Arial" w:eastAsia="Arial" w:hAnsi="Arial"/>
          <w:sz w:val="15"/>
          <w:szCs w:val="15"/>
          <w:color w:val="auto"/>
        </w:rPr>
        <w:t>In April 2022, the compensation committee of our board of directors approved the “</w:t>
      </w:r>
      <w:r>
        <w:rPr>
          <w:rFonts w:ascii="Arial" w:cs="Arial" w:eastAsia="Arial" w:hAnsi="Arial"/>
          <w:sz w:val="15"/>
          <w:szCs w:val="15"/>
          <w:b w:val="1"/>
          <w:bCs w:val="1"/>
          <w:color w:val="auto"/>
        </w:rPr>
        <w:t>2022 Ventures Incentive Plan</w:t>
      </w:r>
      <w:r>
        <w:rPr>
          <w:rFonts w:ascii="Arial" w:cs="Arial" w:eastAsia="Arial" w:hAnsi="Arial"/>
          <w:sz w:val="15"/>
          <w:szCs w:val="15"/>
          <w:color w:val="auto"/>
        </w:rPr>
        <w:t>”. Structured similarly to the 2021 Ventures Incentive Plan, the 2022 Ventures Incentive Plan was provided to executive officers and other key employees and is based on the performance of the Liberty Global Ventures Portfolio (the “</w:t>
      </w:r>
      <w:r>
        <w:rPr>
          <w:rFonts w:ascii="Arial" w:cs="Arial" w:eastAsia="Arial" w:hAnsi="Arial"/>
          <w:sz w:val="15"/>
          <w:szCs w:val="15"/>
          <w:b w:val="1"/>
          <w:bCs w:val="1"/>
          <w:color w:val="auto"/>
        </w:rPr>
        <w:t>Portfolio</w:t>
      </w:r>
      <w:r>
        <w:rPr>
          <w:rFonts w:ascii="Arial" w:cs="Arial" w:eastAsia="Arial" w:hAnsi="Arial"/>
          <w:sz w:val="15"/>
          <w:szCs w:val="15"/>
          <w:color w:val="auto"/>
        </w:rPr>
        <w:t>”), which is measured by assessing the fair value of the Portfolio over a three-year period beginning December 31, 2021 and ending on December 31, 2024. Payout will be denominated in cash and will be assessed at the end of the three-year period using eligible participants’ initial contribution between 10% and 50% of their 2022 annual target equity value (which contributed amount is in lieu of their normal annual equity grant). The compensation committee has the discretion to settle the final payout amount in (i) cash or (ii) Liberty Global Class A and Class C ordinary shares based on the change in the Portfolio’s value. Subject to forfeitures, 100% of each participant’s payout under the 2022 Ventures Incentive Plan will vest on or around March 15, 2025. In order to receive the payout, participants are required to remain employed through the final vesting date. An initial fair value assessment was performed for the Portfolio as of December 31, 2021 by an independent third-party valuation specialist.</w:t>
      </w:r>
    </w:p>
    <w:p>
      <w:pPr>
        <w:spacing w:after="0" w:line="180" w:lineRule="exact"/>
        <w:rPr>
          <w:sz w:val="20"/>
          <w:szCs w:val="20"/>
          <w:color w:val="auto"/>
        </w:rPr>
      </w:pPr>
    </w:p>
    <w:p>
      <w:pPr>
        <w:jc w:val="both"/>
        <w:ind w:right="100" w:firstLine="318"/>
        <w:spacing w:after="0" w:line="305" w:lineRule="auto"/>
        <w:rPr>
          <w:sz w:val="20"/>
          <w:szCs w:val="20"/>
          <w:color w:val="auto"/>
        </w:rPr>
      </w:pPr>
      <w:r>
        <w:rPr>
          <w:rFonts w:ascii="Arial" w:cs="Arial" w:eastAsia="Arial" w:hAnsi="Arial"/>
          <w:sz w:val="15"/>
          <w:szCs w:val="15"/>
          <w:color w:val="auto"/>
        </w:rPr>
        <w:t xml:space="preserve">The 2022 Ventures Incentive Plan and 2021 Ventures Incentive Plan awards (together the </w:t>
      </w:r>
      <w:r>
        <w:rPr>
          <w:rFonts w:ascii="Arial" w:cs="Arial" w:eastAsia="Arial" w:hAnsi="Arial"/>
          <w:sz w:val="15"/>
          <w:szCs w:val="15"/>
          <w:b w:val="1"/>
          <w:bCs w:val="1"/>
          <w:color w:val="auto"/>
        </w:rPr>
        <w:t>Ventures Incentive Plans</w:t>
      </w:r>
      <w:r>
        <w:rPr>
          <w:rFonts w:ascii="Arial" w:cs="Arial" w:eastAsia="Arial" w:hAnsi="Arial"/>
          <w:sz w:val="15"/>
          <w:szCs w:val="15"/>
          <w:color w:val="auto"/>
        </w:rPr>
        <w:t>) are liability classified due to the fact that the final payout under these plans will be denominated in cash and may be settled in a variable number of shares. We recognize share-based compensation expense related to the Ventures Incentive Plans as a charge to operations on a straight-line basis, including any changes in expense due to the change in the fair value of the Portfolio on each assessment date, from the date of grant through the respective vesting dates. Our share of payroll taxes incurred in connection with the vesting of the Ventures Incentive Plans is recorded as a component of share-based compensation expense in our condensed consolidated statements of operations. The estimated fair value of the final payouts under our Ventures Incentive Plans are shown below:</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Arial" w:cs="Arial" w:eastAsia="Arial" w:hAnsi="Arial"/>
                <w:sz w:val="16"/>
                <w:szCs w:val="16"/>
                <w:b w:val="1"/>
                <w:bCs w:val="1"/>
                <w:color w:val="auto"/>
              </w:rPr>
              <w:t>Vesting date</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w w:val="94"/>
              </w:rPr>
              <w:t>June 30, 2022</w:t>
            </w:r>
          </w:p>
        </w:tc>
      </w:tr>
      <w:tr>
        <w:trPr>
          <w:trHeight w:val="203"/>
        </w:trPr>
        <w:tc>
          <w:tcPr>
            <w:tcW w:w="80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in millions</w:t>
            </w:r>
          </w:p>
        </w:tc>
      </w:tr>
      <w:tr>
        <w:trPr>
          <w:trHeight w:val="150"/>
        </w:trPr>
        <w:tc>
          <w:tcPr>
            <w:tcW w:w="8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Ventures Incentive Plan</w:t>
            </w: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March 2024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2022 Ventures Incentive Plan</w:t>
            </w:r>
          </w:p>
        </w:tc>
        <w:tc>
          <w:tcPr>
            <w:tcW w:w="1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March 2025</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08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480" w:hanging="474"/>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44" w:lineRule="exact"/>
        <w:rPr>
          <w:sz w:val="20"/>
          <w:szCs w:val="20"/>
          <w:color w:val="auto"/>
        </w:rPr>
      </w:pPr>
    </w:p>
    <w:p>
      <w:pPr>
        <w:jc w:val="both"/>
        <w:ind w:right="100"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basic and diluted weighted average ordinary shares outstanding are set forth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8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Six months ended</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74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6"/>
                <w:szCs w:val="16"/>
                <w:b w:val="1"/>
                <w:bCs w:val="1"/>
                <w:color w:val="auto"/>
                <w:w w:val="87"/>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936"/>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132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ordinary shares outstanding (basic EPS computation)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501,406,664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557,051,920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510,811,156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566,033,344</w:t>
            </w:r>
          </w:p>
        </w:tc>
        <w:tc>
          <w:tcPr>
            <w:tcW w:w="0" w:type="dxa"/>
            <w:vAlign w:val="bottom"/>
          </w:tcPr>
          <w:p>
            <w:pPr>
              <w:spacing w:after="0"/>
              <w:rPr>
                <w:sz w:val="1"/>
                <w:szCs w:val="1"/>
                <w:color w:val="auto"/>
              </w:rPr>
            </w:pPr>
          </w:p>
        </w:tc>
      </w:tr>
      <w:tr>
        <w:trPr>
          <w:trHeight w:val="173"/>
        </w:trPr>
        <w:tc>
          <w:tcPr>
            <w:tcW w:w="5580" w:type="dxa"/>
            <w:vAlign w:val="bottom"/>
          </w:tcPr>
          <w:p>
            <w:pPr>
              <w:ind w:left="20"/>
              <w:spacing w:after="0" w:line="173" w:lineRule="exact"/>
              <w:rPr>
                <w:sz w:val="20"/>
                <w:szCs w:val="20"/>
                <w:color w:val="auto"/>
              </w:rPr>
            </w:pPr>
            <w:r>
              <w:rPr>
                <w:rFonts w:ascii="Arial" w:cs="Arial" w:eastAsia="Arial" w:hAnsi="Arial"/>
                <w:sz w:val="18"/>
                <w:szCs w:val="18"/>
                <w:color w:val="auto"/>
                <w:w w:val="88"/>
              </w:rPr>
              <w:t>Incremental shares attributable to the assumed exercise of outstanding options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80" w:type="dxa"/>
            <w:vAlign w:val="bottom"/>
          </w:tcPr>
          <w:p>
            <w:pPr>
              <w:ind w:left="180"/>
              <w:spacing w:after="0" w:line="172" w:lineRule="exact"/>
              <w:rPr>
                <w:sz w:val="20"/>
                <w:szCs w:val="20"/>
                <w:color w:val="auto"/>
              </w:rPr>
            </w:pPr>
            <w:r>
              <w:rPr>
                <w:rFonts w:ascii="Arial" w:cs="Arial" w:eastAsia="Arial" w:hAnsi="Arial"/>
                <w:sz w:val="18"/>
                <w:szCs w:val="18"/>
                <w:color w:val="auto"/>
                <w:w w:val="89"/>
              </w:rPr>
              <w:t>and SARs and the release of RSUs and PSUs upon vesting (treasury stock</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8,035,941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12,048,780</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10,321,885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11,021,844</w:t>
            </w: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method)</w:t>
            </w: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Weighted average ordinary shares outstanding (diluted EPS computation)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509,442,605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569,100,700</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521,133,041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577,055,188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calculation of diluted EPS excludes (i) for the three months ended June 30, 2022 and 2021, a total of 78.3 million and 57.9 million options, SARs and RSUs, respectively, and for the 2021 period, 13.8 million PSARs and PSUs and (ii) for the six months ended June 30, 2022 and 2021, a total of 60.3 million and 74.0 million options, SARs and RSUs, respectively, and for</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42" w:name="page43"/>
    <w:bookmarkEnd w:id="42"/>
    <w:p>
      <w:pPr>
        <w:jc w:val="center"/>
        <w:ind w:right="100"/>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2021 period, 13.8 million PSARs and PSUs because their effect would have been anti-dilutive or, in the case of the PSARs and PSUs, because such awards had not yet met the applicable performance criteria.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earnings from continuing operations attributable to Liberty Global shareholders is set forth below:</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4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3"/>
              </w:rPr>
              <w:t>June 30,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0"/>
              </w:rPr>
              <w:t>June 30,</w:t>
            </w: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from continuing operations</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12,573</w:t>
            </w:r>
          </w:p>
        </w:tc>
        <w:tc>
          <w:tcPr>
            <w:tcW w:w="0" w:type="dxa"/>
            <w:vAlign w:val="bottom"/>
          </w:tcPr>
          <w:p>
            <w:pPr>
              <w:spacing w:after="0"/>
              <w:rPr>
                <w:sz w:val="1"/>
                <w:szCs w:val="1"/>
                <w:color w:val="auto"/>
              </w:rPr>
            </w:pPr>
          </w:p>
        </w:tc>
      </w:tr>
      <w:tr>
        <w:trPr>
          <w:trHeight w:val="173"/>
        </w:trPr>
        <w:tc>
          <w:tcPr>
            <w:tcW w:w="4620" w:type="dxa"/>
            <w:vAlign w:val="bottom"/>
          </w:tcPr>
          <w:p>
            <w:pPr>
              <w:ind w:left="20"/>
              <w:spacing w:after="0" w:line="173" w:lineRule="exact"/>
              <w:rPr>
                <w:sz w:val="20"/>
                <w:szCs w:val="20"/>
                <w:color w:val="auto"/>
              </w:rPr>
            </w:pPr>
            <w:r>
              <w:rPr>
                <w:rFonts w:ascii="Arial" w:cs="Arial" w:eastAsia="Arial" w:hAnsi="Arial"/>
                <w:sz w:val="18"/>
                <w:szCs w:val="18"/>
                <w:color w:val="auto"/>
              </w:rPr>
              <w:t>Net earnings from continuing operations attributable to</w:t>
            </w:r>
          </w:p>
        </w:tc>
        <w:tc>
          <w:tcPr>
            <w:tcW w:w="6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noncontrolling interests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54"/>
        </w:trPr>
        <w:tc>
          <w:tcPr>
            <w:tcW w:w="4620" w:type="dxa"/>
            <w:vAlign w:val="bottom"/>
            <w:shd w:val="clear" w:color="auto" w:fill="CCEEFF"/>
          </w:tcPr>
          <w:p>
            <w:pPr>
              <w:ind w:left="180"/>
              <w:spacing w:after="0" w:line="154" w:lineRule="exact"/>
              <w:rPr>
                <w:sz w:val="20"/>
                <w:szCs w:val="20"/>
                <w:color w:val="auto"/>
              </w:rPr>
            </w:pPr>
            <w:r>
              <w:rPr>
                <w:rFonts w:ascii="Arial" w:cs="Arial" w:eastAsia="Arial" w:hAnsi="Arial"/>
                <w:sz w:val="17"/>
                <w:szCs w:val="17"/>
                <w:color w:val="auto"/>
              </w:rPr>
              <w:t>Net earnings from continuing operations attributable to</w:t>
            </w:r>
          </w:p>
        </w:tc>
        <w:tc>
          <w:tcPr>
            <w:tcW w:w="6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1,937.7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11,104.6</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2,941.4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12,472</w:t>
            </w:r>
          </w:p>
        </w:tc>
        <w:tc>
          <w:tcPr>
            <w:tcW w:w="0" w:type="dxa"/>
            <w:vAlign w:val="bottom"/>
          </w:tcPr>
          <w:p>
            <w:pPr>
              <w:spacing w:after="0"/>
              <w:rPr>
                <w:sz w:val="1"/>
                <w:szCs w:val="1"/>
                <w:color w:val="auto"/>
              </w:rPr>
            </w:pPr>
          </w:p>
        </w:tc>
      </w:tr>
      <w:tr>
        <w:trPr>
          <w:trHeight w:val="218"/>
        </w:trPr>
        <w:tc>
          <w:tcPr>
            <w:tcW w:w="4620" w:type="dxa"/>
            <w:vAlign w:val="bottom"/>
            <w:tcBorders>
              <w:bottom w:val="single" w:sz="8" w:color="CCEEFF"/>
            </w:tcBorders>
            <w:shd w:val="clear" w:color="auto" w:fill="CCEEFF"/>
          </w:tcPr>
          <w:p>
            <w:pPr>
              <w:ind w:left="340"/>
              <w:spacing w:after="0" w:line="198" w:lineRule="exact"/>
              <w:rPr>
                <w:sz w:val="20"/>
                <w:szCs w:val="20"/>
                <w:color w:val="auto"/>
              </w:rPr>
            </w:pPr>
            <w:r>
              <w:rPr>
                <w:rFonts w:ascii="Arial" w:cs="Arial" w:eastAsia="Arial" w:hAnsi="Arial"/>
                <w:sz w:val="18"/>
                <w:szCs w:val="18"/>
                <w:color w:val="auto"/>
              </w:rPr>
              <w:t>Liberty Global shareholders</w:t>
            </w: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4"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In the normal course of business, we enter into agreements that commit our company to make cash payments in future periods with respect to network and connectivity commitments, purchases of customer premises and other equipment and services, programming contracts and other items. The following table sets forth the U.S. dollar equivalents of such commitments as of June 30, 2022. The commitments included in this table do not reflect any liabilities that are included on our June 30, 2022 condensed consolidated balance sheet.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of 2022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52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2,085.5</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619.8</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Network and connectivity commitments include (i) Telenet’s commitments for certain operating costs associated with its leased network, (ii) certain network capacity arrangements in Switzerland and (iii) future payments associated with Telenet’s spectrum licenses.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20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network and other equipment and (ii) certain service-related commitments, including call center, information technology and maintenance services.</w:t>
      </w:r>
    </w:p>
    <w:p>
      <w:pPr>
        <w:spacing w:after="0" w:line="207"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w:t>
      </w: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represented a significant portion of our operating costs, and we expect this will continue to be the case in future periods. In this regard, our total programming and copyright costs aggregated $263.1 million and $820.4 million (including amounts related to the U.K. JV Entities through the June 1, 2021 closing of the U.K. JV Transaction) during the six months ended June 30, 2022 and 2021, respectively.</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six months ended June 30, 2022 and 2021, see note 6.</w:t>
      </w:r>
    </w:p>
    <w:p>
      <w:pPr>
        <w:spacing w:after="0" w:line="16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i w:val="1"/>
          <w:iCs w:val="1"/>
          <w:color w:val="auto"/>
        </w:rPr>
        <w:t xml:space="preserve">Interkabel Acquisition. </w:t>
      </w:r>
      <w:r>
        <w:rPr>
          <w:rFonts w:ascii="Arial" w:cs="Arial" w:eastAsia="Arial" w:hAnsi="Arial"/>
          <w:sz w:val="15"/>
          <w:szCs w:val="15"/>
          <w:color w:val="auto"/>
        </w:rPr>
        <w:t>On November 26, 2007, Telenet and four associations of municipalities in Belgium, which we refer to as the pure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intercommunales or the “</w:t>
      </w:r>
      <w:r>
        <w:rPr>
          <w:rFonts w:ascii="Arial" w:cs="Arial" w:eastAsia="Arial" w:hAnsi="Arial"/>
          <w:sz w:val="15"/>
          <w:szCs w:val="15"/>
          <w:b w:val="1"/>
          <w:bCs w:val="1"/>
          <w:color w:val="auto"/>
        </w:rPr>
        <w:t>PICs</w:t>
      </w:r>
      <w:r>
        <w:rPr>
          <w:rFonts w:ascii="Arial" w:cs="Arial" w:eastAsia="Arial" w:hAnsi="Arial"/>
          <w:sz w:val="15"/>
          <w:szCs w:val="15"/>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5"/>
          <w:szCs w:val="15"/>
          <w:b w:val="1"/>
          <w:bCs w:val="1"/>
          <w:color w:val="auto"/>
        </w:rPr>
        <w:t>2008 PICs Agreement</w:t>
      </w:r>
      <w:r>
        <w:rPr>
          <w:rFonts w:ascii="Arial" w:cs="Arial" w:eastAsia="Arial" w:hAnsi="Arial"/>
          <w:sz w:val="15"/>
          <w:szCs w:val="15"/>
          <w:color w:val="auto"/>
        </w:rPr>
        <w:t>), which closed effective October 1, 2008. Beginning in December 2007, Proximus NV/SA (</w:t>
      </w:r>
      <w:r>
        <w:rPr>
          <w:rFonts w:ascii="Arial" w:cs="Arial" w:eastAsia="Arial" w:hAnsi="Arial"/>
          <w:sz w:val="15"/>
          <w:szCs w:val="15"/>
          <w:b w:val="1"/>
          <w:bCs w:val="1"/>
          <w:color w:val="auto"/>
        </w:rPr>
        <w:t>Proximus</w:t>
      </w:r>
      <w:r>
        <w:rPr>
          <w:rFonts w:ascii="Arial" w:cs="Arial" w:eastAsia="Arial" w:hAnsi="Arial"/>
          <w:sz w:val="15"/>
          <w:szCs w:val="15"/>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3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filed a lawsuit against Telekom Deutschland GmbH (</w:t>
      </w:r>
      <w:r>
        <w:rPr>
          <w:rFonts w:ascii="Arial" w:cs="Arial" w:eastAsia="Arial" w:hAnsi="Arial"/>
          <w:sz w:val="15"/>
          <w:szCs w:val="15"/>
          <w:b w:val="1"/>
          <w:bCs w:val="1"/>
          <w:color w:val="auto"/>
        </w:rPr>
        <w:t>Telekom Deutschland</w:t>
      </w:r>
      <w:r>
        <w:rPr>
          <w:rFonts w:ascii="Arial" w:cs="Arial" w:eastAsia="Arial" w:hAnsi="Arial"/>
          <w:sz w:val="15"/>
          <w:szCs w:val="15"/>
          <w:color w:val="auto"/>
        </w:rPr>
        <w:t>) in</w:t>
      </w:r>
      <w:r>
        <w:rPr>
          <w:rFonts w:ascii="Arial" w:cs="Arial" w:eastAsia="Arial" w:hAnsi="Arial"/>
          <w:sz w:val="15"/>
          <w:szCs w:val="15"/>
          <w:i w:val="1"/>
          <w:iCs w:val="1"/>
          <w:color w:val="auto"/>
        </w:rPr>
        <w:t xml:space="preserve"> </w:t>
      </w:r>
      <w:r>
        <w:rPr>
          <w:rFonts w:ascii="Arial" w:cs="Arial" w:eastAsia="Arial" w:hAnsi="Arial"/>
          <w:sz w:val="15"/>
          <w:szCs w:val="15"/>
          <w:color w:val="auto"/>
        </w:rPr>
        <w:t>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the Vodafone Disposal Group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xml:space="preserve">).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July 5, 2019, the Belgium Regulatory Authorities published for consultation a draft decision regarding “reasonable access tariffs” that would replace the interim prices. On May 26, 2020, the Belgium Regulatory Authorities adopted a final decision regarding the “reasonable access tariffs” (the </w:t>
      </w:r>
      <w:r>
        <w:rPr>
          <w:rFonts w:ascii="Arial" w:cs="Arial" w:eastAsia="Arial" w:hAnsi="Arial"/>
          <w:sz w:val="17"/>
          <w:szCs w:val="17"/>
          <w:b w:val="1"/>
          <w:bCs w:val="1"/>
          <w:color w:val="auto"/>
        </w:rPr>
        <w:t>2020 Decision</w:t>
      </w:r>
      <w:r>
        <w:rPr>
          <w:rFonts w:ascii="Arial" w:cs="Arial" w:eastAsia="Arial" w:hAnsi="Arial"/>
          <w:sz w:val="17"/>
          <w:szCs w:val="17"/>
          <w:color w:val="auto"/>
        </w:rPr>
        <w:t>) that represents, for example, a decrease of 11.5% as compared to the interim rates for a 100 Mbps offer combined with TV. These rates are expected to evolve over time due to, among other reasons, broadband capacity usage. The 2020 Decision became effective on July 1, 2020.</w:t>
      </w:r>
    </w:p>
    <w:p>
      <w:pPr>
        <w:spacing w:after="0" w:line="20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2020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challenged the 2018 Decision in the Court of Appeal of Brussels and also initiated an action in the European Court of Justice against the European Commission’s decision not to challenge the 2018 Decision. The proceedings before the European Court of Justice have been withdrawn by Telenet in order to avoid undue delays in the Court of Appeal case. In a decision issued on September 4, 2019, the Court of Appeal of Brussels upheld the 2018 Decision.</w:t>
      </w:r>
    </w:p>
    <w:p>
      <w:pPr>
        <w:spacing w:after="0" w:line="175"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i w:val="1"/>
          <w:iCs w:val="1"/>
          <w:color w:val="auto"/>
        </w:rPr>
        <w:t xml:space="preserve">UPC Austria Matter. </w:t>
      </w:r>
      <w:r>
        <w:rPr>
          <w:rFonts w:ascii="Arial" w:cs="Arial" w:eastAsia="Arial" w:hAnsi="Arial"/>
          <w:sz w:val="17"/>
          <w:szCs w:val="17"/>
          <w:color w:val="auto"/>
        </w:rPr>
        <w:t>On July 31 2018, we completed the sale of our Austrian operations, “UPC Austria,” to Deutsche Telekom AG (Deutsche Telekom).</w:t>
      </w:r>
      <w:r>
        <w:rPr>
          <w:rFonts w:ascii="Arial" w:cs="Arial" w:eastAsia="Arial" w:hAnsi="Arial"/>
          <w:sz w:val="17"/>
          <w:szCs w:val="17"/>
          <w:i w:val="1"/>
          <w:iCs w:val="1"/>
          <w:color w:val="auto"/>
        </w:rPr>
        <w:t xml:space="preserve"> </w:t>
      </w:r>
      <w:r>
        <w:rPr>
          <w:rFonts w:ascii="Arial" w:cs="Arial" w:eastAsia="Arial" w:hAnsi="Arial"/>
          <w:sz w:val="17"/>
          <w:szCs w:val="17"/>
          <w:color w:val="auto"/>
        </w:rPr>
        <w:t>In October 2019, we received notification under the terms of the relevant acquisition agreements from Deutsche Telekom and its subsidiary, T-Mobile Austria Holding GmbH, (together, the UPC Austria Sale Counterparties), asserting claims that totaled €126.3 million ($132.4 million), plus interest, as of June 30, 2022. In July 2022, we agreed with the UPC Austria Sale Counterparties to resolve the matter, the terms of which were not material to us and were accrued in our June 30, 2022 condensed consolidated financial statements.</w:t>
      </w:r>
    </w:p>
    <w:p>
      <w:pPr>
        <w:spacing w:after="0" w:line="21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Other Contingency Matters. </w:t>
      </w:r>
      <w:r>
        <w:rPr>
          <w:rFonts w:ascii="Arial" w:cs="Arial" w:eastAsia="Arial" w:hAnsi="Arial"/>
          <w:sz w:val="17"/>
          <w:szCs w:val="17"/>
          <w:color w:val="auto"/>
        </w:rPr>
        <w:t>In connection with the dispositions of certain of our operations, we provided tax indemnities to the counterparties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9"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values of certain investments,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earnings or loss from continuing operations to Adjusted EBITDA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2022, our reportable segments are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117"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Belgium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Ireland</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117"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color w:val="auto"/>
        </w:rPr>
        <w:t>VMO2 JV</w:t>
      </w:r>
    </w:p>
    <w:p>
      <w:pPr>
        <w:spacing w:after="0" w:line="16" w:lineRule="exact"/>
        <w:rPr>
          <w:rFonts w:ascii="Arial" w:cs="Arial" w:eastAsia="Arial" w:hAnsi="Arial"/>
          <w:sz w:val="18"/>
          <w:szCs w:val="18"/>
          <w:b w:val="1"/>
          <w:bCs w:val="1"/>
          <w:i w:val="1"/>
          <w:iCs w:val="1"/>
          <w:color w:val="auto"/>
        </w:rPr>
      </w:pPr>
    </w:p>
    <w:p>
      <w:pPr>
        <w:ind w:left="640" w:hanging="316"/>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3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1"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Our “</w:t>
      </w:r>
      <w:r>
        <w:rPr>
          <w:rFonts w:ascii="Arial" w:cs="Arial" w:eastAsia="Arial" w:hAnsi="Arial"/>
          <w:sz w:val="15"/>
          <w:szCs w:val="15"/>
          <w:b w:val="1"/>
          <w:bCs w:val="1"/>
          <w:color w:val="auto"/>
        </w:rPr>
        <w:t>Central and Other</w:t>
      </w:r>
      <w:r>
        <w:rPr>
          <w:rFonts w:ascii="Arial" w:cs="Arial" w:eastAsia="Arial" w:hAnsi="Arial"/>
          <w:sz w:val="15"/>
          <w:szCs w:val="15"/>
          <w:color w:val="auto"/>
        </w:rPr>
        <w:t>” category primarily includes (i) our operations in Slovakia, (ii) services provided to the VMO2 JV, the VodafoneZiggo JV and various third parties related to transitional service agreements, (iii) sales of customer premises equipment to the VodafoneZiggo JV and (iv) certain centralized functions, including billing systems, network operations, technology, marketing, facilities, finance and other administrative functions.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only the reportable segments of our continuing operations in the tables below.</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both the VMO2 JV and the VodafoneZiggo JV, we present 100% of the revenue and Adjusted EBITDA of those entities in the tables below. Our share of the operating results of the VMO2 JV and the VodafoneZiggo JV are included in share of results of affiliates, net,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rPr>
              <w:t>Revenue</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ind w:left="300"/>
              <w:spacing w:after="0" w:line="15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3"/>
                <w:szCs w:val="13"/>
                <w:color w:val="auto"/>
              </w:rPr>
            </w:pPr>
          </w:p>
        </w:tc>
        <w:tc>
          <w:tcPr>
            <w:tcW w:w="2180" w:type="dxa"/>
            <w:vAlign w:val="bottom"/>
            <w:gridSpan w:val="4"/>
          </w:tcPr>
          <w:p>
            <w:pPr>
              <w:jc w:val="right"/>
              <w:ind w:right="593"/>
              <w:spacing w:after="0" w:line="155"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(b)</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1,065.6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1,215.3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2,195.6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2021 amounts represent the revenue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2021 amounts represent the revenue of the VMO2 JV for the period from June 1, 2021 through June 30, 2021.</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Adjusted EBITDA</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ind w:left="300"/>
              <w:spacing w:after="0" w:line="155"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3"/>
                <w:szCs w:val="13"/>
                <w:color w:val="auto"/>
              </w:rPr>
            </w:pPr>
          </w:p>
        </w:tc>
        <w:tc>
          <w:tcPr>
            <w:tcW w:w="2180" w:type="dxa"/>
            <w:vAlign w:val="bottom"/>
            <w:gridSpan w:val="4"/>
          </w:tcPr>
          <w:p>
            <w:pPr>
              <w:jc w:val="right"/>
              <w:ind w:right="593"/>
              <w:spacing w:after="0" w:line="155"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 (b)</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490.9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570.1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1,028.7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2021 amounts represent the Adjusted EBITDA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relate to transactions between our continuing and discontinued operations.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2021 amounts represent the Adjusted EBITDA of the VMO2 JV for the period from June 1, 2021 through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from continuing operations to Adjusted EBITDA: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12,573.6</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Gain on U.K. JV Transaction</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(11,138.0)</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Telenet Tower Sale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on debt extinguishment,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73"/>
        </w:trPr>
        <w:tc>
          <w:tcPr>
            <w:tcW w:w="6000" w:type="dxa"/>
            <w:vAlign w:val="bottom"/>
          </w:tcPr>
          <w:p>
            <w:pPr>
              <w:ind w:left="20"/>
              <w:spacing w:after="0" w:line="173" w:lineRule="exact"/>
              <w:rPr>
                <w:sz w:val="20"/>
                <w:szCs w:val="20"/>
                <w:color w:val="auto"/>
              </w:rPr>
            </w:pPr>
            <w:r>
              <w:rPr>
                <w:rFonts w:ascii="Arial" w:cs="Arial" w:eastAsia="Arial" w:hAnsi="Arial"/>
                <w:sz w:val="18"/>
                <w:szCs w:val="18"/>
                <w:color w:val="auto"/>
                <w:w w:val="95"/>
              </w:rPr>
              <w:t>Realized and unrealized losses (gains) due to changes in fair values of certain</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24"/>
        </w:trPr>
        <w:tc>
          <w:tcPr>
            <w:tcW w:w="6000" w:type="dxa"/>
            <w:vAlign w:val="bottom"/>
          </w:tcPr>
          <w:p>
            <w:pPr>
              <w:ind w:left="180"/>
              <w:spacing w:after="0"/>
              <w:rPr>
                <w:sz w:val="20"/>
                <w:szCs w:val="20"/>
                <w:color w:val="auto"/>
              </w:rPr>
            </w:pPr>
            <w:r>
              <w:rPr>
                <w:rFonts w:ascii="Arial" w:cs="Arial" w:eastAsia="Arial" w:hAnsi="Arial"/>
                <w:sz w:val="18"/>
                <w:szCs w:val="18"/>
                <w:color w:val="auto"/>
              </w:rPr>
              <w:t>investments, net</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18"/>
        </w:trPr>
        <w:tc>
          <w:tcPr>
            <w:tcW w:w="6000" w:type="dxa"/>
            <w:vAlign w:val="bottom"/>
          </w:tcPr>
          <w:p>
            <w:pPr>
              <w:ind w:left="180"/>
              <w:spacing w:after="0" w:line="204"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8"/>
        </w:trPr>
        <w:tc>
          <w:tcPr>
            <w:tcW w:w="600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48"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Six months ended</w:t>
      </w:r>
    </w:p>
    <w:p>
      <w:pPr>
        <w:jc w:val="center"/>
        <w:ind w:left="862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 (b)</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8"/>
        </w:trPr>
        <w:tc>
          <w:tcPr>
            <w:tcW w:w="8640" w:type="dxa"/>
            <w:vAlign w:val="bottom"/>
          </w:tcPr>
          <w:p>
            <w:pPr>
              <w:ind w:left="180"/>
              <w:spacing w:after="0" w:line="204" w:lineRule="exact"/>
              <w:rPr>
                <w:sz w:val="20"/>
                <w:szCs w:val="20"/>
                <w:color w:val="auto"/>
              </w:rPr>
            </w:pPr>
            <w:r>
              <w:rPr>
                <w:rFonts w:ascii="Arial" w:cs="Arial" w:eastAsia="Arial" w:hAnsi="Arial"/>
                <w:sz w:val="18"/>
                <w:szCs w:val="18"/>
                <w:color w:val="auto"/>
              </w:rPr>
              <w:t>Total property and equipment additions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1,321.1</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8"/>
        </w:trPr>
        <w:tc>
          <w:tcPr>
            <w:tcW w:w="8640" w:type="dxa"/>
            <w:vAlign w:val="bottom"/>
          </w:tcPr>
          <w:p>
            <w:pPr>
              <w:ind w:left="340"/>
              <w:spacing w:after="0" w:line="204" w:lineRule="exact"/>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VMO2 JV (c)</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472.5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2021 amount represents the property and equipment additions of the U.K. JV Entities through the June 1, 2021 closing of the U.K. JV Transaction.</w:t>
      </w:r>
    </w:p>
    <w:p>
      <w:pPr>
        <w:spacing w:after="0" w:line="278" w:lineRule="exact"/>
        <w:rPr>
          <w:rFonts w:ascii="Arial" w:cs="Arial" w:eastAsia="Arial" w:hAnsi="Arial"/>
          <w:sz w:val="15"/>
          <w:szCs w:val="15"/>
          <w:color w:val="auto"/>
        </w:rPr>
      </w:pPr>
    </w:p>
    <w:p>
      <w:pPr>
        <w:jc w:val="both"/>
        <w:ind w:left="480" w:hanging="474"/>
        <w:spacing w:after="0" w:line="255" w:lineRule="auto"/>
        <w:tabs>
          <w:tab w:leader="none" w:pos="4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(ii) the net impact of certain centrally-procured network equipment that is ultimately transferred to our operating segments and (iii) property and equipment additions of our operations in Slovakia.</w:t>
      </w:r>
    </w:p>
    <w:p>
      <w:pPr>
        <w:spacing w:after="0" w:line="214" w:lineRule="exact"/>
        <w:rPr>
          <w:rFonts w:ascii="Arial" w:cs="Arial" w:eastAsia="Arial" w:hAnsi="Arial"/>
          <w:sz w:val="18"/>
          <w:szCs w:val="18"/>
          <w:color w:val="auto"/>
        </w:rPr>
      </w:pPr>
    </w:p>
    <w:p>
      <w:pPr>
        <w:ind w:left="480" w:hanging="474"/>
        <w:spacing w:after="0"/>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2021 amount represents the property and equipment additions of the VMO2 JV for the period from June 1, 2021 through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2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5"/>
        </w:trPr>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10"/>
        </w:trPr>
        <w:tc>
          <w:tcPr>
            <w:tcW w:w="5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94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594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1,642.1</w:t>
            </w:r>
          </w:p>
        </w:tc>
      </w:tr>
      <w:tr>
        <w:trPr>
          <w:trHeight w:val="22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r>
      <w:tr>
        <w:trPr>
          <w:trHeight w:val="225"/>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r>
      <w:tr>
        <w:trPr>
          <w:trHeight w:val="219"/>
        </w:trPr>
        <w:tc>
          <w:tcPr>
            <w:tcW w:w="59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w:t>
            </w:r>
          </w:p>
        </w:tc>
      </w:tr>
      <w:tr>
        <w:trPr>
          <w:trHeight w:val="225"/>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r>
      <w:tr>
        <w:trPr>
          <w:trHeight w:val="219"/>
        </w:trPr>
        <w:tc>
          <w:tcPr>
            <w:tcW w:w="59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3,600.5</w:t>
            </w:r>
          </w:p>
        </w:tc>
      </w:tr>
      <w:tr>
        <w:trPr>
          <w:trHeight w:val="205"/>
        </w:trPr>
        <w:tc>
          <w:tcPr>
            <w:tcW w:w="594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r>
      <w:tr>
        <w:trPr>
          <w:trHeight w:val="225"/>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r>
      <w:tr>
        <w:trPr>
          <w:trHeight w:val="219"/>
        </w:trPr>
        <w:tc>
          <w:tcPr>
            <w:tcW w:w="59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1,372.5</w:t>
            </w:r>
          </w:p>
        </w:tc>
      </w:tr>
      <w:tr>
        <w:trPr>
          <w:trHeight w:val="218"/>
        </w:trPr>
        <w:tc>
          <w:tcPr>
            <w:tcW w:w="59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4,973.0</w:t>
            </w:r>
          </w:p>
        </w:tc>
      </w:tr>
      <w:tr>
        <w:trPr>
          <w:trHeight w:val="206"/>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594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343.0</w:t>
            </w:r>
          </w:p>
        </w:tc>
      </w:tr>
      <w:tr>
        <w:trPr>
          <w:trHeight w:val="226"/>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r>
      <w:tr>
        <w:trPr>
          <w:trHeight w:val="218"/>
        </w:trPr>
        <w:tc>
          <w:tcPr>
            <w:tcW w:w="594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w:t>
            </w:r>
          </w:p>
        </w:tc>
      </w:tr>
      <w:tr>
        <w:trPr>
          <w:trHeight w:val="219"/>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18"/>
        </w:trPr>
        <w:tc>
          <w:tcPr>
            <w:tcW w:w="594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6,489.1</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1" w:lineRule="exact"/>
        <w:rPr>
          <w:rFonts w:ascii="Arial" w:cs="Arial" w:eastAsia="Arial" w:hAnsi="Arial"/>
          <w:sz w:val="18"/>
          <w:szCs w:val="18"/>
          <w:color w:val="auto"/>
        </w:rPr>
      </w:pPr>
    </w:p>
    <w:p>
      <w:pPr>
        <w:jc w:val="both"/>
        <w:ind w:left="480" w:hanging="474"/>
        <w:spacing w:after="0" w:line="321" w:lineRule="auto"/>
        <w:tabs>
          <w:tab w:leader="none" w:pos="474" w:val="left"/>
        </w:tabs>
        <w:numPr>
          <w:ilvl w:val="0"/>
          <w:numId w:val="44"/>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certain small or home office (</w:t>
      </w:r>
      <w:r>
        <w:rPr>
          <w:rFonts w:ascii="Arial" w:cs="Arial" w:eastAsia="Arial" w:hAnsi="Arial"/>
          <w:sz w:val="15"/>
          <w:szCs w:val="15"/>
          <w:b w:val="1"/>
          <w:bCs w:val="1"/>
          <w:color w:val="auto"/>
        </w:rPr>
        <w:t>SOHO</w:t>
      </w:r>
      <w:r>
        <w:rPr>
          <w:rFonts w:ascii="Arial" w:cs="Arial" w:eastAsia="Arial" w:hAnsi="Arial"/>
          <w:sz w:val="15"/>
          <w:szCs w:val="15"/>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and large enterprises and, fixed-line and mobile services on a wholesale basis, to other operators and (b) revenue from long-term leases of portions of our network.</w:t>
      </w:r>
    </w:p>
    <w:p>
      <w:pPr>
        <w:spacing w:after="0" w:line="207" w:lineRule="exact"/>
        <w:rPr>
          <w:sz w:val="20"/>
          <w:szCs w:val="20"/>
          <w:color w:val="auto"/>
        </w:rPr>
      </w:pPr>
    </w:p>
    <w:p>
      <w:pPr>
        <w:jc w:val="both"/>
        <w:ind w:left="480" w:hanging="474"/>
        <w:spacing w:after="0" w:line="255" w:lineRule="auto"/>
        <w:tabs>
          <w:tab w:leader="none" w:pos="4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VMO2 JV (U.K.) (b)</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0" w:type="dxa"/>
            <w:vAlign w:val="bottom"/>
          </w:tcPr>
          <w:p>
            <w:pPr>
              <w:ind w:left="20"/>
              <w:spacing w:after="0" w:line="199" w:lineRule="exact"/>
              <w:rPr>
                <w:sz w:val="20"/>
                <w:szCs w:val="20"/>
                <w:color w:val="auto"/>
              </w:rPr>
            </w:pPr>
            <w:r>
              <w:rPr>
                <w:rFonts w:ascii="Arial" w:cs="Arial" w:eastAsia="Arial" w:hAnsi="Arial"/>
                <w:sz w:val="18"/>
                <w:szCs w:val="18"/>
                <w:color w:val="auto"/>
              </w:rPr>
              <w:t>VodafoneZiggo JV (Netherlands)</w:t>
            </w:r>
          </w:p>
        </w:tc>
        <w:tc>
          <w:tcPr>
            <w:tcW w:w="280" w:type="dxa"/>
            <w:vAlign w:val="bottom"/>
            <w:tcBorders>
              <w:bottom w:val="single" w:sz="8" w:color="auto"/>
            </w:tcBorders>
          </w:tcPr>
          <w:p>
            <w:pPr>
              <w:jc w:val="right"/>
              <w:ind w:right="92"/>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1,065.6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1,215.3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9"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2,195.6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9"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2021 amounts represent the revenue of the U.K. JV Entities through the June 1, 2021 closing of the U.K. JV Transaction.</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2021 amounts represent the revenue of the VMO2 JV for the period from June 1, 2021 through June 30, 2021.</w:t>
      </w:r>
    </w:p>
    <w:p>
      <w:pPr>
        <w:spacing w:after="0" w:line="238" w:lineRule="exact"/>
        <w:rPr>
          <w:sz w:val="20"/>
          <w:szCs w:val="20"/>
          <w:color w:val="auto"/>
        </w:rPr>
      </w:pPr>
    </w:p>
    <w:p>
      <w:pPr>
        <w:ind w:left="480" w:hanging="474"/>
        <w:spacing w:after="0"/>
        <w:tabs>
          <w:tab w:leader="none" w:pos="4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19, 2022, Telenet and Fluvius System Operator CV (</w:t>
      </w:r>
      <w:r>
        <w:rPr>
          <w:rFonts w:ascii="Arial" w:cs="Arial" w:eastAsia="Arial" w:hAnsi="Arial"/>
          <w:sz w:val="18"/>
          <w:szCs w:val="18"/>
          <w:b w:val="1"/>
          <w:bCs w:val="1"/>
          <w:color w:val="auto"/>
        </w:rPr>
        <w:t>Fluvius</w:t>
      </w:r>
      <w:r>
        <w:rPr>
          <w:rFonts w:ascii="Arial" w:cs="Arial" w:eastAsia="Arial" w:hAnsi="Arial"/>
          <w:sz w:val="18"/>
          <w:szCs w:val="18"/>
          <w:color w:val="auto"/>
        </w:rPr>
        <w:t>) entered into an agreement to create an independent, self-funding infrastructure company (</w:t>
      </w:r>
      <w:r>
        <w:rPr>
          <w:rFonts w:ascii="Arial" w:cs="Arial" w:eastAsia="Arial" w:hAnsi="Arial"/>
          <w:sz w:val="18"/>
          <w:szCs w:val="18"/>
          <w:b w:val="1"/>
          <w:bCs w:val="1"/>
          <w:color w:val="auto"/>
        </w:rPr>
        <w:t>NetCo</w:t>
      </w:r>
      <w:r>
        <w:rPr>
          <w:rFonts w:ascii="Arial" w:cs="Arial" w:eastAsia="Arial" w:hAnsi="Arial"/>
          <w:sz w:val="18"/>
          <w:szCs w:val="18"/>
          <w:color w:val="auto"/>
        </w:rPr>
        <w:t>) within their combined geographic footprint in Belgium. The companies will each contribute certain cable infrastructure assets with Telenet and Fluvius initially owning 66.8% and 33.2% of NetCo, respectively. Telenet and Liberty Global will consolidate NetCo upon closing of the transaction, which we currently expect to occur in early 2023. The closing of the transaction is subject to the satisfaction of certain conditions, including regulatory conditions and approval from Fluvius shareholders.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215" w:lineRule="exact"/>
        <w:rPr>
          <w:sz w:val="20"/>
          <w:szCs w:val="20"/>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results or events.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2021.</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and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June 30, 2022.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xml:space="preserve"> Part I, Item 3. </w:t>
      </w:r>
      <w:r>
        <w:rPr>
          <w:rFonts w:ascii="Arial" w:cs="Arial" w:eastAsia="Arial" w:hAnsi="Arial"/>
          <w:sz w:val="15"/>
          <w:szCs w:val="15"/>
          <w:i w:val="1"/>
          <w:iCs w:val="1"/>
          <w:color w:val="auto"/>
        </w:rPr>
        <w:t>Quantitative and Qualitative Disclosures About Market Risk</w:t>
      </w:r>
      <w:r>
        <w:rPr>
          <w:rFonts w:ascii="Arial" w:cs="Arial" w:eastAsia="Arial" w:hAnsi="Arial"/>
          <w:sz w:val="15"/>
          <w:szCs w:val="15"/>
          <w:color w:val="auto"/>
        </w:rPr>
        <w:t xml:space="preserve"> and Part II, Item 2. </w:t>
      </w:r>
      <w:r>
        <w:rPr>
          <w:rFonts w:ascii="Arial" w:cs="Arial" w:eastAsia="Arial" w:hAnsi="Arial"/>
          <w:sz w:val="15"/>
          <w:szCs w:val="15"/>
          <w:i w:val="1"/>
          <w:iCs w:val="1"/>
          <w:color w:val="auto"/>
        </w:rPr>
        <w:t>Unregistered Sales of Equity Securities and Use of Proceeds</w:t>
      </w:r>
      <w:r>
        <w:rPr>
          <w:rFonts w:ascii="Arial" w:cs="Arial" w:eastAsia="Arial" w:hAnsi="Arial"/>
          <w:sz w:val="15"/>
          <w:szCs w:val="15"/>
          <w:color w:val="auto"/>
        </w:rPr>
        <w:t xml:space="preserve"> may contain forward-looking statements, including statements regarding our business, product, foreign currency and finance strategies, our property and equipment additions,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interest rate risks, target leverage levels, debt covenants, future projected contractual commitments and cash flows, our share repurchase program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of our 10-K, as well as the following list of some but not all of the factors that could cause actual results or events (including with respect to our affiliates) to differ materially from anticipated results or events:</w:t>
      </w: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competitive environment in the industries and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manage rapid technological changes and the rate at which our current technology becomes obsolete;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3" w:name="page54"/>
    <w:bookmarkEnd w:id="53"/>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video, fixed-line telephony and mobile service offerings and our average revenue per household;</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1" w:lineRule="exact"/>
        <w:rPr>
          <w:rFonts w:ascii="Arial" w:cs="Arial" w:eastAsia="Arial" w:hAnsi="Arial"/>
          <w:sz w:val="18"/>
          <w:szCs w:val="18"/>
          <w:color w:val="auto"/>
        </w:rPr>
      </w:pPr>
    </w:p>
    <w:p>
      <w:pPr>
        <w:ind w:left="320" w:right="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and legislation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government intervention that requires opening our broadband distribution networks to competitors, such as the obligations imposed in Belgium;</w:t>
      </w:r>
    </w:p>
    <w:p>
      <w:pPr>
        <w:spacing w:after="0" w:line="145" w:lineRule="exact"/>
        <w:rPr>
          <w:rFonts w:ascii="Arial" w:cs="Arial" w:eastAsia="Arial" w:hAnsi="Arial"/>
          <w:sz w:val="15"/>
          <w:szCs w:val="15"/>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7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i w:val="1"/>
          <w:iCs w:val="1"/>
          <w:color w:val="auto"/>
        </w:rPr>
      </w:pPr>
      <w:r>
        <w:rPr>
          <w:rFonts w:ascii="Arial" w:cs="Arial" w:eastAsia="Arial" w:hAnsi="Arial"/>
          <w:sz w:val="18"/>
          <w:szCs w:val="18"/>
          <w:color w:val="auto"/>
        </w:rPr>
        <w:t>our ability to navigate the potential impacts on our business resulting from the U.K.’s departure from the E.U.;</w:t>
      </w:r>
    </w:p>
    <w:p>
      <w:pPr>
        <w:spacing w:after="0" w:line="105" w:lineRule="exact"/>
        <w:rPr>
          <w:rFonts w:ascii="Arial" w:cs="Arial" w:eastAsia="Arial" w:hAnsi="Arial"/>
          <w:sz w:val="18"/>
          <w:szCs w:val="18"/>
          <w:i w:val="1"/>
          <w:iCs w:val="1"/>
          <w:color w:val="auto"/>
        </w:rPr>
      </w:pPr>
    </w:p>
    <w:p>
      <w:pPr>
        <w:ind w:left="320" w:hanging="316"/>
        <w:spacing w:after="0" w:line="27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arrangements) to timely deliver quality products, equipment, software, services and access;</w:t>
      </w:r>
    </w:p>
    <w:p>
      <w:pPr>
        <w:spacing w:after="0" w:line="68"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production costs, retransmission and copyright fees payable to public and private broadcasters;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availability, cost and regulation of spectrum;</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successfully integrating businesses we acquire in the time or within the budgets estimated for such integrations;</w:t>
      </w:r>
    </w:p>
    <w:p>
      <w:pPr>
        <w:spacing w:after="0" w:line="111"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maintaining relationships with employees, customers, suppliers or vendors may be greater than expected in connection with our acquisitions;</w:t>
      </w:r>
    </w:p>
    <w:p>
      <w:pPr>
        <w:spacing w:after="0" w:line="74"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realize the expected synergies from our acquisitions in the amounts anticipated or on the anticipated timelines;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profit from investments in joint ventures that we do not solely control;</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1" w:lineRule="exact"/>
        <w:rPr>
          <w:rFonts w:ascii="Arial" w:cs="Arial" w:eastAsia="Arial" w:hAnsi="Arial"/>
          <w:sz w:val="18"/>
          <w:szCs w:val="18"/>
          <w:color w:val="auto"/>
        </w:rPr>
      </w:pPr>
    </w:p>
    <w:p>
      <w:pPr>
        <w:ind w:left="320" w:hanging="316"/>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capital structure and factors related to our debt agreements; and</w:t>
      </w:r>
    </w:p>
    <w:p>
      <w:pPr>
        <w:spacing w:after="0" w:line="111" w:lineRule="exact"/>
        <w:rPr>
          <w:rFonts w:ascii="Arial" w:cs="Arial" w:eastAsia="Arial" w:hAnsi="Arial"/>
          <w:sz w:val="18"/>
          <w:szCs w:val="18"/>
          <w:color w:val="auto"/>
        </w:rPr>
      </w:pPr>
    </w:p>
    <w:p>
      <w:pPr>
        <w:ind w:left="320" w:hanging="316"/>
        <w:spacing w:after="0" w:line="365" w:lineRule="auto"/>
        <w:tabs>
          <w:tab w:leader="none" w:pos="315" w:val="left"/>
        </w:tabs>
        <w:numPr>
          <w:ilvl w:val="0"/>
          <w:numId w:val="50"/>
        </w:numPr>
        <w:rPr>
          <w:rFonts w:ascii="Arial" w:cs="Arial" w:eastAsia="Arial" w:hAnsi="Arial"/>
          <w:sz w:val="15"/>
          <w:szCs w:val="15"/>
          <w:color w:val="auto"/>
        </w:rPr>
      </w:pPr>
      <w:r>
        <w:rPr>
          <w:rFonts w:ascii="Arial" w:cs="Arial" w:eastAsia="Arial" w:hAnsi="Arial"/>
          <w:sz w:val="15"/>
          <w:szCs w:val="15"/>
          <w:color w:val="auto"/>
        </w:rPr>
        <w:t>events that are outside of our control, such as political unrest in international markets, terrorist attacks, armed conflicts, malicious human acts, natural disasters, epidemics, pandemics (such as COVID-19) and other similar events, including the ongoing invasion of Ukraine by Russia.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922" w:right="339" w:bottom="1440" w:gutter="0" w:footer="0" w:header="0"/>
        </w:sectPr>
      </w:pPr>
    </w:p>
    <w:bookmarkStart w:id="54" w:name="page55"/>
    <w:bookmarkEnd w:id="54"/>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Switzerland and Slovakia through UPC Holding, (ii) Belgium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Through March 31, 2022, we provided residential and B2B communications services in Poland through UPC Holding. On April 1, 2022, we completed the sale of our operations in Poland. Accordingly, our operations in Poland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sale of UPC Poland, including with respect to our use of proceeds, see note 4 to our condensed consolidated financial statements.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Through May 31, 2021, our consolidated operations also provided residential and B2B communications services in the U.K. through Virgin Media. On June 1, 2021, we contributed the U.K. JV Entities to the VMO2 JV and began accounting for our 50% interest in the VMO2 JV as an equity method investment. For additional information, see note 4 to our condensed consolidated financial statements.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June 30, 2022, our continuing operations owned and operated networks that passed 7,512,100 homes and served 4,105,900 fixed-line customers and 5,788,800 mobile subscribers.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global COVID-19 pandemic continues to impact the economies of the countries in which we operate. However, during the second quarter of 2022, the impact on our company continued to be relatively minimal as demand for our products and services remained strong. It is not currently possible to estimate the duration and severity of the COVID-19 pandemic or the adverse economic impact resulting from the preventative measures taken to contain or mitigate its outbreak, therefore no assurance can be given that an extended period of global economic disruption would not have a material adverse impact on our business, financial condition and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are (i) the U.K. JV Transaction on June 1, 2021, (ii) the sale of UPC Poland on April 1, 2022 and (iii) the Telenet Tower Sale on June 1, 2022. For further information regarding our dispositions, see note 4 to our condensed consolidated financial statements.</w:t>
      </w:r>
    </w:p>
    <w:p>
      <w:pPr>
        <w:spacing w:after="0" w:line="20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In the following discussion, we quantify the estimated impact of material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8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5"/>
          <w:szCs w:val="15"/>
          <w:b w:val="1"/>
          <w:bCs w:val="1"/>
          <w:color w:val="auto"/>
        </w:rPr>
        <w:t>FX</w:t>
      </w:r>
      <w:r>
        <w:rPr>
          <w:rFonts w:ascii="Arial" w:cs="Arial" w:eastAsia="Arial" w:hAnsi="Arial"/>
          <w:sz w:val="15"/>
          <w:szCs w:val="15"/>
          <w:color w:val="auto"/>
        </w:rPr>
        <w:t xml:space="preserve">) risk during the three months ended June 30, 2022 was to the euro and Swiss franc, as 55.2% and 43.7%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below. For information regarding our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currency risks and the applicable foreign currency exchange rates in effect for the periods covered by this Quarterly Report, see Part I, Item 3. </w:t>
      </w:r>
      <w:r>
        <w:rPr>
          <w:rFonts w:ascii="Arial" w:cs="Arial" w:eastAsia="Arial" w:hAnsi="Arial"/>
          <w:sz w:val="15"/>
          <w:szCs w:val="15"/>
          <w:i w:val="1"/>
          <w:iCs w:val="1"/>
          <w:color w:val="auto"/>
        </w:rPr>
        <w:t>Quantitative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 Qualitative Disclosures about Market Risk — Foreign Currency Risk </w:t>
      </w:r>
      <w:r>
        <w:rPr>
          <w:rFonts w:ascii="Arial" w:cs="Arial" w:eastAsia="Arial" w:hAnsi="Arial"/>
          <w:sz w:val="15"/>
          <w:szCs w:val="15"/>
          <w:color w:val="auto"/>
        </w:rPr>
        <w:t>below.</w:t>
      </w:r>
    </w:p>
    <w:p>
      <w:pPr>
        <w:spacing w:after="0" w:line="39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amounts presented and discussed below represent 100% of each of our consolidated reportable segment’s results of operations.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All of our reportable segments derive their revenue primarily from residential and B2B communications services. For detailed information regarding the composition of our reportable segments and how we define and categorize our revenue components, see note 16 to our condensed consolidated financial statements. For information regarding the results of operations of the VMO2 JV and the VodafoneZiggo JV, refer to </w:t>
      </w:r>
      <w:r>
        <w:rPr>
          <w:rFonts w:ascii="Arial" w:cs="Arial" w:eastAsia="Arial" w:hAnsi="Arial"/>
          <w:sz w:val="18"/>
          <w:szCs w:val="18"/>
          <w:i w:val="1"/>
          <w:iCs w:val="1"/>
          <w:color w:val="auto"/>
        </w:rPr>
        <w:t>Discussion and Analysis of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Operating Results — Share of results of affiliates, net </w:t>
      </w:r>
      <w:r>
        <w:rPr>
          <w:rFonts w:ascii="Arial" w:cs="Arial" w:eastAsia="Arial" w:hAnsi="Arial"/>
          <w:sz w:val="18"/>
          <w:szCs w:val="18"/>
          <w:color w:val="auto"/>
        </w:rPr>
        <w:t>below.</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tables presented below in this section provide the details of the revenue and Adjusted EBITDA of our consolidated reportable segments for the three and six months ended June 30, 2022 and 2021.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consolidated reportable segments for the three and six months ended June 30, 2022 and 2021 at the end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6" w:name="page57"/>
    <w:bookmarkEnd w:id="56"/>
    <w:p>
      <w:pPr>
        <w:jc w:val="both"/>
        <w:ind w:firstLine="318"/>
        <w:spacing w:after="0" w:line="252"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earnings from continuing operations to Adjusted EBITDA: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26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12,573.6</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Gain on U.K. JV Transaction</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(11,138.0)</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Telenet Tower Sale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on debt extinguishment,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73"/>
        </w:trPr>
        <w:tc>
          <w:tcPr>
            <w:tcW w:w="5760" w:type="dxa"/>
            <w:vAlign w:val="bottom"/>
          </w:tcPr>
          <w:p>
            <w:pPr>
              <w:ind w:left="20"/>
              <w:spacing w:after="0" w:line="173" w:lineRule="exact"/>
              <w:rPr>
                <w:sz w:val="20"/>
                <w:szCs w:val="20"/>
                <w:color w:val="auto"/>
              </w:rPr>
            </w:pPr>
            <w:r>
              <w:rPr>
                <w:rFonts w:ascii="Arial" w:cs="Arial" w:eastAsia="Arial" w:hAnsi="Arial"/>
                <w:sz w:val="18"/>
                <w:szCs w:val="18"/>
                <w:color w:val="auto"/>
                <w:w w:val="91"/>
              </w:rPr>
              <w:t>Realized and unrealized losses (gains) due to changes in fair values of certain</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24"/>
        </w:trPr>
        <w:tc>
          <w:tcPr>
            <w:tcW w:w="5760" w:type="dxa"/>
            <w:vAlign w:val="bottom"/>
          </w:tcPr>
          <w:p>
            <w:pPr>
              <w:ind w:left="180"/>
              <w:spacing w:after="0"/>
              <w:rPr>
                <w:sz w:val="20"/>
                <w:szCs w:val="20"/>
                <w:color w:val="auto"/>
              </w:rPr>
            </w:pPr>
            <w:r>
              <w:rPr>
                <w:rFonts w:ascii="Arial" w:cs="Arial" w:eastAsia="Arial" w:hAnsi="Arial"/>
                <w:sz w:val="18"/>
                <w:szCs w:val="18"/>
                <w:color w:val="auto"/>
              </w:rPr>
              <w:t>investments, net</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gains,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18"/>
        </w:trPr>
        <w:tc>
          <w:tcPr>
            <w:tcW w:w="5760" w:type="dxa"/>
            <w:vAlign w:val="bottom"/>
          </w:tcPr>
          <w:p>
            <w:pPr>
              <w:ind w:left="180"/>
              <w:spacing w:after="0" w:line="204" w:lineRule="exact"/>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8"/>
        </w:trPr>
        <w:tc>
          <w:tcPr>
            <w:tcW w:w="5760" w:type="dxa"/>
            <w:vAlign w:val="bottom"/>
          </w:tcPr>
          <w:p>
            <w:pPr>
              <w:ind w:left="30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7" w:name="page58"/>
    <w:bookmarkEnd w:id="57"/>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88"/>
              </w:rPr>
              <w:t>Three months ended June 30,</w:t>
            </w:r>
          </w:p>
        </w:tc>
        <w:tc>
          <w:tcPr>
            <w:tcW w:w="100" w:type="dxa"/>
            <w:vAlign w:val="bottom"/>
          </w:tcPr>
          <w:p>
            <w:pPr>
              <w:spacing w:after="0"/>
              <w:rPr>
                <w:sz w:val="18"/>
                <w:szCs w:val="18"/>
                <w:color w:val="auto"/>
              </w:rPr>
            </w:pPr>
          </w:p>
        </w:tc>
        <w:tc>
          <w:tcPr>
            <w:tcW w:w="2300" w:type="dxa"/>
            <w:vAlign w:val="bottom"/>
            <w:gridSpan w:val="5"/>
          </w:tcPr>
          <w:p>
            <w:pPr>
              <w:ind w:left="40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8"/>
                <w:szCs w:val="18"/>
                <w:color w:val="auto"/>
              </w:rPr>
            </w:pPr>
          </w:p>
        </w:tc>
        <w:tc>
          <w:tcPr>
            <w:tcW w:w="214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w w:val="89"/>
              </w:rPr>
              <w:t>Organic increase (decrease)</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U.K. (a)</w:t>
            </w: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Intersegment eliminations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40" w:type="dxa"/>
            <w:vAlign w:val="bottom"/>
            <w:tcBorders>
              <w:top w:val="single" w:sz="8" w:color="CCEEFF"/>
              <w:bottom w:val="single" w:sz="8" w:color="CCEEFF"/>
            </w:tcBorders>
            <w:gridSpan w:val="2"/>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87"/>
              </w:rPr>
              <w:t>Six months ended</w:t>
            </w:r>
          </w:p>
        </w:tc>
        <w:tc>
          <w:tcPr>
            <w:tcW w:w="100" w:type="dxa"/>
            <w:vAlign w:val="bottom"/>
          </w:tcPr>
          <w:p>
            <w:pPr>
              <w:spacing w:after="0"/>
              <w:rPr>
                <w:sz w:val="24"/>
                <w:szCs w:val="24"/>
                <w:color w:val="auto"/>
              </w:rPr>
            </w:pPr>
          </w:p>
        </w:tc>
        <w:tc>
          <w:tcPr>
            <w:tcW w:w="2300" w:type="dxa"/>
            <w:vAlign w:val="bottom"/>
            <w:gridSpan w:val="5"/>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493"/>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left="554"/>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U.K. (a)</w:t>
            </w: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Intersegment eliminations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2021 amounts represent the revenue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8" w:name="page59"/>
    <w:bookmarkEnd w:id="58"/>
    <w:p>
      <w:pPr>
        <w:ind w:firstLine="318"/>
        <w:spacing w:after="0" w:line="264"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decreases in Switzerland’s revenue during the three and six months ended June 30,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5"/>
              </w:rPr>
              <w:t>Three-month period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subscription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3"/>
              <w:spacing w:after="0"/>
              <w:rPr>
                <w:sz w:val="20"/>
                <w:szCs w:val="20"/>
                <w:color w:val="auto"/>
              </w:rPr>
            </w:pPr>
            <w:r>
              <w:rPr>
                <w:rFonts w:ascii="Arial" w:cs="Arial" w:eastAsia="Arial" w:hAnsi="Arial"/>
                <w:sz w:val="16"/>
                <w:szCs w:val="16"/>
                <w:b w:val="1"/>
                <w:bCs w:val="1"/>
                <w:color w:val="auto"/>
                <w:w w:val="87"/>
              </w:rPr>
              <w:t>Subscription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5"/>
              </w:rPr>
              <w:t>Decrease in residential fixed subscription revenue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change in: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3"/>
        </w:trPr>
        <w:tc>
          <w:tcPr>
            <w:tcW w:w="3840" w:type="dxa"/>
            <w:vAlign w:val="bottom"/>
          </w:tcPr>
          <w:p>
            <w:pPr>
              <w:ind w:left="20"/>
              <w:spacing w:after="0" w:line="173" w:lineRule="exact"/>
              <w:rPr>
                <w:sz w:val="20"/>
                <w:szCs w:val="20"/>
                <w:color w:val="auto"/>
              </w:rPr>
            </w:pPr>
            <w:r>
              <w:rPr>
                <w:rFonts w:ascii="Arial" w:cs="Arial" w:eastAsia="Arial" w:hAnsi="Arial"/>
                <w:sz w:val="18"/>
                <w:szCs w:val="18"/>
                <w:color w:val="auto"/>
              </w:rPr>
              <w:t>Decrease in residential fixed non-subscription</w:t>
            </w:r>
          </w:p>
        </w:tc>
        <w:tc>
          <w:tcPr>
            <w:tcW w:w="1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4"/>
        </w:trPr>
        <w:tc>
          <w:tcPr>
            <w:tcW w:w="3840" w:type="dxa"/>
            <w:vAlign w:val="bottom"/>
          </w:tcPr>
          <w:p>
            <w:pPr>
              <w:ind w:left="180"/>
              <w:spacing w:after="0"/>
              <w:rPr>
                <w:sz w:val="20"/>
                <w:szCs w:val="20"/>
                <w:color w:val="auto"/>
              </w:rPr>
            </w:pPr>
            <w:r>
              <w:rPr>
                <w:rFonts w:ascii="Arial" w:cs="Arial" w:eastAsia="Arial" w:hAnsi="Arial"/>
                <w:sz w:val="18"/>
                <w:szCs w:val="18"/>
                <w:color w:val="auto"/>
              </w:rPr>
              <w:t>revenue (a)</w:t>
            </w: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w w:val="90"/>
              </w:rPr>
              <w:t>Increase (decrease) in residential mobile revenue (b)</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(c)</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9"/>
        </w:trPr>
        <w:tc>
          <w:tcPr>
            <w:tcW w:w="3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9"/>
        </w:trPr>
        <w:tc>
          <w:tcPr>
            <w:tcW w:w="3840" w:type="dxa"/>
            <w:vAlign w:val="bottom"/>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decreases in residential fixed non-subscription revenue are primarily due to lower revenue associated with our Swiss sports channels.</w:t>
      </w:r>
    </w:p>
    <w:p>
      <w:pPr>
        <w:spacing w:after="0" w:line="255" w:lineRule="exact"/>
        <w:rPr>
          <w:rFonts w:ascii="Arial" w:cs="Arial" w:eastAsia="Arial" w:hAnsi="Arial"/>
          <w:sz w:val="17"/>
          <w:szCs w:val="17"/>
          <w:color w:val="auto"/>
        </w:rPr>
      </w:pPr>
    </w:p>
    <w:p>
      <w:pPr>
        <w:ind w:left="480" w:hanging="474"/>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increases in residential mobile subscription revenue are primarily attributable to increases in the average number of mobile subscribers.</w:t>
      </w:r>
    </w:p>
    <w:p>
      <w:pPr>
        <w:spacing w:after="0" w:line="255" w:lineRule="exact"/>
        <w:rPr>
          <w:rFonts w:ascii="Arial" w:cs="Arial" w:eastAsia="Arial" w:hAnsi="Arial"/>
          <w:sz w:val="17"/>
          <w:szCs w:val="17"/>
          <w:color w:val="auto"/>
        </w:rPr>
      </w:pPr>
    </w:p>
    <w:p>
      <w:pPr>
        <w:ind w:left="480" w:hanging="474"/>
        <w:spacing w:after="0" w:line="264" w:lineRule="auto"/>
        <w:tabs>
          <w:tab w:leader="none" w:pos="4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increases in B2B non-subscription revenue are primarily attributable to the net effect of (i) higher revenue from wholesale services and (ii) lower revenue from telephony services.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9" w:name="page60"/>
    <w:bookmarkEnd w:id="59"/>
    <w:p>
      <w:pPr>
        <w:ind w:firstLine="318"/>
        <w:spacing w:after="0" w:line="264" w:lineRule="auto"/>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decreases in Belgium’s revenue during the three and six months ended June 30,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5"/>
              </w:rPr>
              <w:t>Decrease in residential fixed subscription revenue</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change in: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3"/>
        </w:trPr>
        <w:tc>
          <w:tcPr>
            <w:tcW w:w="3820" w:type="dxa"/>
            <w:vAlign w:val="bottom"/>
          </w:tcPr>
          <w:p>
            <w:pPr>
              <w:ind w:left="20"/>
              <w:spacing w:after="0" w:line="173" w:lineRule="exact"/>
              <w:rPr>
                <w:sz w:val="20"/>
                <w:szCs w:val="20"/>
                <w:color w:val="auto"/>
              </w:rPr>
            </w:pPr>
            <w:r>
              <w:rPr>
                <w:rFonts w:ascii="Arial" w:cs="Arial" w:eastAsia="Arial" w:hAnsi="Arial"/>
                <w:sz w:val="18"/>
                <w:szCs w:val="18"/>
                <w:color w:val="auto"/>
              </w:rPr>
              <w:t>Increase in residential fixed non-subscription</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3820" w:type="dxa"/>
            <w:vAlign w:val="bottom"/>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20" w:type="dxa"/>
            <w:vAlign w:val="bottom"/>
            <w:tcBorders>
              <w:top w:val="single" w:sz="8" w:color="CCEEFF"/>
            </w:tcBorders>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w w:val="89"/>
              </w:rPr>
              <w:t>Increase (decrease) in residential mobile revenue (a)</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(b)</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Increase (decrease) in other revenue</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38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9"/>
        </w:trPr>
        <w:tc>
          <w:tcPr>
            <w:tcW w:w="382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94" w:lineRule="auto"/>
        <w:tabs>
          <w:tab w:leader="none" w:pos="4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increases in residential mobile subscription revenue are primarily attributable to increases in ARPU. The decreases in residential mobile non-subscription revenue are primarily due to the net effect of (i) lower interconnect revenue and (ii) increases in revenue from handset sales.</w:t>
      </w:r>
    </w:p>
    <w:p>
      <w:pPr>
        <w:spacing w:after="0" w:line="183"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increases in B2B subscription revenue are primarily due to increases in the average number of customers. The increases in B2B non-subscription revenue are primarily attributable to higher revenue from wholesale services and increases in interconnect revenue.</w:t>
      </w:r>
    </w:p>
    <w:p>
      <w:pPr>
        <w:spacing w:after="0" w:line="20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 xml:space="preserve">For information concerning certain regulatory developments that could have an adverse impact on our revenue in Belgium, see </w:t>
      </w:r>
      <w:r>
        <w:rPr>
          <w:rFonts w:ascii="Arial" w:cs="Arial" w:eastAsia="Arial" w:hAnsi="Arial"/>
          <w:sz w:val="15"/>
          <w:szCs w:val="15"/>
          <w:i w:val="1"/>
          <w:iCs w:val="1"/>
          <w:color w:val="auto"/>
        </w:rPr>
        <w:t>Legal and Regulatory</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Proceedings and Other Contingencies — Belgium Regulatory Developments </w:t>
      </w:r>
      <w:r>
        <w:rPr>
          <w:rFonts w:ascii="Arial" w:cs="Arial" w:eastAsia="Arial" w:hAnsi="Arial"/>
          <w:sz w:val="15"/>
          <w:szCs w:val="15"/>
          <w:color w:val="auto"/>
        </w:rPr>
        <w:t>in note 15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firstLine="318"/>
        <w:spacing w:after="0" w:line="264" w:lineRule="auto"/>
        <w:rPr>
          <w:sz w:val="20"/>
          <w:szCs w:val="20"/>
          <w:color w:val="auto"/>
        </w:rPr>
      </w:pPr>
      <w:r>
        <w:rPr>
          <w:rFonts w:ascii="Arial" w:cs="Arial" w:eastAsia="Arial" w:hAnsi="Arial"/>
          <w:sz w:val="18"/>
          <w:szCs w:val="18"/>
          <w:i w:val="1"/>
          <w:iCs w:val="1"/>
          <w:color w:val="auto"/>
        </w:rPr>
        <w:t xml:space="preserve">Ireland. </w:t>
      </w:r>
      <w:r>
        <w:rPr>
          <w:rFonts w:ascii="Arial" w:cs="Arial" w:eastAsia="Arial" w:hAnsi="Arial"/>
          <w:sz w:val="18"/>
          <w:szCs w:val="18"/>
          <w:color w:val="auto"/>
        </w:rPr>
        <w:t>The details of the decreases in Ireland’s revenue during the three and six months ended June 30, 2022</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color w:val="2C2C2C"/>
        </w:rPr>
        <w:t>2021</w:t>
      </w:r>
      <w:r>
        <w:rPr>
          <w:rFonts w:ascii="Arial" w:cs="Arial" w:eastAsia="Arial" w:hAnsi="Arial"/>
          <w:sz w:val="18"/>
          <w:szCs w:val="18"/>
          <w:color w:val="auto"/>
        </w:rPr>
        <w:t>, are set forth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5"/>
              </w:rPr>
              <w:t>Three-month period</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Subscription</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Arial" w:cs="Arial" w:eastAsia="Arial" w:hAnsi="Arial"/>
                <w:sz w:val="16"/>
                <w:szCs w:val="16"/>
                <w:b w:val="1"/>
                <w:bCs w:val="1"/>
                <w:color w:val="auto"/>
                <w:w w:val="89"/>
              </w:rPr>
              <w:t>Subscription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subscription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7"/>
              </w:rPr>
              <w:t>revenue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Increase (decrease) in residential fixed subscription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due to change in: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73"/>
        </w:trPr>
        <w:tc>
          <w:tcPr>
            <w:tcW w:w="3820" w:type="dxa"/>
            <w:vAlign w:val="bottom"/>
          </w:tcPr>
          <w:p>
            <w:pPr>
              <w:ind w:left="20"/>
              <w:spacing w:after="0" w:line="173" w:lineRule="exact"/>
              <w:rPr>
                <w:sz w:val="20"/>
                <w:szCs w:val="20"/>
                <w:color w:val="auto"/>
              </w:rPr>
            </w:pPr>
            <w:r>
              <w:rPr>
                <w:rFonts w:ascii="Arial" w:cs="Arial" w:eastAsia="Arial" w:hAnsi="Arial"/>
                <w:sz w:val="18"/>
                <w:szCs w:val="18"/>
                <w:color w:val="auto"/>
              </w:rPr>
              <w:t>Decrease in residential fixed non-subscription</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820" w:type="dxa"/>
            <w:vAlign w:val="bottom"/>
            <w:shd w:val="clear" w:color="auto" w:fill="CCEEFF"/>
          </w:tcPr>
          <w:p>
            <w:pPr>
              <w:ind w:left="300"/>
              <w:spacing w:after="0" w:line="154" w:lineRule="exact"/>
              <w:rPr>
                <w:sz w:val="20"/>
                <w:szCs w:val="20"/>
                <w:color w:val="auto"/>
              </w:rPr>
            </w:pPr>
            <w:r>
              <w:rPr>
                <w:rFonts w:ascii="Arial" w:cs="Arial" w:eastAsia="Arial" w:hAnsi="Arial"/>
                <w:sz w:val="17"/>
                <w:szCs w:val="17"/>
                <w:color w:val="auto"/>
              </w:rPr>
              <w:t>Total increase (decrease) in residential fixed</w:t>
            </w: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w w:val="95"/>
              </w:rPr>
              <w:t>Increase (decrease) in residential mobile revenue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color w:val="auto"/>
              </w:rPr>
              <w:t>Increase in other revenue (a)</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9"/>
        </w:trPr>
        <w:tc>
          <w:tcPr>
            <w:tcW w:w="38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44" w:lineRule="exact"/>
        <w:rPr>
          <w:sz w:val="20"/>
          <w:szCs w:val="20"/>
          <w:color w:val="auto"/>
        </w:rPr>
      </w:pPr>
    </w:p>
    <w:p>
      <w:pPr>
        <w:ind w:left="480" w:hanging="4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increases in other revenue are attributable to higher broadcasting revenue.</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consolidated reportable segments: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Three months ended June 30,</w:t>
            </w:r>
          </w:p>
        </w:tc>
        <w:tc>
          <w:tcPr>
            <w:tcW w:w="120" w:type="dxa"/>
            <w:vAlign w:val="bottom"/>
          </w:tcPr>
          <w:p>
            <w:pPr>
              <w:spacing w:after="0"/>
              <w:rPr>
                <w:sz w:val="18"/>
                <w:szCs w:val="18"/>
                <w:color w:val="auto"/>
              </w:rPr>
            </w:pPr>
          </w:p>
        </w:tc>
        <w:tc>
          <w:tcPr>
            <w:tcW w:w="146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r>
      <w:tr>
        <w:trPr>
          <w:trHeight w:val="206"/>
        </w:trPr>
        <w:tc>
          <w:tcPr>
            <w:tcW w:w="4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3"/>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(3.9)</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(6.3)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230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91"/>
              </w:rPr>
              <w:t>(2.8)</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2021 amounts represent the Adjusted EBITDA of the U.K. JV Entities through the June 1, 2021 closing of the U.K. JV Transaction.</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2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2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7"/>
              </w:rPr>
              <w:t>Six months ended</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1660" w:type="dxa"/>
            <w:vAlign w:val="bottom"/>
            <w:gridSpan w:val="3"/>
          </w:tcPr>
          <w:p>
            <w:pPr>
              <w:jc w:val="center"/>
              <w:ind w:left="776"/>
              <w:spacing w:after="0"/>
              <w:rPr>
                <w:sz w:val="20"/>
                <w:szCs w:val="20"/>
                <w:color w:val="auto"/>
              </w:rPr>
            </w:pPr>
            <w:r>
              <w:rPr>
                <w:rFonts w:ascii="Arial" w:cs="Arial" w:eastAsia="Arial" w:hAnsi="Arial"/>
                <w:sz w:val="16"/>
                <w:szCs w:val="16"/>
                <w:b w:val="1"/>
                <w:bCs w:val="1"/>
                <w:color w:val="auto"/>
                <w:w w:val="87"/>
              </w:rPr>
              <w:t>June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25"/>
        </w:trPr>
        <w:tc>
          <w:tcPr>
            <w:tcW w:w="6100" w:type="dxa"/>
            <w:vAlign w:val="bottom"/>
          </w:tcPr>
          <w:p>
            <w:pPr>
              <w:ind w:left="20"/>
              <w:spacing w:after="0"/>
              <w:rPr>
                <w:sz w:val="20"/>
                <w:szCs w:val="20"/>
                <w:color w:val="auto"/>
              </w:rPr>
            </w:pPr>
            <w:r>
              <w:rPr>
                <w:rFonts w:ascii="Arial" w:cs="Arial" w:eastAsia="Arial" w:hAnsi="Arial"/>
                <w:sz w:val="18"/>
                <w:szCs w:val="18"/>
                <w:color w:val="auto"/>
              </w:rPr>
              <w:t>Belgium</w:t>
            </w:r>
          </w:p>
        </w:tc>
        <w:tc>
          <w:tcPr>
            <w:tcW w:w="1200" w:type="dxa"/>
            <w:vAlign w:val="bottom"/>
          </w:tcPr>
          <w:p>
            <w:pPr>
              <w:jc w:val="right"/>
              <w:spacing w:after="0"/>
              <w:rPr>
                <w:sz w:val="20"/>
                <w:szCs w:val="20"/>
                <w:color w:val="auto"/>
              </w:rPr>
            </w:pPr>
            <w:r>
              <w:rPr>
                <w:rFonts w:ascii="Arial" w:cs="Arial" w:eastAsia="Arial" w:hAnsi="Arial"/>
                <w:sz w:val="18"/>
                <w:szCs w:val="18"/>
                <w:color w:val="auto"/>
              </w:rPr>
              <w:t>47.9 %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10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auto"/>
                <w:w w:val="86"/>
              </w:rPr>
              <w:t>Increase (decrease)</w:t>
            </w:r>
          </w:p>
        </w:tc>
        <w:tc>
          <w:tcPr>
            <w:tcW w:w="160" w:type="dxa"/>
            <w:vAlign w:val="bottom"/>
          </w:tcPr>
          <w:p>
            <w:pPr>
              <w:spacing w:after="0"/>
              <w:rPr>
                <w:sz w:val="16"/>
                <w:szCs w:val="16"/>
                <w:color w:val="auto"/>
              </w:rPr>
            </w:pPr>
          </w:p>
        </w:tc>
        <w:tc>
          <w:tcPr>
            <w:tcW w:w="2120" w:type="dxa"/>
            <w:vAlign w:val="bottom"/>
            <w:gridSpan w:val="3"/>
            <w:vMerge w:val="restart"/>
          </w:tcPr>
          <w:p>
            <w:pPr>
              <w:jc w:val="right"/>
              <w:ind w:right="112"/>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6"/>
              </w:rPr>
              <w:t>in millions, except percentages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5"/>
        </w:trPr>
        <w:tc>
          <w:tcPr>
            <w:tcW w:w="420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0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(1,235.0)</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6"/>
                <w:szCs w:val="16"/>
                <w:color w:val="auto"/>
              </w:rPr>
            </w:pPr>
          </w:p>
        </w:tc>
        <w:tc>
          <w:tcPr>
            <w:tcW w:w="210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auto"/>
                <w:w w:val="86"/>
              </w:rPr>
              <w:t>Increase (decrease)</w:t>
            </w:r>
          </w:p>
        </w:tc>
        <w:tc>
          <w:tcPr>
            <w:tcW w:w="140" w:type="dxa"/>
            <w:vAlign w:val="bottom"/>
          </w:tcPr>
          <w:p>
            <w:pPr>
              <w:spacing w:after="0"/>
              <w:rPr>
                <w:sz w:val="16"/>
                <w:szCs w:val="16"/>
                <w:color w:val="auto"/>
              </w:rPr>
            </w:pPr>
          </w:p>
        </w:tc>
        <w:tc>
          <w:tcPr>
            <w:tcW w:w="2120" w:type="dxa"/>
            <w:vAlign w:val="bottom"/>
            <w:gridSpan w:val="3"/>
            <w:vMerge w:val="restart"/>
          </w:tcPr>
          <w:p>
            <w:pPr>
              <w:jc w:val="right"/>
              <w:ind w:right="112"/>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6"/>
              </w:rPr>
              <w:t>in millions, except percentages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19"/>
                <w:szCs w:val="19"/>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(57.3)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(67.9)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(58.1)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5"/>
        </w:trPr>
        <w:tc>
          <w:tcPr>
            <w:tcW w:w="420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(50.3)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(46.4)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8"/>
        </w:trPr>
        <w:tc>
          <w:tcPr>
            <w:tcW w:w="42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(39.8)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12"/>
              <w:spacing w:after="0"/>
              <w:rPr>
                <w:sz w:val="20"/>
                <w:szCs w:val="20"/>
                <w:color w:val="auto"/>
              </w:rPr>
            </w:pPr>
            <w:r>
              <w:rPr>
                <w:rFonts w:ascii="Arial" w:cs="Arial" w:eastAsia="Arial" w:hAnsi="Arial"/>
                <w:sz w:val="18"/>
                <w:szCs w:val="18"/>
                <w:color w:val="auto"/>
                <w:w w:val="85"/>
              </w:rPr>
              <w:t>20.7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8"/>
        </w:trPr>
        <w:tc>
          <w:tcPr>
            <w:tcW w:w="420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9"/>
              </w:rPr>
              <w:t>(44.4)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14"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97" w:lineRule="exact"/>
        <w:rPr>
          <w:rFonts w:ascii="Arial" w:cs="Arial" w:eastAsia="Arial" w:hAnsi="Arial"/>
          <w:sz w:val="17"/>
          <w:szCs w:val="17"/>
          <w:color w:val="auto"/>
        </w:rPr>
      </w:pPr>
    </w:p>
    <w:p>
      <w:pPr>
        <w:jc w:val="both"/>
        <w:ind w:left="480" w:hanging="474"/>
        <w:spacing w:after="0" w:line="252" w:lineRule="auto"/>
        <w:tabs>
          <w:tab w:leader="none" w:pos="4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$34.6 million and $57.9 million during the three months ended June 30, 2022 and 2021, respectively, and $74.1 million and $135.5 million during the six months ended June 30, 2022 and 2021, respectively.</w:t>
      </w:r>
    </w:p>
    <w:p>
      <w:pPr>
        <w:spacing w:after="0" w:line="217" w:lineRule="exact"/>
        <w:rPr>
          <w:rFonts w:ascii="Arial" w:cs="Arial" w:eastAsia="Arial" w:hAnsi="Arial"/>
          <w:sz w:val="18"/>
          <w:szCs w:val="18"/>
          <w:color w:val="auto"/>
        </w:rPr>
      </w:pPr>
    </w:p>
    <w:p>
      <w:pPr>
        <w:jc w:val="both"/>
        <w:ind w:left="480" w:hanging="474"/>
        <w:spacing w:after="0" w:line="309" w:lineRule="auto"/>
        <w:tabs>
          <w:tab w:leader="none" w:pos="474" w:val="left"/>
        </w:tabs>
        <w:numPr>
          <w:ilvl w:val="0"/>
          <w:numId w:val="56"/>
        </w:numPr>
        <w:rPr>
          <w:rFonts w:ascii="Arial" w:cs="Arial" w:eastAsia="Arial" w:hAnsi="Arial"/>
          <w:sz w:val="15"/>
          <w:szCs w:val="15"/>
          <w:color w:val="auto"/>
        </w:rPr>
      </w:pPr>
      <w:r>
        <w:rPr>
          <w:rFonts w:ascii="Arial" w:cs="Arial" w:eastAsia="Arial" w:hAnsi="Arial"/>
          <w:sz w:val="15"/>
          <w:szCs w:val="15"/>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64" w:name="page65"/>
    <w:bookmarkEnd w:id="64"/>
    <w:p>
      <w:pPr>
        <w:jc w:val="both"/>
        <w:ind w:left="480" w:hanging="474"/>
        <w:spacing w:after="0" w:line="255" w:lineRule="auto"/>
        <w:tabs>
          <w:tab w:leader="none" w:pos="4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U.K. JV Services, the NL JV Services and the sale of customer premises equipment to the VodafoneZiggo JV, (ii) broadcasting revenue in Belgium and Ireland and (iii) revenue earned from transitional and other services provided to various third parties.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decreased $1,235.0 million or 41.3% and $2,881.6 million or 44.4% during the three and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respectively, as compared to the corresponding periods in 2021. These decreases include decreases of $1,101.4 million and $2,736.4 million, respectively, attributable to the impact of the U.K. JV Transaction. On an organic basis, our consolidated revenue increased $8.9 million or 0.5% and $46.4 million or 1.2%.</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decreases in our consolidated residential revenue during the three and six months ended June 30, 2022,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periods in 2021,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Three-month</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Six-month period</w:t>
            </w:r>
          </w:p>
        </w:tc>
      </w:tr>
      <w:tr>
        <w:trPr>
          <w:trHeight w:val="20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ind w:right="95"/>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fixed subscription revenue due to change in: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(decrease) in residential fixed non-subscription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decrease in residential fixed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8"/>
        </w:trPr>
        <w:tc>
          <w:tcPr>
            <w:tcW w:w="8440" w:type="dxa"/>
            <w:vAlign w:val="bottom"/>
          </w:tcPr>
          <w:p>
            <w:pPr>
              <w:ind w:left="260"/>
              <w:spacing w:after="0"/>
              <w:rPr>
                <w:sz w:val="20"/>
                <w:szCs w:val="20"/>
                <w:color w:val="auto"/>
              </w:rPr>
            </w:pPr>
            <w:r>
              <w:rPr>
                <w:rFonts w:ascii="Arial" w:cs="Arial" w:eastAsia="Arial" w:hAnsi="Arial"/>
                <w:sz w:val="18"/>
                <w:szCs w:val="18"/>
                <w:color w:val="auto"/>
              </w:rPr>
              <w:t>Total organic decrease in residential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(2,310.4)</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r>
      <w:tr>
        <w:trPr>
          <w:trHeight w:val="243"/>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decrease in residential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 xml:space="preserve">On an organic basis, our consolidated residential fixed subscription revenue decreased $21.0 million or 2.6% and $38.6 million or 2.4% during the three and six months ended June 30, 2022, as compared to the corresponding periods in 2021, primarily attributable to decreases in </w:t>
      </w:r>
      <w:r>
        <w:rPr>
          <w:rFonts w:ascii="Arial" w:cs="Arial" w:eastAsia="Arial" w:hAnsi="Arial"/>
          <w:sz w:val="15"/>
          <w:szCs w:val="15"/>
          <w:color w:val="2C2C2C"/>
        </w:rPr>
        <w:t>Switzerland and Belgium.</w:t>
      </w:r>
    </w:p>
    <w:p>
      <w:pPr>
        <w:spacing w:after="0" w:line="138"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On an organic basis, our consolidated residential fixed non-subscription revenue increased (decreased) $0.7 million or 2.5% and ($3.5 million) or (5.9%) during the three and six months ended June 30, 2022, as compared to the corresponding periods in 2021, primarily due to decreases in Switzerland.</w:t>
      </w:r>
    </w:p>
    <w:p>
      <w:pPr>
        <w:spacing w:after="0" w:line="138"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On an organic basis, our consolidated residential mobile subscription revenue increased $22.1 million or 6.3% and $42.2 million or 6.0% during the three and six months ended June 30, 2022, as compared to the corresponding periods in 2021, primarily attributable to increases in Switzerland and Belgium.</w:t>
      </w:r>
    </w:p>
    <w:p>
      <w:pPr>
        <w:spacing w:after="0" w:line="138"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 xml:space="preserve">On an organic basis, our consolidated residential mobile non-subscription revenue decreased $3.3 million or 2.5% and $20.2 million or 6.8% during the three and six months ended June 30, 2022, as compared to the corresponding periods in 2021, primarily due to decreases in </w:t>
      </w:r>
      <w:r>
        <w:rPr>
          <w:rFonts w:ascii="Arial" w:cs="Arial" w:eastAsia="Arial" w:hAnsi="Arial"/>
          <w:sz w:val="17"/>
          <w:szCs w:val="17"/>
          <w:color w:val="2C2C2C"/>
        </w:rPr>
        <w:t>Belgium.</w:t>
      </w:r>
    </w:p>
    <w:p>
      <w:pPr>
        <w:spacing w:after="0" w:line="18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i w:val="1"/>
          <w:iCs w:val="1"/>
          <w:color w:val="auto"/>
        </w:rPr>
        <w:t xml:space="preserve">B2B revenue. </w:t>
      </w:r>
      <w:r>
        <w:rPr>
          <w:rFonts w:ascii="Arial" w:cs="Arial" w:eastAsia="Arial" w:hAnsi="Arial"/>
          <w:sz w:val="17"/>
          <w:szCs w:val="17"/>
          <w:color w:val="auto"/>
        </w:rPr>
        <w:t>On an organic basis, our consolidated B2B subscription revenue increased $4.7 million or 3.4% and $9.0 million or 3.3%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six months ended June 30, 2022, as compared to the corresponding periods in 2021, primarily attributable to increases in Belgium.</w:t>
      </w:r>
    </w:p>
    <w:p>
      <w:pPr>
        <w:spacing w:after="0" w:line="18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On an organic basis, our consolidated B2B non-subscription revenue increased $5.7 million or 2.6% and $36.7 million or 8.7% during the three and six months ended June 30, 2022, as compared to the corresponding periods in 2021, primarily due to increases in Belgium and Switzerland.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5" w:name="page66"/>
    <w:bookmarkEnd w:id="65"/>
    <w:p>
      <w:pPr>
        <w:ind w:firstLine="318"/>
        <w:spacing w:after="0" w:line="302" w:lineRule="auto"/>
        <w:rPr>
          <w:sz w:val="20"/>
          <w:szCs w:val="20"/>
          <w:color w:val="auto"/>
        </w:rPr>
      </w:pPr>
      <w:r>
        <w:rPr>
          <w:rFonts w:ascii="Arial" w:cs="Arial" w:eastAsia="Arial" w:hAnsi="Arial"/>
          <w:sz w:val="15"/>
          <w:szCs w:val="15"/>
          <w:i w:val="1"/>
          <w:iCs w:val="1"/>
          <w:color w:val="auto"/>
        </w:rPr>
        <w:t xml:space="preserve">Other revenue. </w:t>
      </w:r>
      <w:r>
        <w:rPr>
          <w:rFonts w:ascii="Arial" w:cs="Arial" w:eastAsia="Arial" w:hAnsi="Arial"/>
          <w:sz w:val="15"/>
          <w:szCs w:val="15"/>
          <w:color w:val="auto"/>
        </w:rPr>
        <w:t>On an organic basis, our consolidated other revenue remained unchanged during the three months ended June 30, 2022 and increased</w:t>
      </w:r>
      <w:r>
        <w:rPr>
          <w:rFonts w:ascii="Arial" w:cs="Arial" w:eastAsia="Arial" w:hAnsi="Arial"/>
          <w:sz w:val="15"/>
          <w:szCs w:val="15"/>
          <w:i w:val="1"/>
          <w:iCs w:val="1"/>
          <w:color w:val="auto"/>
        </w:rPr>
        <w:t xml:space="preserve"> </w:t>
      </w:r>
      <w:r>
        <w:rPr>
          <w:rFonts w:ascii="Arial" w:cs="Arial" w:eastAsia="Arial" w:hAnsi="Arial"/>
          <w:sz w:val="15"/>
          <w:szCs w:val="15"/>
          <w:color w:val="auto"/>
        </w:rPr>
        <w:t>$20.8 million or 5.6% during the six months ended June 30, 2022, as compared to the corresponding periods in 2021, primarily attributable to the net effect of</w:t>
      </w:r>
    </w:p>
    <w:p>
      <w:pPr>
        <w:spacing w:after="0" w:line="1" w:lineRule="exact"/>
        <w:rPr>
          <w:sz w:val="20"/>
          <w:szCs w:val="20"/>
          <w:color w:val="auto"/>
        </w:rPr>
      </w:pPr>
    </w:p>
    <w:p>
      <w:pPr>
        <w:jc w:val="both"/>
        <w:ind w:firstLine="6"/>
        <w:spacing w:after="0" w:line="248" w:lineRule="auto"/>
        <w:tabs>
          <w:tab w:leader="none" w:pos="2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in Central and Other related to (a) revenue earned from the sale of customer premises equipment to the VodafoneZiggo JV and (b) revenue associated with transitional and other services provided, (ii) higher broadcasting revenue in Ireland and (iii) decreases in revenue earned from the NL JV Services.</w:t>
      </w:r>
    </w:p>
    <w:p>
      <w:pPr>
        <w:spacing w:after="0" w:line="2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additional information regarding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4"/>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(6.4)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(2.7)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23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4"/>
          </w:tcPr>
          <w:p>
            <w:pPr>
              <w:jc w:val="center"/>
              <w:ind w:left="41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spacing w:after="0"/>
              <w:rPr>
                <w:sz w:val="20"/>
                <w:szCs w:val="20"/>
                <w:color w:val="auto"/>
              </w:rPr>
            </w:pPr>
            <w:r>
              <w:rPr>
                <w:rFonts w:ascii="Arial" w:cs="Arial" w:eastAsia="Arial" w:hAnsi="Arial"/>
                <w:sz w:val="16"/>
                <w:szCs w:val="16"/>
                <w:b w:val="1"/>
                <w:bCs w:val="1"/>
                <w:color w:val="auto"/>
                <w:w w:val="96"/>
              </w:rPr>
              <w:t>in millions, except percentages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(3.9)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(8.7)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U.K. (a)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00" w:type="dxa"/>
            <w:vAlign w:val="bottom"/>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line="264" w:lineRule="auto"/>
        <w:tabs>
          <w:tab w:leader="none" w:pos="4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2021 amounts represent the programming and other direct costs of the U.K. JV Entities through the June 1, 2021 closing of the U.K. JV Transaction.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6" w:name="page67"/>
    <w:bookmarkEnd w:id="66"/>
    <w:p>
      <w:pPr>
        <w:jc w:val="both"/>
        <w:ind w:firstLine="318"/>
        <w:spacing w:after="0" w:line="318" w:lineRule="auto"/>
        <w:rPr>
          <w:sz w:val="20"/>
          <w:szCs w:val="20"/>
          <w:color w:val="auto"/>
        </w:rPr>
      </w:pPr>
      <w:r>
        <w:rPr>
          <w:rFonts w:ascii="Arial" w:cs="Arial" w:eastAsia="Arial" w:hAnsi="Arial"/>
          <w:sz w:val="15"/>
          <w:szCs w:val="15"/>
          <w:color w:val="auto"/>
        </w:rPr>
        <w:t>Our programming and other direct costs of services decreased $363.3 million or 43.1% and $905.9 million or 47.1% during the three and six months ended June 30, 2022, respectively, as compared to the corresponding periods in 2021. These decreases include decreases of $339.6 million and $868.1 million, respectively, attributable to the impact of the U.K. JV Transaction. On an organic basis, our programming and other direct costs of services increased $15.4 million or 3.0% and $20.8 million or 2.0%, respectively. These increases are primarily due to the net effect of the following factors:</w:t>
      </w:r>
    </w:p>
    <w:p>
      <w:pPr>
        <w:spacing w:after="0" w:line="172" w:lineRule="exact"/>
        <w:rPr>
          <w:sz w:val="20"/>
          <w:szCs w:val="20"/>
          <w:color w:val="auto"/>
        </w:rPr>
      </w:pPr>
    </w:p>
    <w:p>
      <w:pPr>
        <w:ind w:left="640" w:hanging="316"/>
        <w:spacing w:after="0" w:line="264" w:lineRule="auto"/>
        <w:tabs>
          <w:tab w:leader="none" w:pos="635" w:val="left"/>
        </w:tabs>
        <w:numPr>
          <w:ilvl w:val="0"/>
          <w:numId w:val="60"/>
        </w:numPr>
        <w:rPr>
          <w:rFonts w:ascii="Arial" w:cs="Arial" w:eastAsia="Arial" w:hAnsi="Arial"/>
          <w:sz w:val="18"/>
          <w:szCs w:val="18"/>
          <w:i w:val="1"/>
          <w:iCs w:val="1"/>
          <w:color w:val="auto"/>
        </w:rPr>
      </w:pPr>
      <w:r>
        <w:rPr>
          <w:rFonts w:ascii="Arial" w:cs="Arial" w:eastAsia="Arial" w:hAnsi="Arial"/>
          <w:sz w:val="18"/>
          <w:szCs w:val="18"/>
          <w:color w:val="auto"/>
        </w:rPr>
        <w:t>Increases in costs of $20.1 million and $32.7 million, respectively, in Central and Other related to the sale of customer premises equipment to the VodafoneZiggo JV;</w:t>
      </w:r>
    </w:p>
    <w:p>
      <w:pPr>
        <w:spacing w:after="0" w:line="207" w:lineRule="exact"/>
        <w:rPr>
          <w:rFonts w:ascii="Arial" w:cs="Arial" w:eastAsia="Arial" w:hAnsi="Arial"/>
          <w:sz w:val="18"/>
          <w:szCs w:val="18"/>
          <w:i w:val="1"/>
          <w:iCs w:val="1"/>
          <w:color w:val="auto"/>
        </w:rPr>
      </w:pPr>
    </w:p>
    <w:p>
      <w:pPr>
        <w:jc w:val="both"/>
        <w:ind w:left="640" w:hanging="316"/>
        <w:spacing w:after="0" w:line="255"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Decreases in interconnect and access costs of $16.5 million or 7.9% and $16.9 million or 4.3%, respectively, primarily due to the net effect of (i) lower MVNO costs in Switzerland, (ii) higher leased tower costs in Switzerland and (iii) lower interconnect and mobile roaming costs in Switzerland and Belgium;</w:t>
      </w:r>
    </w:p>
    <w:p>
      <w:pPr>
        <w:spacing w:after="0" w:line="21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60"/>
        </w:numPr>
        <w:rPr>
          <w:rFonts w:ascii="Arial" w:cs="Arial" w:eastAsia="Arial" w:hAnsi="Arial"/>
          <w:sz w:val="15"/>
          <w:szCs w:val="15"/>
          <w:color w:val="auto"/>
        </w:rPr>
      </w:pPr>
      <w:r>
        <w:rPr>
          <w:rFonts w:ascii="Arial" w:cs="Arial" w:eastAsia="Arial" w:hAnsi="Arial"/>
          <w:sz w:val="15"/>
          <w:szCs w:val="15"/>
          <w:color w:val="auto"/>
        </w:rPr>
        <w:t>Decreases in programming and copyright costs of $6.9 million or 4.9% and $16.7 million or 5.4%, respectively, attributable to lower costs for certain premium and/or basic content, primarily due to decreases in Switzerland and Ireland that were only partially offset by increases in Belgium;</w:t>
      </w:r>
    </w:p>
    <w:p>
      <w:pPr>
        <w:spacing w:after="0" w:line="137"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of $5.6 million and $11.6 million, respectively, associated with the impact of the classification of costs in connection with the U.K. JV Services provided by Central and Other, which, subsequent to the completion of the U.K. JV Transaction, are classified as direct costs of services. This increase was fully offset by a corresponding decrease in various SG&amp;A expense categories within Central and Other, most notably personnel costs; and</w:t>
      </w:r>
    </w:p>
    <w:p>
      <w:pPr>
        <w:spacing w:after="0" w:line="21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Increases in mobile handset and other device costs of $4.3 million or 5.7% and $8.5 million or 5.1%, respectively, primarily due to higher sales volumes in Switzerland.</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2200" w:type="dxa"/>
            <w:vAlign w:val="bottom"/>
            <w:gridSpan w:val="3"/>
            <w:vMerge w:val="restart"/>
          </w:tcPr>
          <w:p>
            <w:pPr>
              <w:jc w:val="right"/>
              <w:ind w:right="433"/>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w w:val="97"/>
              </w:rPr>
              <w:t>Total other operating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2021 amounts represent the other operating expenses of the U.K. JV Entities through the June 1, 2021 closing of the U.K. JV Transaction.</w:t>
      </w:r>
    </w:p>
    <w:p>
      <w:pPr>
        <w:spacing w:after="0" w:line="25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other operating expenses (exclusive of share-based compensation expense) decreased $164.6 million or 38.3% and $399.2 million or 42.6% during the three and six months ended June 30, 2022, respectively, as compared to the corresponding periods in 2021. These decreases include decreases of $162.3 million and $405.9 million, respectively, attributable to the impact of the U.K. JV Transaction. On an organic basis, our other operating expenses increased $22.7 million or 8.4% and $41.9 million or 7.9%, respectively. These increases are primarily due to the net effect of the following factors:</w:t>
      </w:r>
    </w:p>
    <w:p>
      <w:pPr>
        <w:spacing w:after="0" w:line="172" w:lineRule="exact"/>
        <w:rPr>
          <w:sz w:val="20"/>
          <w:szCs w:val="20"/>
          <w:color w:val="auto"/>
        </w:rPr>
      </w:pPr>
    </w:p>
    <w:p>
      <w:pPr>
        <w:ind w:left="640" w:right="20" w:hanging="316"/>
        <w:spacing w:after="0" w:line="264" w:lineRule="auto"/>
        <w:tabs>
          <w:tab w:leader="none" w:pos="635" w:val="left"/>
        </w:tabs>
        <w:numPr>
          <w:ilvl w:val="0"/>
          <w:numId w:val="62"/>
        </w:numPr>
        <w:rPr>
          <w:rFonts w:ascii="Arial" w:cs="Arial" w:eastAsia="Arial" w:hAnsi="Arial"/>
          <w:sz w:val="18"/>
          <w:szCs w:val="18"/>
          <w:i w:val="1"/>
          <w:iCs w:val="1"/>
          <w:color w:val="auto"/>
        </w:rPr>
      </w:pPr>
      <w:r>
        <w:rPr>
          <w:rFonts w:ascii="Arial" w:cs="Arial" w:eastAsia="Arial" w:hAnsi="Arial"/>
          <w:sz w:val="18"/>
          <w:szCs w:val="18"/>
          <w:color w:val="auto"/>
        </w:rPr>
        <w:t>Increases in business service costs of $13.4 million or 43.6% and $16.1 million or 25.2%, respectively, primarily due to (i) increases in energy costs in Belgium and Switzerland and (ii) higher consulting costs, primarily in Belgium and Central and Other;</w:t>
      </w:r>
    </w:p>
    <w:p>
      <w:pPr>
        <w:spacing w:after="0" w:line="207" w:lineRule="exact"/>
        <w:rPr>
          <w:rFonts w:ascii="Arial" w:cs="Arial" w:eastAsia="Arial" w:hAnsi="Arial"/>
          <w:sz w:val="18"/>
          <w:szCs w:val="18"/>
          <w:i w:val="1"/>
          <w:iCs w:val="1"/>
          <w:color w:val="auto"/>
        </w:rPr>
      </w:pPr>
    </w:p>
    <w:p>
      <w:pPr>
        <w:jc w:val="both"/>
        <w:ind w:left="640" w:hanging="316"/>
        <w:spacing w:after="0" w:line="255"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in personnel costs of $3.9 million or 4.5% and $8.6 million or 5.0%, respectively, primarily due to the net effect of (i) higher average costs per employee, primarily in Belgium, (ii) lower staffing levels, primarily in Switzerland, and (iii) increases in incentive compensation costs in Switzerland;</w:t>
      </w:r>
    </w:p>
    <w:p>
      <w:pPr>
        <w:spacing w:after="0" w:line="21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Decreases in customer service costs of $4.2 million or 10.1% and $6.3 million or 7.7%, respectively, primarily due to (i) lower customer premises equipment refurbishment costs in Switzerland and Belgium and (ii) lower call center costs, as decreases in Belgium were only partially offset by increases in Switzerland;</w:t>
      </w:r>
    </w:p>
    <w:p>
      <w:pPr>
        <w:spacing w:after="0" w:line="21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62"/>
        </w:numPr>
        <w:rPr>
          <w:rFonts w:ascii="Arial" w:cs="Arial" w:eastAsia="Arial" w:hAnsi="Arial"/>
          <w:sz w:val="18"/>
          <w:szCs w:val="18"/>
          <w:i w:val="1"/>
          <w:iCs w:val="1"/>
          <w:color w:val="auto"/>
        </w:rPr>
      </w:pPr>
      <w:r>
        <w:rPr>
          <w:rFonts w:ascii="Arial" w:cs="Arial" w:eastAsia="Arial" w:hAnsi="Arial"/>
          <w:sz w:val="18"/>
          <w:szCs w:val="18"/>
          <w:color w:val="auto"/>
        </w:rPr>
        <w:t>Increases in core network and information technology-related costs of $4.7 million or 7.5% and $5.6 million or 4.6%, respectively, primarily due to higher information technology-related expenses in Central and Other; and</w:t>
      </w:r>
    </w:p>
    <w:p>
      <w:pPr>
        <w:spacing w:after="0" w:line="207" w:lineRule="exact"/>
        <w:rPr>
          <w:rFonts w:ascii="Arial" w:cs="Arial" w:eastAsia="Arial" w:hAnsi="Arial"/>
          <w:sz w:val="18"/>
          <w:szCs w:val="18"/>
          <w:i w:val="1"/>
          <w:iCs w:val="1"/>
          <w:color w:val="auto"/>
        </w:rPr>
      </w:pPr>
    </w:p>
    <w:p>
      <w:pPr>
        <w:jc w:val="both"/>
        <w:ind w:left="640" w:hanging="316"/>
        <w:spacing w:after="0" w:line="330" w:lineRule="auto"/>
        <w:tabs>
          <w:tab w:leader="none" w:pos="635"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Increases in other operating expenses due to $4.5 million recognized in Switzerland associated with the sale of CHF 115.0 million ($120.6 million) of handset receivables, the proceeds for which were received subsequent to June 30, 2022. The expense recognized during the second quarter of 2022 represents the difference between the carrying amount of the associated receivables and the amount to be received pursuant to the sale.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8" w:name="page69"/>
    <w:bookmarkEnd w:id="68"/>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220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(6.8)</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154"/>
        </w:trPr>
        <w:tc>
          <w:tcPr>
            <w:tcW w:w="4140" w:type="dxa"/>
            <w:vAlign w:val="bottom"/>
            <w:gridSpan w:val="2"/>
            <w:shd w:val="clear" w:color="auto" w:fill="CCEEFF"/>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8"/>
        </w:trPr>
        <w:tc>
          <w:tcPr>
            <w:tcW w:w="414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gridSpan w:val="2"/>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220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vMerge w:val="restart"/>
          </w:tcPr>
          <w:p>
            <w:pPr>
              <w:jc w:val="right"/>
              <w:ind w:right="133"/>
              <w:spacing w:after="0"/>
              <w:rPr>
                <w:sz w:val="20"/>
                <w:szCs w:val="20"/>
                <w:color w:val="auto"/>
              </w:rPr>
            </w:pPr>
            <w:r>
              <w:rPr>
                <w:rFonts w:ascii="Arial" w:cs="Arial" w:eastAsia="Arial" w:hAnsi="Arial"/>
                <w:sz w:val="16"/>
                <w:szCs w:val="16"/>
                <w:b w:val="1"/>
                <w:bCs w:val="1"/>
                <w:color w:val="auto"/>
                <w:w w:val="88"/>
              </w:rPr>
              <w:t>Organic increase (decrease)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(5.2)</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Ireland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25"/>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U.K. (a)</w:t>
            </w:r>
          </w:p>
        </w:tc>
        <w:tc>
          <w:tcPr>
            <w:tcW w:w="24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Central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ind w:left="61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154"/>
        </w:trPr>
        <w:tc>
          <w:tcPr>
            <w:tcW w:w="4120" w:type="dxa"/>
            <w:vAlign w:val="bottom"/>
            <w:shd w:val="clear" w:color="auto" w:fill="CCEEFF"/>
          </w:tcPr>
          <w:p>
            <w:pPr>
              <w:ind w:left="14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4140" w:type="dxa"/>
            <w:vAlign w:val="bottom"/>
            <w:gridSpan w:val="2"/>
            <w:shd w:val="clear" w:color="auto" w:fill="CCEEFF"/>
          </w:tcPr>
          <w:p>
            <w:pPr>
              <w:ind w:left="300"/>
              <w:spacing w:after="0" w:line="198" w:lineRule="exact"/>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4" w:lineRule="exact"/>
        <w:rPr>
          <w:sz w:val="20"/>
          <w:szCs w:val="20"/>
          <w:color w:val="auto"/>
        </w:rPr>
      </w:pPr>
    </w:p>
    <w:p>
      <w:pPr>
        <w:ind w:left="480" w:hanging="474"/>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2021 amounts represent the SG&amp;A expenses of the U.K. JV Entities through the June 1, 2021 closing of the U.K. JV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9" w:name="page70"/>
    <w:bookmarkEnd w:id="69"/>
    <w:p>
      <w:pPr>
        <w:ind w:left="16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Three months ended</w:t>
            </w:r>
          </w:p>
        </w:tc>
        <w:tc>
          <w:tcPr>
            <w:tcW w:w="120" w:type="dxa"/>
            <w:vAlign w:val="bottom"/>
          </w:tcPr>
          <w:p>
            <w:pPr>
              <w:spacing w:after="0"/>
              <w:rPr>
                <w:sz w:val="16"/>
                <w:szCs w:val="16"/>
                <w:color w:val="auto"/>
              </w:rPr>
            </w:pPr>
          </w:p>
        </w:tc>
        <w:tc>
          <w:tcPr>
            <w:tcW w:w="1460" w:type="dxa"/>
            <w:vAlign w:val="bottom"/>
            <w:gridSpan w:val="3"/>
            <w:vMerge w:val="restart"/>
          </w:tcPr>
          <w:p>
            <w:pPr>
              <w:jc w:val="center"/>
              <w:ind w:left="536"/>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vMerge w:val="restart"/>
          </w:tcPr>
          <w:p>
            <w:pPr>
              <w:jc w:val="right"/>
              <w:ind w:right="494"/>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7"/>
              </w:rPr>
              <w:t>Six months ended</w:t>
            </w:r>
          </w:p>
        </w:tc>
        <w:tc>
          <w:tcPr>
            <w:tcW w:w="120" w:type="dxa"/>
            <w:vAlign w:val="bottom"/>
          </w:tcPr>
          <w:p>
            <w:pPr>
              <w:spacing w:after="0"/>
              <w:rPr>
                <w:sz w:val="24"/>
                <w:szCs w:val="24"/>
                <w:color w:val="auto"/>
              </w:rPr>
            </w:pPr>
          </w:p>
        </w:tc>
        <w:tc>
          <w:tcPr>
            <w:tcW w:w="1460" w:type="dxa"/>
            <w:vAlign w:val="bottom"/>
            <w:gridSpan w:val="3"/>
            <w:vMerge w:val="restart"/>
          </w:tcPr>
          <w:p>
            <w:pPr>
              <w:jc w:val="center"/>
              <w:ind w:left="536"/>
              <w:spacing w:after="0"/>
              <w:rPr>
                <w:sz w:val="20"/>
                <w:szCs w:val="20"/>
                <w:color w:val="auto"/>
              </w:rPr>
            </w:pPr>
            <w:r>
              <w:rPr>
                <w:rFonts w:ascii="Arial" w:cs="Arial" w:eastAsia="Arial" w:hAnsi="Arial"/>
                <w:sz w:val="16"/>
                <w:szCs w:val="16"/>
                <w:b w:val="1"/>
                <w:bCs w:val="1"/>
                <w:color w:val="auto"/>
                <w:w w:val="84"/>
              </w:rPr>
              <w:t>Decrease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3"/>
            <w:vMerge w:val="restart"/>
          </w:tcPr>
          <w:p>
            <w:pPr>
              <w:jc w:val="right"/>
              <w:ind w:right="494"/>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6"/>
                <w:szCs w:val="16"/>
                <w:b w:val="1"/>
                <w:bCs w:val="1"/>
                <w:color w:val="auto"/>
                <w:w w:val="87"/>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External sales and marketing</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9"/>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SG&amp;A expenses (exclusive of share-based compensation expense) decreased $157.8 million or 30.6% and $395.3 million or 35.5% during the three and six months ended June 30, 2022, respectively, as compared to the corresponding periods in 2021. These decreases include decreases of $154.6 million and $377.1 million attributable to the impact of the U.K. JV Transaction. On an organic basis, our SG&amp;A expenses increased $19.5 million or 5.3% and $14.6 million or 2.0%, respectively. These increases are primarily attributable to increases in business service costs, primarily due to (i) higher travel and entertainment costs in Central and Other and (ii) higher consulting costs, primarily due to increases in Belgium and for the six-month period, Central and Other, that were only partially offset by decreases in Switzerland.</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40" w:type="dxa"/>
            <w:vAlign w:val="bottom"/>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w:t>
            </w:r>
          </w:p>
        </w:tc>
        <w:tc>
          <w:tcPr>
            <w:tcW w:w="1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140"/>
              <w:spacing w:after="0"/>
              <w:rPr>
                <w:sz w:val="20"/>
                <w:szCs w:val="20"/>
                <w:color w:val="auto"/>
              </w:rPr>
            </w:pPr>
            <w:r>
              <w:rPr>
                <w:rFonts w:ascii="Arial" w:cs="Arial" w:eastAsia="Arial" w:hAnsi="Arial"/>
                <w:sz w:val="18"/>
                <w:szCs w:val="18"/>
                <w:color w:val="auto"/>
              </w:rPr>
              <w:t>Non-performance based incentive awards (a)</w:t>
            </w:r>
          </w:p>
        </w:tc>
        <w:tc>
          <w:tcPr>
            <w:tcW w:w="2320" w:type="dxa"/>
            <w:vAlign w:val="bottom"/>
            <w:gridSpan w:val="2"/>
          </w:tcPr>
          <w:p>
            <w:pPr>
              <w:jc w:val="right"/>
              <w:ind w:right="62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32.1</w:t>
            </w:r>
          </w:p>
        </w:tc>
        <w:tc>
          <w:tcPr>
            <w:tcW w:w="10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59.4</w:t>
            </w:r>
          </w:p>
        </w:tc>
        <w:tc>
          <w:tcPr>
            <w:tcW w:w="16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(b)</w:t>
            </w:r>
          </w:p>
        </w:tc>
        <w:tc>
          <w:tcPr>
            <w:tcW w:w="1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5"/>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w:t>
            </w:r>
          </w:p>
        </w:tc>
        <w:tc>
          <w:tcPr>
            <w:tcW w:w="15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Liberty Global</w:t>
            </w:r>
          </w:p>
        </w:tc>
        <w:tc>
          <w:tcPr>
            <w:tcW w:w="1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81.4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5"/>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99.8</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1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2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32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5"/>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w:t>
            </w:r>
          </w:p>
        </w:tc>
        <w:tc>
          <w:tcPr>
            <w:tcW w:w="15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47.2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92.2</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8"/>
        </w:trPr>
        <w:tc>
          <w:tcPr>
            <w:tcW w:w="442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color w:val="auto"/>
              </w:rPr>
              <w:t>Total</w:t>
            </w:r>
          </w:p>
        </w:tc>
        <w:tc>
          <w:tcPr>
            <w:tcW w:w="232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49.3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99.8</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32"/>
              <w:spacing w:after="0"/>
              <w:rPr>
                <w:sz w:val="20"/>
                <w:szCs w:val="20"/>
                <w:color w:val="auto"/>
              </w:rPr>
            </w:pPr>
            <w:r>
              <w:rPr>
                <w:rFonts w:ascii="Arial" w:cs="Arial" w:eastAsia="Arial" w:hAnsi="Arial"/>
                <w:sz w:val="18"/>
                <w:szCs w:val="18"/>
                <w:color w:val="auto"/>
              </w:rPr>
              <w:t>68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4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2" w:lineRule="auto"/>
        <w:tabs>
          <w:tab w:leader="none" w:pos="4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April 2021, with respect to 2014 and 2015 grants, the compensation committee of our board of directors approved the extension of the expiration dates of outstanding SARs and director options from a seven-year term to a ten-year term. Accordingly, the Black-Scholes fair values of the respective outstanding awards increased, resulting in the recognition of aggregate incremental share-based compensation expense of $22.7 million during the second quarter of 2021.</w:t>
      </w:r>
    </w:p>
    <w:p>
      <w:pPr>
        <w:spacing w:after="0" w:line="217"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our 2019 Challenge Performance Awards and (ii) in the 2021 periods, PSUs and our 2019 CEO Performance Award.</w:t>
      </w:r>
    </w:p>
    <w:p>
      <w:pPr>
        <w:spacing w:after="0" w:line="207" w:lineRule="exact"/>
        <w:rPr>
          <w:rFonts w:ascii="Arial" w:cs="Arial" w:eastAsia="Arial" w:hAnsi="Arial"/>
          <w:sz w:val="18"/>
          <w:szCs w:val="18"/>
          <w:color w:val="auto"/>
        </w:rPr>
      </w:pPr>
    </w:p>
    <w:p>
      <w:pPr>
        <w:jc w:val="both"/>
        <w:ind w:left="480" w:hanging="474"/>
        <w:spacing w:after="0" w:line="250" w:lineRule="auto"/>
        <w:tabs>
          <w:tab w:leader="none" w:pos="4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 In addition, amounts include compensation expense related to the Ventures Incentive Plans.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depreciation and amortization expense was $517.7 million and $1,082.4 million for the three and six months ended June 30, 2022, respectively, and $555.3 million and $1,162.5 million for the three and six months ended June 30, 2021, respectively. Excluding the effects of FX, depreciation and amortization expense decreased $43.1 million or 7.8% and $58.9 million or 5.1% during the three and six months ended June 30, 2022, as compared to the corresponding periods in 2021. These decreases are primarily due to the net effect of (i) decreases associated with certain assets becoming fully depreciated, primarily in Central and Other, Switzerland and Belgium, and (ii) increases associated with property and equipment additions, the expansion and upgrade of our networks and other capital initiatives, primarily in Central and Other, Switzerland and Belgium.</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recognized impairment, restructuring and other operating items, net, of $58.3 million and $67.7 million during the three and six months ended June 30, 2022, respectively, and $6.8 million and $51.2 million during the three and six months ended June 30, 2021, respectively.</w:t>
      </w:r>
    </w:p>
    <w:p>
      <w:pPr>
        <w:spacing w:after="0" w:line="1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amounts for the 2022 periods include (i) a $39.6 million provision in Central and Other during the second quarter of 2022 related to a legal contingency, (ii) direct acquisition and disposition costs of $3.5 million and $13.7 million, respectively, primarily in Belgium, and (iii) abandoned lease expense of $13.6 million during the second quarter of 2022, primarily in Switzerland.</w:t>
      </w:r>
    </w:p>
    <w:p>
      <w:pPr>
        <w:spacing w:after="0" w:line="21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amounts for the 2021 periods include (i) restructuring charges of $26.0 million and $57.3 million, respectively, including $22.0 million and $50.4 million, respectively, of employee severance and termination costs related to certain reorganization activities, primarily in Switzerland and Central and Other, (ii) a $38.0 million gain in Central and Other during the second quarter of 2021 associated with a provision release related to a legal contingency and</w:t>
      </w:r>
    </w:p>
    <w:p>
      <w:pPr>
        <w:spacing w:after="0" w:line="1" w:lineRule="exact"/>
        <w:rPr>
          <w:sz w:val="20"/>
          <w:szCs w:val="20"/>
          <w:color w:val="auto"/>
        </w:rPr>
      </w:pPr>
    </w:p>
    <w:p>
      <w:pPr>
        <w:ind w:firstLine="6"/>
        <w:spacing w:after="0" w:line="251" w:lineRule="auto"/>
        <w:tabs>
          <w:tab w:leader="none" w:pos="341"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direct acquisition and disposition costs of $11.1 million and $29.4 million, respectively, primarily related to costs incurred in connection with the formation of the VMO2 JV.</w:t>
      </w:r>
    </w:p>
    <w:p>
      <w:pPr>
        <w:spacing w:after="0" w:line="21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interest expense of $132.9 million and $267.1 million during the three and six months ended June 30, 2022, respectively, and $272.5 million and $607.2 million during the three and six months ended June 30, 2021,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Excluding the effects of FX, interest expense decreased $112.6 million or 41.3% and $312.9 million or 51.5% during the three and six months ended June 30, 2022, respectively, as compared to the corresponding periods in 2021. These decreases are primarily attributable to lower average outstanding debt balances and lower weighted average interest rates, largely due to the impact of the U.K. JV Transaction. For additional information regarding our outstanding indebtedness, see note 9 to our condensed consolidated financial statements.</w:t>
      </w:r>
    </w:p>
    <w:p>
      <w:pPr>
        <w:spacing w:after="0" w:line="21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2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2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7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05"/>
        </w:trPr>
        <w:tc>
          <w:tcPr>
            <w:tcW w:w="57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r>
      <w:tr>
        <w:trPr>
          <w:trHeight w:val="203"/>
        </w:trPr>
        <w:tc>
          <w:tcPr>
            <w:tcW w:w="5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3"/>
        </w:trPr>
        <w:tc>
          <w:tcPr>
            <w:tcW w:w="5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5"/>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619.0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r>
      <w:tr>
        <w:trPr>
          <w:trHeight w:val="218"/>
        </w:trPr>
        <w:tc>
          <w:tcPr>
            <w:tcW w:w="57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Foreign currency forward and option contracts</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6"/>
        </w:trPr>
        <w:tc>
          <w:tcPr>
            <w:tcW w:w="5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Equity-related derivative instruments: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5"/>
        </w:trPr>
        <w:tc>
          <w:tcPr>
            <w:tcW w:w="5700" w:type="dxa"/>
            <w:vAlign w:val="bottom"/>
          </w:tcPr>
          <w:p>
            <w:pPr>
              <w:ind w:left="140"/>
              <w:spacing w:after="0"/>
              <w:rPr>
                <w:sz w:val="20"/>
                <w:szCs w:val="20"/>
                <w:color w:val="auto"/>
              </w:rPr>
            </w:pPr>
            <w:r>
              <w:rPr>
                <w:rFonts w:ascii="Arial" w:cs="Arial" w:eastAsia="Arial" w:hAnsi="Arial"/>
                <w:sz w:val="18"/>
                <w:szCs w:val="18"/>
                <w:color w:val="auto"/>
              </w:rPr>
              <w:t>ITV Collar</w:t>
            </w:r>
          </w:p>
        </w:tc>
        <w:tc>
          <w:tcPr>
            <w:tcW w:w="8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6"/>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8"/>
        </w:trPr>
        <w:tc>
          <w:tcPr>
            <w:tcW w:w="570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equity-related derivative instruments (b)</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19"/>
        </w:trPr>
        <w:tc>
          <w:tcPr>
            <w:tcW w:w="57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5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613.7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r>
      <w:tr>
        <w:trPr>
          <w:trHeight w:val="20"/>
        </w:trPr>
        <w:tc>
          <w:tcPr>
            <w:tcW w:w="5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67" w:lineRule="auto"/>
        <w:tabs>
          <w:tab w:leader="none" w:pos="47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gains for the 2022 periods are attributable to net gains associated with changes in (i) the relative value of certain currencies and (ii) certain market interest rates. In addition, the results for the 2022 periods include net gains of $4.8 million and $9.3 million, respectively, resulting from changes in our credit risk valuation adjustments. The results for the 2021 periods are primarily attributable to the net effect of (a) net gains associated with changes in certain market interest rates and (b) a net loss for the three-month period and a net gain for the six-month period associated with changes in relative value of certain currencies. In addition, the results for the 2021 periods include a net gain (loss) of $38.2 million and ($0.8 million), respectively, resulting from changes in our credit risk valuation adjustments.</w:t>
      </w:r>
    </w:p>
    <w:p>
      <w:pPr>
        <w:spacing w:after="0" w:line="205" w:lineRule="exact"/>
        <w:rPr>
          <w:rFonts w:ascii="Arial" w:cs="Arial" w:eastAsia="Arial" w:hAnsi="Arial"/>
          <w:sz w:val="17"/>
          <w:szCs w:val="17"/>
          <w:color w:val="auto"/>
        </w:rPr>
      </w:pPr>
    </w:p>
    <w:p>
      <w:pPr>
        <w:ind w:left="480" w:hanging="474"/>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concerning our derivative instruments, see notes 6 and 7 to our condensed consolidated financial statements and Part I, Item 3.</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ind w:left="160"/>
        <w:spacing w:after="0"/>
        <w:rPr>
          <w:sz w:val="20"/>
          <w:szCs w:val="20"/>
          <w:color w:val="auto"/>
        </w:rPr>
      </w:pPr>
      <w:r>
        <w:rPr>
          <w:rFonts w:ascii="Arial" w:cs="Arial" w:eastAsia="Arial" w:hAnsi="Arial"/>
          <w:sz w:val="18"/>
          <w:szCs w:val="18"/>
          <w:i w:val="1"/>
          <w:iCs w:val="1"/>
          <w:color w:val="auto"/>
        </w:rPr>
        <w:t>Foreign currency transaction gains, net</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300" w:type="dxa"/>
            <w:vAlign w:val="bottom"/>
            <w:gridSpan w:val="4"/>
          </w:tcPr>
          <w:p>
            <w:pPr>
              <w:ind w:left="3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8"/>
              </w:rPr>
              <w:t>Intercompany payables and receivables denominated in a currency other than the</w:t>
            </w:r>
          </w:p>
        </w:tc>
        <w:tc>
          <w:tcPr>
            <w:tcW w:w="30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entity’s functional currency (a)</w:t>
            </w: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w w:val="99"/>
              </w:rPr>
              <w:t>U.S. dollar-denominated debt issued by euro functional currency entities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w w:val="91"/>
              </w:rPr>
              <w:t>(643.7)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174"/>
        </w:trPr>
        <w:tc>
          <w:tcPr>
            <w:tcW w:w="5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U.S. dollar-denominated debt and Euro debt issued by British pound sterling</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4"/>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functional currency entities</w:t>
            </w: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780" w:type="dxa"/>
            <w:vAlign w:val="bottom"/>
          </w:tcPr>
          <w:p>
            <w:pPr>
              <w:ind w:left="20"/>
              <w:spacing w:after="0" w:line="173" w:lineRule="exact"/>
              <w:rPr>
                <w:sz w:val="20"/>
                <w:szCs w:val="20"/>
                <w:color w:val="auto"/>
              </w:rPr>
            </w:pPr>
            <w:r>
              <w:rPr>
                <w:rFonts w:ascii="Arial" w:cs="Arial" w:eastAsia="Arial" w:hAnsi="Arial"/>
                <w:sz w:val="18"/>
                <w:szCs w:val="18"/>
                <w:color w:val="auto"/>
                <w:w w:val="95"/>
              </w:rPr>
              <w:t>Euro-denominated debt issued by British pound sterling functional currency</w:t>
            </w:r>
          </w:p>
        </w:tc>
        <w:tc>
          <w:tcPr>
            <w:tcW w:w="3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4"/>
        </w:trPr>
        <w:tc>
          <w:tcPr>
            <w:tcW w:w="5780" w:type="dxa"/>
            <w:vAlign w:val="bottom"/>
          </w:tcPr>
          <w:p>
            <w:pPr>
              <w:ind w:left="180"/>
              <w:spacing w:after="0"/>
              <w:rPr>
                <w:sz w:val="20"/>
                <w:szCs w:val="20"/>
                <w:color w:val="auto"/>
              </w:rPr>
            </w:pPr>
            <w:r>
              <w:rPr>
                <w:rFonts w:ascii="Arial" w:cs="Arial" w:eastAsia="Arial" w:hAnsi="Arial"/>
                <w:sz w:val="18"/>
                <w:szCs w:val="18"/>
                <w:color w:val="auto"/>
              </w:rPr>
              <w:t>entities</w:t>
            </w:r>
          </w:p>
        </w:tc>
        <w:tc>
          <w:tcPr>
            <w:tcW w:w="3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9"/>
        </w:trPr>
        <w:tc>
          <w:tcPr>
            <w:tcW w:w="578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365" w:lineRule="auto"/>
        <w:tabs>
          <w:tab w:leader="none" w:pos="477" w:val="left"/>
        </w:tabs>
        <w:numPr>
          <w:ilvl w:val="0"/>
          <w:numId w:val="68"/>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net</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22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5"/>
        </w:trPr>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r>
      <w:tr>
        <w:trPr>
          <w:trHeight w:val="203"/>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3"/>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ITV</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Pax8</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Lionsgate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EdgeConneX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Televisa Univision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Plume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Lacework</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(a)</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8"/>
        </w:trPr>
        <w:tc>
          <w:tcPr>
            <w:tcW w:w="5940" w:type="dxa"/>
            <w:vAlign w:val="bottom"/>
          </w:tcPr>
          <w:p>
            <w:pPr>
              <w:ind w:left="18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right="20" w:hanging="474"/>
        <w:spacing w:after="0" w:line="264" w:lineRule="auto"/>
        <w:tabs>
          <w:tab w:leader="none" w:pos="4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2022 amounts include gains of $11.7 million and $12.0 million for the three and six months ended June 30, 2022, respectively, related to investments that were sold during the second quarter.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3" w:name="page74"/>
    <w:bookmarkEnd w:id="73"/>
    <w:p>
      <w:pPr>
        <w:ind w:left="160"/>
        <w:spacing w:after="0"/>
        <w:rPr>
          <w:sz w:val="20"/>
          <w:szCs w:val="20"/>
          <w:color w:val="auto"/>
        </w:rPr>
      </w:pPr>
      <w:r>
        <w:rPr>
          <w:rFonts w:ascii="Arial" w:cs="Arial" w:eastAsia="Arial" w:hAnsi="Arial"/>
          <w:sz w:val="18"/>
          <w:szCs w:val="18"/>
          <w:i w:val="1"/>
          <w:iCs w:val="1"/>
          <w:color w:val="auto"/>
        </w:rPr>
        <w:t>Gains (losses) on debt extinguishment, net</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a net gain on debt extinguishment of $2.8 million during the six months ended June 30, 2022 as compared to a net loss on debt extinguishment of $90.6 million during the six months ended June 30, 2021.</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gain during the six months ended June 30, 2022 is attributable to (i) a net gain associated with settlement discounts of $9.8 million, (ii) the write-off of $5.5 million of unamortized deferred financing costs and discounts and (iii) the payment of $1.5 million of third-party costs, all of which occurred during the second quarter.</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loss during the six months ended June 30, 2021 is attributable to (i) the write-off of $77.7 million of unamortized deferred financing costs and discounts and (ii) the payment of $12.9 million of redemption premiums, all of which occurred during the second quarter.</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180" w:type="dxa"/>
            <w:vAlign w:val="bottom"/>
            <w:gridSpan w:val="4"/>
          </w:tcPr>
          <w:p>
            <w:pPr>
              <w:jc w:val="right"/>
              <w:ind w:right="95"/>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9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5"/>
        </w:trPr>
        <w:tc>
          <w:tcPr>
            <w:tcW w:w="59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3"/>
        </w:trPr>
        <w:tc>
          <w:tcPr>
            <w:tcW w:w="5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3"/>
        </w:trPr>
        <w:tc>
          <w:tcPr>
            <w:tcW w:w="5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VMO2 JV (a)</w:t>
            </w: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VodafoneZiggo JV (b)</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All3Media</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Atlas Edge JV</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94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jc w:val="both"/>
        <w:ind w:left="480" w:hanging="474"/>
        <w:spacing w:after="0" w:line="255" w:lineRule="auto"/>
        <w:tabs>
          <w:tab w:leader="none" w:pos="4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VMO2 JV and (ii) 100% of the share-based compensation expense associated with Liberty Global awards held by VMO2 JV employees who were formerly employees of Liberty Global, as these awards remain our responsibility. The summarized results of operations of the VMO2 JV are set forth below:</w:t>
      </w:r>
    </w:p>
    <w:p>
      <w:pPr>
        <w:spacing w:after="0" w:line="8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w w:val="97"/>
              </w:rPr>
              <w:t>2021 (1)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7"/>
              </w:rPr>
              <w:t>2021 (1)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1,059.4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411.0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2,454.7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(loss) (2)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56.4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148.4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the operating results of the VMO2 JV for the period from June 1, 2021 through June 30, 2021.</w:t>
      </w:r>
    </w:p>
    <w:p>
      <w:pPr>
        <w:spacing w:after="0" w:line="243" w:lineRule="exact"/>
        <w:rPr>
          <w:rFonts w:ascii="Arial" w:cs="Arial" w:eastAsia="Arial" w:hAnsi="Arial"/>
          <w:sz w:val="18"/>
          <w:szCs w:val="18"/>
          <w:color w:val="auto"/>
        </w:rPr>
      </w:pPr>
    </w:p>
    <w:p>
      <w:pPr>
        <w:ind w:left="880" w:hanging="39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interest expense of $237.3 million, $79.5 million, $472.3 million and $79.5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4" w:name="page75"/>
    <w:bookmarkEnd w:id="74"/>
    <w:p>
      <w:pPr>
        <w:jc w:val="both"/>
        <w:ind w:left="480" w:hanging="474"/>
        <w:spacing w:after="0" w:line="255" w:lineRule="auto"/>
        <w:tabs>
          <w:tab w:leader="none" w:pos="4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(i) our 50% share of the results of operations of the VodafoneZiggo JV and (ii) interest income of $13.7 million, $13.6 million, $27.8 million and $27.0 million, respectively, representing 100% of the interest earned on the VodafoneZiggo JV Receivables. The summarized results of operations of the VodafoneZiggo JV are set forth below:</w:t>
      </w:r>
    </w:p>
    <w:p>
      <w:pPr>
        <w:spacing w:after="0" w:line="8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16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490.9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570.1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1,028.7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(102.0)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161.5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880" w:hanging="39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interest expense of $143.1 million, $152.5 million, $287.2 million and $304.7 million, respectively.</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Gains on the Telenet Tower Sale and the U.K. JV Transaction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connection with the Telenet Tower Sale, we recognized a pre-tax gain during the three months ended June 30, 2022 of $693.3 million. In connection with the U.K. JV Transaction, we recognized a pre-tax gain during the three months ended June 30, 2021 of $11.1 billion, net of the recognition of a cumulative foreign currency translation loss of $1.2 billion. For additional information, see note 4 to our condensed consolidated financial statements.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recognized other income, net, of $26.6 million and $7.3 million for the three months ended June 30, 2022 and 2021, respectively, and $38.5 million and $17.4 million during the six months ended June 30, 2022 and 2021, respectively. These amounts include (i) dividend and interest income of $22.0 million and $3.0 million during the three-month periods, respectively, and $25.4 million and $7.0 million during the six-month periods, respectively, and (ii) credits related to the non-service component of our net periodic pension costs of $8.4 million and $7.6 million during the three-month periods, respectively, and $17.3 million and $16.2 million during the six-month periods, respectively.</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recognized income tax expense of $63.6 million and $144.8 million during the three and six months ended June 30, 2022, respectively, and $276.8 million and $442.0 million during the three and six months ended June 30, 2021, respectively.</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income tax expense during the three and six months ended June 30, 2022 differs from the expected income tax expense of $445.7 million and $665.5 million, respectively (based on the U.K. statutory income tax rate of 19.0%), primarily due to the net positive impacts of (i) non-deductible or non-taxable foreign currency exchange results and (ii) certain permanent differences between the financial and tax accounting treatment of items associated with investments, including the non-taxable gain associated with the Telenet Tower Sale. The net positive impacts of these items was partially offset by the net negative impacts of statutory tax rates in certain jurisdictions in which we operate that are different than the U.K. statutory income tax rates.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income tax expense during the three and six months ended June 30, 2021 differs from the expected income tax expense of $2,171.3 million and $2,473.0 million, respectively (based on the U.K. statutory income tax rate of 19.0%), primarily due to the positive impacts of the non-taxable gain associated with the U.K. JV Transaction.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5" w:name="page76"/>
    <w:bookmarkEnd w:id="75"/>
    <w:p>
      <w:pPr>
        <w:ind w:left="160"/>
        <w:spacing w:after="0"/>
        <w:rPr>
          <w:sz w:val="20"/>
          <w:szCs w:val="20"/>
          <w:color w:val="auto"/>
        </w:rPr>
      </w:pPr>
      <w:r>
        <w:rPr>
          <w:rFonts w:ascii="Arial" w:cs="Arial" w:eastAsia="Arial" w:hAnsi="Arial"/>
          <w:sz w:val="18"/>
          <w:szCs w:val="18"/>
          <w:i w:val="1"/>
          <w:iCs w:val="1"/>
          <w:color w:val="auto"/>
        </w:rPr>
        <w:t>Earnings from continuing operations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June 30, 2022 and 2021, we reported earnings from continuing operations of $2,282.2 million and $11,150.9 million, respectively, consisting of (i) operating income of $24.5 million and $537.2 million, respectively, (ii) net non-operating income of $2,321.3 million and $10,890.5 million, respectively, and (iii) income tax expense of $63.6 million and $276.8 million, respectively.</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six months ended June 30, 2022 and 2021, we reported earnings from continuing operations of $3,357.9 million and $12,573.6 million, respectively, consisting of (i) operating income of $83.3 million and $1,138.4 million, respectively, (ii) net non-operating income of $3,419.4 million and $11,877.2 million, respectively, and (iii) income tax expense of $144.8 million and $442.0 million, respectively.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2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Due largely to the fact that we seek to maintain our debt at levels that provide for attractive equity returns, as discussed below under </w:t>
      </w:r>
      <w:r>
        <w:rPr>
          <w:rFonts w:ascii="Arial" w:cs="Arial" w:eastAsia="Arial" w:hAnsi="Arial"/>
          <w:sz w:val="15"/>
          <w:szCs w:val="15"/>
          <w:i w:val="1"/>
          <w:iCs w:val="1"/>
          <w:color w:val="auto"/>
        </w:rPr>
        <w:t>Material Changes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Condition </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Capitalization</w:t>
      </w:r>
      <w:r>
        <w:rPr>
          <w:rFonts w:ascii="Arial" w:cs="Arial" w:eastAsia="Arial" w:hAnsi="Arial"/>
          <w:sz w:val="15"/>
          <w:szCs w:val="15"/>
          <w:color w:val="auto"/>
        </w:rPr>
        <w:t>, we expect we will continue to report significant levels of interest expense for the foreseeable future. For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concerning our expectations with respect to trends that may affect certain aspects of our operating results in future periods, see the discussion under </w:t>
      </w:r>
      <w:r>
        <w:rPr>
          <w:rFonts w:ascii="Arial" w:cs="Arial" w:eastAsia="Arial" w:hAnsi="Arial"/>
          <w:sz w:val="15"/>
          <w:szCs w:val="15"/>
          <w:i w:val="1"/>
          <w:iCs w:val="1"/>
          <w:color w:val="auto"/>
        </w:rPr>
        <w:t>Overview</w:t>
      </w:r>
      <w:r>
        <w:rPr>
          <w:rFonts w:ascii="Arial" w:cs="Arial" w:eastAsia="Arial" w:hAnsi="Arial"/>
          <w:sz w:val="15"/>
          <w:szCs w:val="15"/>
          <w:color w:val="auto"/>
        </w:rPr>
        <w:t xml:space="preserve"> above. For information concerning the reasons for changes in specific line items in our condensed consolidated statements of operations, see </w:t>
      </w:r>
      <w:r>
        <w:rPr>
          <w:rFonts w:ascii="Arial" w:cs="Arial" w:eastAsia="Arial" w:hAnsi="Arial"/>
          <w:sz w:val="15"/>
          <w:szCs w:val="15"/>
          <w:i w:val="1"/>
          <w:iCs w:val="1"/>
          <w:color w:val="auto"/>
        </w:rPr>
        <w:t>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Analysis of our Reportable Segments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Discussion and Analysis of our Consolidated Operating Results </w:t>
      </w:r>
      <w:r>
        <w:rPr>
          <w:rFonts w:ascii="Arial" w:cs="Arial" w:eastAsia="Arial" w:hAnsi="Arial"/>
          <w:sz w:val="15"/>
          <w:szCs w:val="15"/>
          <w:color w:val="auto"/>
        </w:rPr>
        <w:t>above.</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reported earnings from discontinued operations, net of taxes, of nil and $23.6 million during the three months ended June 30, 2022 and 2021, respectively, and $34.6 million and $41.2 million during the six months ended June 30, 2022 and 2021, respectively, related to the results of UPC Poland. In addition, we recognized a gain on the sale of UPC Poland of $848.9 million during three months ended June 30, 2022, which includes a cumulative foreign currency translation gain of $10.9 million. For additional information, see note 4 to our condensed consolidated financial statements.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earnings attributable to noncontrolling interests increased $298.2 million and $315.3 million during the three and six months ended June 30, 2022, respectively, as compared to the corresponding periods in 2021, primarily attributable to the results of operations of Telenet.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UPC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June 30, 2022 are set forth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988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Liberty Global (a)</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5"/>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Unrestricted subsidiaries (b)</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r>
      <w:tr>
        <w:trPr>
          <w:trHeight w:val="219"/>
        </w:trPr>
        <w:tc>
          <w:tcPr>
            <w:tcW w:w="98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1,510.3</w:t>
            </w:r>
          </w:p>
        </w:tc>
      </w:tr>
      <w:tr>
        <w:trPr>
          <w:trHeight w:val="205"/>
        </w:trPr>
        <w:tc>
          <w:tcPr>
            <w:tcW w:w="988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Telenet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w:t>
            </w:r>
          </w:p>
        </w:tc>
      </w:tr>
      <w:tr>
        <w:trPr>
          <w:trHeight w:val="225"/>
        </w:trPr>
        <w:tc>
          <w:tcPr>
            <w:tcW w:w="9880" w:type="dxa"/>
            <w:vAlign w:val="bottom"/>
          </w:tcPr>
          <w:p>
            <w:pPr>
              <w:ind w:left="220"/>
              <w:spacing w:after="0"/>
              <w:rPr>
                <w:sz w:val="20"/>
                <w:szCs w:val="20"/>
                <w:color w:val="auto"/>
              </w:rPr>
            </w:pPr>
            <w:r>
              <w:rPr>
                <w:rFonts w:ascii="Arial" w:cs="Arial" w:eastAsia="Arial" w:hAnsi="Arial"/>
                <w:sz w:val="18"/>
                <w:szCs w:val="18"/>
                <w:color w:val="auto"/>
              </w:rPr>
              <w:t>UPC Holding</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6"/>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VM Ireland</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8"/>
        </w:trPr>
        <w:tc>
          <w:tcPr>
            <w:tcW w:w="9880" w:type="dxa"/>
            <w:vAlign w:val="bottom"/>
            <w:tcBorders>
              <w:bottom w:val="single" w:sz="8" w:color="CCEEFF"/>
            </w:tcBorders>
          </w:tcPr>
          <w:p>
            <w:pPr>
              <w:ind w:left="380"/>
              <w:spacing w:after="0" w:line="204" w:lineRule="exact"/>
              <w:rPr>
                <w:sz w:val="20"/>
                <w:szCs w:val="20"/>
                <w:color w:val="auto"/>
              </w:rPr>
            </w:pPr>
            <w:r>
              <w:rPr>
                <w:rFonts w:ascii="Arial" w:cs="Arial" w:eastAsia="Arial" w:hAnsi="Arial"/>
                <w:sz w:val="18"/>
                <w:szCs w:val="18"/>
                <w:color w:val="auto"/>
              </w:rPr>
              <w:t>Total borrowing groups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w:t>
            </w:r>
          </w:p>
        </w:tc>
      </w:tr>
      <w:tr>
        <w:trPr>
          <w:trHeight w:val="244"/>
        </w:trPr>
        <w:tc>
          <w:tcPr>
            <w:tcW w:w="9880" w:type="dxa"/>
            <w:vAlign w:val="bottom"/>
            <w:tcBorders>
              <w:bottom w:val="single" w:sz="8" w:color="CCEEFF"/>
            </w:tcBorders>
            <w:shd w:val="clear" w:color="auto" w:fill="CCEEFF"/>
          </w:tcPr>
          <w:p>
            <w:pPr>
              <w:ind w:left="500"/>
              <w:spacing w:after="0" w:line="205" w:lineRule="exact"/>
              <w:rPr>
                <w:sz w:val="20"/>
                <w:szCs w:val="20"/>
                <w:color w:val="auto"/>
              </w:rPr>
            </w:pPr>
            <w:r>
              <w:rPr>
                <w:rFonts w:ascii="Arial" w:cs="Arial" w:eastAsia="Arial" w:hAnsi="Arial"/>
                <w:sz w:val="18"/>
                <w:szCs w:val="18"/>
                <w:color w:val="auto"/>
              </w:rPr>
              <w:t>Total cash and cash equivalents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2,391.1</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ind w:left="480" w:hanging="474"/>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3" w:lineRule="exact"/>
        <w:rPr>
          <w:rFonts w:ascii="Arial" w:cs="Arial" w:eastAsia="Arial" w:hAnsi="Arial"/>
          <w:sz w:val="18"/>
          <w:szCs w:val="18"/>
          <w:color w:val="auto"/>
        </w:rPr>
      </w:pPr>
    </w:p>
    <w:p>
      <w:pPr>
        <w:ind w:left="160" w:right="2900" w:hanging="154"/>
        <w:spacing w:after="0" w:line="264" w:lineRule="auto"/>
        <w:tabs>
          <w:tab w:leader="none" w:pos="4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Represents the aggregate amounts held by the parent entity and restricted subsidiaries of our borrowing groups. </w:t>
      </w:r>
      <w:r>
        <w:rPr>
          <w:rFonts w:ascii="Arial" w:cs="Arial" w:eastAsia="Arial" w:hAnsi="Arial"/>
          <w:sz w:val="18"/>
          <w:szCs w:val="18"/>
          <w:i w:val="1"/>
          <w:iCs w:val="1"/>
          <w:color w:val="auto"/>
        </w:rPr>
        <w:t>Liquidity of Liberty Global and its unrestricted subsidiaries</w:t>
      </w:r>
    </w:p>
    <w:p>
      <w:pPr>
        <w:spacing w:after="0" w:line="20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$53.5 million of cash and cash equivalents held by Liberty Global and, subject to certain tax and legal considerations, the $1,456.8 million of aggregate cash and cash equivalents held by unrestricted subsidiaries, together with the $1,824.2 million of investments held under SMAs, represented available liquidity at the corporate level at June 30, 2022. Our remaining cash and cash equivalents of $880.8 million at June 30, 2022 were held by our borrowing groups, as set forth in the table above. As noted above, various factors may limit our ability to access the cash of our borrowing groups. For information regarding certain limitations imposed by our subsidiaries’ debt instruments at June 30, 2022, see note 9 to our condensed consolidated financial statements.</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or the VMO2 JV, (iv) cash received with respect to transitional and other services provided to various third parties and (v) interest payments received with respect to the VodafoneZiggo JV Receivables.</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or the VMO2 JV) upon (a) the completion of recapitalizations, refinancings, asset sales or similar transactions by these entities or (b)</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7"/>
          <w:szCs w:val="17"/>
          <w:color w:val="auto"/>
        </w:rPr>
        <w:t>the accumulation of excess cash from operations or other means, (ii) proceeds upon the disposition of investments and other assets of Liberty Global and its unrestricted subsidiaries, such as the sale of UPC Poland,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June 30, 2022, our consolidated cash and cash equivalents balance included $1,956.2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euros and Swiss francs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 In addition, our parent entity uses available liquidity to make interest and principal payments on notes payable to certain of our unrestricted subsidiaries (aggregate outstanding principal of $12.8 billion at June 30, 2022 with varying maturity dates).</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six months ended June 30, 2022, the aggregate amount of our share repurchases, including direct acquisition costs, was $1,062.0 million. Under our current repurchase program, we are authorized during 2022 to repurchase 10% of our total outstanding shares as of the beginning of the year. In July 2022, our board of directors authorized an additional $400.0 million for 2022 share repurchases. For additional information regarding our share repurchase programs, see note 12 to our condensed consolidated financial statements.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2022, see note 9 to our condensed consolidated financial statements. The aforementioned sources of liquidity may be supplemented in certain cases by contributions and/or loans from Liberty Global and its unrestricted subsidiaries.</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June 30, 2022 condensed consolidated balance sheet. In this regard, we have significant commitments related to (a) certain operating costs associated with our networks, (b) purchase obligations associated with customer premises equipment and certain service-related commitments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For additional information regarding our consolidated cash flows, see the discussion under </w:t>
      </w:r>
      <w:r>
        <w:rPr>
          <w:rFonts w:ascii="Arial" w:cs="Arial" w:eastAsia="Arial" w:hAnsi="Arial"/>
          <w:sz w:val="15"/>
          <w:szCs w:val="15"/>
          <w:i w:val="1"/>
          <w:iCs w:val="1"/>
          <w:color w:val="auto"/>
        </w:rPr>
        <w:t>Condensed Consolidated Statements of Cash Flows</w:t>
      </w:r>
      <w:r>
        <w:rPr>
          <w:rFonts w:ascii="Arial" w:cs="Arial" w:eastAsia="Arial" w:hAnsi="Arial"/>
          <w:sz w:val="15"/>
          <w:szCs w:val="15"/>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8" w:name="page79"/>
    <w:bookmarkEnd w:id="78"/>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0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2022,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June 30, 2022, the outstanding principal amount of our consolidated debt, together with our finance lease obligations, aggregated $13.3 billion, including $0.8 billion that is classified as current on our condensed consolidated balance sheet and $12.2 billion that is not due until 2028 or thereafter. All of our consolidated debt and finance lease obligations have been borrowed or incurred by our subsidiaries at June 30, 2022.</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9" w:name="page80"/>
    <w:bookmarkEnd w:id="79"/>
    <w:p>
      <w:pPr>
        <w:ind w:left="16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six months ended June 30, 2022 and 2021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360"/>
              <w:spacing w:after="0"/>
              <w:rPr>
                <w:sz w:val="20"/>
                <w:szCs w:val="20"/>
                <w:color w:val="auto"/>
              </w:rPr>
            </w:pPr>
            <w:r>
              <w:rPr>
                <w:rFonts w:ascii="Arial" w:cs="Arial" w:eastAsia="Arial" w:hAnsi="Arial"/>
                <w:sz w:val="16"/>
                <w:szCs w:val="16"/>
                <w:b w:val="1"/>
                <w:bCs w:val="1"/>
                <w:color w:val="auto"/>
              </w:rPr>
              <w:t>Six months ended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8"/>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7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3"/>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63"/>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7,988.5</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(2,084.7)</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r>
      <w:tr>
        <w:trPr>
          <w:trHeight w:val="244"/>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The decrease in net cash provided by operating activities is primarily attributable to the net effect of (i) a decrease in cash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by our Adjusted EBITDA and related working capital items, including the impact of the U.K. JV Transaction, (ii) an increase in cash provided due to lower payments of interest, including the impact of the U.K. JV Transaction, (iii) an increase in cash provided due to higher dividends received from the VMO2 JV and the VodafoneZiggo JV and (iv) a decrease due to FX. Consolidated Adjusted EBITDA is a non-GAAP measure, which investors should view as a supplement to, and not a substitute for, GAAP measures of performance included in our condensed consolidated statements of operations.</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The change in net cash provided (used) by investing activities is primarily attributable to (i) an increase in cash of $3,424.0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the restricted cash contributed to the VMO2 JV in connection with the U.K. JV Transaction during the first six months of 2021, (ii) an increase in cash of $1,934.0 million associated with higher net cash received from the sale of investments, primarily related to our investments held under SMAs, (iii) an increase in cash of $1,568.1 million in connection with the sale of UPC Poland, (iv) an increase in cash of $779.9 million in connection with the Telenet Tower Sale and (v) an increase in cash of $208.2 million due to lower capital expenditures. Capital expenditures decreased from $842.4 million during the first six months of 2021 to $634.2 million during the first six months of 2022, primarily due to (a) a decrease due to the impact of the U.K. JV Transaction, (b) a decrease due to FX and (c) a decrease in our net local currency capital expenditures and related working capital movements, including the impact of lower capital-related vendor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0" w:name="page81"/>
    <w:bookmarkEnd w:id="80"/>
    <w:p>
      <w:pPr>
        <w:jc w:val="both"/>
        <w:ind w:firstLine="318"/>
        <w:spacing w:after="0" w:line="298" w:lineRule="auto"/>
        <w:rPr>
          <w:sz w:val="20"/>
          <w:szCs w:val="20"/>
          <w:color w:val="auto"/>
        </w:rPr>
      </w:pPr>
      <w:r>
        <w:rPr>
          <w:rFonts w:ascii="Arial" w:cs="Arial" w:eastAsia="Arial" w:hAnsi="Arial"/>
          <w:sz w:val="15"/>
          <w:szCs w:val="15"/>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w:t>
      </w:r>
    </w:p>
    <w:p>
      <w:pPr>
        <w:spacing w:after="0" w:line="3" w:lineRule="exact"/>
        <w:rPr>
          <w:sz w:val="20"/>
          <w:szCs w:val="20"/>
          <w:color w:val="auto"/>
        </w:rPr>
      </w:pPr>
    </w:p>
    <w:p>
      <w:pPr>
        <w:jc w:val="both"/>
        <w:ind w:firstLine="6"/>
        <w:spacing w:after="0" w:line="247" w:lineRule="auto"/>
        <w:tabs>
          <w:tab w:leader="none" w:pos="2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total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09"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Six months ended</w:t>
      </w:r>
    </w:p>
    <w:p>
      <w:pPr>
        <w:jc w:val="center"/>
        <w:ind w:left="866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163"/>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(546.9)</w:t>
            </w:r>
          </w:p>
        </w:tc>
      </w:tr>
      <w:tr>
        <w:trPr>
          <w:trHeight w:val="22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44"/>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decrease in our property and equipment additions during the six months ended June 30, 2022, as compared to the corresponding period in 2021, is primarily due to (i) a decrease due to the impact of the U.K. JV Transaction, (ii) a decrease due to FX and (iii) a decrease in local currency expenditures of our subsidiaries due to the net effect of (a) an increase in expenditures for the purchase and installation of customer premises equipment, (b) a decrease in baseline expenditures, including network improvements and expenditures for property and facilities and information technology systems, (c) a decrease in expenditures to support new customer products and operational efficiency initiatives and (d) an increase in expenditures for new build and upgrade projects.</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The increase in net cash used by financing activities is primarily attributable to the net effect of (i) an increase in cash used of</w:t>
      </w:r>
      <w:r>
        <w:rPr>
          <w:rFonts w:ascii="Arial" w:cs="Arial" w:eastAsia="Arial" w:hAnsi="Arial"/>
          <w:sz w:val="15"/>
          <w:szCs w:val="15"/>
          <w:i w:val="1"/>
          <w:iCs w:val="1"/>
          <w:color w:val="auto"/>
        </w:rPr>
        <w:t xml:space="preserve"> </w:t>
      </w:r>
      <w:r>
        <w:rPr>
          <w:rFonts w:ascii="Arial" w:cs="Arial" w:eastAsia="Arial" w:hAnsi="Arial"/>
          <w:sz w:val="15"/>
          <w:szCs w:val="15"/>
          <w:color w:val="auto"/>
        </w:rPr>
        <w:t>$1,823.0 million due to higher net repayments of debt, (ii) an increase in cash used of $384.7 million due to higher repurchases of Liberty Global ordinary shares and (iii) a decrease in cash used of $192.5 million due to lower net repayments of vendor financing, including the impact of the U.K. JV Transaction.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1" w:name="page82"/>
    <w:bookmarkEnd w:id="81"/>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with each item excluding any cash provided or used by our discontinued operations. Prior to the fourth quarter of 2021, our definition of adjusted free cash flow excluded cash payments for third-party costs directly associated with successful and unsuccessful acquisitions and dispositions. During the fourth quarter of 2021, we changed our definition of adjusted free cash flow to include these cash payments. Cash paid for third-party costs directly associated with successful and unsuccessful acquisitions and dispositions was $22.2 million and $46.5 million during the six months ended June 30, 2022 and 2021, respectively. We believe our presentation of adjusted free cash flow, which is a non-GAAP measure, provides useful information to our investors because this measure can be used to gauge our ability to (a) service debt and (b)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29"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Six months ended</w:t>
      </w:r>
    </w:p>
    <w:p>
      <w:pPr>
        <w:jc w:val="center"/>
        <w:ind w:left="8620"/>
        <w:spacing w:after="0"/>
        <w:rPr>
          <w:sz w:val="20"/>
          <w:szCs w:val="20"/>
          <w:color w:val="auto"/>
        </w:rPr>
      </w:pPr>
      <w:r>
        <w:rPr>
          <w:rFonts w:ascii="Arial" w:cs="Arial" w:eastAsia="Arial" w:hAnsi="Arial"/>
          <w:sz w:val="16"/>
          <w:szCs w:val="16"/>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2"/>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Operating-related vendor financing additions (a)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1,474.7</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capital expenditures,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r>
      <w:tr>
        <w:trPr>
          <w:trHeight w:val="225"/>
        </w:trPr>
        <w:tc>
          <w:tcPr>
            <w:tcW w:w="8640" w:type="dxa"/>
            <w:vAlign w:val="bottom"/>
          </w:tcPr>
          <w:p>
            <w:pPr>
              <w:ind w:left="20"/>
              <w:spacing w:after="0"/>
              <w:rPr>
                <w:sz w:val="20"/>
                <w:szCs w:val="20"/>
                <w:color w:val="auto"/>
              </w:rPr>
            </w:pPr>
            <w:r>
              <w:rPr>
                <w:rFonts w:ascii="Arial" w:cs="Arial" w:eastAsia="Arial" w:hAnsi="Arial"/>
                <w:sz w:val="18"/>
                <w:szCs w:val="18"/>
                <w:color w:val="auto"/>
              </w:rPr>
              <w:t>Principal payments on operating-related vendor financing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(1,143.9)</w:t>
            </w:r>
          </w:p>
        </w:tc>
      </w:tr>
      <w:tr>
        <w:trPr>
          <w:trHeight w:val="226"/>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capital-related vendor financing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r>
      <w:tr>
        <w:trPr>
          <w:trHeight w:val="225"/>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finance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44"/>
        </w:trPr>
        <w:tc>
          <w:tcPr>
            <w:tcW w:w="864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4" w:lineRule="exact"/>
        <w:rPr>
          <w:sz w:val="20"/>
          <w:szCs w:val="20"/>
          <w:color w:val="auto"/>
        </w:rPr>
      </w:pPr>
    </w:p>
    <w:p>
      <w:pPr>
        <w:jc w:val="both"/>
        <w:ind w:left="480" w:hanging="474"/>
        <w:spacing w:after="0" w:line="309" w:lineRule="auto"/>
        <w:tabs>
          <w:tab w:leader="none" w:pos="477" w:val="left"/>
        </w:tabs>
        <w:numPr>
          <w:ilvl w:val="0"/>
          <w:numId w:val="76"/>
        </w:numPr>
        <w:rPr>
          <w:rFonts w:ascii="Arial" w:cs="Arial" w:eastAsia="Arial" w:hAnsi="Arial"/>
          <w:sz w:val="15"/>
          <w:szCs w:val="15"/>
          <w:color w:val="auto"/>
        </w:rPr>
      </w:pPr>
      <w:r>
        <w:rPr>
          <w:rFonts w:ascii="Arial" w:cs="Arial" w:eastAsia="Arial" w:hAnsi="Arial"/>
          <w:sz w:val="15"/>
          <w:szCs w:val="15"/>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2" w:name="page83"/>
    <w:bookmarkEnd w:id="82"/>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2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June 30, 2022.</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convenience translations into U.S. dollars are calculated as of June 30, 2022.</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w:t>
      </w:r>
    </w:p>
    <w:p>
      <w:pPr>
        <w:spacing w:after="0" w:line="24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2022, $1,204.0 million or 50.4% and $1,162.1 million or 48.6% of our consolidated cash balances were denominated in U.S. dollars and euros,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5"/>
          </w:tcPr>
          <w:p>
            <w:pPr>
              <w:ind w:left="340"/>
              <w:spacing w:after="0"/>
              <w:rPr>
                <w:sz w:val="20"/>
                <w:szCs w:val="20"/>
                <w:color w:val="auto"/>
              </w:rPr>
            </w:pPr>
            <w:r>
              <w:rPr>
                <w:rFonts w:ascii="Arial" w:cs="Arial" w:eastAsia="Arial" w:hAnsi="Arial"/>
                <w:sz w:val="16"/>
                <w:szCs w:val="16"/>
                <w:b w:val="1"/>
                <w:bCs w:val="1"/>
                <w:color w:val="auto"/>
              </w:rPr>
              <w:t>June 30,</w:t>
            </w:r>
          </w:p>
        </w:tc>
        <w:tc>
          <w:tcPr>
            <w:tcW w:w="1120" w:type="dxa"/>
            <w:vAlign w:val="bottom"/>
          </w:tcPr>
          <w:p>
            <w:pPr>
              <w:jc w:val="right"/>
              <w:ind w:right="94"/>
              <w:spacing w:after="0"/>
              <w:rPr>
                <w:sz w:val="20"/>
                <w:szCs w:val="20"/>
                <w:color w:val="auto"/>
              </w:rPr>
            </w:pPr>
            <w:r>
              <w:rPr>
                <w:rFonts w:ascii="Arial" w:cs="Arial" w:eastAsia="Arial" w:hAnsi="Arial"/>
                <w:sz w:val="16"/>
                <w:szCs w:val="16"/>
                <w:b w:val="1"/>
                <w:bCs w:val="1"/>
                <w:color w:val="auto"/>
                <w:w w:val="88"/>
              </w:rPr>
              <w:t>December 31,</w:t>
            </w:r>
          </w:p>
        </w:tc>
      </w:tr>
      <w:tr>
        <w:trPr>
          <w:trHeight w:val="208"/>
        </w:trPr>
        <w:tc>
          <w:tcPr>
            <w:tcW w:w="5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r>
      <w:tr>
        <w:trPr>
          <w:trHeight w:val="194"/>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0.9540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0.8782</w:t>
            </w:r>
          </w:p>
        </w:tc>
      </w:tr>
      <w:tr>
        <w:trPr>
          <w:trHeight w:val="225"/>
        </w:trPr>
        <w:tc>
          <w:tcPr>
            <w:tcW w:w="566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w w:val="98"/>
              </w:rPr>
              <w:t>0.8212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0.7388</w:t>
            </w:r>
          </w:p>
        </w:tc>
      </w:tr>
      <w:tr>
        <w:trPr>
          <w:trHeight w:val="226"/>
        </w:trPr>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8"/>
              </w:rPr>
              <w:t>0.9538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0.9114</w:t>
            </w:r>
          </w:p>
        </w:tc>
      </w:tr>
      <w:tr>
        <w:trPr>
          <w:trHeight w:val="224"/>
        </w:trPr>
        <w:tc>
          <w:tcPr>
            <w:tcW w:w="566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w w:val="98"/>
              </w:rPr>
              <w:t>4.4849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4.0285</w:t>
            </w:r>
          </w:p>
        </w:tc>
      </w:tr>
      <w:tr>
        <w:trPr>
          <w:trHeight w:val="460"/>
        </w:trPr>
        <w:tc>
          <w:tcPr>
            <w:tcW w:w="5660" w:type="dxa"/>
            <w:vAlign w:val="bottom"/>
          </w:tcPr>
          <w:p>
            <w:pPr>
              <w:spacing w:after="0"/>
              <w:rPr>
                <w:sz w:val="24"/>
                <w:szCs w:val="24"/>
                <w:color w:val="auto"/>
              </w:rPr>
            </w:pPr>
          </w:p>
        </w:tc>
        <w:tc>
          <w:tcPr>
            <w:tcW w:w="294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8"/>
              </w:rPr>
              <w:t>Three months ended</w:t>
            </w:r>
          </w:p>
        </w:tc>
        <w:tc>
          <w:tcPr>
            <w:tcW w:w="2640" w:type="dxa"/>
            <w:vAlign w:val="bottom"/>
            <w:gridSpan w:val="6"/>
          </w:tcPr>
          <w:p>
            <w:pPr>
              <w:ind w:left="62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66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835"/>
              <w:spacing w:after="0"/>
              <w:rPr>
                <w:sz w:val="20"/>
                <w:szCs w:val="20"/>
                <w:color w:val="auto"/>
              </w:rPr>
            </w:pPr>
            <w:r>
              <w:rPr>
                <w:rFonts w:ascii="Arial" w:cs="Arial" w:eastAsia="Arial" w:hAnsi="Arial"/>
                <w:sz w:val="16"/>
                <w:szCs w:val="16"/>
                <w:b w:val="1"/>
                <w:bCs w:val="1"/>
                <w:color w:val="auto"/>
                <w:w w:val="87"/>
              </w:rPr>
              <w:t>June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w w:val="87"/>
              </w:rPr>
              <w:t>June 30,</w:t>
            </w:r>
          </w:p>
        </w:tc>
        <w:tc>
          <w:tcPr>
            <w:tcW w:w="1120" w:type="dxa"/>
            <w:vAlign w:val="bottom"/>
            <w:tcBorders>
              <w:bottom w:val="single" w:sz="8" w:color="auto"/>
            </w:tcBorders>
          </w:tcPr>
          <w:p>
            <w:pPr>
              <w:spacing w:after="0"/>
              <w:rPr>
                <w:sz w:val="18"/>
                <w:szCs w:val="18"/>
                <w:color w:val="auto"/>
              </w:rPr>
            </w:pPr>
          </w:p>
        </w:tc>
      </w:tr>
      <w:tr>
        <w:trPr>
          <w:trHeight w:val="203"/>
        </w:trPr>
        <w:tc>
          <w:tcPr>
            <w:tcW w:w="5660" w:type="dxa"/>
            <w:vAlign w:val="bottom"/>
          </w:tcPr>
          <w:p>
            <w:pPr>
              <w:spacing w:after="0"/>
              <w:rPr>
                <w:sz w:val="17"/>
                <w:szCs w:val="17"/>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r>
      <w:tr>
        <w:trPr>
          <w:trHeight w:val="194"/>
        </w:trPr>
        <w:tc>
          <w:tcPr>
            <w:tcW w:w="566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8"/>
        </w:trPr>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Euro</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0.9150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0.8296</w:t>
            </w:r>
          </w:p>
        </w:tc>
      </w:tr>
      <w:tr>
        <w:trPr>
          <w:trHeight w:val="225"/>
        </w:trPr>
        <w:tc>
          <w:tcPr>
            <w:tcW w:w="5660" w:type="dxa"/>
            <w:vAlign w:val="bottom"/>
          </w:tcPr>
          <w:p>
            <w:pPr>
              <w:ind w:left="10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jc w:val="right"/>
              <w:spacing w:after="0"/>
              <w:rPr>
                <w:sz w:val="20"/>
                <w:szCs w:val="20"/>
                <w:color w:val="auto"/>
              </w:rPr>
            </w:pPr>
            <w:r>
              <w:rPr>
                <w:rFonts w:ascii="Arial" w:cs="Arial" w:eastAsia="Arial" w:hAnsi="Arial"/>
                <w:sz w:val="18"/>
                <w:szCs w:val="18"/>
                <w:color w:val="auto"/>
              </w:rPr>
              <w:t>0.7963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w w:val="98"/>
              </w:rPr>
              <w:t>0.7708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0.7202</w:t>
            </w:r>
          </w:p>
        </w:tc>
      </w:tr>
      <w:tr>
        <w:trPr>
          <w:trHeight w:val="226"/>
        </w:trPr>
        <w:tc>
          <w:tcPr>
            <w:tcW w:w="5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Swiss franc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0.9443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0.9078</w:t>
            </w:r>
          </w:p>
        </w:tc>
      </w:tr>
      <w:tr>
        <w:trPr>
          <w:trHeight w:val="224"/>
        </w:trPr>
        <w:tc>
          <w:tcPr>
            <w:tcW w:w="5660" w:type="dxa"/>
            <w:vAlign w:val="bottom"/>
          </w:tcPr>
          <w:p>
            <w:pPr>
              <w:ind w:left="100"/>
              <w:spacing w:after="0"/>
              <w:rPr>
                <w:sz w:val="20"/>
                <w:szCs w:val="20"/>
                <w:color w:val="auto"/>
              </w:rPr>
            </w:pPr>
            <w:r>
              <w:rPr>
                <w:rFonts w:ascii="Arial" w:cs="Arial" w:eastAsia="Arial" w:hAnsi="Arial"/>
                <w:sz w:val="18"/>
                <w:szCs w:val="18"/>
                <w:color w:val="auto"/>
              </w:rPr>
              <w:t>Polish zloty</w:t>
            </w:r>
          </w:p>
        </w:tc>
        <w:tc>
          <w:tcPr>
            <w:tcW w:w="1260" w:type="dxa"/>
            <w:vAlign w:val="bottom"/>
          </w:tcPr>
          <w:p>
            <w:pPr>
              <w:jc w:val="right"/>
              <w:spacing w:after="0"/>
              <w:rPr>
                <w:sz w:val="20"/>
                <w:szCs w:val="20"/>
                <w:color w:val="auto"/>
              </w:rPr>
            </w:pPr>
            <w:r>
              <w:rPr>
                <w:rFonts w:ascii="Arial" w:cs="Arial" w:eastAsia="Arial" w:hAnsi="Arial"/>
                <w:sz w:val="18"/>
                <w:szCs w:val="18"/>
                <w:color w:val="auto"/>
              </w:rPr>
              <w:t>4.3666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w w:val="98"/>
              </w:rPr>
              <w:t>4.2396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3" w:name="page84"/>
    <w:bookmarkEnd w:id="83"/>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0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announced that measures would need to be undertaken by the end of 2021 to reform EURIBOR to ensure compliance with the E.U. Benchmarks Regulation. In November 2020, ICE Benchmark Administration (the entity that administers LIBOR) announced its intention to continue publishing USD LIBOR rates until June 30, 2023, with the exception of the one-week and two-month rates which, along with all CHF and GBP LIBOR rates, it ceased to publish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there is no consensus amongst loan borrowers and investors for what rate(s) should replace USD LIBOR.</w:t>
      </w:r>
    </w:p>
    <w:p>
      <w:pPr>
        <w:spacing w:after="0" w:line="20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In October 2020, the International Swaps and Derivatives Association (the </w:t>
      </w:r>
      <w:r>
        <w:rPr>
          <w:rFonts w:ascii="Arial" w:cs="Arial" w:eastAsia="Arial" w:hAnsi="Arial"/>
          <w:sz w:val="17"/>
          <w:szCs w:val="17"/>
          <w:b w:val="1"/>
          <w:bCs w:val="1"/>
          <w:color w:val="auto"/>
        </w:rPr>
        <w:t>ISDA</w:t>
      </w:r>
      <w:r>
        <w:rPr>
          <w:rFonts w:ascii="Arial" w:cs="Arial" w:eastAsia="Arial" w:hAnsi="Arial"/>
          <w:sz w:val="17"/>
          <w:szCs w:val="17"/>
          <w:color w:val="auto"/>
        </w:rPr>
        <w:t>) launched the Fallback Supplement, which, as of January 25, 2021, amended the standard definitions for interest rate derivatives to incorporate fallbacks for derivatives linked to certain key interbank offered rates (</w:t>
      </w:r>
      <w:r>
        <w:rPr>
          <w:rFonts w:ascii="Arial" w:cs="Arial" w:eastAsia="Arial" w:hAnsi="Arial"/>
          <w:sz w:val="17"/>
          <w:szCs w:val="17"/>
          <w:b w:val="1"/>
          <w:bCs w:val="1"/>
          <w:color w:val="auto"/>
        </w:rPr>
        <w:t>IBORs</w:t>
      </w:r>
      <w:r>
        <w:rPr>
          <w:rFonts w:ascii="Arial" w:cs="Arial" w:eastAsia="Arial" w:hAnsi="Arial"/>
          <w:sz w:val="17"/>
          <w:szCs w:val="17"/>
          <w:color w:val="auto"/>
        </w:rPr>
        <w:t>). The ISDA also launched the Fallback Protocol, a protocol that enables market participants to incorporate these revisions into their legacy non-cleared derivatives with other counterparties that choose to adhere to the protocol. The fallbacks for a particular currency apply following a permanent cessation of the IBOR in that currency, or in the case of a LIBOR setting, that LIBOR setting becoming permanently unrepresentative, and are adjusted versions of the risk-free rates identified in each currency. Our credit agreements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credit agreements in the event that either the LIBOR rate or the EURIBOR rate is not available. It is possible, however, that any new reference rate that applies to our LIBOR-indexed or EURIBOR-indexed debt could be different from any new reference rate that applies to our LIBOR-indexed or EURIBOR-indexed derivative instruments. For discontinued currencies and tenors, we expect to continue taking steps to mitigate the changes in these benchmark rates, including by amending existing credit agreements and adhering to the Fallback Protocol, where appropriate. We plan to continue to manage this difference and any resulting increased variable-rate exposure through modifications to our debt and/or derivative instruments, however, future market conditions may not allow immediate implementation of desired modifications and our subsidiaries may incur significant associated costs.</w:t>
      </w:r>
    </w:p>
    <w:p>
      <w:pPr>
        <w:spacing w:after="0" w:line="2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Weighted Average Variable Interest Rate. </w:t>
      </w:r>
      <w:r>
        <w:rPr>
          <w:rFonts w:ascii="Arial" w:cs="Arial" w:eastAsia="Arial" w:hAnsi="Arial"/>
          <w:sz w:val="17"/>
          <w:szCs w:val="17"/>
          <w:color w:val="auto"/>
        </w:rPr>
        <w:t>At June 30, 2022, the outstanding principal amount of our variable-rate indebtedness aggregated $8.8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weighted average interest rate (including margin) on such variable-rate indebtedness was approximately 3.6%,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$44.0 million. As discussed above and in note 6 to our condensed consolidated financial statements, we use interest rate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June 30, 2022:</w:t>
      </w:r>
    </w:p>
    <w:p>
      <w:pPr>
        <w:spacing w:after="0" w:line="244" w:lineRule="exact"/>
        <w:rPr>
          <w:sz w:val="20"/>
          <w:szCs w:val="20"/>
          <w:color w:val="auto"/>
        </w:rPr>
      </w:pPr>
    </w:p>
    <w:p>
      <w:pPr>
        <w:ind w:left="800" w:hanging="476"/>
        <w:spacing w:after="0" w:line="365" w:lineRule="auto"/>
        <w:tabs>
          <w:tab w:leader="none" w:pos="794"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€426 million ($446 million);</w:t>
      </w:r>
    </w:p>
    <w:p>
      <w:pPr>
        <w:spacing w:after="0" w:line="137" w:lineRule="exact"/>
        <w:rPr>
          <w:rFonts w:ascii="Arial" w:cs="Arial" w:eastAsia="Arial" w:hAnsi="Arial"/>
          <w:sz w:val="15"/>
          <w:szCs w:val="15"/>
          <w:color w:val="auto"/>
        </w:rPr>
      </w:pPr>
    </w:p>
    <w:p>
      <w:pPr>
        <w:ind w:left="800" w:hanging="476"/>
        <w:spacing w:after="0" w:line="365" w:lineRule="auto"/>
        <w:tabs>
          <w:tab w:leader="none" w:pos="79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euro would have decreased (increased) the aggregate fair value of the UPC Holding cross-currency and interest rate derivative contracts by approximately €331 million ($347 million); and</w:t>
      </w:r>
    </w:p>
    <w:p>
      <w:pPr>
        <w:spacing w:after="0" w:line="137" w:lineRule="exact"/>
        <w:rPr>
          <w:rFonts w:ascii="Arial" w:cs="Arial" w:eastAsia="Arial" w:hAnsi="Arial"/>
          <w:sz w:val="15"/>
          <w:szCs w:val="15"/>
          <w:color w:val="auto"/>
        </w:rPr>
      </w:pPr>
    </w:p>
    <w:p>
      <w:pPr>
        <w:ind w:left="800" w:hanging="476"/>
        <w:spacing w:after="0" w:line="294"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decreased (increased) the aggregate fair value of the UPC Holding cross-currency and interest rate derivative contracts by approximately €112 million ($117 million).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June 30, 2022:</w:t>
      </w:r>
    </w:p>
    <w:p>
      <w:pPr>
        <w:spacing w:after="0" w:line="244" w:lineRule="exact"/>
        <w:rPr>
          <w:sz w:val="20"/>
          <w:szCs w:val="20"/>
          <w:color w:val="auto"/>
        </w:rPr>
      </w:pPr>
    </w:p>
    <w:p>
      <w:pPr>
        <w:ind w:left="800" w:right="20" w:hanging="476"/>
        <w:spacing w:after="0" w:line="294" w:lineRule="auto"/>
        <w:tabs>
          <w:tab w:leader="none" w:pos="794"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€318 million ($333 million); and</w:t>
      </w:r>
    </w:p>
    <w:p>
      <w:pPr>
        <w:spacing w:after="0" w:line="183"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decreased (increased) the aggregate fair value of the Telenet cross-currency and interest rate derivative contracts by approximately €91 million ($95 million).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5" w:name="page86"/>
    <w:bookmarkEnd w:id="85"/>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June 30, 2022.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8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Remainder</w:t>
            </w: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4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of 2022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5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00" w:type="dxa"/>
            <w:vAlign w:val="bottom"/>
          </w:tcPr>
          <w:p>
            <w:pPr>
              <w:ind w:left="20"/>
              <w:spacing w:after="0" w:line="177" w:lineRule="exact"/>
              <w:rPr>
                <w:sz w:val="20"/>
                <w:szCs w:val="20"/>
                <w:color w:val="auto"/>
              </w:rPr>
            </w:pPr>
            <w:r>
              <w:rPr>
                <w:rFonts w:ascii="Arial" w:cs="Arial" w:eastAsia="Arial" w:hAnsi="Arial"/>
                <w:sz w:val="18"/>
                <w:szCs w:val="18"/>
                <w:color w:val="auto"/>
                <w:w w:val="93"/>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0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(253.4)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25"/>
        </w:trPr>
        <w:tc>
          <w:tcPr>
            <w:tcW w:w="2700" w:type="dxa"/>
            <w:vAlign w:val="bottom"/>
          </w:tcPr>
          <w:p>
            <w:pPr>
              <w:ind w:left="220"/>
              <w:spacing w:after="0"/>
              <w:rPr>
                <w:sz w:val="20"/>
                <w:szCs w:val="20"/>
                <w:color w:val="auto"/>
              </w:rPr>
            </w:pPr>
            <w:r>
              <w:rPr>
                <w:rFonts w:ascii="Arial" w:cs="Arial" w:eastAsia="Arial" w:hAnsi="Arial"/>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70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1"/>
              </w:rPr>
              <w:t>(253.4)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4" w:lineRule="exact"/>
        <w:rPr>
          <w:sz w:val="20"/>
          <w:szCs w:val="20"/>
          <w:color w:val="auto"/>
        </w:rPr>
      </w:pPr>
    </w:p>
    <w:p>
      <w:pPr>
        <w:ind w:left="480" w:hanging="474"/>
        <w:spacing w:after="0" w:line="264" w:lineRule="auto"/>
        <w:tabs>
          <w:tab w:leader="none" w:pos="477"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7" w:lineRule="exact"/>
        <w:rPr>
          <w:rFonts w:ascii="Arial" w:cs="Arial" w:eastAsia="Arial" w:hAnsi="Arial"/>
          <w:sz w:val="18"/>
          <w:szCs w:val="18"/>
          <w:color w:val="auto"/>
        </w:rPr>
      </w:pPr>
    </w:p>
    <w:p>
      <w:pPr>
        <w:ind w:left="480" w:hanging="474"/>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3" w:lineRule="exact"/>
        <w:rPr>
          <w:rFonts w:ascii="Arial" w:cs="Arial" w:eastAsia="Arial" w:hAnsi="Arial"/>
          <w:sz w:val="18"/>
          <w:szCs w:val="18"/>
          <w:color w:val="auto"/>
        </w:rPr>
      </w:pPr>
    </w:p>
    <w:p>
      <w:pPr>
        <w:ind w:left="480" w:hanging="474"/>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amounts related to foreign currency forward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 xml:space="preserve">In accordance with Rule 13a-15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June 30, 2022.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2022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ind w:left="700" w:hanging="376"/>
        <w:spacing w:after="0"/>
        <w:tabs>
          <w:tab w:leader="none" w:pos="7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Total number of shares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number</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of shares that may</w:t>
            </w: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12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Average price</w:t>
            </w:r>
          </w:p>
        </w:tc>
        <w:tc>
          <w:tcPr>
            <w:tcW w:w="17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7"/>
              </w:rPr>
              <w:t>purchased as part of</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yet be purchased</w:t>
            </w:r>
          </w:p>
        </w:tc>
        <w:tc>
          <w:tcPr>
            <w:tcW w:w="0" w:type="dxa"/>
            <w:vAlign w:val="bottom"/>
          </w:tcPr>
          <w:p>
            <w:pPr>
              <w:spacing w:after="0"/>
              <w:rPr>
                <w:sz w:val="1"/>
                <w:szCs w:val="1"/>
                <w:color w:val="auto"/>
              </w:rPr>
            </w:pPr>
          </w:p>
        </w:tc>
      </w:tr>
      <w:tr>
        <w:trPr>
          <w:trHeight w:val="159"/>
        </w:trPr>
        <w:tc>
          <w:tcPr>
            <w:tcW w:w="46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7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7"/>
              </w:rPr>
              <w:t>publicly announced</w:t>
            </w:r>
          </w:p>
        </w:tc>
        <w:tc>
          <w:tcPr>
            <w:tcW w:w="16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of shares purchased</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paid per share (a)</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plans or programs</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128"/>
        </w:trPr>
        <w:tc>
          <w:tcPr>
            <w:tcW w:w="4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2022 through April 30,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6,457,900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May 1, 2022 through May 31,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8,247,300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8,247,300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2022 through June 30,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tcPr>
          <w:p>
            <w:pPr>
              <w:jc w:val="right"/>
              <w:spacing w:after="0"/>
              <w:rPr>
                <w:sz w:val="20"/>
                <w:szCs w:val="20"/>
                <w:color w:val="auto"/>
              </w:rPr>
            </w:pPr>
            <w:r>
              <w:rPr>
                <w:rFonts w:ascii="Arial" w:cs="Arial" w:eastAsia="Arial" w:hAnsi="Arial"/>
                <w:sz w:val="18"/>
                <w:szCs w:val="18"/>
                <w:color w:val="auto"/>
              </w:rPr>
              <w:t>782,700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782,700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7,675,900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600" w:type="dxa"/>
            <w:vAlign w:val="bottom"/>
            <w:gridSpan w:val="2"/>
          </w:tcPr>
          <w:p>
            <w:pPr>
              <w:ind w:left="20"/>
              <w:spacing w:after="0"/>
              <w:rPr>
                <w:sz w:val="20"/>
                <w:szCs w:val="20"/>
                <w:color w:val="auto"/>
              </w:rPr>
            </w:pPr>
            <w:r>
              <w:rPr>
                <w:rFonts w:ascii="Arial" w:cs="Arial" w:eastAsia="Arial" w:hAnsi="Arial"/>
                <w:sz w:val="17"/>
                <w:szCs w:val="17"/>
                <w:color w:val="auto"/>
              </w:rPr>
              <w:t>Total — April 1, 2022 through June 30, 2022:</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4600" w:type="dxa"/>
            <w:vAlign w:val="bottom"/>
            <w:gridSpan w:val="2"/>
          </w:tcPr>
          <w:p>
            <w:pPr>
              <w:ind w:left="220"/>
              <w:spacing w:after="0"/>
              <w:rPr>
                <w:sz w:val="20"/>
                <w:szCs w:val="20"/>
                <w:color w:val="auto"/>
              </w:rPr>
            </w:pPr>
            <w:r>
              <w:rPr>
                <w:rFonts w:ascii="Arial" w:cs="Arial" w:eastAsia="Arial" w:hAnsi="Arial"/>
                <w:sz w:val="18"/>
                <w:szCs w:val="18"/>
                <w:color w:val="auto"/>
              </w:rPr>
              <w:t>Class C</w:t>
            </w:r>
          </w:p>
        </w:tc>
        <w:tc>
          <w:tcPr>
            <w:tcW w:w="1520" w:type="dxa"/>
            <w:vAlign w:val="bottom"/>
          </w:tcPr>
          <w:p>
            <w:pPr>
              <w:jc w:val="right"/>
              <w:spacing w:after="0"/>
              <w:rPr>
                <w:sz w:val="20"/>
                <w:szCs w:val="20"/>
                <w:color w:val="auto"/>
              </w:rPr>
            </w:pPr>
            <w:r>
              <w:rPr>
                <w:rFonts w:ascii="Arial" w:cs="Arial" w:eastAsia="Arial" w:hAnsi="Arial"/>
                <w:sz w:val="18"/>
                <w:szCs w:val="18"/>
                <w:color w:val="auto"/>
              </w:rPr>
              <w:t>22,381,100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22,381,100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w:t>
      </w:r>
    </w:p>
    <w:p>
      <w:pPr>
        <w:spacing w:after="0" w:line="244" w:lineRule="exact"/>
        <w:rPr>
          <w:sz w:val="20"/>
          <w:szCs w:val="20"/>
          <w:color w:val="auto"/>
        </w:rPr>
      </w:pPr>
    </w:p>
    <w:p>
      <w:pPr>
        <w:ind w:left="480" w:hanging="474"/>
        <w:spacing w:after="0"/>
        <w:tabs>
          <w:tab w:leader="none" w:pos="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3" w:lineRule="exact"/>
        <w:rPr>
          <w:rFonts w:ascii="Arial" w:cs="Arial" w:eastAsia="Arial" w:hAnsi="Arial"/>
          <w:sz w:val="18"/>
          <w:szCs w:val="18"/>
          <w:color w:val="auto"/>
        </w:rPr>
      </w:pPr>
    </w:p>
    <w:p>
      <w:pPr>
        <w:jc w:val="both"/>
        <w:ind w:left="480" w:hanging="474"/>
        <w:spacing w:after="0" w:line="250" w:lineRule="auto"/>
        <w:tabs>
          <w:tab w:leader="none" w:pos="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June 30, 2022, the remaining number of our Class A and/or Class C ordinary shares that we are authorized to repurchase during 2022 was 10.8 million. Based on the average of the respective closing share prices as of June 30, 2022, this would equate to additional share repurchases during the remainder of 2022 of approximately $233.4 million. In July 2022, our board of directors authorized an additional $400.0 million for 2022 share repurchases. For additional information, see note 12 to our condensed consolidated financial statements in Part I of this Quarterly Report on Form 10-Q.</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Listed below are the exhibits filed as part of this Quarterly Report (according to the number assigned to them in Item 601 of Regulation S-K):</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tcPr>
          <w:p>
            <w:pPr>
              <w:jc w:val="center"/>
              <w:ind w:right="252"/>
              <w:spacing w:after="0"/>
              <w:rPr>
                <w:sz w:val="20"/>
                <w:szCs w:val="20"/>
                <w:color w:val="auto"/>
              </w:rPr>
            </w:pPr>
            <w:r>
              <w:rPr>
                <w:rFonts w:ascii="Arial" w:cs="Arial" w:eastAsia="Arial" w:hAnsi="Arial"/>
                <w:sz w:val="18"/>
                <w:szCs w:val="18"/>
                <w:color w:val="auto"/>
                <w:w w:val="87"/>
              </w:rPr>
              <w:t>4.1</w:t>
            </w:r>
          </w:p>
        </w:tc>
        <w:tc>
          <w:tcPr>
            <w:tcW w:w="9760" w:type="dxa"/>
            <w:vAlign w:val="bottom"/>
            <w:gridSpan w:val="9"/>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Amendment and Restatement Agreement dated May 23, 2022 between, among others, UPC Broadband Holding B.V. as obligors’ agent</w:t>
              </w:r>
            </w:hyperlink>
          </w:p>
        </w:tc>
      </w:tr>
      <w:tr>
        <w:trPr>
          <w:trHeight w:val="152"/>
        </w:trPr>
        <w:tc>
          <w:tcPr>
            <w:tcW w:w="15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102">
              <w:r>
                <w:rPr>
                  <w:rFonts w:ascii="Arial" w:cs="Arial" w:eastAsia="Arial" w:hAnsi="Arial"/>
                  <w:sz w:val="17"/>
                  <w:szCs w:val="17"/>
                  <w:color w:val="0000FF"/>
                  <w:w w:val="96"/>
                </w:rPr>
                <w:t>and The Bank of Nova Scotia as facility agent and security agent and, attached, as a schedule thereto, a copy of the Amended Senior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520" w:type="dxa"/>
            <w:vAlign w:val="bottom"/>
          </w:tcPr>
          <w:p>
            <w:pPr>
              <w:spacing w:after="0"/>
              <w:rPr>
                <w:sz w:val="13"/>
                <w:szCs w:val="13"/>
                <w:color w:val="auto"/>
              </w:rPr>
            </w:pPr>
          </w:p>
        </w:tc>
        <w:tc>
          <w:tcPr>
            <w:tcW w:w="9740" w:type="dxa"/>
            <w:vAlign w:val="bottom"/>
            <w:gridSpan w:val="8"/>
          </w:tcPr>
          <w:p>
            <w:pPr>
              <w:spacing w:after="0" w:line="152" w:lineRule="exact"/>
              <w:rPr>
                <w:rFonts w:ascii="Arial" w:cs="Arial" w:eastAsia="Arial" w:hAnsi="Arial"/>
                <w:sz w:val="17"/>
                <w:szCs w:val="17"/>
                <w:color w:val="0000FF"/>
                <w:w w:val="97"/>
              </w:rPr>
            </w:pPr>
            <w:hyperlink r:id="rId102">
              <w:r>
                <w:rPr>
                  <w:rFonts w:ascii="Arial" w:cs="Arial" w:eastAsia="Arial" w:hAnsi="Arial"/>
                  <w:sz w:val="17"/>
                  <w:szCs w:val="17"/>
                  <w:color w:val="0000FF"/>
                  <w:w w:val="97"/>
                </w:rPr>
                <w:t>Facilities Agreement dated May 23, 2022 between, among others, UPC Broadband Holding B.V. as borrower and The Bank of Nova</w:t>
              </w:r>
            </w:hyperlink>
          </w:p>
        </w:tc>
        <w:tc>
          <w:tcPr>
            <w:tcW w:w="20" w:type="dxa"/>
            <w:vAlign w:val="bottom"/>
          </w:tcPr>
          <w:p>
            <w:pPr>
              <w:spacing w:after="0"/>
              <w:rPr>
                <w:sz w:val="13"/>
                <w:szCs w:val="13"/>
                <w:color w:val="auto"/>
              </w:rPr>
            </w:pPr>
          </w:p>
        </w:tc>
      </w:tr>
      <w:tr>
        <w:trPr>
          <w:trHeight w:val="152"/>
        </w:trPr>
        <w:tc>
          <w:tcPr>
            <w:tcW w:w="15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r:id="rId102">
              <w:r>
                <w:rPr>
                  <w:rFonts w:ascii="Arial" w:cs="Arial" w:eastAsia="Arial" w:hAnsi="Arial"/>
                  <w:sz w:val="17"/>
                  <w:szCs w:val="17"/>
                  <w:color w:val="0000FF"/>
                  <w:w w:val="95"/>
                </w:rPr>
                <w:t>Scotia as facility agent and security agent (Incorporated by reference to Exhibit 4.1 to the Registrant's Current report on Form 8-K filed</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2"/>
        </w:trPr>
        <w:tc>
          <w:tcPr>
            <w:tcW w:w="1520" w:type="dxa"/>
            <w:vAlign w:val="bottom"/>
          </w:tcPr>
          <w:p>
            <w:pPr>
              <w:spacing w:after="0"/>
              <w:rPr>
                <w:sz w:val="13"/>
                <w:szCs w:val="13"/>
                <w:color w:val="auto"/>
              </w:rPr>
            </w:pPr>
          </w:p>
        </w:tc>
        <w:tc>
          <w:tcPr>
            <w:tcW w:w="9700" w:type="dxa"/>
            <w:vAlign w:val="bottom"/>
            <w:gridSpan w:val="6"/>
          </w:tcPr>
          <w:p>
            <w:pPr>
              <w:spacing w:after="0" w:line="152" w:lineRule="exact"/>
              <w:rPr>
                <w:rFonts w:ascii="Arial" w:cs="Arial" w:eastAsia="Arial" w:hAnsi="Arial"/>
                <w:sz w:val="17"/>
                <w:szCs w:val="17"/>
                <w:color w:val="0000FF"/>
              </w:rPr>
            </w:pPr>
            <w:hyperlink r:id="rId102">
              <w:r>
                <w:rPr>
                  <w:rFonts w:ascii="Arial" w:cs="Arial" w:eastAsia="Arial" w:hAnsi="Arial"/>
                  <w:sz w:val="17"/>
                  <w:szCs w:val="17"/>
                  <w:color w:val="0000FF"/>
                </w:rPr>
                <w:t>May 25, 2022 (File No. 001-35961)).</w:t>
              </w:r>
            </w:hyperlink>
          </w:p>
        </w:tc>
        <w:tc>
          <w:tcPr>
            <w:tcW w:w="60" w:type="dxa"/>
            <w:vAlign w:val="bottom"/>
            <w:gridSpan w:val="3"/>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r>
      <w:tr>
        <w:trPr>
          <w:trHeight w:val="350"/>
        </w:trPr>
        <w:tc>
          <w:tcPr>
            <w:tcW w:w="11280" w:type="dxa"/>
            <w:vAlign w:val="bottom"/>
            <w:gridSpan w:val="10"/>
          </w:tcPr>
          <w:p>
            <w:pPr>
              <w:spacing w:after="0"/>
              <w:rPr>
                <w:sz w:val="20"/>
                <w:szCs w:val="20"/>
                <w:color w:val="auto"/>
              </w:rPr>
            </w:pPr>
            <w:r>
              <w:rPr>
                <w:rFonts w:ascii="Arial" w:cs="Arial" w:eastAsia="Arial" w:hAnsi="Arial"/>
                <w:sz w:val="18"/>
                <w:szCs w:val="18"/>
                <w:color w:val="auto"/>
              </w:rPr>
              <w:t>31 — Rule 13a-14(a)/15d-14(a) Certification:</w:t>
            </w:r>
          </w:p>
        </w:tc>
      </w:tr>
      <w:tr>
        <w:trPr>
          <w:trHeight w:val="240"/>
        </w:trPr>
        <w:tc>
          <w:tcPr>
            <w:tcW w:w="1520" w:type="dxa"/>
            <w:vAlign w:val="bottom"/>
          </w:tcPr>
          <w:p>
            <w:pPr>
              <w:jc w:val="center"/>
              <w:ind w:right="272"/>
              <w:spacing w:after="0"/>
              <w:rPr>
                <w:sz w:val="20"/>
                <w:szCs w:val="20"/>
                <w:color w:val="auto"/>
              </w:rPr>
            </w:pPr>
            <w:r>
              <w:rPr>
                <w:rFonts w:ascii="Arial" w:cs="Arial" w:eastAsia="Arial" w:hAnsi="Arial"/>
                <w:sz w:val="18"/>
                <w:szCs w:val="18"/>
                <w:color w:val="auto"/>
                <w:w w:val="91"/>
              </w:rPr>
              <w:t>31.1</w:t>
            </w:r>
          </w:p>
        </w:tc>
        <w:tc>
          <w:tcPr>
            <w:tcW w:w="39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90">
              <w:r>
                <w:rPr>
                  <w:rFonts w:ascii="Arial" w:cs="Arial" w:eastAsia="Arial" w:hAnsi="Arial"/>
                  <w:sz w:val="18"/>
                  <w:szCs w:val="18"/>
                  <w:color w:val="0000FF"/>
                  <w:w w:val="91"/>
                </w:rPr>
                <w:t>Certification of President and Chief Executive Officer*</w:t>
              </w:r>
            </w:hyperlink>
          </w:p>
        </w:tc>
        <w:tc>
          <w:tcPr>
            <w:tcW w:w="5840" w:type="dxa"/>
            <w:vAlign w:val="bottom"/>
            <w:gridSpan w:val="6"/>
          </w:tcPr>
          <w:p>
            <w:pPr>
              <w:spacing w:after="0"/>
              <w:rPr>
                <w:sz w:val="20"/>
                <w:szCs w:val="20"/>
                <w:color w:val="auto"/>
              </w:rPr>
            </w:pPr>
          </w:p>
        </w:tc>
      </w:tr>
      <w:tr>
        <w:trPr>
          <w:trHeight w:val="258"/>
        </w:trPr>
        <w:tc>
          <w:tcPr>
            <w:tcW w:w="1520" w:type="dxa"/>
            <w:vAlign w:val="bottom"/>
          </w:tcPr>
          <w:p>
            <w:pPr>
              <w:jc w:val="center"/>
              <w:ind w:right="272"/>
              <w:spacing w:after="0"/>
              <w:rPr>
                <w:sz w:val="20"/>
                <w:szCs w:val="20"/>
                <w:color w:val="auto"/>
              </w:rPr>
            </w:pPr>
            <w:r>
              <w:rPr>
                <w:rFonts w:ascii="Arial" w:cs="Arial" w:eastAsia="Arial" w:hAnsi="Arial"/>
                <w:sz w:val="18"/>
                <w:szCs w:val="18"/>
                <w:color w:val="auto"/>
                <w:w w:val="91"/>
              </w:rPr>
              <w:t>31.2</w:t>
            </w:r>
          </w:p>
        </w:tc>
        <w:tc>
          <w:tcPr>
            <w:tcW w:w="9760" w:type="dxa"/>
            <w:vAlign w:val="bottom"/>
            <w:gridSpan w:val="9"/>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Certification of Executive Vice President and Chief Financial Officer*</w:t>
              </w:r>
            </w:hyperlink>
          </w:p>
        </w:tc>
      </w:tr>
      <w:tr>
        <w:trPr>
          <w:trHeight w:val="20"/>
        </w:trPr>
        <w:tc>
          <w:tcPr>
            <w:tcW w:w="15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r>
      <w:tr>
        <w:trPr>
          <w:trHeight w:val="258"/>
        </w:trPr>
        <w:tc>
          <w:tcPr>
            <w:tcW w:w="11280" w:type="dxa"/>
            <w:vAlign w:val="bottom"/>
            <w:gridSpan w:val="1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32 — Section 1350 Certification**</w:t>
              </w:r>
            </w:hyperlink>
          </w:p>
        </w:tc>
      </w:tr>
      <w:tr>
        <w:trPr>
          <w:trHeight w:val="20"/>
        </w:trPr>
        <w:tc>
          <w:tcPr>
            <w:tcW w:w="1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0" w:type="dxa"/>
            <w:vAlign w:val="bottom"/>
            <w:gridSpan w:val="8"/>
          </w:tcPr>
          <w:p>
            <w:pPr>
              <w:spacing w:after="0" w:line="20" w:lineRule="exact"/>
              <w:rPr>
                <w:sz w:val="1"/>
                <w:szCs w:val="1"/>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101.CAL</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101.LAB</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8"/>
        </w:trPr>
        <w:tc>
          <w:tcPr>
            <w:tcW w:w="152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5" w:lineRule="exact"/>
        <w:rPr>
          <w:sz w:val="20"/>
          <w:szCs w:val="20"/>
          <w:color w:val="auto"/>
        </w:rPr>
      </w:pPr>
    </w:p>
    <w:p>
      <w:pPr>
        <w:ind w:left="1540" w:hanging="1516"/>
        <w:spacing w:after="0"/>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04" w:lineRule="exact"/>
        <w:rPr>
          <w:sz w:val="20"/>
          <w:szCs w:val="20"/>
          <w:color w:val="auto"/>
        </w:rPr>
      </w:pPr>
    </w:p>
    <w:p>
      <w:pPr>
        <w:ind w:left="680" w:hanging="656"/>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 w:lineRule="exact"/>
        <w:rPr>
          <w:sz w:val="20"/>
          <w:szCs w:val="20"/>
          <w:color w:val="auto"/>
        </w:rPr>
      </w:pPr>
    </w:p>
    <w:p>
      <w:pPr>
        <w:ind w:left="680" w:hanging="656"/>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LIBERTY GLOBAL PLC</w:t>
      </w:r>
    </w:p>
    <w:p>
      <w:pPr>
        <w:spacing w:after="0" w:line="283" w:lineRule="exact"/>
        <w:rPr>
          <w:sz w:val="20"/>
          <w:szCs w:val="20"/>
          <w:color w:val="auto"/>
        </w:rPr>
      </w:pPr>
    </w:p>
    <w:p>
      <w:pPr>
        <w:ind w:left="20"/>
        <w:spacing w:after="0"/>
        <w:tabs>
          <w:tab w:leader="none" w:pos="900" w:val="left"/>
          <w:tab w:leader="none" w:pos="708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19685</wp:posOffset>
            </wp:positionV>
            <wp:extent cx="40303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Michael T. Fries</w:t>
      </w:r>
    </w:p>
    <w:p>
      <w:pPr>
        <w:jc w:val="cente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83" w:lineRule="exact"/>
        <w:rPr>
          <w:sz w:val="20"/>
          <w:szCs w:val="20"/>
          <w:color w:val="auto"/>
        </w:rPr>
      </w:pPr>
    </w:p>
    <w:p>
      <w:pPr>
        <w:ind w:left="20"/>
        <w:spacing w:after="0"/>
        <w:tabs>
          <w:tab w:leader="none" w:pos="900" w:val="left"/>
          <w:tab w:leader="none" w:pos="6840" w:val="left"/>
          <w:tab w:leader="none" w:pos="71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2022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19685</wp:posOffset>
            </wp:positionV>
            <wp:extent cx="40303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030345" cy="8255"/>
                    </a:xfrm>
                    <a:prstGeom prst="rect">
                      <a:avLst/>
                    </a:prstGeom>
                    <a:noFill/>
                  </pic:spPr>
                </pic:pic>
              </a:graphicData>
            </a:graphic>
          </wp:anchor>
        </w:drawing>
      </w:r>
    </w:p>
    <w:p>
      <w:pPr>
        <w:spacing w:after="0" w:line="4" w:lineRule="exact"/>
        <w:rPr>
          <w:sz w:val="20"/>
          <w:szCs w:val="20"/>
          <w:color w:val="auto"/>
        </w:rPr>
      </w:pPr>
    </w:p>
    <w:p>
      <w:pPr>
        <w:jc w:val="center"/>
        <w:ind w:left="4880"/>
        <w:spacing w:after="0"/>
        <w:rPr>
          <w:sz w:val="20"/>
          <w:szCs w:val="20"/>
          <w:color w:val="auto"/>
        </w:rPr>
      </w:pPr>
      <w:r>
        <w:rPr>
          <w:rFonts w:ascii="Arial" w:cs="Arial" w:eastAsia="Arial" w:hAnsi="Arial"/>
          <w:sz w:val="18"/>
          <w:szCs w:val="18"/>
          <w:color w:val="auto"/>
        </w:rPr>
        <w:t>Charles H.R. Bracken</w:t>
      </w:r>
    </w:p>
    <w:p>
      <w:pPr>
        <w:jc w:val="center"/>
        <w:ind w:left="4880"/>
        <w:spacing w:after="0" w:line="199" w:lineRule="auto"/>
        <w:rPr>
          <w:sz w:val="20"/>
          <w:szCs w:val="20"/>
          <w:color w:val="auto"/>
        </w:rPr>
      </w:pPr>
      <w:r>
        <w:rPr>
          <w:rFonts w:ascii="Arial" w:cs="Arial" w:eastAsia="Arial" w:hAnsi="Arial"/>
          <w:sz w:val="18"/>
          <w:szCs w:val="18"/>
          <w:i w:val="1"/>
          <w:iCs w:val="1"/>
          <w:color w:val="auto"/>
        </w:rPr>
        <w:t>Executive Vice President and Chief</w:t>
      </w:r>
    </w:p>
    <w:p>
      <w:pPr>
        <w:spacing w:after="0" w:line="1" w:lineRule="exact"/>
        <w:rPr>
          <w:sz w:val="20"/>
          <w:szCs w:val="20"/>
          <w:color w:val="auto"/>
        </w:rPr>
      </w:pPr>
    </w:p>
    <w:p>
      <w:pPr>
        <w:jc w:val="center"/>
        <w:ind w:left="48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916"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85" w:lineRule="exact"/>
        <w:rPr>
          <w:sz w:val="20"/>
          <w:szCs w:val="20"/>
          <w:color w:val="auto"/>
        </w:rPr>
      </w:pPr>
    </w:p>
    <w:p>
      <w:pPr>
        <w:ind w:left="640" w:hanging="31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July 28, 2022</w:t>
      </w:r>
    </w:p>
    <w:p>
      <w:pPr>
        <w:spacing w:after="0" w:line="177"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5" w:lineRule="exact"/>
        <w:rPr>
          <w:sz w:val="20"/>
          <w:szCs w:val="20"/>
          <w:color w:val="auto"/>
        </w:rPr>
      </w:pPr>
    </w:p>
    <w:p>
      <w:pPr>
        <w:ind w:left="640" w:hanging="31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8" w:lineRule="exact"/>
        <w:rPr>
          <w:rFonts w:ascii="Arial" w:cs="Arial" w:eastAsia="Arial" w:hAnsi="Arial"/>
          <w:sz w:val="18"/>
          <w:szCs w:val="18"/>
          <w:color w:val="auto"/>
        </w:rPr>
      </w:pPr>
    </w:p>
    <w:p>
      <w:pPr>
        <w:ind w:left="640" w:hanging="316"/>
        <w:spacing w:after="0" w:line="350" w:lineRule="auto"/>
        <w:tabs>
          <w:tab w:leader="none" w:pos="6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40" w:hanging="316"/>
        <w:spacing w:after="0" w:line="255"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jc w:val="both"/>
        <w:ind w:left="1280" w:hanging="320"/>
        <w:spacing w:after="0" w:line="255" w:lineRule="auto"/>
        <w:tabs>
          <w:tab w:leader="none" w:pos="1271"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8"/>
          <w:szCs w:val="18"/>
          <w:color w:val="auto"/>
        </w:rPr>
      </w:pPr>
    </w:p>
    <w:p>
      <w:pPr>
        <w:jc w:val="both"/>
        <w:ind w:left="1280" w:hanging="320"/>
        <w:spacing w:after="0" w:line="255" w:lineRule="auto"/>
        <w:tabs>
          <w:tab w:leader="none" w:pos="12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316"/>
        <w:spacing w:after="0" w:line="294"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0"/>
        <w:spacing w:after="0" w:line="294" w:lineRule="auto"/>
        <w:tabs>
          <w:tab w:leader="none" w:pos="1271"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0"/>
        <w:spacing w:after="0" w:line="264" w:lineRule="auto"/>
        <w:tabs>
          <w:tab w:leader="none" w:pos="126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2022</w:t>
      </w:r>
    </w:p>
    <w:p>
      <w:pPr>
        <w:spacing w:after="0" w:line="17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10795</wp:posOffset>
            </wp:positionV>
            <wp:extent cx="2692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Quarterly Report on Form 10-Q for the period ended June 30, 2022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2022 and December 31, 2021, and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80"/>
        <w:spacing w:after="0"/>
        <w:tabs>
          <w:tab w:leader="none" w:pos="620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5"/>
          <w:szCs w:val="15"/>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8" w:lineRule="exact"/>
        <w:rPr>
          <w:sz w:val="20"/>
          <w:szCs w:val="20"/>
          <w:color w:val="auto"/>
        </w:rPr>
      </w:pPr>
    </w:p>
    <w:p>
      <w:pPr>
        <w:ind w:left="1980"/>
        <w:spacing w:after="0"/>
        <w:tabs>
          <w:tab w:leader="none" w:pos="600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5"/>
          <w:szCs w:val="15"/>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10795</wp:posOffset>
            </wp:positionV>
            <wp:extent cx="30454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jc w:val="center"/>
        <w:ind w:left="2520"/>
        <w:spacing w:after="0"/>
        <w:rPr>
          <w:sz w:val="20"/>
          <w:szCs w:val="20"/>
          <w:color w:val="auto"/>
        </w:rPr>
      </w:pPr>
      <w:r>
        <w:rPr>
          <w:rFonts w:ascii="Arial" w:cs="Arial" w:eastAsia="Arial" w:hAnsi="Arial"/>
          <w:sz w:val="18"/>
          <w:szCs w:val="18"/>
          <w:color w:val="auto"/>
        </w:rPr>
        <w:t>Executive Vice President and Chief Financial Officer</w:t>
      </w:r>
    </w:p>
    <w:p>
      <w:pPr>
        <w:spacing w:after="0" w:line="336"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decimal"/>
      <w:start w:val="2"/>
    </w:lvl>
  </w:abstractNum>
  <w:abstractNum w:abstractNumId="4">
    <w:nsid w:val="7A6D8D3C"/>
    <w:multiLevelType w:val="hybridMultilevel"/>
    <w:lvl w:ilvl="0">
      <w:lvlJc w:val="left"/>
      <w:lvlText w:val="(%1)"/>
      <w:numFmt w:val="decimal"/>
      <w:start w:val="3"/>
    </w:lvl>
  </w:abstractNum>
  <w:abstractNum w:abstractNumId="5">
    <w:nsid w:val="4B588F54"/>
    <w:multiLevelType w:val="hybridMultilevel"/>
    <w:lvl w:ilvl="0">
      <w:lvlJc w:val="left"/>
      <w:lvlText w:val="(%1)"/>
      <w:numFmt w:val="decimal"/>
      <w:start w:val="4"/>
    </w:lvl>
  </w:abstractNum>
  <w:abstractNum w:abstractNumId="6">
    <w:nsid w:val="542289EC"/>
    <w:multiLevelType w:val="hybridMultilevel"/>
    <w:lvl w:ilvl="0">
      <w:lvlJc w:val="left"/>
      <w:lvlText w:val="(%1)"/>
      <w:numFmt w:val="lowerLetter"/>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Letter"/>
      <w:start w:val="3"/>
    </w:lvl>
  </w:abstractNum>
  <w:abstractNum w:abstractNumId="9">
    <w:nsid w:val="7644A45C"/>
    <w:multiLevelType w:val="hybridMultilevel"/>
    <w:lvl w:ilvl="0">
      <w:lvlJc w:val="left"/>
      <w:lvlText w:val="(%1)"/>
      <w:numFmt w:val="lowerLetter"/>
      <w:start w:val="1"/>
    </w:lvl>
  </w:abstractNum>
  <w:abstractNum w:abstractNumId="10">
    <w:nsid w:val="32FFF902"/>
    <w:multiLevelType w:val="hybridMultilevel"/>
    <w:lvl w:ilvl="0">
      <w:lvlJc w:val="left"/>
      <w:lvlText w:val="(%1)"/>
      <w:numFmt w:val="lowerLetter"/>
      <w:start w:val="1"/>
    </w:lvl>
  </w:abstractNum>
  <w:abstractNum w:abstractNumId="11">
    <w:nsid w:val="684A481A"/>
    <w:multiLevelType w:val="hybridMultilevel"/>
    <w:lvl w:ilvl="0">
      <w:lvlJc w:val="left"/>
      <w:lvlText w:val="(%1)"/>
      <w:numFmt w:val="lowerLetter"/>
      <w:start w:val="1"/>
    </w:lvl>
  </w:abstractNum>
  <w:abstractNum w:abstractNumId="12">
    <w:nsid w:val="579478FE"/>
    <w:multiLevelType w:val="hybridMultilevel"/>
    <w:lvl w:ilvl="0">
      <w:lvlJc w:val="left"/>
      <w:lvlText w:val="(%1)"/>
      <w:numFmt w:val="decimal"/>
      <w:start w:val="6"/>
    </w:lvl>
  </w:abstractNum>
  <w:abstractNum w:abstractNumId="13">
    <w:nsid w:val="749ABB43"/>
    <w:multiLevelType w:val="hybridMultilevel"/>
    <w:lvl w:ilvl="0">
      <w:lvlJc w:val="left"/>
      <w:lvlText w:val="(%1)"/>
      <w:numFmt w:val="lowerLetter"/>
      <w:start w:val="1"/>
    </w:lvl>
  </w:abstractNum>
  <w:abstractNum w:abstractNumId="14">
    <w:nsid w:val="3DC240FB"/>
    <w:multiLevelType w:val="hybridMultilevel"/>
    <w:lvl w:ilvl="0">
      <w:lvlJc w:val="left"/>
      <w:lvlText w:val="(%1)"/>
      <w:numFmt w:val="lowerLetter"/>
      <w:start w:val="1"/>
    </w:lvl>
  </w:abstractNum>
  <w:abstractNum w:abstractNumId="15">
    <w:nsid w:val="1BA026FA"/>
    <w:multiLevelType w:val="hybridMultilevel"/>
    <w:lvl w:ilvl="0">
      <w:lvlJc w:val="left"/>
      <w:lvlText w:val="(%1)"/>
      <w:numFmt w:val="lowerLetter"/>
      <w:start w:val="1"/>
    </w:lvl>
  </w:abstractNum>
  <w:abstractNum w:abstractNumId="16">
    <w:nsid w:val="79A1DEAA"/>
    <w:multiLevelType w:val="hybridMultilevel"/>
    <w:lvl w:ilvl="0">
      <w:lvlJc w:val="left"/>
      <w:lvlText w:val="(%1)"/>
      <w:numFmt w:val="lowerLetter"/>
      <w:start w:val="1"/>
    </w:lvl>
  </w:abstractNum>
  <w:abstractNum w:abstractNumId="17">
    <w:nsid w:val="75C6C33A"/>
    <w:multiLevelType w:val="hybridMultilevel"/>
    <w:lvl w:ilvl="0">
      <w:lvlJc w:val="left"/>
      <w:lvlText w:val="(%1)"/>
      <w:numFmt w:val="lowerLetter"/>
      <w:start w:val="1"/>
    </w:lvl>
  </w:abstractNum>
  <w:abstractNum w:abstractNumId="18">
    <w:nsid w:val="12E685FB"/>
    <w:multiLevelType w:val="hybridMultilevel"/>
    <w:lvl w:ilvl="0">
      <w:lvlJc w:val="left"/>
      <w:lvlText w:val="(%1)"/>
      <w:numFmt w:val="decimal"/>
      <w:start w:val="7"/>
    </w:lvl>
  </w:abstractNum>
  <w:abstractNum w:abstractNumId="19">
    <w:nsid w:val="70C6A529"/>
    <w:multiLevelType w:val="hybridMultilevel"/>
    <w:lvl w:ilvl="0">
      <w:lvlJc w:val="left"/>
      <w:lvlText w:val="(%1)"/>
      <w:numFmt w:val="lowerLetter"/>
      <w:start w:val="1"/>
    </w:lvl>
  </w:abstractNum>
  <w:abstractNum w:abstractNumId="20">
    <w:nsid w:val="520EEDD1"/>
    <w:multiLevelType w:val="hybridMultilevel"/>
    <w:lvl w:ilvl="0">
      <w:lvlJc w:val="left"/>
      <w:lvlText w:val="(%1)"/>
      <w:numFmt w:val="decimal"/>
      <w:start w:val="9"/>
    </w:lvl>
  </w:abstractNum>
  <w:abstractNum w:abstractNumId="21">
    <w:nsid w:val="374A3FE6"/>
    <w:multiLevelType w:val="hybridMultilevel"/>
    <w:lvl w:ilvl="0">
      <w:lvlJc w:val="left"/>
      <w:lvlText w:val="(%1)"/>
      <w:numFmt w:val="lowerLetter"/>
      <w:start w:val="1"/>
    </w:lvl>
  </w:abstractNum>
  <w:abstractNum w:abstractNumId="22">
    <w:nsid w:val="4F4EF005"/>
    <w:multiLevelType w:val="hybridMultilevel"/>
    <w:lvl w:ilvl="0">
      <w:lvlJc w:val="left"/>
      <w:lvlText w:val="(%1)"/>
      <w:numFmt w:val="lowerLetter"/>
      <w:start w:val="3"/>
    </w:lvl>
  </w:abstractNum>
  <w:abstractNum w:abstractNumId="23">
    <w:nsid w:val="23F9C13C"/>
    <w:multiLevelType w:val="hybridMultilevel"/>
    <w:lvl w:ilvl="0">
      <w:lvlJc w:val="left"/>
      <w:lvlText w:val="(%1)"/>
      <w:numFmt w:val="lowerLetter"/>
      <w:start w:val="1"/>
    </w:lvl>
  </w:abstractNum>
  <w:abstractNum w:abstractNumId="24">
    <w:nsid w:val="649BB77C"/>
    <w:multiLevelType w:val="hybridMultilevel"/>
    <w:lvl w:ilvl="0">
      <w:lvlJc w:val="left"/>
      <w:lvlText w:val="(%1)"/>
      <w:numFmt w:val="decimal"/>
      <w:start w:val="10"/>
    </w:lvl>
  </w:abstractNum>
  <w:abstractNum w:abstractNumId="25">
    <w:nsid w:val="275AC794"/>
    <w:multiLevelType w:val="hybridMultilevel"/>
    <w:lvl w:ilvl="0">
      <w:lvlJc w:val="left"/>
      <w:lvlText w:val="(%1)"/>
      <w:numFmt w:val="lowerLetter"/>
      <w:start w:val="1"/>
    </w:lvl>
  </w:abstractNum>
  <w:abstractNum w:abstractNumId="26">
    <w:nsid w:val="39386575"/>
    <w:multiLevelType w:val="hybridMultilevel"/>
    <w:lvl w:ilvl="0">
      <w:lvlJc w:val="left"/>
      <w:lvlText w:val="(%1)"/>
      <w:numFmt w:val="lowerLetter"/>
      <w:start w:val="2"/>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1)"/>
      <w:numFmt w:val="decimal"/>
      <w:start w:val="11"/>
    </w:lvl>
  </w:abstractNum>
  <w:abstractNum w:abstractNumId="29">
    <w:nsid w:val="235BA861"/>
    <w:multiLevelType w:val="hybridMultilevel"/>
    <w:lvl w:ilvl="0">
      <w:lvlJc w:val="left"/>
      <w:lvlText w:val="(%1)"/>
      <w:numFmt w:val="lowerLetter"/>
      <w:start w:val="1"/>
    </w:lvl>
  </w:abstractNum>
  <w:abstractNum w:abstractNumId="30">
    <w:nsid w:val="47398C89"/>
    <w:multiLevelType w:val="hybridMultilevel"/>
    <w:lvl w:ilvl="0">
      <w:lvlJc w:val="left"/>
      <w:lvlText w:val="(%1)"/>
      <w:numFmt w:val="decimal"/>
      <w:start w:val="12"/>
    </w:lvl>
  </w:abstractNum>
  <w:abstractNum w:abstractNumId="31">
    <w:nsid w:val="354FE9F9"/>
    <w:multiLevelType w:val="hybridMultilevel"/>
    <w:lvl w:ilvl="0">
      <w:lvlJc w:val="left"/>
      <w:lvlText w:val="(%1)"/>
      <w:numFmt w:val="decimal"/>
      <w:start w:val="13"/>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1)"/>
      <w:numFmt w:val="decimal"/>
      <w:start w:val="14"/>
    </w:lvl>
  </w:abstractNum>
  <w:abstractNum w:abstractNumId="36">
    <w:nsid w:val="3F6AB60F"/>
    <w:multiLevelType w:val="hybridMultilevel"/>
    <w:lvl w:ilvl="0">
      <w:lvlJc w:val="left"/>
      <w:lvlText w:val="(%1)"/>
      <w:numFmt w:val="decimal"/>
      <w:start w:val="15"/>
    </w:lvl>
  </w:abstractNum>
  <w:abstractNum w:abstractNumId="37">
    <w:nsid w:val="61574095"/>
    <w:multiLevelType w:val="hybridMultilevel"/>
    <w:lvl w:ilvl="0">
      <w:lvlJc w:val="left"/>
      <w:lvlText w:val="(%1)"/>
      <w:numFmt w:val="decimal"/>
      <w:start w:val="16"/>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1)"/>
      <w:numFmt w:val="lowerLetter"/>
      <w:start w:val="1"/>
    </w:lvl>
  </w:abstractNum>
  <w:abstractNum w:abstractNumId="41">
    <w:nsid w:val="310C50B3"/>
    <w:multiLevelType w:val="hybridMultilevel"/>
    <w:lvl w:ilvl="0">
      <w:lvlJc w:val="left"/>
      <w:lvlText w:val="(%1)"/>
      <w:numFmt w:val="lowerLetter"/>
      <w:start w:val="1"/>
    </w:lvl>
  </w:abstractNum>
  <w:abstractNum w:abstractNumId="42">
    <w:nsid w:val="5FF87E05"/>
    <w:multiLevelType w:val="hybridMultilevel"/>
    <w:lvl w:ilvl="0">
      <w:lvlJc w:val="left"/>
      <w:lvlText w:val="(%1)"/>
      <w:numFmt w:val="lowerLetter"/>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5"/>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decimal"/>
      <w:start w:val="17"/>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lowerLetter"/>
      <w:start w:val="1"/>
    </w:lvl>
  </w:abstractNum>
  <w:abstractNum w:abstractNumId="51">
    <w:nsid w:val="6590700B"/>
    <w:multiLevelType w:val="hybridMultilevel"/>
    <w:lvl w:ilvl="0">
      <w:lvlJc w:val="left"/>
      <w:lvlText w:val="(%1)"/>
      <w:numFmt w:val="lowerLetter"/>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1"/>
    </w:lvl>
  </w:abstractNum>
  <w:abstractNum w:abstractNumId="55">
    <w:nsid w:val="799D0247"/>
    <w:multiLevelType w:val="hybridMultilevel"/>
    <w:lvl w:ilvl="0">
      <w:lvlJc w:val="left"/>
      <w:lvlText w:val="(%1)"/>
      <w:numFmt w:val="lowerLetter"/>
      <w:start w:val="1"/>
    </w:lvl>
  </w:abstractNum>
  <w:abstractNum w:abstractNumId="56">
    <w:nsid w:val="6B94764"/>
    <w:multiLevelType w:val="hybridMultilevel"/>
    <w:lvl w:ilvl="0">
      <w:lvlJc w:val="left"/>
      <w:lvlText w:val="(%1)"/>
      <w:numFmt w:val="lowerLetter"/>
      <w:start w:val="5"/>
    </w:lvl>
  </w:abstractNum>
  <w:abstractNum w:abstractNumId="57">
    <w:nsid w:val="42C296BD"/>
    <w:multiLevelType w:val="hybridMultilevel"/>
    <w:lvl w:ilvl="0">
      <w:lvlJc w:val="left"/>
      <w:lvlText w:val="(%1)"/>
      <w:numFmt w:val="lowerRoman"/>
      <w:start w:val="1"/>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lowerLetter"/>
      <w:start w:val="1"/>
    </w:lvl>
  </w:abstractNum>
  <w:abstractNum w:abstractNumId="65">
    <w:nsid w:val="613EFDC5"/>
    <w:multiLevelType w:val="hybridMultilevel"/>
    <w:lvl w:ilvl="0">
      <w:lvlJc w:val="left"/>
      <w:lvlText w:val="(%1)"/>
      <w:numFmt w:val="lowerRoman"/>
      <w:start w:val="3"/>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lowerLetter"/>
      <w:start w:val="2"/>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lowerRoman"/>
      <w:start w:val="2"/>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lowerRoman"/>
      <w:start w:val="1"/>
    </w:lvl>
  </w:abstractNum>
  <w:abstractNum w:abstractNumId="77">
    <w:nsid w:val="14330624"/>
    <w:multiLevelType w:val="hybridMultilevel"/>
    <w:lvl w:ilvl="0">
      <w:lvlJc w:val="left"/>
      <w:lvlText w:val="(%1)"/>
      <w:numFmt w:val="lowerRoman"/>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3"/>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1"/>
      <w:numFmt w:val="decimal"/>
      <w:start w:val="104"/>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02" Type="http://schemas.openxmlformats.org/officeDocument/2006/relationships/hyperlink" Target="https://www.sec.gov/Archives/edgar/data/1570585/000157058522000145/ex41upcrcfamendmen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2022-07-28T16:01:57Z</dcterms:created>
  <dcterms:modified xsi:type="dcterms:W3CDTF">2022-07-28T16:01:57Z</dcterms:modified>
</cp:coreProperties>
</file>